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61391" w:rsidRDefault="00684D95" w:rsidP="00981445">
      <w:pPr>
        <w:pStyle w:val="Heading1"/>
      </w:pPr>
      <w:bookmarkStart w:id="0" w:name="_Toc372899997"/>
      <w:r>
        <w:t>3</w:t>
      </w:r>
      <w:r>
        <w:tab/>
      </w:r>
      <w:r w:rsidR="006137A1">
        <w:t>Early childhood education and care</w:t>
      </w:r>
      <w:bookmarkEnd w:id="0"/>
    </w:p>
    <w:p w:rsidR="00773686" w:rsidRPr="00773686" w:rsidRDefault="00F43FB6" w:rsidP="00CF3BF8">
      <w:pPr>
        <w:pStyle w:val="Heading4"/>
        <w:rPr>
          <w:rFonts w:asciiTheme="minorHAnsi" w:eastAsiaTheme="minorEastAsia" w:hAnsiTheme="minorHAnsi" w:cstheme="minorBidi"/>
          <w:b/>
          <w:caps/>
          <w:noProof/>
          <w:sz w:val="22"/>
          <w:szCs w:val="22"/>
        </w:rPr>
      </w:pPr>
      <w:r>
        <w:rPr>
          <w:rStyle w:val="Hyperlink"/>
          <w:noProof/>
          <w:color w:val="auto"/>
          <w:u w:val="none"/>
        </w:rPr>
        <w:t>C</w:t>
      </w:r>
      <w:r w:rsidR="00554EF5">
        <w:rPr>
          <w:rStyle w:val="Hyperlink"/>
          <w:noProof/>
          <w:color w:val="auto"/>
          <w:u w:val="none"/>
        </w:rPr>
        <w:t>ONTENTS</w:t>
      </w:r>
    </w:p>
    <w:p w:rsidR="00773686" w:rsidRPr="006B1681" w:rsidRDefault="00773686">
      <w:pPr>
        <w:pStyle w:val="TOC2"/>
        <w:rPr>
          <w:rFonts w:asciiTheme="minorHAnsi" w:eastAsiaTheme="minorEastAsia" w:hAnsiTheme="minorHAnsi" w:cstheme="minorBidi"/>
          <w:b/>
          <w:noProof/>
          <w:sz w:val="22"/>
          <w:szCs w:val="22"/>
        </w:rPr>
      </w:pPr>
      <w:r w:rsidRPr="006B1681">
        <w:rPr>
          <w:noProof/>
        </w:rPr>
        <w:t>3.1</w:t>
      </w:r>
      <w:r w:rsidRPr="006B1681">
        <w:rPr>
          <w:rFonts w:asciiTheme="minorHAnsi" w:eastAsiaTheme="minorEastAsia" w:hAnsiTheme="minorHAnsi" w:cstheme="minorBidi"/>
          <w:noProof/>
          <w:sz w:val="22"/>
          <w:szCs w:val="22"/>
        </w:rPr>
        <w:tab/>
      </w:r>
      <w:r w:rsidR="008D6142" w:rsidRPr="006B1681">
        <w:rPr>
          <w:noProof/>
        </w:rPr>
        <w:t>Profile of ECEC</w:t>
      </w:r>
      <w:r w:rsidRPr="006B1681">
        <w:rPr>
          <w:noProof/>
          <w:webHidden/>
        </w:rPr>
        <w:tab/>
      </w:r>
      <w:r w:rsidR="00675FC4" w:rsidRPr="006B1681">
        <w:rPr>
          <w:noProof/>
          <w:webHidden/>
        </w:rPr>
        <w:t>3.</w:t>
      </w:r>
      <w:r w:rsidR="002E4BE8" w:rsidRPr="006B1681">
        <w:rPr>
          <w:noProof/>
          <w:webHidden/>
        </w:rPr>
        <w:t>2</w:t>
      </w:r>
    </w:p>
    <w:p w:rsidR="00773686" w:rsidRPr="002D712B" w:rsidRDefault="00773686">
      <w:pPr>
        <w:pStyle w:val="TOC2"/>
        <w:rPr>
          <w:rFonts w:asciiTheme="minorHAnsi" w:eastAsiaTheme="minorEastAsia" w:hAnsiTheme="minorHAnsi" w:cstheme="minorBidi"/>
          <w:b/>
          <w:noProof/>
          <w:sz w:val="22"/>
          <w:szCs w:val="22"/>
        </w:rPr>
      </w:pPr>
      <w:r w:rsidRPr="002D712B">
        <w:rPr>
          <w:noProof/>
        </w:rPr>
        <w:t>3.2</w:t>
      </w:r>
      <w:r w:rsidRPr="002D712B">
        <w:rPr>
          <w:rFonts w:asciiTheme="minorHAnsi" w:eastAsiaTheme="minorEastAsia" w:hAnsiTheme="minorHAnsi" w:cstheme="minorBidi"/>
          <w:noProof/>
          <w:sz w:val="22"/>
          <w:szCs w:val="22"/>
        </w:rPr>
        <w:tab/>
      </w:r>
      <w:r w:rsidRPr="002D712B">
        <w:rPr>
          <w:noProof/>
        </w:rPr>
        <w:t>Framework of performance indicators</w:t>
      </w:r>
      <w:r w:rsidRPr="002D712B">
        <w:rPr>
          <w:noProof/>
          <w:webHidden/>
        </w:rPr>
        <w:tab/>
      </w:r>
      <w:r w:rsidR="00675FC4" w:rsidRPr="002D712B">
        <w:rPr>
          <w:noProof/>
          <w:webHidden/>
        </w:rPr>
        <w:t>3.</w:t>
      </w:r>
      <w:r w:rsidR="007E3F26">
        <w:rPr>
          <w:noProof/>
          <w:webHidden/>
        </w:rPr>
        <w:t>1</w:t>
      </w:r>
      <w:r w:rsidR="00AF590B">
        <w:rPr>
          <w:noProof/>
          <w:webHidden/>
        </w:rPr>
        <w:t>6</w:t>
      </w:r>
    </w:p>
    <w:p w:rsidR="00773686" w:rsidRPr="002D712B" w:rsidRDefault="00773686">
      <w:pPr>
        <w:pStyle w:val="TOC2"/>
        <w:rPr>
          <w:rFonts w:asciiTheme="minorHAnsi" w:eastAsiaTheme="minorEastAsia" w:hAnsiTheme="minorHAnsi" w:cstheme="minorBidi"/>
          <w:b/>
          <w:noProof/>
          <w:sz w:val="22"/>
          <w:szCs w:val="22"/>
        </w:rPr>
      </w:pPr>
      <w:r w:rsidRPr="002D712B">
        <w:rPr>
          <w:noProof/>
        </w:rPr>
        <w:t>3.3</w:t>
      </w:r>
      <w:r w:rsidRPr="002D712B">
        <w:rPr>
          <w:rFonts w:asciiTheme="minorHAnsi" w:eastAsiaTheme="minorEastAsia" w:hAnsiTheme="minorHAnsi" w:cstheme="minorBidi"/>
          <w:noProof/>
          <w:sz w:val="22"/>
          <w:szCs w:val="22"/>
        </w:rPr>
        <w:tab/>
      </w:r>
      <w:r w:rsidRPr="002D712B">
        <w:rPr>
          <w:noProof/>
        </w:rPr>
        <w:t>Key performance indicator results</w:t>
      </w:r>
      <w:r w:rsidRPr="002D712B">
        <w:rPr>
          <w:noProof/>
          <w:webHidden/>
        </w:rPr>
        <w:tab/>
      </w:r>
      <w:r w:rsidR="00675FC4" w:rsidRPr="002D712B">
        <w:rPr>
          <w:noProof/>
          <w:webHidden/>
        </w:rPr>
        <w:t>3.</w:t>
      </w:r>
      <w:r w:rsidR="007E3F26">
        <w:rPr>
          <w:noProof/>
          <w:webHidden/>
        </w:rPr>
        <w:t>1</w:t>
      </w:r>
      <w:r w:rsidR="00F82C37">
        <w:rPr>
          <w:noProof/>
          <w:webHidden/>
        </w:rPr>
        <w:t>8</w:t>
      </w:r>
    </w:p>
    <w:p w:rsidR="00773686" w:rsidRPr="002D712B" w:rsidRDefault="00773686">
      <w:pPr>
        <w:pStyle w:val="TOC2"/>
        <w:rPr>
          <w:rFonts w:asciiTheme="minorHAnsi" w:eastAsiaTheme="minorEastAsia" w:hAnsiTheme="minorHAnsi" w:cstheme="minorBidi"/>
          <w:b/>
          <w:noProof/>
          <w:sz w:val="22"/>
          <w:szCs w:val="22"/>
        </w:rPr>
      </w:pPr>
      <w:r w:rsidRPr="002D712B">
        <w:rPr>
          <w:noProof/>
        </w:rPr>
        <w:t>3.4</w:t>
      </w:r>
      <w:r w:rsidRPr="002D712B">
        <w:rPr>
          <w:rFonts w:asciiTheme="minorHAnsi" w:eastAsiaTheme="minorEastAsia" w:hAnsiTheme="minorHAnsi" w:cstheme="minorBidi"/>
          <w:noProof/>
          <w:sz w:val="22"/>
          <w:szCs w:val="22"/>
        </w:rPr>
        <w:tab/>
      </w:r>
      <w:r w:rsidRPr="002D712B">
        <w:rPr>
          <w:noProof/>
        </w:rPr>
        <w:t>Future directions in performance reporting</w:t>
      </w:r>
      <w:r w:rsidRPr="002D712B">
        <w:rPr>
          <w:noProof/>
          <w:webHidden/>
        </w:rPr>
        <w:tab/>
      </w:r>
      <w:r w:rsidR="00675FC4" w:rsidRPr="002D712B">
        <w:rPr>
          <w:noProof/>
          <w:webHidden/>
        </w:rPr>
        <w:t>3.</w:t>
      </w:r>
      <w:r w:rsidR="00AF590B">
        <w:rPr>
          <w:noProof/>
          <w:webHidden/>
        </w:rPr>
        <w:t>6</w:t>
      </w:r>
      <w:r w:rsidR="00C94253">
        <w:rPr>
          <w:noProof/>
          <w:webHidden/>
        </w:rPr>
        <w:t>8</w:t>
      </w:r>
    </w:p>
    <w:p w:rsidR="00773686" w:rsidRPr="002D712B" w:rsidRDefault="00D93BFE">
      <w:pPr>
        <w:pStyle w:val="TOC2"/>
        <w:rPr>
          <w:rFonts w:asciiTheme="minorHAnsi" w:eastAsiaTheme="minorEastAsia" w:hAnsiTheme="minorHAnsi" w:cstheme="minorBidi"/>
          <w:b/>
          <w:noProof/>
          <w:sz w:val="22"/>
          <w:szCs w:val="22"/>
        </w:rPr>
      </w:pPr>
      <w:r w:rsidRPr="002D712B">
        <w:rPr>
          <w:noProof/>
        </w:rPr>
        <w:t>3.5</w:t>
      </w:r>
      <w:r w:rsidR="00773686" w:rsidRPr="002D712B">
        <w:rPr>
          <w:rFonts w:asciiTheme="minorHAnsi" w:eastAsiaTheme="minorEastAsia" w:hAnsiTheme="minorHAnsi" w:cstheme="minorBidi"/>
          <w:noProof/>
          <w:sz w:val="22"/>
          <w:szCs w:val="22"/>
        </w:rPr>
        <w:tab/>
      </w:r>
      <w:r w:rsidR="00773686" w:rsidRPr="002D712B">
        <w:rPr>
          <w:noProof/>
        </w:rPr>
        <w:t>Definitions of key terms</w:t>
      </w:r>
      <w:r w:rsidR="00773686" w:rsidRPr="002D712B">
        <w:rPr>
          <w:noProof/>
          <w:webHidden/>
        </w:rPr>
        <w:tab/>
      </w:r>
      <w:r w:rsidR="00675FC4" w:rsidRPr="002D712B">
        <w:rPr>
          <w:noProof/>
          <w:webHidden/>
        </w:rPr>
        <w:t>3.</w:t>
      </w:r>
      <w:r w:rsidR="00C94253">
        <w:rPr>
          <w:noProof/>
          <w:webHidden/>
        </w:rPr>
        <w:t>69</w:t>
      </w:r>
    </w:p>
    <w:p w:rsidR="00773686" w:rsidRPr="002D712B" w:rsidRDefault="00D93BFE">
      <w:pPr>
        <w:pStyle w:val="TOC2"/>
        <w:rPr>
          <w:rFonts w:asciiTheme="minorHAnsi" w:eastAsiaTheme="minorEastAsia" w:hAnsiTheme="minorHAnsi" w:cstheme="minorBidi"/>
          <w:b/>
          <w:noProof/>
          <w:sz w:val="22"/>
          <w:szCs w:val="22"/>
        </w:rPr>
      </w:pPr>
      <w:r w:rsidRPr="002D712B">
        <w:rPr>
          <w:noProof/>
        </w:rPr>
        <w:t>3.6</w:t>
      </w:r>
      <w:r w:rsidR="00773686" w:rsidRPr="002D712B">
        <w:rPr>
          <w:rFonts w:asciiTheme="minorHAnsi" w:eastAsiaTheme="minorEastAsia" w:hAnsiTheme="minorHAnsi" w:cstheme="minorBidi"/>
          <w:noProof/>
          <w:sz w:val="22"/>
          <w:szCs w:val="22"/>
        </w:rPr>
        <w:tab/>
      </w:r>
      <w:r w:rsidR="00773686" w:rsidRPr="002D712B">
        <w:rPr>
          <w:noProof/>
        </w:rPr>
        <w:t>List of attachment tables</w:t>
      </w:r>
      <w:r w:rsidR="00773686" w:rsidRPr="002D712B">
        <w:rPr>
          <w:noProof/>
          <w:webHidden/>
        </w:rPr>
        <w:tab/>
      </w:r>
      <w:r w:rsidR="00675FC4" w:rsidRPr="002D712B">
        <w:rPr>
          <w:noProof/>
          <w:webHidden/>
        </w:rPr>
        <w:t>3.</w:t>
      </w:r>
      <w:r w:rsidR="0083480C">
        <w:rPr>
          <w:noProof/>
          <w:webHidden/>
        </w:rPr>
        <w:t>7</w:t>
      </w:r>
      <w:r w:rsidR="00C94253">
        <w:rPr>
          <w:noProof/>
          <w:webHidden/>
        </w:rPr>
        <w:t>4</w:t>
      </w:r>
    </w:p>
    <w:p w:rsidR="00773686" w:rsidRPr="002D712B" w:rsidRDefault="00D93BFE">
      <w:pPr>
        <w:pStyle w:val="TOC2"/>
        <w:rPr>
          <w:rFonts w:asciiTheme="minorHAnsi" w:eastAsiaTheme="minorEastAsia" w:hAnsiTheme="minorHAnsi" w:cstheme="minorBidi"/>
          <w:b/>
          <w:noProof/>
          <w:sz w:val="22"/>
          <w:szCs w:val="22"/>
        </w:rPr>
      </w:pPr>
      <w:r w:rsidRPr="002D712B">
        <w:rPr>
          <w:noProof/>
        </w:rPr>
        <w:t>3.7</w:t>
      </w:r>
      <w:r w:rsidR="00773686" w:rsidRPr="002D712B">
        <w:rPr>
          <w:rFonts w:asciiTheme="minorHAnsi" w:eastAsiaTheme="minorEastAsia" w:hAnsiTheme="minorHAnsi" w:cstheme="minorBidi"/>
          <w:noProof/>
          <w:sz w:val="22"/>
          <w:szCs w:val="22"/>
        </w:rPr>
        <w:tab/>
      </w:r>
      <w:r w:rsidR="00773686" w:rsidRPr="002D712B">
        <w:rPr>
          <w:noProof/>
        </w:rPr>
        <w:t>References</w:t>
      </w:r>
      <w:r w:rsidR="00773686" w:rsidRPr="002D712B">
        <w:rPr>
          <w:noProof/>
          <w:webHidden/>
        </w:rPr>
        <w:tab/>
      </w:r>
      <w:r w:rsidR="00675FC4" w:rsidRPr="002D712B">
        <w:rPr>
          <w:noProof/>
          <w:webHidden/>
        </w:rPr>
        <w:t>3.</w:t>
      </w:r>
      <w:r w:rsidR="00AF590B">
        <w:rPr>
          <w:noProof/>
          <w:webHidden/>
        </w:rPr>
        <w:t>7</w:t>
      </w:r>
      <w:r w:rsidR="00C94253">
        <w:rPr>
          <w:noProof/>
          <w:webHidden/>
        </w:rPr>
        <w:t>8</w:t>
      </w:r>
    </w:p>
    <w:p w:rsidR="0030537E" w:rsidRPr="00773A00" w:rsidRDefault="0030537E">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30537E" w:rsidTr="009150E2">
        <w:tc>
          <w:tcPr>
            <w:tcW w:w="8771" w:type="dxa"/>
            <w:tcBorders>
              <w:top w:val="single" w:sz="6" w:space="0" w:color="78A22F"/>
              <w:left w:val="nil"/>
              <w:bottom w:val="nil"/>
              <w:right w:val="nil"/>
            </w:tcBorders>
            <w:shd w:val="clear" w:color="auto" w:fill="F2F2F2"/>
          </w:tcPr>
          <w:p w:rsidR="0030537E" w:rsidRDefault="0030537E" w:rsidP="00F86946">
            <w:pPr>
              <w:pStyle w:val="BoxTitle"/>
            </w:pPr>
            <w:r>
              <w:t>Attachment tables</w:t>
            </w:r>
            <w:r w:rsidR="008A6BCB">
              <w:t xml:space="preserve"> </w:t>
            </w:r>
          </w:p>
        </w:tc>
      </w:tr>
      <w:tr w:rsidR="0030537E" w:rsidTr="009150E2">
        <w:trPr>
          <w:cantSplit/>
        </w:trPr>
        <w:tc>
          <w:tcPr>
            <w:tcW w:w="8771" w:type="dxa"/>
            <w:tcBorders>
              <w:top w:val="nil"/>
              <w:left w:val="nil"/>
              <w:bottom w:val="nil"/>
              <w:right w:val="nil"/>
            </w:tcBorders>
            <w:shd w:val="clear" w:color="auto" w:fill="F2F2F2"/>
          </w:tcPr>
          <w:p w:rsidR="0030537E" w:rsidRDefault="0030537E" w:rsidP="009150E2">
            <w:pPr>
              <w:pStyle w:val="Box"/>
            </w:pPr>
            <w:r w:rsidRPr="006C0F04">
              <w:t xml:space="preserve">Attachment tables are identified in references throughout this chapter by a </w:t>
            </w:r>
            <w:r>
              <w:t>‘</w:t>
            </w:r>
            <w:proofErr w:type="spellStart"/>
            <w:r>
              <w:t>3A</w:t>
            </w:r>
            <w:proofErr w:type="spellEnd"/>
            <w:r>
              <w:t>’ prefix (for example, table </w:t>
            </w:r>
            <w:proofErr w:type="spellStart"/>
            <w:r>
              <w:t>3</w:t>
            </w:r>
            <w:r w:rsidRPr="00053D4D">
              <w:t>A</w:t>
            </w:r>
            <w:r>
              <w:t>.1</w:t>
            </w:r>
            <w:proofErr w:type="spellEnd"/>
            <w:r w:rsidRPr="006C0F04">
              <w:t>). A full list of attachment tables is provided at the end of this chapter, and the at</w:t>
            </w:r>
            <w:r>
              <w:t>ta</w:t>
            </w:r>
            <w:r w:rsidR="002E4D12">
              <w:t>chment tables are available on</w:t>
            </w:r>
            <w:r w:rsidR="008C623F">
              <w:t xml:space="preserve"> the </w:t>
            </w:r>
            <w:r w:rsidRPr="006C0F04">
              <w:t>web</w:t>
            </w:r>
            <w:r w:rsidR="002E4D12">
              <w:t xml:space="preserve">site </w:t>
            </w:r>
            <w:proofErr w:type="spellStart"/>
            <w:r w:rsidR="00AC6D39">
              <w:t>www.pc.gov.au</w:t>
            </w:r>
            <w:proofErr w:type="spellEnd"/>
            <w:r w:rsidR="00AC6D39">
              <w:t>/</w:t>
            </w:r>
            <w:proofErr w:type="spellStart"/>
            <w:r w:rsidR="00AC6D39">
              <w:t>rogs</w:t>
            </w:r>
            <w:proofErr w:type="spellEnd"/>
            <w:r w:rsidR="00AC6D39">
              <w:t>/2016</w:t>
            </w:r>
            <w:r w:rsidRPr="006C0F04">
              <w:t>.</w:t>
            </w:r>
          </w:p>
        </w:tc>
      </w:tr>
      <w:tr w:rsidR="0030537E" w:rsidTr="009150E2">
        <w:trPr>
          <w:cantSplit/>
        </w:trPr>
        <w:tc>
          <w:tcPr>
            <w:tcW w:w="8771" w:type="dxa"/>
            <w:tcBorders>
              <w:top w:val="nil"/>
              <w:left w:val="nil"/>
              <w:bottom w:val="single" w:sz="6" w:space="0" w:color="78A22F"/>
              <w:right w:val="nil"/>
            </w:tcBorders>
            <w:shd w:val="clear" w:color="auto" w:fill="F2F2F2"/>
          </w:tcPr>
          <w:p w:rsidR="0030537E" w:rsidRDefault="0030537E">
            <w:pPr>
              <w:pStyle w:val="Box"/>
              <w:spacing w:before="0" w:line="120" w:lineRule="exact"/>
            </w:pPr>
          </w:p>
        </w:tc>
      </w:tr>
      <w:tr w:rsidR="0030537E" w:rsidRPr="000863A5" w:rsidTr="009150E2">
        <w:tc>
          <w:tcPr>
            <w:tcW w:w="8771" w:type="dxa"/>
            <w:tcBorders>
              <w:top w:val="single" w:sz="6" w:space="0" w:color="78A22F"/>
              <w:left w:val="nil"/>
              <w:bottom w:val="nil"/>
              <w:right w:val="nil"/>
            </w:tcBorders>
          </w:tcPr>
          <w:p w:rsidR="0030537E" w:rsidRPr="00626D32" w:rsidRDefault="0030537E" w:rsidP="009150E2">
            <w:pPr>
              <w:pStyle w:val="BoxSpaceBelow"/>
            </w:pPr>
          </w:p>
        </w:tc>
      </w:tr>
    </w:tbl>
    <w:p w:rsidR="0003611E" w:rsidRPr="003E0C2E" w:rsidRDefault="00090156" w:rsidP="00C3586E">
      <w:pPr>
        <w:pStyle w:val="BodyText"/>
      </w:pPr>
      <w:r>
        <w:t>This chapter reports on the performance of e</w:t>
      </w:r>
      <w:r w:rsidR="0010442E">
        <w:t>arly childhood education and care</w:t>
      </w:r>
      <w:r w:rsidR="00755090">
        <w:t xml:space="preserve"> </w:t>
      </w:r>
      <w:r w:rsidR="0018407E">
        <w:t>(</w:t>
      </w:r>
      <w:proofErr w:type="spellStart"/>
      <w:r w:rsidR="0018407E">
        <w:t>ECEC</w:t>
      </w:r>
      <w:proofErr w:type="spellEnd"/>
      <w:r w:rsidR="0018407E">
        <w:t xml:space="preserve">) </w:t>
      </w:r>
      <w:r w:rsidR="001A5D86">
        <w:t xml:space="preserve">services, which comprised </w:t>
      </w:r>
      <w:r>
        <w:t xml:space="preserve">child care and preschool services. </w:t>
      </w:r>
      <w:proofErr w:type="spellStart"/>
      <w:r>
        <w:t>ECEC</w:t>
      </w:r>
      <w:proofErr w:type="spellEnd"/>
      <w:r>
        <w:t xml:space="preserve"> services aim to </w:t>
      </w:r>
      <w:r w:rsidR="00755090">
        <w:t xml:space="preserve">meet </w:t>
      </w:r>
      <w:r w:rsidR="0003611E" w:rsidRPr="003E0C2E">
        <w:t>the care, education</w:t>
      </w:r>
      <w:r w:rsidR="0021264F">
        <w:t>al</w:t>
      </w:r>
      <w:r w:rsidR="0003611E" w:rsidRPr="003E0C2E">
        <w:t xml:space="preserve"> and development</w:t>
      </w:r>
      <w:r w:rsidR="0021264F">
        <w:t>al</w:t>
      </w:r>
      <w:r w:rsidR="0003611E" w:rsidRPr="003E0C2E">
        <w:t xml:space="preserve"> needs of c</w:t>
      </w:r>
      <w:r w:rsidR="00C85D95" w:rsidRPr="003E0C2E">
        <w:t xml:space="preserve">hildren. </w:t>
      </w:r>
    </w:p>
    <w:p w:rsidR="00C040D7" w:rsidRDefault="0003611E" w:rsidP="00C3586E">
      <w:pPr>
        <w:pStyle w:val="ListBullet"/>
        <w:numPr>
          <w:ilvl w:val="0"/>
          <w:numId w:val="0"/>
        </w:numPr>
      </w:pPr>
      <w:r w:rsidRPr="004F78B2">
        <w:t>Most of the data in this chapter relate to services that are supported by the A</w:t>
      </w:r>
      <w:r w:rsidR="00FC42A7">
        <w:t xml:space="preserve">ustralian, State </w:t>
      </w:r>
      <w:r w:rsidR="00D978A4">
        <w:t>and Territory governments</w:t>
      </w:r>
      <w:r w:rsidR="002C7409">
        <w:t xml:space="preserve">. </w:t>
      </w:r>
      <w:r w:rsidRPr="004F78B2">
        <w:t xml:space="preserve">Local governments also plan, fund and deliver </w:t>
      </w:r>
      <w:proofErr w:type="spellStart"/>
      <w:r w:rsidR="0018407E">
        <w:t>ECEC</w:t>
      </w:r>
      <w:proofErr w:type="spellEnd"/>
      <w:r w:rsidRPr="004F78B2">
        <w:t>. Due to data limitations, the only local gov</w:t>
      </w:r>
      <w:r w:rsidR="00D978A4">
        <w:t xml:space="preserve">ernment data included are those which involve </w:t>
      </w:r>
      <w:r w:rsidRPr="004F78B2">
        <w:t>Aust</w:t>
      </w:r>
      <w:r w:rsidRPr="003E0C2E">
        <w:t>ralian, State and Territory government funding and</w:t>
      </w:r>
      <w:r w:rsidR="00AF41C8" w:rsidRPr="003E0C2E">
        <w:t>/or</w:t>
      </w:r>
      <w:r w:rsidR="00D978A4">
        <w:t xml:space="preserve"> licensing</w:t>
      </w:r>
      <w:r w:rsidRPr="003E0C2E">
        <w:t xml:space="preserve">. </w:t>
      </w:r>
    </w:p>
    <w:p w:rsidR="00184438" w:rsidRPr="008A6BCB" w:rsidRDefault="00F43FB6" w:rsidP="00246004">
      <w:pPr>
        <w:pStyle w:val="BodyText"/>
      </w:pPr>
      <w:r w:rsidRPr="008A6BCB">
        <w:t>I</w:t>
      </w:r>
      <w:r w:rsidR="0003611E" w:rsidRPr="008A6BCB">
        <w:t xml:space="preserve">mprovements to </w:t>
      </w:r>
      <w:r w:rsidRPr="008A6BCB">
        <w:t>the reporting of</w:t>
      </w:r>
      <w:r w:rsidR="0003611E" w:rsidRPr="008A6BCB">
        <w:t xml:space="preserve"> </w:t>
      </w:r>
      <w:proofErr w:type="spellStart"/>
      <w:r w:rsidR="0018407E" w:rsidRPr="008A6BCB">
        <w:t>ECEC</w:t>
      </w:r>
      <w:proofErr w:type="spellEnd"/>
      <w:r w:rsidR="0010442E" w:rsidRPr="008A6BCB">
        <w:t xml:space="preserve"> </w:t>
      </w:r>
      <w:r w:rsidR="006301FD" w:rsidRPr="008A6BCB">
        <w:t xml:space="preserve">in this edition </w:t>
      </w:r>
      <w:r w:rsidR="0003611E" w:rsidRPr="008A6BCB">
        <w:t>include</w:t>
      </w:r>
      <w:r w:rsidR="00184438" w:rsidRPr="008A6BCB">
        <w:t>:</w:t>
      </w:r>
    </w:p>
    <w:p w:rsidR="00DE715C" w:rsidRPr="00DE715C" w:rsidRDefault="00DE715C" w:rsidP="008A6BCB">
      <w:pPr>
        <w:pStyle w:val="ListBullet"/>
      </w:pPr>
      <w:r>
        <w:t xml:space="preserve">changes to the profile section to </w:t>
      </w:r>
      <w:r w:rsidR="00E54D2D">
        <w:t xml:space="preserve">distinguish </w:t>
      </w:r>
      <w:r>
        <w:t>service</w:t>
      </w:r>
      <w:r w:rsidR="00E54D2D">
        <w:t>s which are government funded from</w:t>
      </w:r>
      <w:r>
        <w:t xml:space="preserve"> services which are approved, licensed or registered to operate</w:t>
      </w:r>
    </w:p>
    <w:p w:rsidR="00DE715C" w:rsidRDefault="00DE715C" w:rsidP="008A6BCB">
      <w:pPr>
        <w:pStyle w:val="ListBullet"/>
      </w:pPr>
      <w:r>
        <w:t xml:space="preserve">an additional measure </w:t>
      </w:r>
      <w:r w:rsidR="008A6BCB" w:rsidRPr="008A6BCB">
        <w:t xml:space="preserve">supporting the ‘staff quality in </w:t>
      </w:r>
      <w:proofErr w:type="spellStart"/>
      <w:r w:rsidR="008A6BCB" w:rsidRPr="008A6BCB">
        <w:t>ECEC</w:t>
      </w:r>
      <w:proofErr w:type="spellEnd"/>
      <w:r w:rsidR="008A6BCB" w:rsidRPr="008A6BCB">
        <w:t xml:space="preserve">’ </w:t>
      </w:r>
      <w:r w:rsidR="00BA2C17">
        <w:t xml:space="preserve">output </w:t>
      </w:r>
      <w:r w:rsidR="008A6BCB" w:rsidRPr="008A6BCB">
        <w:t xml:space="preserve">indicator </w:t>
      </w:r>
      <w:r w:rsidR="00BA2C17">
        <w:t>—</w:t>
      </w:r>
      <w:r w:rsidR="008A6BCB" w:rsidRPr="008A6BCB">
        <w:t xml:space="preserve"> the qualification level of s</w:t>
      </w:r>
      <w:r>
        <w:t>t</w:t>
      </w:r>
      <w:r w:rsidR="00BA2C17">
        <w:t>aff in preschool teacher roles</w:t>
      </w:r>
    </w:p>
    <w:p w:rsidR="00F43FB6" w:rsidRDefault="00DE715C" w:rsidP="008A6BCB">
      <w:pPr>
        <w:pStyle w:val="ListBullet"/>
      </w:pPr>
      <w:r>
        <w:t>an additional measure supporting the ‘family work</w:t>
      </w:r>
      <w:r w:rsidR="002D438E">
        <w:noBreakHyphen/>
      </w:r>
      <w:r>
        <w:t xml:space="preserve">related needs for child care’ outcome indicator </w:t>
      </w:r>
      <w:r w:rsidR="00BA2C17">
        <w:t xml:space="preserve">— the </w:t>
      </w:r>
      <w:r>
        <w:t>proportion of persons not in the labour force due to caring for children, by</w:t>
      </w:r>
      <w:r w:rsidR="00A33286">
        <w:t xml:space="preserve"> child care service related reasons</w:t>
      </w:r>
      <w:r w:rsidR="00BA2C17">
        <w:t xml:space="preserve"> </w:t>
      </w:r>
    </w:p>
    <w:p w:rsidR="00DE715C" w:rsidRDefault="00DE715C" w:rsidP="008A6BCB">
      <w:pPr>
        <w:pStyle w:val="ListBullet"/>
      </w:pPr>
      <w:r>
        <w:lastRenderedPageBreak/>
        <w:t xml:space="preserve">an additional </w:t>
      </w:r>
      <w:r w:rsidR="00BA2C17">
        <w:t>basis for reporting</w:t>
      </w:r>
      <w:r>
        <w:t xml:space="preserve"> the ‘out</w:t>
      </w:r>
      <w:r w:rsidR="002D438E">
        <w:noBreakHyphen/>
      </w:r>
      <w:r>
        <w:t>of</w:t>
      </w:r>
      <w:r w:rsidR="002D438E">
        <w:noBreakHyphen/>
      </w:r>
      <w:r>
        <w:t xml:space="preserve">pocket costs of child care’ </w:t>
      </w:r>
      <w:r w:rsidR="00BA2C17">
        <w:t xml:space="preserve">outcome </w:t>
      </w:r>
      <w:r>
        <w:t xml:space="preserve">indicator </w:t>
      </w:r>
      <w:r w:rsidR="00BA2C17">
        <w:t>—</w:t>
      </w:r>
      <w:r w:rsidR="002D438E">
        <w:t xml:space="preserve"> </w:t>
      </w:r>
      <w:r w:rsidR="00BA2C17">
        <w:t xml:space="preserve">for </w:t>
      </w:r>
      <w:r>
        <w:t xml:space="preserve">families with one child using 30 hours of care per week. </w:t>
      </w:r>
    </w:p>
    <w:p w:rsidR="00DF3BDE" w:rsidRPr="008D5CE5" w:rsidRDefault="00DF3BDE" w:rsidP="00DF3BDE">
      <w:pPr>
        <w:pStyle w:val="BodyText"/>
      </w:pPr>
      <w:r w:rsidRPr="008D5CE5">
        <w:t>All abbreviations used in this Report are available in a complete list in volume A</w:t>
      </w:r>
      <w:r w:rsidR="008D5CE5">
        <w:t>: Approach to performance reporting.</w:t>
      </w:r>
    </w:p>
    <w:p w:rsidR="007230B4" w:rsidRDefault="007230B4" w:rsidP="007230B4">
      <w:pPr>
        <w:pStyle w:val="Heading2"/>
        <w:ind w:left="0" w:firstLine="0"/>
      </w:pPr>
      <w:r>
        <w:t>3.</w:t>
      </w:r>
      <w:r>
        <w:rPr>
          <w:noProof/>
        </w:rPr>
        <w:t>1</w:t>
      </w:r>
      <w:r>
        <w:tab/>
      </w:r>
      <w:r w:rsidRPr="0003611E">
        <w:t xml:space="preserve">Profile of </w:t>
      </w:r>
      <w:proofErr w:type="spellStart"/>
      <w:r w:rsidR="0018407E">
        <w:t>ECEC</w:t>
      </w:r>
      <w:proofErr w:type="spellEnd"/>
    </w:p>
    <w:p w:rsidR="007230B4" w:rsidRDefault="007230B4" w:rsidP="007230B4">
      <w:pPr>
        <w:pStyle w:val="Heading3"/>
      </w:pPr>
      <w:r w:rsidRPr="0003611E">
        <w:t>Service overview</w:t>
      </w:r>
      <w:r>
        <w:t xml:space="preserve"> </w:t>
      </w:r>
    </w:p>
    <w:p w:rsidR="007230B4" w:rsidRDefault="007230B4" w:rsidP="007230B4">
      <w:pPr>
        <w:pStyle w:val="BodyText"/>
      </w:pPr>
      <w:r w:rsidRPr="00D92318">
        <w:t xml:space="preserve">The </w:t>
      </w:r>
      <w:proofErr w:type="spellStart"/>
      <w:r w:rsidR="0018407E">
        <w:t>ECEC</w:t>
      </w:r>
      <w:proofErr w:type="spellEnd"/>
      <w:r w:rsidRPr="00D92318">
        <w:t xml:space="preserve"> sector provide</w:t>
      </w:r>
      <w:r w:rsidR="005E1709">
        <w:t xml:space="preserve">s families with </w:t>
      </w:r>
      <w:r w:rsidRPr="00D92318">
        <w:t>access to a range of services for children</w:t>
      </w:r>
      <w:r w:rsidR="005E1709">
        <w:t xml:space="preserve"> based on children’s age and educational and care needs</w:t>
      </w:r>
      <w:r w:rsidRPr="00D92318">
        <w:t>.</w:t>
      </w:r>
      <w:r>
        <w:t xml:space="preserve"> </w:t>
      </w:r>
      <w:proofErr w:type="spellStart"/>
      <w:r w:rsidR="00BA2C17">
        <w:t>ECEC</w:t>
      </w:r>
      <w:proofErr w:type="spellEnd"/>
      <w:r w:rsidR="00BA2C17">
        <w:t xml:space="preserve"> services </w:t>
      </w:r>
      <w:r w:rsidR="001F7FEF">
        <w:t>provide one or more of the following broad service types</w:t>
      </w:r>
      <w:r w:rsidR="00B0371B">
        <w:t>:</w:t>
      </w:r>
    </w:p>
    <w:p w:rsidR="00090156" w:rsidRDefault="00090156" w:rsidP="00090156">
      <w:pPr>
        <w:pStyle w:val="ListBullet"/>
      </w:pPr>
      <w:r>
        <w:t>Child care – refers to formal child care servi</w:t>
      </w:r>
      <w:r w:rsidR="005054F9">
        <w:t>ces provided to children aged 0–</w:t>
      </w:r>
      <w:r>
        <w:t>12 years, including:</w:t>
      </w:r>
    </w:p>
    <w:p w:rsidR="00B0371B" w:rsidRDefault="00090156" w:rsidP="00090156">
      <w:pPr>
        <w:pStyle w:val="ListBullet2"/>
      </w:pPr>
      <w:r>
        <w:t>l</w:t>
      </w:r>
      <w:r w:rsidR="00B0371B">
        <w:t>ong day care</w:t>
      </w:r>
    </w:p>
    <w:p w:rsidR="00B0371B" w:rsidRDefault="00090156" w:rsidP="00090156">
      <w:pPr>
        <w:pStyle w:val="ListBullet2"/>
      </w:pPr>
      <w:r>
        <w:t>f</w:t>
      </w:r>
      <w:r w:rsidR="00B0371B">
        <w:t>amily day care</w:t>
      </w:r>
    </w:p>
    <w:p w:rsidR="00B0371B" w:rsidRDefault="005C67B8" w:rsidP="00090156">
      <w:pPr>
        <w:pStyle w:val="ListBullet2"/>
      </w:pPr>
      <w:r>
        <w:t>out</w:t>
      </w:r>
      <w:r w:rsidR="00FE388C">
        <w:t xml:space="preserve">side </w:t>
      </w:r>
      <w:r>
        <w:t>school hours care</w:t>
      </w:r>
      <w:r w:rsidR="00DA327A">
        <w:t xml:space="preserve"> (</w:t>
      </w:r>
      <w:proofErr w:type="spellStart"/>
      <w:r w:rsidR="00DA327A">
        <w:t>OSHC</w:t>
      </w:r>
      <w:proofErr w:type="spellEnd"/>
      <w:r w:rsidR="00DA327A">
        <w:t>)</w:t>
      </w:r>
    </w:p>
    <w:p w:rsidR="00B0371B" w:rsidRDefault="00090156" w:rsidP="00090156">
      <w:pPr>
        <w:pStyle w:val="ListBullet2"/>
      </w:pPr>
      <w:r>
        <w:t>o</w:t>
      </w:r>
      <w:r w:rsidR="00B0371B">
        <w:t>ccasional care</w:t>
      </w:r>
    </w:p>
    <w:p w:rsidR="00B0371B" w:rsidRDefault="00090156" w:rsidP="00090156">
      <w:pPr>
        <w:pStyle w:val="ListBullet2"/>
      </w:pPr>
      <w:r>
        <w:t>o</w:t>
      </w:r>
      <w:r w:rsidR="00B0371B">
        <w:t>ther care</w:t>
      </w:r>
      <w:r w:rsidR="00A4775B">
        <w:t xml:space="preserve"> (see section</w:t>
      </w:r>
      <w:r w:rsidR="00697D43">
        <w:t> </w:t>
      </w:r>
      <w:r w:rsidR="00A4775B">
        <w:t>3.5 for definitions).</w:t>
      </w:r>
    </w:p>
    <w:p w:rsidR="007230B4" w:rsidRPr="00090156" w:rsidRDefault="00B0371B" w:rsidP="007230B4">
      <w:pPr>
        <w:pStyle w:val="ListBullet"/>
      </w:pPr>
      <w:r>
        <w:t>Preschool</w:t>
      </w:r>
      <w:r w:rsidR="003A509D">
        <w:t xml:space="preserve"> – refers to services delivering a preschool program</w:t>
      </w:r>
      <w:r w:rsidR="00E048BA">
        <w:t xml:space="preserve"> by a </w:t>
      </w:r>
      <w:r w:rsidR="00090156">
        <w:t xml:space="preserve">qualified teacher </w:t>
      </w:r>
      <w:r w:rsidR="00090156" w:rsidRPr="003E0C2E">
        <w:t>to children</w:t>
      </w:r>
      <w:r w:rsidR="00090156">
        <w:t>,</w:t>
      </w:r>
      <w:r w:rsidR="00090156" w:rsidRPr="003E0C2E">
        <w:t xml:space="preserve"> mainly in the year or two before they begin </w:t>
      </w:r>
      <w:r w:rsidR="00090156">
        <w:t xml:space="preserve">full time schooling. </w:t>
      </w:r>
      <w:r w:rsidR="007230B4" w:rsidRPr="005D7A88">
        <w:t xml:space="preserve">Preschool </w:t>
      </w:r>
      <w:r w:rsidR="007230B4">
        <w:t xml:space="preserve">program names and starting ages </w:t>
      </w:r>
      <w:r w:rsidR="007230B4" w:rsidRPr="00BC772B">
        <w:t xml:space="preserve">for each </w:t>
      </w:r>
      <w:r w:rsidR="007230B4">
        <w:t>S</w:t>
      </w:r>
      <w:r w:rsidR="007230B4" w:rsidRPr="00BC772B">
        <w:t xml:space="preserve">tate and </w:t>
      </w:r>
      <w:r w:rsidR="007230B4">
        <w:t>T</w:t>
      </w:r>
      <w:r w:rsidR="007230B4" w:rsidRPr="00BC772B">
        <w:t xml:space="preserve">erritory </w:t>
      </w:r>
      <w:r w:rsidR="007230B4">
        <w:t xml:space="preserve">are </w:t>
      </w:r>
      <w:r w:rsidR="007230B4" w:rsidRPr="00BC772B">
        <w:t>presented</w:t>
      </w:r>
      <w:r w:rsidR="007230B4">
        <w:t xml:space="preserve"> in table </w:t>
      </w:r>
      <w:r w:rsidR="001639E3">
        <w:t>3.1</w:t>
      </w:r>
      <w:r w:rsidR="007230B4">
        <w:t>.</w:t>
      </w:r>
    </w:p>
    <w:p w:rsidR="00992176" w:rsidRDefault="00992176" w:rsidP="00992176">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8771"/>
      </w:tblGrid>
      <w:tr w:rsidR="00992176" w:rsidTr="00992176">
        <w:tc>
          <w:tcPr>
            <w:tcW w:w="8771" w:type="dxa"/>
            <w:tcBorders>
              <w:top w:val="single" w:sz="6" w:space="0" w:color="78A22F"/>
              <w:left w:val="nil"/>
              <w:bottom w:val="nil"/>
              <w:right w:val="nil"/>
            </w:tcBorders>
            <w:shd w:val="clear" w:color="auto" w:fill="auto"/>
          </w:tcPr>
          <w:p w:rsidR="00992176" w:rsidRPr="00784A05" w:rsidRDefault="00992176" w:rsidP="00992176">
            <w:pPr>
              <w:pStyle w:val="TableTitle"/>
            </w:pPr>
            <w:r>
              <w:rPr>
                <w:b w:val="0"/>
              </w:rPr>
              <w:t>Table 3.</w:t>
            </w:r>
            <w:r w:rsidR="000E3849">
              <w:rPr>
                <w:b w:val="0"/>
                <w:noProof/>
              </w:rPr>
              <w:t>1</w:t>
            </w:r>
            <w:r>
              <w:tab/>
            </w:r>
            <w:r w:rsidRPr="00992176">
              <w:t>Preschool programs in Australia</w:t>
            </w:r>
            <w:r w:rsidR="00A01806">
              <w:t>, 2014</w:t>
            </w:r>
            <w:r w:rsidR="002D438E">
              <w:noBreakHyphen/>
            </w:r>
            <w:r w:rsidR="00A01806">
              <w:t>15</w:t>
            </w:r>
            <w:r w:rsidR="00A4775B">
              <w:rPr>
                <w:rStyle w:val="NoteLabel"/>
                <w:b/>
              </w:rPr>
              <w:t>a</w:t>
            </w:r>
          </w:p>
        </w:tc>
      </w:tr>
      <w:tr w:rsidR="00992176" w:rsidRPr="00773A00" w:rsidTr="00992176">
        <w:trPr>
          <w:cantSplit/>
        </w:trPr>
        <w:tc>
          <w:tcPr>
            <w:tcW w:w="8771" w:type="dxa"/>
            <w:tcBorders>
              <w:top w:val="nil"/>
              <w:left w:val="nil"/>
              <w:bottom w:val="nil"/>
              <w:right w:val="nil"/>
            </w:tcBorders>
            <w:shd w:val="clear" w:color="auto" w:fill="auto"/>
          </w:tcPr>
          <w:tbl>
            <w:tblPr>
              <w:tblW w:w="8483" w:type="dxa"/>
              <w:tblCellMar>
                <w:left w:w="0" w:type="dxa"/>
                <w:right w:w="0" w:type="dxa"/>
              </w:tblCellMar>
              <w:tblLook w:val="0000" w:firstRow="0" w:lastRow="0" w:firstColumn="0" w:lastColumn="0" w:noHBand="0" w:noVBand="0"/>
            </w:tblPr>
            <w:tblGrid>
              <w:gridCol w:w="1260"/>
              <w:gridCol w:w="1411"/>
              <w:gridCol w:w="4395"/>
              <w:gridCol w:w="1417"/>
            </w:tblGrid>
            <w:tr w:rsidR="00A01806" w:rsidRPr="00773A00" w:rsidTr="00CA716D">
              <w:tc>
                <w:tcPr>
                  <w:tcW w:w="1260" w:type="dxa"/>
                  <w:tcBorders>
                    <w:top w:val="single" w:sz="6" w:space="0" w:color="BFBFBF"/>
                    <w:bottom w:val="single" w:sz="6" w:space="0" w:color="BFBFBF"/>
                  </w:tcBorders>
                  <w:shd w:val="clear" w:color="auto" w:fill="auto"/>
                </w:tcPr>
                <w:p w:rsidR="00036535" w:rsidRPr="00773A00" w:rsidRDefault="00036535" w:rsidP="00992176">
                  <w:pPr>
                    <w:pStyle w:val="TableColumnHeading"/>
                    <w:jc w:val="left"/>
                  </w:pPr>
                  <w:r w:rsidRPr="00773A00">
                    <w:br/>
                    <w:t>State/Territory</w:t>
                  </w:r>
                </w:p>
              </w:tc>
              <w:tc>
                <w:tcPr>
                  <w:tcW w:w="1411" w:type="dxa"/>
                  <w:tcBorders>
                    <w:top w:val="single" w:sz="6" w:space="0" w:color="BFBFBF"/>
                    <w:bottom w:val="single" w:sz="6" w:space="0" w:color="BFBFBF"/>
                  </w:tcBorders>
                  <w:shd w:val="clear" w:color="auto" w:fill="auto"/>
                </w:tcPr>
                <w:p w:rsidR="00036535" w:rsidRPr="00773A00" w:rsidRDefault="00036535" w:rsidP="00992176">
                  <w:pPr>
                    <w:pStyle w:val="TableColumnHeading"/>
                    <w:jc w:val="left"/>
                  </w:pPr>
                  <w:r w:rsidRPr="00773A00">
                    <w:br/>
                    <w:t>Program name</w:t>
                  </w:r>
                </w:p>
              </w:tc>
              <w:tc>
                <w:tcPr>
                  <w:tcW w:w="4395" w:type="dxa"/>
                  <w:tcBorders>
                    <w:top w:val="single" w:sz="6" w:space="0" w:color="BFBFBF"/>
                    <w:bottom w:val="single" w:sz="6" w:space="0" w:color="BFBFBF"/>
                  </w:tcBorders>
                  <w:shd w:val="clear" w:color="auto" w:fill="auto"/>
                </w:tcPr>
                <w:p w:rsidR="00036535" w:rsidRPr="00773A00" w:rsidRDefault="00036535" w:rsidP="00992176">
                  <w:pPr>
                    <w:pStyle w:val="TableColumnHeading"/>
                    <w:ind w:right="28"/>
                    <w:jc w:val="left"/>
                  </w:pPr>
                  <w:r w:rsidRPr="00773A00">
                    <w:t xml:space="preserve">Age of entry – </w:t>
                  </w:r>
                  <w:r w:rsidRPr="00773A00">
                    <w:br/>
                    <w:t>preschool program</w:t>
                  </w:r>
                </w:p>
              </w:tc>
              <w:tc>
                <w:tcPr>
                  <w:tcW w:w="1417" w:type="dxa"/>
                  <w:tcBorders>
                    <w:top w:val="single" w:sz="6" w:space="0" w:color="BFBFBF"/>
                    <w:bottom w:val="single" w:sz="6" w:space="0" w:color="BFBFBF"/>
                  </w:tcBorders>
                  <w:shd w:val="clear" w:color="auto" w:fill="auto"/>
                </w:tcPr>
                <w:p w:rsidR="00036535" w:rsidRPr="00773A00" w:rsidRDefault="00036535" w:rsidP="00992176">
                  <w:pPr>
                    <w:pStyle w:val="TableColumnHeading"/>
                    <w:ind w:right="28"/>
                    <w:jc w:val="left"/>
                  </w:pPr>
                  <w:r w:rsidRPr="00773A00">
                    <w:br/>
                    <w:t xml:space="preserve">Age of entry </w:t>
                  </w:r>
                  <w:r w:rsidRPr="00773A00">
                    <w:noBreakHyphen/>
                    <w:t xml:space="preserve"> school</w:t>
                  </w:r>
                </w:p>
              </w:tc>
            </w:tr>
            <w:tr w:rsidR="00A01806" w:rsidRPr="00773A00" w:rsidTr="00CA716D">
              <w:tc>
                <w:tcPr>
                  <w:tcW w:w="1260" w:type="dxa"/>
                  <w:tcBorders>
                    <w:top w:val="single" w:sz="6" w:space="0" w:color="BFBFBF"/>
                  </w:tcBorders>
                </w:tcPr>
                <w:p w:rsidR="00036535" w:rsidRPr="00773A00" w:rsidRDefault="00036535" w:rsidP="00000319">
                  <w:pPr>
                    <w:pStyle w:val="TableBodyText"/>
                    <w:spacing w:before="60"/>
                    <w:jc w:val="left"/>
                  </w:pPr>
                  <w:r w:rsidRPr="00773A00">
                    <w:t>NSW</w:t>
                  </w:r>
                </w:p>
              </w:tc>
              <w:tc>
                <w:tcPr>
                  <w:tcW w:w="1411" w:type="dxa"/>
                  <w:tcBorders>
                    <w:top w:val="single" w:sz="6" w:space="0" w:color="BFBFBF"/>
                  </w:tcBorders>
                </w:tcPr>
                <w:p w:rsidR="00036535" w:rsidRPr="00773A00" w:rsidRDefault="00036535" w:rsidP="00000319">
                  <w:pPr>
                    <w:pStyle w:val="TableBodyText"/>
                    <w:spacing w:before="60"/>
                    <w:ind w:right="28"/>
                    <w:jc w:val="left"/>
                  </w:pPr>
                  <w:r w:rsidRPr="00773A00">
                    <w:t>Preschool</w:t>
                  </w:r>
                </w:p>
              </w:tc>
              <w:tc>
                <w:tcPr>
                  <w:tcW w:w="4395" w:type="dxa"/>
                  <w:tcBorders>
                    <w:top w:val="single" w:sz="6" w:space="0" w:color="BFBFBF"/>
                  </w:tcBorders>
                </w:tcPr>
                <w:p w:rsidR="00036535" w:rsidRPr="00773A00" w:rsidRDefault="00036535" w:rsidP="00000319">
                  <w:pPr>
                    <w:pStyle w:val="TableBodyText"/>
                    <w:spacing w:before="60"/>
                    <w:ind w:right="28"/>
                    <w:jc w:val="left"/>
                  </w:pPr>
                  <w:r w:rsidRPr="00773A00">
                    <w:t>Generally aged 4 and 5</w:t>
                  </w:r>
                </w:p>
              </w:tc>
              <w:tc>
                <w:tcPr>
                  <w:tcW w:w="1417" w:type="dxa"/>
                  <w:tcBorders>
                    <w:top w:val="single" w:sz="6" w:space="0" w:color="BFBFBF"/>
                  </w:tcBorders>
                  <w:shd w:val="clear" w:color="auto" w:fill="auto"/>
                </w:tcPr>
                <w:p w:rsidR="00036535" w:rsidRPr="00773A00" w:rsidRDefault="00036535" w:rsidP="00000319">
                  <w:pPr>
                    <w:pStyle w:val="TableBodyText"/>
                    <w:spacing w:before="60"/>
                    <w:ind w:right="28"/>
                    <w:jc w:val="left"/>
                  </w:pPr>
                  <w:r w:rsidRPr="00773A00">
                    <w:t>5 by 31 July</w:t>
                  </w:r>
                </w:p>
              </w:tc>
            </w:tr>
            <w:tr w:rsidR="00A01806" w:rsidRPr="00773A00" w:rsidTr="00CA716D">
              <w:tc>
                <w:tcPr>
                  <w:tcW w:w="1260" w:type="dxa"/>
                </w:tcPr>
                <w:p w:rsidR="00036535" w:rsidRPr="00773A00" w:rsidRDefault="00036535" w:rsidP="00992176">
                  <w:pPr>
                    <w:pStyle w:val="TableBodyText"/>
                    <w:jc w:val="left"/>
                  </w:pPr>
                  <w:r w:rsidRPr="00773A00">
                    <w:t>Vic</w:t>
                  </w:r>
                </w:p>
              </w:tc>
              <w:tc>
                <w:tcPr>
                  <w:tcW w:w="1411" w:type="dxa"/>
                </w:tcPr>
                <w:p w:rsidR="00036535" w:rsidRPr="00773A00" w:rsidRDefault="00036535" w:rsidP="00992176">
                  <w:pPr>
                    <w:pStyle w:val="TableBodyText"/>
                    <w:ind w:right="28"/>
                    <w:jc w:val="left"/>
                  </w:pPr>
                  <w:r w:rsidRPr="00773A00">
                    <w:t>Kindergarten</w:t>
                  </w:r>
                </w:p>
              </w:tc>
              <w:tc>
                <w:tcPr>
                  <w:tcW w:w="4395" w:type="dxa"/>
                </w:tcPr>
                <w:p w:rsidR="00036535" w:rsidRPr="00773A00" w:rsidRDefault="00036535" w:rsidP="00992176">
                  <w:pPr>
                    <w:pStyle w:val="TableBodyText"/>
                    <w:ind w:right="28"/>
                    <w:jc w:val="left"/>
                  </w:pPr>
                  <w:r w:rsidRPr="00773A00">
                    <w:t>4 by 30 April</w:t>
                  </w:r>
                </w:p>
              </w:tc>
              <w:tc>
                <w:tcPr>
                  <w:tcW w:w="1417" w:type="dxa"/>
                  <w:shd w:val="clear" w:color="auto" w:fill="auto"/>
                </w:tcPr>
                <w:p w:rsidR="00036535" w:rsidRPr="00773A00" w:rsidRDefault="00036535" w:rsidP="00992176">
                  <w:pPr>
                    <w:pStyle w:val="TableBodyText"/>
                    <w:ind w:right="28"/>
                    <w:jc w:val="left"/>
                  </w:pPr>
                  <w:r w:rsidRPr="00773A00">
                    <w:t>5 by 30 April</w:t>
                  </w:r>
                </w:p>
              </w:tc>
            </w:tr>
            <w:tr w:rsidR="00A01806" w:rsidRPr="00773A00" w:rsidTr="00CA716D">
              <w:tc>
                <w:tcPr>
                  <w:tcW w:w="1260" w:type="dxa"/>
                </w:tcPr>
                <w:p w:rsidR="00036535" w:rsidRPr="00773A00" w:rsidRDefault="00036535" w:rsidP="00992176">
                  <w:pPr>
                    <w:pStyle w:val="TableBodyText"/>
                    <w:jc w:val="left"/>
                  </w:pPr>
                  <w:r w:rsidRPr="00773A00">
                    <w:t>Qld</w:t>
                  </w:r>
                </w:p>
              </w:tc>
              <w:tc>
                <w:tcPr>
                  <w:tcW w:w="1411" w:type="dxa"/>
                </w:tcPr>
                <w:p w:rsidR="00036535" w:rsidRPr="00773A00" w:rsidRDefault="00036535" w:rsidP="00992176">
                  <w:pPr>
                    <w:pStyle w:val="TableBodyText"/>
                    <w:ind w:right="28"/>
                    <w:jc w:val="left"/>
                  </w:pPr>
                  <w:r w:rsidRPr="00773A00">
                    <w:t>Kindergarten</w:t>
                  </w:r>
                </w:p>
              </w:tc>
              <w:tc>
                <w:tcPr>
                  <w:tcW w:w="4395" w:type="dxa"/>
                </w:tcPr>
                <w:p w:rsidR="00036535" w:rsidRPr="00773A00" w:rsidRDefault="00036535" w:rsidP="00992176">
                  <w:pPr>
                    <w:pStyle w:val="TableBodyText"/>
                    <w:ind w:right="28"/>
                    <w:jc w:val="left"/>
                  </w:pPr>
                  <w:r w:rsidRPr="00773A00">
                    <w:t>4 by 30 June</w:t>
                  </w:r>
                </w:p>
              </w:tc>
              <w:tc>
                <w:tcPr>
                  <w:tcW w:w="1417" w:type="dxa"/>
                  <w:shd w:val="clear" w:color="auto" w:fill="auto"/>
                </w:tcPr>
                <w:p w:rsidR="00036535" w:rsidRPr="00773A00" w:rsidRDefault="00036535" w:rsidP="00992176">
                  <w:pPr>
                    <w:pStyle w:val="TableBodyText"/>
                    <w:ind w:right="28"/>
                    <w:jc w:val="left"/>
                  </w:pPr>
                  <w:r w:rsidRPr="00773A00">
                    <w:t>5 by 30 June</w:t>
                  </w:r>
                </w:p>
              </w:tc>
            </w:tr>
            <w:tr w:rsidR="00A01806" w:rsidRPr="00773A00" w:rsidTr="00CA716D">
              <w:tc>
                <w:tcPr>
                  <w:tcW w:w="1260" w:type="dxa"/>
                </w:tcPr>
                <w:p w:rsidR="00036535" w:rsidRPr="00773A00" w:rsidRDefault="00036535" w:rsidP="00992176">
                  <w:pPr>
                    <w:pStyle w:val="TableBodyText"/>
                    <w:jc w:val="left"/>
                  </w:pPr>
                  <w:r w:rsidRPr="00773A00">
                    <w:t>WA</w:t>
                  </w:r>
                </w:p>
              </w:tc>
              <w:tc>
                <w:tcPr>
                  <w:tcW w:w="1411" w:type="dxa"/>
                </w:tcPr>
                <w:p w:rsidR="00036535" w:rsidRPr="00773A00" w:rsidRDefault="00036535" w:rsidP="00992176">
                  <w:pPr>
                    <w:pStyle w:val="TableBodyText"/>
                    <w:ind w:right="28"/>
                    <w:jc w:val="left"/>
                  </w:pPr>
                  <w:r w:rsidRPr="00773A00">
                    <w:t>Kindergarten</w:t>
                  </w:r>
                </w:p>
              </w:tc>
              <w:tc>
                <w:tcPr>
                  <w:tcW w:w="4395" w:type="dxa"/>
                </w:tcPr>
                <w:p w:rsidR="00036535" w:rsidRPr="00773A00" w:rsidRDefault="00036535" w:rsidP="00992176">
                  <w:pPr>
                    <w:pStyle w:val="TableBodyText"/>
                    <w:ind w:right="28"/>
                    <w:jc w:val="left"/>
                  </w:pPr>
                  <w:r w:rsidRPr="00773A00">
                    <w:t>4 by 30 June</w:t>
                  </w:r>
                </w:p>
              </w:tc>
              <w:tc>
                <w:tcPr>
                  <w:tcW w:w="1417" w:type="dxa"/>
                  <w:shd w:val="clear" w:color="auto" w:fill="auto"/>
                </w:tcPr>
                <w:p w:rsidR="00036535" w:rsidRPr="00773A00" w:rsidRDefault="00036535" w:rsidP="00992176">
                  <w:pPr>
                    <w:pStyle w:val="TableBodyText"/>
                    <w:ind w:right="28"/>
                    <w:jc w:val="left"/>
                  </w:pPr>
                  <w:r w:rsidRPr="00773A00">
                    <w:t>5 by 30 June</w:t>
                  </w:r>
                </w:p>
              </w:tc>
            </w:tr>
            <w:tr w:rsidR="00A01806" w:rsidRPr="00773A00" w:rsidTr="00CA716D">
              <w:tc>
                <w:tcPr>
                  <w:tcW w:w="1260" w:type="dxa"/>
                </w:tcPr>
                <w:p w:rsidR="00036535" w:rsidRPr="00773A00" w:rsidRDefault="00036535" w:rsidP="00992176">
                  <w:pPr>
                    <w:pStyle w:val="TableBodyText"/>
                    <w:jc w:val="left"/>
                  </w:pPr>
                  <w:r w:rsidRPr="00773A00">
                    <w:t>SA</w:t>
                  </w:r>
                </w:p>
              </w:tc>
              <w:tc>
                <w:tcPr>
                  <w:tcW w:w="1411" w:type="dxa"/>
                </w:tcPr>
                <w:p w:rsidR="00036535" w:rsidRPr="00773A00" w:rsidRDefault="00036535" w:rsidP="00992176">
                  <w:pPr>
                    <w:pStyle w:val="TableBodyText"/>
                    <w:ind w:right="28"/>
                    <w:jc w:val="left"/>
                  </w:pPr>
                  <w:r w:rsidRPr="00773A00">
                    <w:t>Preschool</w:t>
                  </w:r>
                </w:p>
              </w:tc>
              <w:tc>
                <w:tcPr>
                  <w:tcW w:w="4395" w:type="dxa"/>
                </w:tcPr>
                <w:p w:rsidR="00036535" w:rsidRPr="00773A00" w:rsidRDefault="00036535" w:rsidP="00CA716D">
                  <w:pPr>
                    <w:pStyle w:val="TableBodyText"/>
                    <w:ind w:right="28"/>
                    <w:jc w:val="left"/>
                  </w:pPr>
                  <w:r w:rsidRPr="00773A00">
                    <w:t>4 by 1 May</w:t>
                  </w:r>
                </w:p>
              </w:tc>
              <w:tc>
                <w:tcPr>
                  <w:tcW w:w="1417" w:type="dxa"/>
                  <w:shd w:val="clear" w:color="auto" w:fill="auto"/>
                </w:tcPr>
                <w:p w:rsidR="00036535" w:rsidRPr="00773A00" w:rsidRDefault="00036535" w:rsidP="00992176">
                  <w:pPr>
                    <w:pStyle w:val="TableBodyText"/>
                    <w:ind w:right="28"/>
                    <w:jc w:val="left"/>
                  </w:pPr>
                  <w:r w:rsidRPr="00773A00">
                    <w:t>5 by 1 May</w:t>
                  </w:r>
                </w:p>
              </w:tc>
            </w:tr>
            <w:tr w:rsidR="00A01806" w:rsidRPr="00773A00" w:rsidTr="00CA716D">
              <w:tc>
                <w:tcPr>
                  <w:tcW w:w="1260" w:type="dxa"/>
                </w:tcPr>
                <w:p w:rsidR="00036535" w:rsidRPr="00773A00" w:rsidRDefault="00036535" w:rsidP="00992176">
                  <w:pPr>
                    <w:pStyle w:val="TableBodyText"/>
                    <w:jc w:val="left"/>
                  </w:pPr>
                  <w:proofErr w:type="spellStart"/>
                  <w:r w:rsidRPr="00773A00">
                    <w:t>Tas</w:t>
                  </w:r>
                  <w:proofErr w:type="spellEnd"/>
                </w:p>
              </w:tc>
              <w:tc>
                <w:tcPr>
                  <w:tcW w:w="1411" w:type="dxa"/>
                </w:tcPr>
                <w:p w:rsidR="00036535" w:rsidRPr="00773A00" w:rsidRDefault="00036535" w:rsidP="00992176">
                  <w:pPr>
                    <w:pStyle w:val="TableBodyText"/>
                    <w:ind w:right="28"/>
                    <w:jc w:val="left"/>
                  </w:pPr>
                  <w:r w:rsidRPr="00773A00">
                    <w:t>Kindergarten</w:t>
                  </w:r>
                </w:p>
              </w:tc>
              <w:tc>
                <w:tcPr>
                  <w:tcW w:w="4395" w:type="dxa"/>
                </w:tcPr>
                <w:p w:rsidR="00036535" w:rsidRPr="00773A00" w:rsidRDefault="00036535" w:rsidP="00992176">
                  <w:pPr>
                    <w:pStyle w:val="TableBodyText"/>
                    <w:ind w:right="28"/>
                    <w:jc w:val="left"/>
                  </w:pPr>
                  <w:r w:rsidRPr="00773A00">
                    <w:t>4 by 1 January</w:t>
                  </w:r>
                </w:p>
              </w:tc>
              <w:tc>
                <w:tcPr>
                  <w:tcW w:w="1417" w:type="dxa"/>
                  <w:shd w:val="clear" w:color="auto" w:fill="auto"/>
                </w:tcPr>
                <w:p w:rsidR="00036535" w:rsidRPr="00773A00" w:rsidRDefault="00036535" w:rsidP="00992176">
                  <w:pPr>
                    <w:pStyle w:val="TableBodyText"/>
                    <w:ind w:right="28"/>
                    <w:jc w:val="left"/>
                  </w:pPr>
                  <w:r w:rsidRPr="00773A00">
                    <w:t>5 by 1 January</w:t>
                  </w:r>
                </w:p>
              </w:tc>
            </w:tr>
            <w:tr w:rsidR="00A01806" w:rsidRPr="00773A00" w:rsidTr="00CA716D">
              <w:tc>
                <w:tcPr>
                  <w:tcW w:w="1260" w:type="dxa"/>
                </w:tcPr>
                <w:p w:rsidR="00036535" w:rsidRPr="00773A00" w:rsidRDefault="00036535" w:rsidP="00992176">
                  <w:pPr>
                    <w:pStyle w:val="TableBodyText"/>
                    <w:jc w:val="left"/>
                  </w:pPr>
                  <w:r w:rsidRPr="00773A00">
                    <w:t>ACT</w:t>
                  </w:r>
                </w:p>
              </w:tc>
              <w:tc>
                <w:tcPr>
                  <w:tcW w:w="1411" w:type="dxa"/>
                </w:tcPr>
                <w:p w:rsidR="00036535" w:rsidRPr="00773A00" w:rsidRDefault="00036535" w:rsidP="00992176">
                  <w:pPr>
                    <w:pStyle w:val="TableBodyText"/>
                    <w:ind w:right="28"/>
                    <w:jc w:val="left"/>
                  </w:pPr>
                  <w:r w:rsidRPr="00773A00">
                    <w:t>Preschool</w:t>
                  </w:r>
                </w:p>
              </w:tc>
              <w:tc>
                <w:tcPr>
                  <w:tcW w:w="4395" w:type="dxa"/>
                </w:tcPr>
                <w:p w:rsidR="00036535" w:rsidRPr="00773A00" w:rsidRDefault="00036535" w:rsidP="00992176">
                  <w:pPr>
                    <w:pStyle w:val="TableBodyText"/>
                    <w:ind w:right="28"/>
                    <w:jc w:val="left"/>
                  </w:pPr>
                  <w:r w:rsidRPr="00773A00">
                    <w:t>4 by 30 April</w:t>
                  </w:r>
                </w:p>
              </w:tc>
              <w:tc>
                <w:tcPr>
                  <w:tcW w:w="1417" w:type="dxa"/>
                  <w:shd w:val="clear" w:color="auto" w:fill="auto"/>
                </w:tcPr>
                <w:p w:rsidR="00036535" w:rsidRPr="00773A00" w:rsidRDefault="00036535" w:rsidP="00992176">
                  <w:pPr>
                    <w:pStyle w:val="TableBodyText"/>
                    <w:ind w:right="28"/>
                    <w:jc w:val="left"/>
                  </w:pPr>
                  <w:r w:rsidRPr="00773A00">
                    <w:t>5 by 30 April</w:t>
                  </w:r>
                </w:p>
              </w:tc>
            </w:tr>
            <w:tr w:rsidR="00A01806" w:rsidRPr="00773A00" w:rsidTr="00CA716D">
              <w:tc>
                <w:tcPr>
                  <w:tcW w:w="1260" w:type="dxa"/>
                  <w:tcBorders>
                    <w:bottom w:val="single" w:sz="6" w:space="0" w:color="BFBFBF"/>
                  </w:tcBorders>
                  <w:shd w:val="clear" w:color="auto" w:fill="auto"/>
                </w:tcPr>
                <w:p w:rsidR="00036535" w:rsidRPr="00773A00" w:rsidRDefault="00036535" w:rsidP="00992176">
                  <w:pPr>
                    <w:pStyle w:val="TableBodyText"/>
                    <w:jc w:val="left"/>
                  </w:pPr>
                  <w:r w:rsidRPr="00773A00">
                    <w:t>NT</w:t>
                  </w:r>
                </w:p>
              </w:tc>
              <w:tc>
                <w:tcPr>
                  <w:tcW w:w="1411" w:type="dxa"/>
                  <w:tcBorders>
                    <w:bottom w:val="single" w:sz="6" w:space="0" w:color="BFBFBF"/>
                  </w:tcBorders>
                  <w:shd w:val="clear" w:color="auto" w:fill="auto"/>
                </w:tcPr>
                <w:p w:rsidR="00036535" w:rsidRPr="00773A00" w:rsidRDefault="00036535" w:rsidP="00992176">
                  <w:pPr>
                    <w:pStyle w:val="TableBodyText"/>
                    <w:ind w:right="28"/>
                    <w:jc w:val="left"/>
                  </w:pPr>
                  <w:r w:rsidRPr="00773A00">
                    <w:t>Preschool</w:t>
                  </w:r>
                </w:p>
              </w:tc>
              <w:tc>
                <w:tcPr>
                  <w:tcW w:w="4395" w:type="dxa"/>
                  <w:tcBorders>
                    <w:bottom w:val="single" w:sz="6" w:space="0" w:color="BFBFBF"/>
                  </w:tcBorders>
                  <w:shd w:val="clear" w:color="auto" w:fill="auto"/>
                </w:tcPr>
                <w:p w:rsidR="00036535" w:rsidRPr="00773A00" w:rsidRDefault="00036535" w:rsidP="00CA716D">
                  <w:pPr>
                    <w:pStyle w:val="TableBodyText"/>
                    <w:ind w:right="28"/>
                    <w:jc w:val="left"/>
                  </w:pPr>
                  <w:r w:rsidRPr="00773A00">
                    <w:t>4 by 30 June</w:t>
                  </w:r>
                  <w:r w:rsidRPr="00773A00" w:rsidDel="00576A9D">
                    <w:t xml:space="preserve"> </w:t>
                  </w:r>
                </w:p>
              </w:tc>
              <w:tc>
                <w:tcPr>
                  <w:tcW w:w="1417" w:type="dxa"/>
                  <w:tcBorders>
                    <w:bottom w:val="single" w:sz="6" w:space="0" w:color="BFBFBF"/>
                  </w:tcBorders>
                  <w:shd w:val="clear" w:color="auto" w:fill="auto"/>
                </w:tcPr>
                <w:p w:rsidR="00036535" w:rsidRPr="00773A00" w:rsidRDefault="00036535" w:rsidP="00992176">
                  <w:pPr>
                    <w:pStyle w:val="TableBodyText"/>
                    <w:ind w:right="28"/>
                    <w:jc w:val="left"/>
                  </w:pPr>
                  <w:r w:rsidRPr="00773A00">
                    <w:t>5 by 30 June</w:t>
                  </w:r>
                </w:p>
              </w:tc>
            </w:tr>
          </w:tbl>
          <w:p w:rsidR="00992176" w:rsidRPr="00773A00" w:rsidRDefault="00992176" w:rsidP="00992176">
            <w:pPr>
              <w:pStyle w:val="Box"/>
            </w:pPr>
          </w:p>
        </w:tc>
      </w:tr>
      <w:tr w:rsidR="00992176" w:rsidTr="00992176">
        <w:trPr>
          <w:cantSplit/>
        </w:trPr>
        <w:tc>
          <w:tcPr>
            <w:tcW w:w="8771" w:type="dxa"/>
            <w:tcBorders>
              <w:top w:val="nil"/>
              <w:left w:val="nil"/>
              <w:bottom w:val="nil"/>
              <w:right w:val="nil"/>
            </w:tcBorders>
            <w:shd w:val="clear" w:color="auto" w:fill="auto"/>
          </w:tcPr>
          <w:p w:rsidR="00992176" w:rsidRDefault="00992176" w:rsidP="00715591">
            <w:pPr>
              <w:pStyle w:val="Note"/>
              <w:rPr>
                <w:i/>
              </w:rPr>
            </w:pPr>
            <w:r w:rsidRPr="008E77FE">
              <w:rPr>
                <w:rStyle w:val="NoteLabel"/>
              </w:rPr>
              <w:t>a</w:t>
            </w:r>
            <w:r>
              <w:t xml:space="preserve"> </w:t>
            </w:r>
            <w:r w:rsidR="00715591">
              <w:t>See table</w:t>
            </w:r>
            <w:r w:rsidR="00697D43">
              <w:t> </w:t>
            </w:r>
            <w:proofErr w:type="spellStart"/>
            <w:r w:rsidR="00715591">
              <w:t>3A.1</w:t>
            </w:r>
            <w:proofErr w:type="spellEnd"/>
            <w:r w:rsidR="00715591" w:rsidRPr="006853DC">
              <w:t xml:space="preserve"> for detailed </w:t>
            </w:r>
            <w:r w:rsidR="00485709">
              <w:t xml:space="preserve">footnotes and </w:t>
            </w:r>
            <w:r w:rsidR="00715591" w:rsidRPr="006853DC">
              <w:t>caveats</w:t>
            </w:r>
            <w:r w:rsidR="00715591">
              <w:rPr>
                <w:color w:val="FF0000"/>
              </w:rPr>
              <w:t>.</w:t>
            </w:r>
          </w:p>
        </w:tc>
      </w:tr>
      <w:tr w:rsidR="00992176" w:rsidTr="00992176">
        <w:trPr>
          <w:cantSplit/>
        </w:trPr>
        <w:tc>
          <w:tcPr>
            <w:tcW w:w="8771" w:type="dxa"/>
            <w:tcBorders>
              <w:top w:val="nil"/>
              <w:left w:val="nil"/>
              <w:bottom w:val="nil"/>
              <w:right w:val="nil"/>
            </w:tcBorders>
            <w:shd w:val="clear" w:color="auto" w:fill="auto"/>
          </w:tcPr>
          <w:p w:rsidR="00992176" w:rsidRDefault="00992176" w:rsidP="00992176">
            <w:pPr>
              <w:pStyle w:val="Source"/>
            </w:pPr>
            <w:r>
              <w:rPr>
                <w:i/>
              </w:rPr>
              <w:t>Source</w:t>
            </w:r>
            <w:r w:rsidRPr="00167F06">
              <w:t xml:space="preserve">: </w:t>
            </w:r>
            <w:r w:rsidRPr="00992176">
              <w:t>State and Territory governments (unpublished); table </w:t>
            </w:r>
            <w:proofErr w:type="spellStart"/>
            <w:r w:rsidRPr="00992176">
              <w:t>3A.1</w:t>
            </w:r>
            <w:proofErr w:type="spellEnd"/>
            <w:r w:rsidRPr="00992176">
              <w:t>.</w:t>
            </w:r>
          </w:p>
        </w:tc>
      </w:tr>
      <w:tr w:rsidR="00992176" w:rsidTr="00992176">
        <w:trPr>
          <w:cantSplit/>
        </w:trPr>
        <w:tc>
          <w:tcPr>
            <w:tcW w:w="8771" w:type="dxa"/>
            <w:tcBorders>
              <w:top w:val="nil"/>
              <w:left w:val="nil"/>
              <w:bottom w:val="single" w:sz="6" w:space="0" w:color="78A22F"/>
              <w:right w:val="nil"/>
            </w:tcBorders>
            <w:shd w:val="clear" w:color="auto" w:fill="auto"/>
          </w:tcPr>
          <w:p w:rsidR="00992176" w:rsidRDefault="00992176" w:rsidP="00992176">
            <w:pPr>
              <w:pStyle w:val="Box"/>
              <w:spacing w:before="0" w:line="120" w:lineRule="exact"/>
            </w:pPr>
          </w:p>
        </w:tc>
      </w:tr>
      <w:tr w:rsidR="00992176" w:rsidRPr="000863A5" w:rsidTr="00992176">
        <w:tc>
          <w:tcPr>
            <w:tcW w:w="8771" w:type="dxa"/>
            <w:tcBorders>
              <w:top w:val="single" w:sz="6" w:space="0" w:color="78A22F"/>
              <w:left w:val="nil"/>
              <w:bottom w:val="nil"/>
              <w:right w:val="nil"/>
            </w:tcBorders>
          </w:tcPr>
          <w:p w:rsidR="00992176" w:rsidRPr="00626D32" w:rsidRDefault="00992176" w:rsidP="00992176">
            <w:pPr>
              <w:pStyle w:val="BoxSpaceBelow"/>
            </w:pPr>
          </w:p>
        </w:tc>
      </w:tr>
    </w:tbl>
    <w:p w:rsidR="007230B4" w:rsidRPr="007A3CDF" w:rsidRDefault="00A4775B" w:rsidP="007230B4">
      <w:pPr>
        <w:pStyle w:val="BodyText"/>
      </w:pPr>
      <w:r>
        <w:lastRenderedPageBreak/>
        <w:t>A</w:t>
      </w:r>
      <w:r w:rsidR="00F164EF">
        <w:t xml:space="preserve">n </w:t>
      </w:r>
      <w:proofErr w:type="spellStart"/>
      <w:r w:rsidR="00F164EF">
        <w:t>ECEC</w:t>
      </w:r>
      <w:proofErr w:type="spellEnd"/>
      <w:r w:rsidR="00F164EF">
        <w:t xml:space="preserve"> </w:t>
      </w:r>
      <w:r w:rsidRPr="00A4775B">
        <w:t xml:space="preserve">service may offer two different </w:t>
      </w:r>
      <w:r w:rsidR="00E048BA">
        <w:t xml:space="preserve">service </w:t>
      </w:r>
      <w:r w:rsidRPr="00A4775B">
        <w:t>types</w:t>
      </w:r>
      <w:r w:rsidR="00937A40">
        <w:t xml:space="preserve">, such as long day care and </w:t>
      </w:r>
      <w:proofErr w:type="spellStart"/>
      <w:r w:rsidR="00937A40">
        <w:t>OSHC</w:t>
      </w:r>
      <w:proofErr w:type="spellEnd"/>
      <w:r w:rsidR="00937A40">
        <w:t xml:space="preserve"> (both child care service types) or long day care (child care) and preschool. </w:t>
      </w:r>
      <w:r w:rsidR="007230B4" w:rsidRPr="007A3CDF">
        <w:t xml:space="preserve">All states and territories provide </w:t>
      </w:r>
      <w:proofErr w:type="spellStart"/>
      <w:r w:rsidR="0018407E">
        <w:t>ECEC</w:t>
      </w:r>
      <w:proofErr w:type="spellEnd"/>
      <w:r w:rsidR="007230B4" w:rsidRPr="007A3CDF">
        <w:t xml:space="preserve"> in an integrated way, but the ra</w:t>
      </w:r>
      <w:r w:rsidR="007230B4">
        <w:t xml:space="preserve">nge of services offered, </w:t>
      </w:r>
      <w:r w:rsidR="007230B4" w:rsidRPr="007A3CDF">
        <w:t>extent and model of integration differs across states and territories and between service providers.</w:t>
      </w:r>
    </w:p>
    <w:p w:rsidR="002532F5" w:rsidRDefault="005B294A" w:rsidP="007230B4">
      <w:pPr>
        <w:pStyle w:val="BodyText"/>
      </w:pPr>
      <w:r w:rsidRPr="0054541A">
        <w:t>The most common type of i</w:t>
      </w:r>
      <w:r>
        <w:t xml:space="preserve">ntegrated service is preschool </w:t>
      </w:r>
      <w:r w:rsidRPr="0054541A">
        <w:t>delivered within a long day care</w:t>
      </w:r>
      <w:r>
        <w:t xml:space="preserve"> </w:t>
      </w:r>
      <w:r w:rsidRPr="0054541A">
        <w:t xml:space="preserve">centre. According to the </w:t>
      </w:r>
      <w:r w:rsidRPr="00AB5A53">
        <w:rPr>
          <w:i/>
        </w:rPr>
        <w:t>National Early Childhood Education and Care Collection</w:t>
      </w:r>
      <w:r w:rsidRPr="0054541A">
        <w:t xml:space="preserve"> (</w:t>
      </w:r>
      <w:proofErr w:type="spellStart"/>
      <w:r w:rsidRPr="0054541A">
        <w:t>NECECC</w:t>
      </w:r>
      <w:proofErr w:type="spellEnd"/>
      <w:r w:rsidRPr="0054541A">
        <w:t>)</w:t>
      </w:r>
      <w:r>
        <w:t>, nationally in 2014</w:t>
      </w:r>
      <w:r w:rsidRPr="0054541A">
        <w:t xml:space="preserve"> 73.6 per cent of long day care</w:t>
      </w:r>
      <w:r>
        <w:t xml:space="preserve"> centres also delivered a preschool service.</w:t>
      </w:r>
    </w:p>
    <w:p w:rsidR="005B294A" w:rsidRDefault="005B294A" w:rsidP="007230B4">
      <w:pPr>
        <w:pStyle w:val="BodyText"/>
      </w:pPr>
      <w:r w:rsidRPr="0054541A">
        <w:t xml:space="preserve">In addition to </w:t>
      </w:r>
      <w:proofErr w:type="spellStart"/>
      <w:r w:rsidR="003908BC">
        <w:t>ECEC</w:t>
      </w:r>
      <w:proofErr w:type="spellEnd"/>
      <w:r w:rsidR="003908BC">
        <w:t xml:space="preserve"> (</w:t>
      </w:r>
      <w:r w:rsidRPr="0054541A">
        <w:t>preschool and child care</w:t>
      </w:r>
      <w:r w:rsidR="003908BC">
        <w:t>)</w:t>
      </w:r>
      <w:r w:rsidRPr="0054541A">
        <w:t>, a broader range o</w:t>
      </w:r>
      <w:r w:rsidR="002467A4">
        <w:t xml:space="preserve">f integrated services are </w:t>
      </w:r>
      <w:r w:rsidRPr="0054541A">
        <w:t>provided to children and families, including maternal and child health and family support service</w:t>
      </w:r>
      <w:r w:rsidR="00A73B41">
        <w:t>s</w:t>
      </w:r>
      <w:r w:rsidRPr="0054541A">
        <w:t xml:space="preserve">. The range of integrated services differs according to community need, and integrated </w:t>
      </w:r>
      <w:proofErr w:type="spellStart"/>
      <w:r w:rsidRPr="0054541A">
        <w:t>ECEC</w:t>
      </w:r>
      <w:proofErr w:type="spellEnd"/>
      <w:r w:rsidRPr="0054541A">
        <w:t xml:space="preserve"> services are more commonly placed in disadvantaged communities, and also provide particular specialised services.</w:t>
      </w:r>
    </w:p>
    <w:p w:rsidR="007230B4" w:rsidRPr="00FE69E4" w:rsidRDefault="007230B4" w:rsidP="007230B4">
      <w:pPr>
        <w:pStyle w:val="Heading3"/>
        <w:rPr>
          <w:b w:val="0"/>
        </w:rPr>
      </w:pPr>
      <w:r w:rsidRPr="00C941CD">
        <w:t>Roles and responsibilities</w:t>
      </w:r>
      <w:r>
        <w:t xml:space="preserve"> </w:t>
      </w:r>
    </w:p>
    <w:p w:rsidR="00E943F5" w:rsidRDefault="00E943F5" w:rsidP="00E943F5">
      <w:pPr>
        <w:pStyle w:val="BodyText"/>
      </w:pPr>
      <w:r>
        <w:t xml:space="preserve">The Australian Government and State and Territory governments have different but complementary roles in supporting </w:t>
      </w:r>
      <w:proofErr w:type="spellStart"/>
      <w:r>
        <w:t>ECEC</w:t>
      </w:r>
      <w:proofErr w:type="spellEnd"/>
      <w:r>
        <w:t>. Both levels of government contribute funding to services, provide information and advice to parents and service providers, and help plan, set and maintain operating standards.</w:t>
      </w:r>
    </w:p>
    <w:p w:rsidR="00A80D2D" w:rsidRDefault="00A80D2D" w:rsidP="00E943F5">
      <w:pPr>
        <w:pStyle w:val="Heading4"/>
      </w:pPr>
      <w:r>
        <w:t>Australian Government</w:t>
      </w:r>
    </w:p>
    <w:p w:rsidR="00E943F5" w:rsidRDefault="00E943F5" w:rsidP="00E943F5">
      <w:pPr>
        <w:pStyle w:val="BodyText"/>
        <w:keepNext/>
      </w:pPr>
      <w:r>
        <w:t xml:space="preserve">The Australian Government’s roles and responsibilities for </w:t>
      </w:r>
      <w:proofErr w:type="spellStart"/>
      <w:r>
        <w:t>ECEC</w:t>
      </w:r>
      <w:proofErr w:type="spellEnd"/>
      <w:r>
        <w:t xml:space="preserve"> include:</w:t>
      </w:r>
    </w:p>
    <w:p w:rsidR="00E943F5" w:rsidRDefault="00E943F5" w:rsidP="00E943F5">
      <w:pPr>
        <w:pStyle w:val="ListBullet"/>
      </w:pPr>
      <w:r>
        <w:t>paying Child Care Benefit (</w:t>
      </w:r>
      <w:proofErr w:type="spellStart"/>
      <w:r>
        <w:t>CCB</w:t>
      </w:r>
      <w:proofErr w:type="spellEnd"/>
      <w:r>
        <w:t xml:space="preserve">) to eligible families using approved child care services or registered carers </w:t>
      </w:r>
    </w:p>
    <w:p w:rsidR="00E943F5" w:rsidRDefault="00641BE3" w:rsidP="00E943F5">
      <w:pPr>
        <w:pStyle w:val="ListBullet"/>
      </w:pPr>
      <w:r>
        <w:t xml:space="preserve">paying Child Care Rebate </w:t>
      </w:r>
      <w:r w:rsidR="00E943F5">
        <w:t>to eligible families using approved child care services</w:t>
      </w:r>
    </w:p>
    <w:p w:rsidR="00E943F5" w:rsidRDefault="00E943F5" w:rsidP="00E943F5">
      <w:pPr>
        <w:pStyle w:val="ListBullet"/>
      </w:pPr>
      <w:r>
        <w:t xml:space="preserve">providing funding to State and Territory governments through the </w:t>
      </w:r>
      <w:r w:rsidRPr="001D596D">
        <w:rPr>
          <w:i/>
        </w:rPr>
        <w:t xml:space="preserve">National Partnership Agreement on </w:t>
      </w:r>
      <w:r w:rsidRPr="004343F4">
        <w:rPr>
          <w:i/>
        </w:rPr>
        <w:t xml:space="preserve">Universal Access to </w:t>
      </w:r>
      <w:r w:rsidRPr="001D596D">
        <w:rPr>
          <w:i/>
        </w:rPr>
        <w:t>Early Childhood Education</w:t>
      </w:r>
      <w:r w:rsidR="00E33C10">
        <w:t xml:space="preserve"> </w:t>
      </w:r>
      <w:r>
        <w:t>(NP </w:t>
      </w:r>
      <w:proofErr w:type="spellStart"/>
      <w:r w:rsidRPr="004343F4">
        <w:t>UA</w:t>
      </w:r>
      <w:r>
        <w:t>ECE</w:t>
      </w:r>
      <w:proofErr w:type="spellEnd"/>
      <w:r>
        <w:t xml:space="preserve">) to support the achievement of universal access to early childhood education </w:t>
      </w:r>
    </w:p>
    <w:p w:rsidR="00E943F5" w:rsidRDefault="00E943F5" w:rsidP="00E943F5">
      <w:pPr>
        <w:pStyle w:val="ListBullet"/>
      </w:pPr>
      <w:r w:rsidRPr="002B06E9">
        <w:t xml:space="preserve">providing funding and support to implement the </w:t>
      </w:r>
      <w:r w:rsidRPr="00A7056C">
        <w:t>National Quality Framework</w:t>
      </w:r>
      <w:r w:rsidRPr="002B06E9">
        <w:t xml:space="preserve"> (</w:t>
      </w:r>
      <w:proofErr w:type="spellStart"/>
      <w:r w:rsidRPr="002B06E9">
        <w:t>NQF</w:t>
      </w:r>
      <w:proofErr w:type="spellEnd"/>
      <w:r w:rsidRPr="002B06E9">
        <w:t xml:space="preserve">) through the </w:t>
      </w:r>
      <w:r w:rsidRPr="001D596D">
        <w:rPr>
          <w:i/>
        </w:rPr>
        <w:t>National Partnership Agreement on the National Quality Agenda for Early Childhood Education and Care</w:t>
      </w:r>
      <w:r>
        <w:rPr>
          <w:i/>
        </w:rPr>
        <w:t xml:space="preserve"> </w:t>
      </w:r>
      <w:r w:rsidRPr="006D58C8">
        <w:t xml:space="preserve">(NP </w:t>
      </w:r>
      <w:proofErr w:type="spellStart"/>
      <w:r w:rsidRPr="006D58C8">
        <w:t>NQAECEC</w:t>
      </w:r>
      <w:proofErr w:type="spellEnd"/>
      <w:r w:rsidRPr="006D58C8">
        <w:t>)</w:t>
      </w:r>
    </w:p>
    <w:p w:rsidR="00E943F5" w:rsidRDefault="00E943F5" w:rsidP="00E943F5">
      <w:pPr>
        <w:pStyle w:val="ListBullet"/>
      </w:pPr>
      <w:r>
        <w:t>funding organisations to provide information, support and training to service providers</w:t>
      </w:r>
    </w:p>
    <w:p w:rsidR="00E943F5" w:rsidRDefault="00E943F5" w:rsidP="00E943F5">
      <w:pPr>
        <w:pStyle w:val="ListBullet"/>
      </w:pPr>
      <w:r>
        <w:t>providing operational and capital funding to some providers.</w:t>
      </w:r>
    </w:p>
    <w:p w:rsidR="00A80D2D" w:rsidRDefault="00A80D2D" w:rsidP="00A80D2D">
      <w:pPr>
        <w:pStyle w:val="Heading4"/>
      </w:pPr>
      <w:r>
        <w:lastRenderedPageBreak/>
        <w:t>State and Territory governments</w:t>
      </w:r>
    </w:p>
    <w:p w:rsidR="00E943F5" w:rsidRDefault="00E943F5" w:rsidP="00E943F5">
      <w:pPr>
        <w:pStyle w:val="BodyText"/>
      </w:pPr>
      <w:r w:rsidRPr="0003611E">
        <w:t xml:space="preserve">State and Territory governments’ roles and responsibilities vary across jurisdictions. Generally, State and Territory governments are responsible for </w:t>
      </w:r>
      <w:r w:rsidRPr="004343F4">
        <w:t>funding and/or providing preschool services</w:t>
      </w:r>
      <w:r>
        <w:t>.</w:t>
      </w:r>
      <w:r w:rsidRPr="004343F4">
        <w:t xml:space="preserve"> </w:t>
      </w:r>
      <w:r>
        <w:t xml:space="preserve">They </w:t>
      </w:r>
      <w:r w:rsidR="00AD06F1">
        <w:t xml:space="preserve">may solely </w:t>
      </w:r>
      <w:r w:rsidRPr="004343F4">
        <w:t xml:space="preserve">fund </w:t>
      </w:r>
      <w:r w:rsidR="00AD06F1">
        <w:t xml:space="preserve">some </w:t>
      </w:r>
      <w:r>
        <w:t>child care services</w:t>
      </w:r>
      <w:r w:rsidR="00AD06F1">
        <w:t xml:space="preserve"> or contribute to services in receipt of Australian Government funding. They may </w:t>
      </w:r>
      <w:r w:rsidRPr="004343F4">
        <w:t xml:space="preserve">license </w:t>
      </w:r>
      <w:r w:rsidR="00AD06F1">
        <w:t xml:space="preserve">or register </w:t>
      </w:r>
      <w:r w:rsidRPr="004343F4">
        <w:t xml:space="preserve">child care services which are not </w:t>
      </w:r>
      <w:r>
        <w:t xml:space="preserve">approved under the </w:t>
      </w:r>
      <w:proofErr w:type="spellStart"/>
      <w:r>
        <w:t>NQF</w:t>
      </w:r>
      <w:proofErr w:type="spellEnd"/>
      <w:r>
        <w:t xml:space="preserve">. State and Territory governments are responsible for </w:t>
      </w:r>
      <w:r w:rsidRPr="004343F4">
        <w:t xml:space="preserve">regulating services under the </w:t>
      </w:r>
      <w:proofErr w:type="spellStart"/>
      <w:r w:rsidRPr="004343F4">
        <w:t>NQF</w:t>
      </w:r>
      <w:proofErr w:type="spellEnd"/>
      <w:r w:rsidRPr="004343F4">
        <w:t xml:space="preserve">. </w:t>
      </w:r>
    </w:p>
    <w:p w:rsidR="00E943F5" w:rsidRDefault="00E943F5" w:rsidP="00E943F5">
      <w:pPr>
        <w:pStyle w:val="BodyText"/>
      </w:pPr>
      <w:r>
        <w:t xml:space="preserve">State and Territory governments’ </w:t>
      </w:r>
      <w:r w:rsidRPr="00962CAD">
        <w:t>roles and responsibilities can include:</w:t>
      </w:r>
    </w:p>
    <w:p w:rsidR="00E943F5" w:rsidRPr="00F4490F" w:rsidRDefault="00E943F5" w:rsidP="00E943F5">
      <w:pPr>
        <w:pStyle w:val="ListBullet"/>
      </w:pPr>
      <w:r w:rsidRPr="00F4490F">
        <w:t xml:space="preserve">providing a legislative framework in which </w:t>
      </w:r>
      <w:proofErr w:type="spellStart"/>
      <w:r>
        <w:t>ECEC</w:t>
      </w:r>
      <w:proofErr w:type="spellEnd"/>
      <w:r w:rsidRPr="00F4490F">
        <w:t xml:space="preserve"> services not approved under the </w:t>
      </w:r>
      <w:proofErr w:type="spellStart"/>
      <w:r w:rsidRPr="00F4490F">
        <w:t>NQF</w:t>
      </w:r>
      <w:proofErr w:type="spellEnd"/>
      <w:r w:rsidRPr="00F4490F">
        <w:t xml:space="preserve"> are </w:t>
      </w:r>
      <w:r w:rsidR="003908BC">
        <w:t xml:space="preserve">licensed or registered </w:t>
      </w:r>
      <w:r w:rsidRPr="00F4490F">
        <w:t>to provide selected services</w:t>
      </w:r>
    </w:p>
    <w:p w:rsidR="00E943F5" w:rsidRDefault="00E943F5" w:rsidP="00E943F5">
      <w:pPr>
        <w:pStyle w:val="ListBullet"/>
      </w:pPr>
      <w:r>
        <w:t>approval or licensing</w:t>
      </w:r>
      <w:r w:rsidRPr="00DE681B">
        <w:t xml:space="preserve">, monitoring and quality assessment of services in accordance with the </w:t>
      </w:r>
      <w:proofErr w:type="spellStart"/>
      <w:r>
        <w:t>NQF</w:t>
      </w:r>
      <w:proofErr w:type="spellEnd"/>
      <w:r>
        <w:t xml:space="preserve"> and other relevant regulations</w:t>
      </w:r>
    </w:p>
    <w:p w:rsidR="00E943F5" w:rsidRDefault="00E943F5" w:rsidP="00E943F5">
      <w:pPr>
        <w:pStyle w:val="ListBullet"/>
      </w:pPr>
      <w:r>
        <w:t xml:space="preserve">monitoring and resourcing licensed </w:t>
      </w:r>
      <w:r w:rsidRPr="002B06E9">
        <w:t>and approved</w:t>
      </w:r>
      <w:r>
        <w:t xml:space="preserve"> </w:t>
      </w:r>
      <w:proofErr w:type="spellStart"/>
      <w:r>
        <w:t>ECEC</w:t>
      </w:r>
      <w:proofErr w:type="spellEnd"/>
      <w:r>
        <w:t xml:space="preserve"> providers</w:t>
      </w:r>
    </w:p>
    <w:p w:rsidR="00E943F5" w:rsidRDefault="00E943F5" w:rsidP="00E943F5">
      <w:pPr>
        <w:pStyle w:val="ListBullet"/>
      </w:pPr>
      <w:r>
        <w:t>providing operational and capital funding to non</w:t>
      </w:r>
      <w:r>
        <w:noBreakHyphen/>
        <w:t>government service providers</w:t>
      </w:r>
    </w:p>
    <w:p w:rsidR="00E943F5" w:rsidRDefault="00E943F5" w:rsidP="00E943F5">
      <w:pPr>
        <w:pStyle w:val="ListBullet"/>
      </w:pPr>
      <w:r>
        <w:t>delivering services directly (especially preschool services)</w:t>
      </w:r>
    </w:p>
    <w:p w:rsidR="00E943F5" w:rsidRDefault="00E943F5" w:rsidP="00E943F5">
      <w:pPr>
        <w:pStyle w:val="ListBullet"/>
      </w:pPr>
      <w:r>
        <w:t xml:space="preserve">developing new </w:t>
      </w:r>
      <w:proofErr w:type="spellStart"/>
      <w:r>
        <w:t>ECEC</w:t>
      </w:r>
      <w:proofErr w:type="spellEnd"/>
      <w:r>
        <w:t xml:space="preserve"> services</w:t>
      </w:r>
    </w:p>
    <w:p w:rsidR="00E943F5" w:rsidRDefault="00E943F5" w:rsidP="00E943F5">
      <w:pPr>
        <w:pStyle w:val="ListBullet"/>
      </w:pPr>
      <w:r>
        <w:t xml:space="preserve">providing information, support, training and development opportunities for </w:t>
      </w:r>
      <w:proofErr w:type="spellStart"/>
      <w:r>
        <w:t>ECEC</w:t>
      </w:r>
      <w:proofErr w:type="spellEnd"/>
      <w:r>
        <w:t xml:space="preserve"> providers</w:t>
      </w:r>
    </w:p>
    <w:p w:rsidR="00E943F5" w:rsidRDefault="00E943F5" w:rsidP="00E943F5">
      <w:pPr>
        <w:pStyle w:val="ListBullet"/>
      </w:pPr>
      <w:r>
        <w:t>providing curriculum and policy support and advice, as well as training and development for management and staff</w:t>
      </w:r>
    </w:p>
    <w:p w:rsidR="00E943F5" w:rsidRDefault="00E943F5" w:rsidP="00E943F5">
      <w:pPr>
        <w:pStyle w:val="ListBullet"/>
      </w:pPr>
      <w:r>
        <w:t>planning to ensure the appropriate mix of services is available to meet the needs of the community</w:t>
      </w:r>
    </w:p>
    <w:p w:rsidR="00E943F5" w:rsidRDefault="00E943F5" w:rsidP="00E943F5">
      <w:pPr>
        <w:pStyle w:val="ListBullet"/>
      </w:pPr>
      <w:r>
        <w:t>providing information and advice to parents and others about operating standards and the availability of services</w:t>
      </w:r>
    </w:p>
    <w:p w:rsidR="00E943F5" w:rsidRDefault="00E943F5" w:rsidP="00E943F5">
      <w:pPr>
        <w:pStyle w:val="ListBullet"/>
      </w:pPr>
      <w:r>
        <w:t>providing dispute resolution and complaints management processes.</w:t>
      </w:r>
    </w:p>
    <w:p w:rsidR="00E943F5" w:rsidRDefault="00E943F5" w:rsidP="00E943F5">
      <w:pPr>
        <w:pStyle w:val="BodyText"/>
      </w:pPr>
      <w:r>
        <w:t xml:space="preserve">The arrangements for departmental responsibility for </w:t>
      </w:r>
      <w:proofErr w:type="spellStart"/>
      <w:r>
        <w:t>ECEC</w:t>
      </w:r>
      <w:proofErr w:type="spellEnd"/>
      <w:r>
        <w:t xml:space="preserve"> vary across State and Territory governments. Table </w:t>
      </w:r>
      <w:proofErr w:type="spellStart"/>
      <w:r>
        <w:t>3A.1</w:t>
      </w:r>
      <w:proofErr w:type="spellEnd"/>
      <w:r>
        <w:t xml:space="preserve"> provides information on child care </w:t>
      </w:r>
      <w:r w:rsidR="00521E28">
        <w:t xml:space="preserve">services </w:t>
      </w:r>
      <w:r>
        <w:t>and preschool programs, such as agency responsibility, program names and starting ages.</w:t>
      </w:r>
    </w:p>
    <w:p w:rsidR="00E943F5" w:rsidRDefault="00E943F5" w:rsidP="007230B4">
      <w:pPr>
        <w:pStyle w:val="BodyText"/>
      </w:pPr>
      <w:r w:rsidRPr="001C559F">
        <w:t xml:space="preserve">The Australian Government and State and Territory governments are working cooperatively to undertake </w:t>
      </w:r>
      <w:r>
        <w:t xml:space="preserve">national reforms in </w:t>
      </w:r>
      <w:proofErr w:type="spellStart"/>
      <w:r>
        <w:t>ECEC</w:t>
      </w:r>
      <w:proofErr w:type="spellEnd"/>
      <w:r w:rsidRPr="001C559F">
        <w:t xml:space="preserve">. </w:t>
      </w:r>
      <w:r>
        <w:t>Through the Council of Australian Governments (</w:t>
      </w:r>
      <w:proofErr w:type="spellStart"/>
      <w:r w:rsidRPr="001C559F">
        <w:t>COAG</w:t>
      </w:r>
      <w:proofErr w:type="spellEnd"/>
      <w:r>
        <w:t>)</w:t>
      </w:r>
      <w:r w:rsidRPr="001C559F">
        <w:t>, governments have endorsed a number of major funding agreements and initiatives as part of a wider early childhood reform agenda (box </w:t>
      </w:r>
      <w:r>
        <w:t>3.1</w:t>
      </w:r>
      <w:r w:rsidRPr="001C559F">
        <w:t>).</w:t>
      </w:r>
      <w:r w:rsidR="000E560E">
        <w:t xml:space="preserve"> </w:t>
      </w:r>
    </w:p>
    <w:p w:rsidR="005A3CF6" w:rsidRDefault="005A3CF6">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5A3CF6" w:rsidTr="000F4D37">
        <w:tc>
          <w:tcPr>
            <w:tcW w:w="8771" w:type="dxa"/>
            <w:tcBorders>
              <w:top w:val="single" w:sz="6" w:space="0" w:color="78A22F"/>
              <w:left w:val="nil"/>
              <w:bottom w:val="nil"/>
              <w:right w:val="nil"/>
            </w:tcBorders>
            <w:shd w:val="clear" w:color="auto" w:fill="F2F2F2"/>
          </w:tcPr>
          <w:p w:rsidR="005A3CF6" w:rsidRDefault="005A3CF6" w:rsidP="00881B51">
            <w:pPr>
              <w:pStyle w:val="BoxTitle"/>
            </w:pPr>
            <w:r>
              <w:rPr>
                <w:b w:val="0"/>
              </w:rPr>
              <w:t xml:space="preserve">Box </w:t>
            </w:r>
            <w:r w:rsidR="00AB48F1">
              <w:rPr>
                <w:b w:val="0"/>
              </w:rPr>
              <w:t>3.</w:t>
            </w:r>
            <w:r w:rsidR="00FB5623">
              <w:rPr>
                <w:b w:val="0"/>
              </w:rPr>
              <w:t>1</w:t>
            </w:r>
            <w:r>
              <w:tab/>
            </w:r>
            <w:r w:rsidRPr="001C559F">
              <w:t xml:space="preserve">The </w:t>
            </w:r>
            <w:proofErr w:type="spellStart"/>
            <w:r w:rsidRPr="001C559F">
              <w:t>COAG</w:t>
            </w:r>
            <w:proofErr w:type="spellEnd"/>
            <w:r w:rsidRPr="001C559F">
              <w:t xml:space="preserve"> Early Childhood Reform Agenda</w:t>
            </w:r>
            <w:r w:rsidR="007B063C">
              <w:t xml:space="preserve"> </w:t>
            </w:r>
          </w:p>
        </w:tc>
      </w:tr>
      <w:tr w:rsidR="005A3CF6" w:rsidTr="000F4D37">
        <w:trPr>
          <w:cantSplit/>
        </w:trPr>
        <w:tc>
          <w:tcPr>
            <w:tcW w:w="8771" w:type="dxa"/>
            <w:tcBorders>
              <w:top w:val="nil"/>
              <w:left w:val="nil"/>
              <w:bottom w:val="nil"/>
              <w:right w:val="nil"/>
            </w:tcBorders>
            <w:shd w:val="clear" w:color="auto" w:fill="F2F2F2"/>
          </w:tcPr>
          <w:p w:rsidR="00FB5623" w:rsidRPr="001C559F" w:rsidRDefault="005A3CF6" w:rsidP="00FB5623">
            <w:pPr>
              <w:pStyle w:val="Box"/>
            </w:pPr>
            <w:r w:rsidRPr="001C559F">
              <w:t>Th</w:t>
            </w:r>
            <w:r w:rsidR="00072F94">
              <w:t xml:space="preserve">e main </w:t>
            </w:r>
            <w:proofErr w:type="spellStart"/>
            <w:r w:rsidR="00FB5623" w:rsidRPr="001C559F">
              <w:t>COAG</w:t>
            </w:r>
            <w:proofErr w:type="spellEnd"/>
            <w:r w:rsidR="00FB5623" w:rsidRPr="001C559F">
              <w:t xml:space="preserve"> national reform initiatives linked specifically to early childhood</w:t>
            </w:r>
            <w:r w:rsidR="00FB5623">
              <w:t xml:space="preserve"> development, education and care</w:t>
            </w:r>
            <w:r w:rsidR="00FB5623" w:rsidRPr="001C559F">
              <w:t xml:space="preserve"> </w:t>
            </w:r>
            <w:r w:rsidR="005C67B8">
              <w:t xml:space="preserve">and currently operating </w:t>
            </w:r>
            <w:r w:rsidR="00FB5623" w:rsidRPr="001C559F">
              <w:t>include:</w:t>
            </w:r>
          </w:p>
          <w:p w:rsidR="00FB5623" w:rsidRPr="004F7379" w:rsidRDefault="00FB5623" w:rsidP="00FB5623">
            <w:pPr>
              <w:pStyle w:val="BoxListBullet"/>
            </w:pPr>
            <w:r w:rsidRPr="004F7379">
              <w:t xml:space="preserve">the </w:t>
            </w:r>
            <w:r w:rsidRPr="00742024">
              <w:rPr>
                <w:i/>
              </w:rPr>
              <w:t>National Early Childhood Development Strategy — Investing in the Early Years</w:t>
            </w:r>
            <w:r w:rsidRPr="004F7379">
              <w:t xml:space="preserve">, </w:t>
            </w:r>
            <w:r>
              <w:t xml:space="preserve">is </w:t>
            </w:r>
            <w:r w:rsidRPr="004F7379">
              <w:t xml:space="preserve">a collaboration between the Australian, State and Territory governments. The strategy broadly covers children from before birth to 8 years of age, and aims to improve outcomes for all children and their families, including reducing inequalities in outcomes between groups of children. The strategy, endorsed by </w:t>
            </w:r>
            <w:proofErr w:type="spellStart"/>
            <w:r w:rsidRPr="004F7379">
              <w:t>COAG</w:t>
            </w:r>
            <w:proofErr w:type="spellEnd"/>
            <w:r w:rsidRPr="004F7379">
              <w:t xml:space="preserve"> in July 2009, includes a range of long term national reform initiatives in the areas of education and care, health, protection, family su</w:t>
            </w:r>
            <w:r>
              <w:t>pport and housing</w:t>
            </w:r>
          </w:p>
          <w:p w:rsidR="00937A40" w:rsidRPr="008E5D1C" w:rsidRDefault="00937A40" w:rsidP="00937A40">
            <w:pPr>
              <w:pStyle w:val="BoxListBullet"/>
            </w:pPr>
            <w:r w:rsidRPr="008E5D1C">
              <w:t xml:space="preserve">the NP </w:t>
            </w:r>
            <w:proofErr w:type="spellStart"/>
            <w:r w:rsidRPr="008E5D1C">
              <w:t>UAECE</w:t>
            </w:r>
            <w:proofErr w:type="spellEnd"/>
            <w:r w:rsidRPr="008E5D1C">
              <w:t xml:space="preserve"> covering service delivery in 2015 (replacing the NP </w:t>
            </w:r>
            <w:proofErr w:type="spellStart"/>
            <w:r w:rsidRPr="008E5D1C">
              <w:t>UAECE</w:t>
            </w:r>
            <w:proofErr w:type="spellEnd"/>
            <w:r w:rsidRPr="008E5D1C">
              <w:t xml:space="preserve"> 2013</w:t>
            </w:r>
            <w:r w:rsidR="002D438E">
              <w:noBreakHyphen/>
            </w:r>
            <w:r w:rsidRPr="008E5D1C">
              <w:t xml:space="preserve">14 and the NP </w:t>
            </w:r>
            <w:proofErr w:type="spellStart"/>
            <w:r w:rsidRPr="008E5D1C">
              <w:t>ECE</w:t>
            </w:r>
            <w:proofErr w:type="spellEnd"/>
            <w:r w:rsidRPr="008E5D1C">
              <w:t xml:space="preserve"> 2008</w:t>
            </w:r>
            <w:r w:rsidR="002D438E">
              <w:t>–</w:t>
            </w:r>
            <w:r w:rsidRPr="008E5D1C">
              <w:t xml:space="preserve">2013). The NP </w:t>
            </w:r>
            <w:proofErr w:type="spellStart"/>
            <w:r w:rsidRPr="008E5D1C">
              <w:t>UAECE</w:t>
            </w:r>
            <w:proofErr w:type="spellEnd"/>
            <w:r w:rsidRPr="008E5D1C">
              <w:t xml:space="preserve"> supports access to a preschool program in the 12 months prior to full time schooling. Performance measurement results published for these arrangements may differ in some cases to those presented in this Report, due to differing definitions adopted for </w:t>
            </w:r>
            <w:r w:rsidR="008E5D1C" w:rsidRPr="008E5D1C">
              <w:t>calculating national indicators</w:t>
            </w:r>
          </w:p>
          <w:p w:rsidR="00FB5623" w:rsidRPr="00B269EA" w:rsidRDefault="00FB5623" w:rsidP="00FB5623">
            <w:pPr>
              <w:pStyle w:val="BoxListBullet"/>
            </w:pPr>
            <w:r w:rsidRPr="00B269EA">
              <w:t xml:space="preserve">the </w:t>
            </w:r>
            <w:r w:rsidRPr="00B269EA">
              <w:rPr>
                <w:i/>
              </w:rPr>
              <w:t>National Indigenous Reform Agreement</w:t>
            </w:r>
            <w:r w:rsidRPr="00B269EA">
              <w:t xml:space="preserve"> </w:t>
            </w:r>
            <w:r>
              <w:t>(</w:t>
            </w:r>
            <w:proofErr w:type="spellStart"/>
            <w:r>
              <w:t>NIRA</w:t>
            </w:r>
            <w:proofErr w:type="spellEnd"/>
            <w:r>
              <w:t xml:space="preserve">) </w:t>
            </w:r>
            <w:r w:rsidRPr="00B269EA">
              <w:t>which includes a</w:t>
            </w:r>
            <w:r>
              <w:t xml:space="preserve"> target to ensure all Aboriginal and Torres Strait Islander</w:t>
            </w:r>
            <w:r w:rsidRPr="00B269EA">
              <w:t xml:space="preserve"> children aged 4 years in remote communities have access to early childhood education by 2013 </w:t>
            </w:r>
          </w:p>
          <w:p w:rsidR="005A3CF6" w:rsidRPr="00571B25" w:rsidRDefault="00FB5623" w:rsidP="00072F94">
            <w:pPr>
              <w:pStyle w:val="BoxListBullet"/>
              <w:rPr>
                <w:szCs w:val="24"/>
              </w:rPr>
            </w:pPr>
            <w:r w:rsidRPr="00B77CA0">
              <w:t xml:space="preserve">the </w:t>
            </w:r>
            <w:r>
              <w:t>NP </w:t>
            </w:r>
            <w:proofErr w:type="spellStart"/>
            <w:r w:rsidR="00072F94">
              <w:t>NQAECEC</w:t>
            </w:r>
            <w:proofErr w:type="spellEnd"/>
            <w:r w:rsidR="002467A4">
              <w:t xml:space="preserve"> which</w:t>
            </w:r>
            <w:r>
              <w:t xml:space="preserve"> incorporates </w:t>
            </w:r>
            <w:r w:rsidRPr="00B77CA0">
              <w:t xml:space="preserve">a </w:t>
            </w:r>
            <w:proofErr w:type="spellStart"/>
            <w:r w:rsidR="00072F94">
              <w:t>NQF</w:t>
            </w:r>
            <w:proofErr w:type="spellEnd"/>
            <w:r w:rsidRPr="000922E4">
              <w:t xml:space="preserve"> for Early Childhood Education and Care</w:t>
            </w:r>
            <w:r>
              <w:t xml:space="preserve"> and </w:t>
            </w:r>
            <w:r w:rsidRPr="00B77CA0">
              <w:t xml:space="preserve">a </w:t>
            </w:r>
            <w:r w:rsidRPr="000922E4">
              <w:t>National Quality Standard</w:t>
            </w:r>
            <w:r w:rsidRPr="00B77CA0">
              <w:t xml:space="preserve"> </w:t>
            </w:r>
            <w:r>
              <w:t>(</w:t>
            </w:r>
            <w:proofErr w:type="spellStart"/>
            <w:r>
              <w:t>NQS</w:t>
            </w:r>
            <w:proofErr w:type="spellEnd"/>
            <w:r>
              <w:t xml:space="preserve">) </w:t>
            </w:r>
            <w:r w:rsidRPr="00B77CA0">
              <w:t xml:space="preserve">to ensure high quality and consistent </w:t>
            </w:r>
            <w:proofErr w:type="spellStart"/>
            <w:r>
              <w:t>ECEC</w:t>
            </w:r>
            <w:proofErr w:type="spellEnd"/>
            <w:r w:rsidRPr="00B77CA0">
              <w:t xml:space="preserve"> across Australia</w:t>
            </w:r>
            <w:r>
              <w:t>, including</w:t>
            </w:r>
            <w:r w:rsidRPr="00B77CA0">
              <w:t xml:space="preserve"> streamlined regulatory approaches, a</w:t>
            </w:r>
            <w:r>
              <w:t xml:space="preserve">n assessment and </w:t>
            </w:r>
            <w:r w:rsidRPr="00B77CA0">
              <w:t xml:space="preserve">rating system and an </w:t>
            </w:r>
            <w:r w:rsidRPr="003E3AC1">
              <w:rPr>
                <w:i/>
              </w:rPr>
              <w:t>Early Years Learning Framework</w:t>
            </w:r>
            <w:r>
              <w:t xml:space="preserve"> and a </w:t>
            </w:r>
            <w:r w:rsidRPr="003E3AC1">
              <w:rPr>
                <w:i/>
              </w:rPr>
              <w:t>Framewo</w:t>
            </w:r>
            <w:r>
              <w:rPr>
                <w:i/>
              </w:rPr>
              <w:t>rk for School Age Care</w:t>
            </w:r>
            <w:r w:rsidR="00BA5DC8">
              <w:rPr>
                <w:i/>
              </w:rPr>
              <w:t>.</w:t>
            </w:r>
          </w:p>
          <w:p w:rsidR="00C0785C" w:rsidRPr="00571B25" w:rsidRDefault="00C0785C" w:rsidP="004C3A7B">
            <w:pPr>
              <w:pStyle w:val="Box"/>
            </w:pPr>
            <w:r w:rsidRPr="002245D9">
              <w:t xml:space="preserve">Further information is available at </w:t>
            </w:r>
            <w:proofErr w:type="spellStart"/>
            <w:r w:rsidRPr="002245D9">
              <w:t>www.federalfinancialrelations.gov.au</w:t>
            </w:r>
            <w:proofErr w:type="spellEnd"/>
            <w:r w:rsidRPr="002245D9">
              <w:t>.</w:t>
            </w:r>
          </w:p>
        </w:tc>
      </w:tr>
      <w:tr w:rsidR="005A3CF6" w:rsidTr="000F4D37">
        <w:trPr>
          <w:cantSplit/>
        </w:trPr>
        <w:tc>
          <w:tcPr>
            <w:tcW w:w="8771" w:type="dxa"/>
            <w:tcBorders>
              <w:top w:val="nil"/>
              <w:left w:val="nil"/>
              <w:bottom w:val="single" w:sz="6" w:space="0" w:color="78A22F"/>
              <w:right w:val="nil"/>
            </w:tcBorders>
            <w:shd w:val="clear" w:color="auto" w:fill="F2F2F2"/>
          </w:tcPr>
          <w:p w:rsidR="005A3CF6" w:rsidRDefault="005A3CF6">
            <w:pPr>
              <w:pStyle w:val="Box"/>
              <w:spacing w:before="0" w:line="120" w:lineRule="exact"/>
            </w:pPr>
          </w:p>
        </w:tc>
      </w:tr>
      <w:tr w:rsidR="005A3CF6" w:rsidRPr="000863A5" w:rsidTr="000F4D37">
        <w:tc>
          <w:tcPr>
            <w:tcW w:w="8771" w:type="dxa"/>
            <w:tcBorders>
              <w:top w:val="single" w:sz="6" w:space="0" w:color="78A22F"/>
              <w:left w:val="nil"/>
              <w:bottom w:val="nil"/>
              <w:right w:val="nil"/>
            </w:tcBorders>
          </w:tcPr>
          <w:p w:rsidR="005A3CF6" w:rsidRPr="00626D32" w:rsidRDefault="005A3CF6" w:rsidP="000F4D37">
            <w:pPr>
              <w:pStyle w:val="BoxSpaceBelow"/>
            </w:pPr>
          </w:p>
        </w:tc>
      </w:tr>
    </w:tbl>
    <w:p w:rsidR="00FB5623" w:rsidRPr="00FE69E4" w:rsidRDefault="00FB5623" w:rsidP="00FB5623">
      <w:pPr>
        <w:pStyle w:val="Heading3"/>
        <w:rPr>
          <w:b w:val="0"/>
        </w:rPr>
      </w:pPr>
      <w:r w:rsidRPr="00516ACC">
        <w:t>Funding</w:t>
      </w:r>
      <w:r>
        <w:t xml:space="preserve"> </w:t>
      </w:r>
    </w:p>
    <w:p w:rsidR="00FB5623" w:rsidRPr="009C606C" w:rsidRDefault="00FB5623" w:rsidP="00FB5623">
      <w:pPr>
        <w:pStyle w:val="BodyText"/>
      </w:pPr>
      <w:r w:rsidRPr="004468E3">
        <w:t xml:space="preserve">Total Australian, State and Territory government </w:t>
      </w:r>
      <w:r w:rsidR="001A5D86">
        <w:t xml:space="preserve">recurrent and capital </w:t>
      </w:r>
      <w:r w:rsidRPr="004468E3">
        <w:t xml:space="preserve">expenditure on </w:t>
      </w:r>
      <w:proofErr w:type="spellStart"/>
      <w:r>
        <w:t>ECEC</w:t>
      </w:r>
      <w:proofErr w:type="spellEnd"/>
      <w:r w:rsidRPr="004468E3">
        <w:t xml:space="preserve"> services was </w:t>
      </w:r>
      <w:r w:rsidRPr="00E953D9">
        <w:t>$</w:t>
      </w:r>
      <w:r w:rsidR="00402BD5">
        <w:t>8.6</w:t>
      </w:r>
      <w:r w:rsidRPr="00E953D9">
        <w:t xml:space="preserve"> </w:t>
      </w:r>
      <w:r>
        <w:t>billion in 2014</w:t>
      </w:r>
      <w:r w:rsidRPr="00E953D9">
        <w:noBreakHyphen/>
      </w:r>
      <w:r>
        <w:t>15</w:t>
      </w:r>
      <w:r w:rsidRPr="00E953D9">
        <w:t xml:space="preserve">, compared with </w:t>
      </w:r>
      <w:r w:rsidR="00402BD5">
        <w:t>$7.8</w:t>
      </w:r>
      <w:r w:rsidRPr="00E953D9">
        <w:t xml:space="preserve"> billion (an increase of </w:t>
      </w:r>
      <w:r w:rsidR="00402BD5">
        <w:t>$745.6</w:t>
      </w:r>
      <w:r w:rsidR="001A5D86">
        <w:t xml:space="preserve"> million, or </w:t>
      </w:r>
      <w:r w:rsidR="00402BD5">
        <w:t>9.6</w:t>
      </w:r>
      <w:r w:rsidRPr="00A669FF">
        <w:t xml:space="preserve"> per cent </w:t>
      </w:r>
      <w:r>
        <w:t>in real terms) in 2013</w:t>
      </w:r>
      <w:r w:rsidRPr="00A669FF">
        <w:noBreakHyphen/>
      </w:r>
      <w:r>
        <w:t>14</w:t>
      </w:r>
      <w:r w:rsidRPr="00A669FF">
        <w:t xml:space="preserve">. Nationally, the average annual growth rate of real expenditure was </w:t>
      </w:r>
      <w:r w:rsidR="006479C2">
        <w:t>10.6</w:t>
      </w:r>
      <w:r>
        <w:t xml:space="preserve"> per cent between 2010</w:t>
      </w:r>
      <w:r w:rsidRPr="00A669FF">
        <w:noBreakHyphen/>
      </w:r>
      <w:r>
        <w:t>11</w:t>
      </w:r>
      <w:r w:rsidRPr="00A669FF">
        <w:t xml:space="preserve"> a</w:t>
      </w:r>
      <w:r>
        <w:t>nd 2014</w:t>
      </w:r>
      <w:r w:rsidRPr="00A669FF">
        <w:noBreakHyphen/>
      </w:r>
      <w:r>
        <w:t>15</w:t>
      </w:r>
      <w:r w:rsidRPr="00A669FF">
        <w:t xml:space="preserve"> </w:t>
      </w:r>
      <w:r w:rsidRPr="004468E3">
        <w:t>(table </w:t>
      </w:r>
      <w:proofErr w:type="spellStart"/>
      <w:r w:rsidRPr="004468E3">
        <w:t>3A.3</w:t>
      </w:r>
      <w:proofErr w:type="spellEnd"/>
      <w:r w:rsidRPr="004468E3">
        <w:t>).</w:t>
      </w:r>
    </w:p>
    <w:p w:rsidR="00FB5623" w:rsidRDefault="00FB5623" w:rsidP="00FB5623">
      <w:pPr>
        <w:pStyle w:val="BodyText"/>
      </w:pPr>
      <w:r w:rsidRPr="004468E3">
        <w:t xml:space="preserve">Australian Government expenditure accounted </w:t>
      </w:r>
      <w:r w:rsidRPr="00E953D9">
        <w:t xml:space="preserve">for </w:t>
      </w:r>
      <w:r w:rsidR="003047A5">
        <w:t>83.0</w:t>
      </w:r>
      <w:r w:rsidRPr="000D58E5">
        <w:t xml:space="preserve"> per cent </w:t>
      </w:r>
      <w:r w:rsidR="00BF7534">
        <w:t>($7.1</w:t>
      </w:r>
      <w:r w:rsidRPr="000F2A16">
        <w:t xml:space="preserve"> billion) </w:t>
      </w:r>
      <w:r w:rsidRPr="004468E3">
        <w:t xml:space="preserve">of total government expenditure on </w:t>
      </w:r>
      <w:proofErr w:type="spellStart"/>
      <w:r>
        <w:t>ECEC</w:t>
      </w:r>
      <w:proofErr w:type="spellEnd"/>
      <w:r>
        <w:t xml:space="preserve"> services in 2014</w:t>
      </w:r>
      <w:r w:rsidRPr="004468E3">
        <w:noBreakHyphen/>
      </w:r>
      <w:r>
        <w:t>15</w:t>
      </w:r>
      <w:r w:rsidRPr="004468E3">
        <w:t xml:space="preserve"> (tables </w:t>
      </w:r>
      <w:proofErr w:type="spellStart"/>
      <w:r w:rsidRPr="004468E3">
        <w:t>3A.3</w:t>
      </w:r>
      <w:proofErr w:type="spellEnd"/>
      <w:r w:rsidRPr="004468E3">
        <w:t xml:space="preserve"> and </w:t>
      </w:r>
      <w:proofErr w:type="spellStart"/>
      <w:r w:rsidRPr="004468E3">
        <w:t>3A.4</w:t>
      </w:r>
      <w:proofErr w:type="spellEnd"/>
      <w:r w:rsidRPr="004468E3">
        <w:t xml:space="preserve">). State and Territory government expenditure on </w:t>
      </w:r>
      <w:proofErr w:type="spellStart"/>
      <w:r>
        <w:t>ECEC</w:t>
      </w:r>
      <w:proofErr w:type="spellEnd"/>
      <w:r>
        <w:t xml:space="preserve"> services in 2014</w:t>
      </w:r>
      <w:r>
        <w:noBreakHyphen/>
        <w:t>15</w:t>
      </w:r>
      <w:r w:rsidRPr="004468E3">
        <w:t xml:space="preserve"> was </w:t>
      </w:r>
      <w:r w:rsidR="00BF7534">
        <w:t>$1.5</w:t>
      </w:r>
      <w:r w:rsidRPr="0076120F">
        <w:t xml:space="preserve"> billion</w:t>
      </w:r>
      <w:r w:rsidR="005C67B8">
        <w:t>, with preschool services accounting for the ma</w:t>
      </w:r>
      <w:r w:rsidR="00BF7534">
        <w:t>jority of this expenditure (85.6 per cent, or $1.4</w:t>
      </w:r>
      <w:r w:rsidR="00211E75">
        <w:t> </w:t>
      </w:r>
      <w:r w:rsidR="005C67B8" w:rsidRPr="0076120F">
        <w:t>billion nationally)</w:t>
      </w:r>
      <w:r w:rsidRPr="0076120F">
        <w:t xml:space="preserve"> </w:t>
      </w:r>
      <w:r w:rsidRPr="004468E3">
        <w:t>(tables </w:t>
      </w:r>
      <w:proofErr w:type="spellStart"/>
      <w:r w:rsidRPr="004468E3">
        <w:t>3A.3</w:t>
      </w:r>
      <w:proofErr w:type="spellEnd"/>
      <w:r w:rsidRPr="004468E3">
        <w:t xml:space="preserve"> and </w:t>
      </w:r>
      <w:proofErr w:type="spellStart"/>
      <w:r w:rsidRPr="004468E3">
        <w:t>3A.5</w:t>
      </w:r>
      <w:proofErr w:type="spellEnd"/>
      <w:r w:rsidRPr="004468E3">
        <w:t xml:space="preserve">). </w:t>
      </w:r>
    </w:p>
    <w:p w:rsidR="00AE4A3C" w:rsidRPr="007D0C88" w:rsidRDefault="007076A2" w:rsidP="00AE4A3C">
      <w:pPr>
        <w:pStyle w:val="BodyText"/>
      </w:pPr>
      <w:r>
        <w:t>Australian Government expend</w:t>
      </w:r>
      <w:r w:rsidR="00BF7534">
        <w:t>iture of $7.1</w:t>
      </w:r>
      <w:r w:rsidR="007F2A7E">
        <w:t xml:space="preserve"> billion in 2014</w:t>
      </w:r>
      <w:r w:rsidR="002D438E">
        <w:noBreakHyphen/>
      </w:r>
      <w:r w:rsidR="007F2A7E">
        <w:t>15</w:t>
      </w:r>
      <w:r w:rsidR="000B532B">
        <w:t xml:space="preserve"> does not include the</w:t>
      </w:r>
      <w:r w:rsidR="00AE4A3C" w:rsidRPr="007D0C88">
        <w:t xml:space="preserve"> </w:t>
      </w:r>
      <w:r w:rsidR="00552F34">
        <w:t>$</w:t>
      </w:r>
      <w:r w:rsidR="00055D01">
        <w:t>356.2</w:t>
      </w:r>
      <w:r w:rsidR="00211E75">
        <w:t> </w:t>
      </w:r>
      <w:r w:rsidR="00AE4A3C">
        <w:t xml:space="preserve">million </w:t>
      </w:r>
      <w:r w:rsidR="007F2A7E">
        <w:t>allocated</w:t>
      </w:r>
      <w:r>
        <w:t xml:space="preserve"> by the Australian Government </w:t>
      </w:r>
      <w:r w:rsidR="00AE4A3C" w:rsidRPr="007D0C88">
        <w:t>to State and Terri</w:t>
      </w:r>
      <w:r w:rsidR="00AE4A3C">
        <w:t xml:space="preserve">tory governments </w:t>
      </w:r>
      <w:r>
        <w:t>in 2014</w:t>
      </w:r>
      <w:r w:rsidR="002D438E">
        <w:noBreakHyphen/>
      </w:r>
      <w:r>
        <w:t xml:space="preserve">15 </w:t>
      </w:r>
      <w:r w:rsidR="00AE4A3C">
        <w:t>through the NP </w:t>
      </w:r>
      <w:proofErr w:type="spellStart"/>
      <w:r w:rsidR="00AE4A3C" w:rsidRPr="007D0C88">
        <w:t>UAECE</w:t>
      </w:r>
      <w:proofErr w:type="spellEnd"/>
      <w:r w:rsidR="00AE4A3C" w:rsidRPr="007D0C88">
        <w:t xml:space="preserve"> (</w:t>
      </w:r>
      <w:r w:rsidR="00AE4A3C">
        <w:t>table </w:t>
      </w:r>
      <w:proofErr w:type="spellStart"/>
      <w:r w:rsidR="00AE4A3C">
        <w:t>3A.6</w:t>
      </w:r>
      <w:proofErr w:type="spellEnd"/>
      <w:r w:rsidR="00AE4A3C">
        <w:t xml:space="preserve">). </w:t>
      </w:r>
      <w:r w:rsidR="00AE4A3C" w:rsidRPr="00AE4A3C">
        <w:t>Australian Government</w:t>
      </w:r>
      <w:r w:rsidR="00AE4A3C">
        <w:t xml:space="preserve"> funding provided through the NP </w:t>
      </w:r>
      <w:proofErr w:type="spellStart"/>
      <w:r w:rsidR="00AE4A3C">
        <w:t>UAECE</w:t>
      </w:r>
      <w:proofErr w:type="spellEnd"/>
      <w:r w:rsidR="00AE4A3C" w:rsidRPr="00AE4A3C">
        <w:t xml:space="preserve"> is a contribution to support states and territories to increase preschool participation and attend</w:t>
      </w:r>
      <w:r w:rsidR="001A5D86">
        <w:t>ance rates. S</w:t>
      </w:r>
      <w:r w:rsidR="00AE4A3C" w:rsidRPr="00AE4A3C">
        <w:t xml:space="preserve">tates and territories </w:t>
      </w:r>
      <w:r w:rsidR="001A5D86">
        <w:t>determine distribution of</w:t>
      </w:r>
      <w:r w:rsidR="00AE4A3C">
        <w:t xml:space="preserve"> </w:t>
      </w:r>
      <w:r w:rsidR="00AE4A3C">
        <w:lastRenderedPageBreak/>
        <w:t xml:space="preserve">NP </w:t>
      </w:r>
      <w:proofErr w:type="spellStart"/>
      <w:r w:rsidR="00AE4A3C">
        <w:t>UAECE</w:t>
      </w:r>
      <w:proofErr w:type="spellEnd"/>
      <w:r w:rsidR="00AE4A3C" w:rsidRPr="00AE4A3C">
        <w:t xml:space="preserve"> funding, provided they make funding available to support children in all settings that deliver </w:t>
      </w:r>
      <w:r w:rsidR="00AE4A3C">
        <w:t>a quality preschool program</w:t>
      </w:r>
      <w:r w:rsidR="00AE4A3C" w:rsidRPr="00AE4A3C">
        <w:t>.</w:t>
      </w:r>
      <w:r>
        <w:t xml:space="preserve"> NP </w:t>
      </w:r>
      <w:proofErr w:type="spellStart"/>
      <w:r>
        <w:t>UAECE</w:t>
      </w:r>
      <w:proofErr w:type="spellEnd"/>
      <w:r w:rsidR="005E1AE6">
        <w:t xml:space="preserve"> funding is included in the $1.5</w:t>
      </w:r>
      <w:r>
        <w:t xml:space="preserve"> billion </w:t>
      </w:r>
      <w:proofErr w:type="spellStart"/>
      <w:r>
        <w:t>ECEC</w:t>
      </w:r>
      <w:proofErr w:type="spellEnd"/>
      <w:r>
        <w:t xml:space="preserve"> expenditure by State and Territor</w:t>
      </w:r>
      <w:r w:rsidR="001A5D86">
        <w:t>y governments in 2014</w:t>
      </w:r>
      <w:r w:rsidR="002D438E">
        <w:noBreakHyphen/>
      </w:r>
      <w:r w:rsidR="001A5D86">
        <w:t>15 (table </w:t>
      </w:r>
      <w:proofErr w:type="spellStart"/>
      <w:r>
        <w:t>3A.5</w:t>
      </w:r>
      <w:proofErr w:type="spellEnd"/>
      <w:r>
        <w:t>).</w:t>
      </w:r>
    </w:p>
    <w:p w:rsidR="00FA3B27" w:rsidRDefault="00E54D2D" w:rsidP="00E54D2D">
      <w:pPr>
        <w:pStyle w:val="BodyText"/>
      </w:pPr>
      <w:r>
        <w:t>Figure</w:t>
      </w:r>
      <w:r w:rsidR="00697D43">
        <w:t> </w:t>
      </w:r>
      <w:r>
        <w:t>3.1 summarises services funded in 2014</w:t>
      </w:r>
      <w:r w:rsidR="002D438E">
        <w:noBreakHyphen/>
      </w:r>
      <w:r>
        <w:t xml:space="preserve">15 by Australian or State and Territory governments. </w:t>
      </w:r>
    </w:p>
    <w:p w:rsidR="00E54D2D" w:rsidRDefault="00E54D2D" w:rsidP="00E54D2D">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304"/>
        <w:gridCol w:w="525"/>
        <w:gridCol w:w="7942"/>
      </w:tblGrid>
      <w:tr w:rsidR="00E54D2D" w:rsidTr="00E54D2D">
        <w:tc>
          <w:tcPr>
            <w:tcW w:w="8771" w:type="dxa"/>
            <w:gridSpan w:val="3"/>
            <w:tcBorders>
              <w:top w:val="single" w:sz="6" w:space="0" w:color="78A22F"/>
              <w:left w:val="nil"/>
              <w:bottom w:val="nil"/>
              <w:right w:val="nil"/>
            </w:tcBorders>
            <w:shd w:val="clear" w:color="auto" w:fill="auto"/>
          </w:tcPr>
          <w:p w:rsidR="00E54D2D" w:rsidRPr="00176D3F" w:rsidRDefault="00E54D2D" w:rsidP="00E54D2D">
            <w:pPr>
              <w:pStyle w:val="FigureTitle"/>
            </w:pPr>
            <w:r w:rsidRPr="00784A05">
              <w:rPr>
                <w:b w:val="0"/>
              </w:rPr>
              <w:t xml:space="preserve">Figure </w:t>
            </w:r>
            <w:r>
              <w:rPr>
                <w:b w:val="0"/>
              </w:rPr>
              <w:t>3.</w:t>
            </w:r>
            <w:r w:rsidR="000E3849">
              <w:rPr>
                <w:b w:val="0"/>
                <w:noProof/>
              </w:rPr>
              <w:t>1</w:t>
            </w:r>
            <w:r>
              <w:tab/>
              <w:t xml:space="preserve">Summary of </w:t>
            </w:r>
            <w:proofErr w:type="spellStart"/>
            <w:r>
              <w:t>ECEC</w:t>
            </w:r>
            <w:proofErr w:type="spellEnd"/>
            <w:r>
              <w:t xml:space="preserve"> service funding by Australian, State and Territory governments, 2014</w:t>
            </w:r>
            <w:r w:rsidR="002D438E">
              <w:noBreakHyphen/>
            </w:r>
            <w:r>
              <w:t>15</w:t>
            </w:r>
            <w:r w:rsidRPr="00AB6DBE">
              <w:rPr>
                <w:rStyle w:val="NoteLabel"/>
                <w:b/>
              </w:rPr>
              <w:t>a</w:t>
            </w:r>
            <w:r>
              <w:rPr>
                <w:rStyle w:val="NoteLabel"/>
                <w:b/>
              </w:rPr>
              <w:t>, b</w:t>
            </w:r>
          </w:p>
        </w:tc>
      </w:tr>
      <w:tr w:rsidR="00E54D2D" w:rsidTr="00E54D2D">
        <w:tc>
          <w:tcPr>
            <w:tcW w:w="8771" w:type="dxa"/>
            <w:gridSpan w:val="3"/>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E54D2D" w:rsidTr="00E54D2D">
              <w:trPr>
                <w:jc w:val="center"/>
              </w:trPr>
              <w:tc>
                <w:tcPr>
                  <w:tcW w:w="5000" w:type="pct"/>
                  <w:tcBorders>
                    <w:top w:val="nil"/>
                    <w:bottom w:val="nil"/>
                  </w:tcBorders>
                </w:tcPr>
                <w:tbl>
                  <w:tblPr>
                    <w:tblW w:w="12961" w:type="dxa"/>
                    <w:tblLayout w:type="fixed"/>
                    <w:tblCellMar>
                      <w:top w:w="28" w:type="dxa"/>
                      <w:left w:w="0" w:type="dxa"/>
                      <w:right w:w="0" w:type="dxa"/>
                    </w:tblCellMar>
                    <w:tblLook w:val="0000" w:firstRow="0" w:lastRow="0" w:firstColumn="0" w:lastColumn="0" w:noHBand="0" w:noVBand="0"/>
                  </w:tblPr>
                  <w:tblGrid>
                    <w:gridCol w:w="3152"/>
                    <w:gridCol w:w="588"/>
                    <w:gridCol w:w="587"/>
                    <w:gridCol w:w="587"/>
                    <w:gridCol w:w="587"/>
                    <w:gridCol w:w="587"/>
                    <w:gridCol w:w="587"/>
                    <w:gridCol w:w="675"/>
                    <w:gridCol w:w="499"/>
                    <w:gridCol w:w="639"/>
                    <w:gridCol w:w="639"/>
                    <w:gridCol w:w="639"/>
                    <w:gridCol w:w="639"/>
                    <w:gridCol w:w="639"/>
                    <w:gridCol w:w="639"/>
                    <w:gridCol w:w="639"/>
                    <w:gridCol w:w="639"/>
                  </w:tblGrid>
                  <w:tr w:rsidR="00E54D2D" w:rsidRPr="00D16A39" w:rsidTr="004025F4">
                    <w:trPr>
                      <w:gridAfter w:val="7"/>
                      <w:wAfter w:w="4473" w:type="dxa"/>
                    </w:trPr>
                    <w:tc>
                      <w:tcPr>
                        <w:tcW w:w="3152" w:type="dxa"/>
                        <w:tcBorders>
                          <w:top w:val="single" w:sz="6" w:space="0" w:color="BFBFBF"/>
                          <w:left w:val="single" w:sz="6" w:space="0" w:color="BFBFBF"/>
                          <w:bottom w:val="single" w:sz="6" w:space="0" w:color="BFBFBF"/>
                          <w:right w:val="single" w:sz="6" w:space="0" w:color="BFBFBF"/>
                        </w:tcBorders>
                        <w:shd w:val="clear" w:color="auto" w:fill="auto"/>
                        <w:tcMar>
                          <w:top w:w="28" w:type="dxa"/>
                        </w:tcMar>
                      </w:tcPr>
                      <w:p w:rsidR="00E54D2D" w:rsidRDefault="00BC2652" w:rsidP="00BC2652">
                        <w:pPr>
                          <w:pStyle w:val="TableColumnHeading"/>
                        </w:pPr>
                        <w:r>
                          <w:t>Funding government</w:t>
                        </w:r>
                      </w:p>
                    </w:tc>
                    <w:tc>
                      <w:tcPr>
                        <w:tcW w:w="588" w:type="dxa"/>
                        <w:tcBorders>
                          <w:top w:val="single" w:sz="6" w:space="0" w:color="BFBFBF"/>
                          <w:left w:val="single" w:sz="6" w:space="0" w:color="BFBFBF"/>
                          <w:bottom w:val="single" w:sz="6" w:space="0" w:color="BFBFBF"/>
                          <w:right w:val="single" w:sz="6" w:space="0" w:color="BFBFBF"/>
                        </w:tcBorders>
                        <w:shd w:val="clear" w:color="auto" w:fill="auto"/>
                        <w:tcMar>
                          <w:top w:w="28" w:type="dxa"/>
                        </w:tcMar>
                      </w:tcPr>
                      <w:p w:rsidR="00E54D2D" w:rsidRPr="00D16A39" w:rsidRDefault="00E54D2D" w:rsidP="00E54D2D">
                        <w:pPr>
                          <w:pStyle w:val="TableColumnHeading"/>
                        </w:pPr>
                        <w:r w:rsidRPr="00D16A39">
                          <w:t>NSW</w:t>
                        </w:r>
                      </w:p>
                    </w:tc>
                    <w:tc>
                      <w:tcPr>
                        <w:tcW w:w="587" w:type="dxa"/>
                        <w:tcBorders>
                          <w:top w:val="single" w:sz="6" w:space="0" w:color="BFBFBF"/>
                          <w:left w:val="single" w:sz="6" w:space="0" w:color="BFBFBF"/>
                          <w:bottom w:val="single" w:sz="6" w:space="0" w:color="BFBFBF"/>
                          <w:right w:val="single" w:sz="6" w:space="0" w:color="BFBFBF"/>
                        </w:tcBorders>
                      </w:tcPr>
                      <w:p w:rsidR="00E54D2D" w:rsidRPr="00D16A39" w:rsidRDefault="00E54D2D" w:rsidP="00E54D2D">
                        <w:pPr>
                          <w:pStyle w:val="TableColumnHeading"/>
                        </w:pPr>
                        <w:r w:rsidRPr="00D16A39">
                          <w:t>Vic</w:t>
                        </w:r>
                      </w:p>
                    </w:tc>
                    <w:tc>
                      <w:tcPr>
                        <w:tcW w:w="587" w:type="dxa"/>
                        <w:tcBorders>
                          <w:top w:val="single" w:sz="6" w:space="0" w:color="BFBFBF"/>
                          <w:left w:val="single" w:sz="6" w:space="0" w:color="BFBFBF"/>
                          <w:bottom w:val="single" w:sz="6" w:space="0" w:color="BFBFBF"/>
                          <w:right w:val="single" w:sz="6" w:space="0" w:color="BFBFBF"/>
                        </w:tcBorders>
                      </w:tcPr>
                      <w:p w:rsidR="00E54D2D" w:rsidRPr="00D16A39" w:rsidRDefault="00E54D2D" w:rsidP="00E54D2D">
                        <w:pPr>
                          <w:pStyle w:val="TableColumnHeading"/>
                        </w:pPr>
                        <w:r w:rsidRPr="00D16A39">
                          <w:t>Qld</w:t>
                        </w:r>
                      </w:p>
                    </w:tc>
                    <w:tc>
                      <w:tcPr>
                        <w:tcW w:w="587" w:type="dxa"/>
                        <w:tcBorders>
                          <w:top w:val="single" w:sz="6" w:space="0" w:color="BFBFBF"/>
                          <w:left w:val="single" w:sz="6" w:space="0" w:color="BFBFBF"/>
                          <w:bottom w:val="single" w:sz="6" w:space="0" w:color="BFBFBF"/>
                          <w:right w:val="single" w:sz="6" w:space="0" w:color="BFBFBF"/>
                        </w:tcBorders>
                      </w:tcPr>
                      <w:p w:rsidR="00E54D2D" w:rsidRPr="00D16A39" w:rsidRDefault="00E54D2D" w:rsidP="00E54D2D">
                        <w:pPr>
                          <w:pStyle w:val="TableColumnHeading"/>
                        </w:pPr>
                        <w:r w:rsidRPr="00D16A39">
                          <w:t>WA</w:t>
                        </w:r>
                      </w:p>
                    </w:tc>
                    <w:tc>
                      <w:tcPr>
                        <w:tcW w:w="587" w:type="dxa"/>
                        <w:tcBorders>
                          <w:top w:val="single" w:sz="6" w:space="0" w:color="BFBFBF"/>
                          <w:left w:val="single" w:sz="6" w:space="0" w:color="BFBFBF"/>
                          <w:bottom w:val="single" w:sz="6" w:space="0" w:color="BFBFBF"/>
                          <w:right w:val="single" w:sz="6" w:space="0" w:color="BFBFBF"/>
                        </w:tcBorders>
                      </w:tcPr>
                      <w:p w:rsidR="00E54D2D" w:rsidRPr="00D16A39" w:rsidRDefault="00E54D2D" w:rsidP="00E54D2D">
                        <w:pPr>
                          <w:pStyle w:val="TableColumnHeading"/>
                        </w:pPr>
                        <w:r w:rsidRPr="00D16A39">
                          <w:t>SA</w:t>
                        </w:r>
                      </w:p>
                    </w:tc>
                    <w:tc>
                      <w:tcPr>
                        <w:tcW w:w="587" w:type="dxa"/>
                        <w:tcBorders>
                          <w:top w:val="single" w:sz="6" w:space="0" w:color="BFBFBF"/>
                          <w:left w:val="single" w:sz="6" w:space="0" w:color="BFBFBF"/>
                          <w:bottom w:val="single" w:sz="6" w:space="0" w:color="BFBFBF"/>
                          <w:right w:val="single" w:sz="6" w:space="0" w:color="BFBFBF"/>
                        </w:tcBorders>
                      </w:tcPr>
                      <w:p w:rsidR="00E54D2D" w:rsidRPr="00D16A39" w:rsidRDefault="00E54D2D" w:rsidP="00E54D2D">
                        <w:pPr>
                          <w:pStyle w:val="TableColumnHeading"/>
                        </w:pPr>
                        <w:proofErr w:type="spellStart"/>
                        <w:r w:rsidRPr="00D16A39">
                          <w:t>Tas</w:t>
                        </w:r>
                        <w:proofErr w:type="spellEnd"/>
                        <w:r w:rsidR="00252995">
                          <w:rPr>
                            <w:rStyle w:val="NoteLabel"/>
                            <w:i w:val="0"/>
                          </w:rPr>
                          <w:t>c</w:t>
                        </w:r>
                      </w:p>
                    </w:tc>
                    <w:tc>
                      <w:tcPr>
                        <w:tcW w:w="675" w:type="dxa"/>
                        <w:tcBorders>
                          <w:top w:val="single" w:sz="6" w:space="0" w:color="BFBFBF"/>
                          <w:left w:val="single" w:sz="6" w:space="0" w:color="BFBFBF"/>
                          <w:bottom w:val="single" w:sz="6" w:space="0" w:color="BFBFBF"/>
                          <w:right w:val="single" w:sz="6" w:space="0" w:color="BFBFBF"/>
                        </w:tcBorders>
                      </w:tcPr>
                      <w:p w:rsidR="00E54D2D" w:rsidRPr="00D16A39" w:rsidRDefault="004025F4" w:rsidP="00E54D2D">
                        <w:pPr>
                          <w:pStyle w:val="TableColumnHeading"/>
                        </w:pPr>
                        <w:r>
                          <w:t>ACT</w:t>
                        </w:r>
                        <w:r>
                          <w:rPr>
                            <w:rStyle w:val="NoteLabel"/>
                            <w:i w:val="0"/>
                          </w:rPr>
                          <w:t>c</w:t>
                        </w:r>
                      </w:p>
                    </w:tc>
                    <w:tc>
                      <w:tcPr>
                        <w:tcW w:w="499" w:type="dxa"/>
                        <w:tcBorders>
                          <w:top w:val="single" w:sz="6" w:space="0" w:color="BFBFBF"/>
                          <w:left w:val="single" w:sz="6" w:space="0" w:color="BFBFBF"/>
                          <w:bottom w:val="single" w:sz="6" w:space="0" w:color="BFBFBF"/>
                          <w:right w:val="single" w:sz="6" w:space="0" w:color="BFBFBF"/>
                        </w:tcBorders>
                      </w:tcPr>
                      <w:p w:rsidR="00E54D2D" w:rsidRPr="00D16A39" w:rsidRDefault="00E54D2D" w:rsidP="00E54D2D">
                        <w:pPr>
                          <w:pStyle w:val="TableColumnHeading"/>
                        </w:pPr>
                        <w:r w:rsidRPr="00D16A39">
                          <w:t>NT</w:t>
                        </w:r>
                      </w:p>
                    </w:tc>
                    <w:tc>
                      <w:tcPr>
                        <w:tcW w:w="639" w:type="dxa"/>
                        <w:tcBorders>
                          <w:top w:val="single" w:sz="6" w:space="0" w:color="BFBFBF"/>
                          <w:left w:val="single" w:sz="6" w:space="0" w:color="BFBFBF"/>
                          <w:bottom w:val="single" w:sz="6" w:space="0" w:color="BFBFBF"/>
                          <w:right w:val="single" w:sz="6" w:space="0" w:color="BFBFBF"/>
                        </w:tcBorders>
                        <w:shd w:val="clear" w:color="auto" w:fill="auto"/>
                        <w:tcMar>
                          <w:top w:w="28" w:type="dxa"/>
                        </w:tcMar>
                      </w:tcPr>
                      <w:p w:rsidR="00E54D2D" w:rsidRPr="00D16A39" w:rsidRDefault="00E54D2D" w:rsidP="00E54D2D">
                        <w:pPr>
                          <w:pStyle w:val="TableColumnHeading"/>
                        </w:pPr>
                        <w:proofErr w:type="spellStart"/>
                        <w:r>
                          <w:t>Aus</w:t>
                        </w:r>
                        <w:proofErr w:type="spellEnd"/>
                        <w:r>
                          <w:t xml:space="preserve"> </w:t>
                        </w:r>
                        <w:proofErr w:type="spellStart"/>
                        <w:r>
                          <w:t>Gov</w:t>
                        </w:r>
                        <w:proofErr w:type="spellEnd"/>
                      </w:p>
                    </w:tc>
                  </w:tr>
                  <w:tr w:rsidR="00E54D2D" w:rsidRPr="00171360" w:rsidTr="00BC2652">
                    <w:trPr>
                      <w:gridAfter w:val="7"/>
                      <w:wAfter w:w="4473" w:type="dxa"/>
                    </w:trPr>
                    <w:tc>
                      <w:tcPr>
                        <w:tcW w:w="8488" w:type="dxa"/>
                        <w:gridSpan w:val="10"/>
                        <w:tcBorders>
                          <w:top w:val="single" w:sz="6" w:space="0" w:color="BFBFBF"/>
                          <w:left w:val="single" w:sz="6" w:space="0" w:color="BFBFBF"/>
                          <w:bottom w:val="single" w:sz="6" w:space="0" w:color="BFBFBF"/>
                          <w:right w:val="single" w:sz="6" w:space="0" w:color="BFBFBF"/>
                        </w:tcBorders>
                      </w:tcPr>
                      <w:p w:rsidR="00E54D2D" w:rsidRPr="00171360" w:rsidRDefault="00BC2652" w:rsidP="00E54D2D">
                        <w:pPr>
                          <w:pStyle w:val="TableUnitsRow"/>
                          <w:ind w:right="28"/>
                          <w:jc w:val="left"/>
                          <w:rPr>
                            <w:b/>
                            <w:i/>
                          </w:rPr>
                        </w:pPr>
                        <w:r>
                          <w:rPr>
                            <w:b/>
                            <w:i/>
                          </w:rPr>
                          <w:t>Funded c</w:t>
                        </w:r>
                        <w:r w:rsidR="00E54D2D" w:rsidRPr="00171360">
                          <w:rPr>
                            <w:b/>
                            <w:i/>
                          </w:rPr>
                          <w:t>hild care services</w:t>
                        </w:r>
                      </w:p>
                    </w:tc>
                  </w:tr>
                  <w:tr w:rsidR="00E54D2D" w:rsidTr="003A42BF">
                    <w:trPr>
                      <w:gridAfter w:val="7"/>
                      <w:wAfter w:w="4473" w:type="dxa"/>
                    </w:trPr>
                    <w:tc>
                      <w:tcPr>
                        <w:tcW w:w="3152" w:type="dxa"/>
                        <w:tcBorders>
                          <w:top w:val="single" w:sz="6" w:space="0" w:color="BFBFBF"/>
                          <w:left w:val="single" w:sz="6" w:space="0" w:color="BFBFBF"/>
                          <w:bottom w:val="single" w:sz="6" w:space="0" w:color="BFBFBF"/>
                          <w:right w:val="single" w:sz="6" w:space="0" w:color="BFBFBF"/>
                        </w:tcBorders>
                      </w:tcPr>
                      <w:p w:rsidR="00E54D2D" w:rsidRDefault="00554EE5" w:rsidP="00E54D2D">
                        <w:pPr>
                          <w:pStyle w:val="TableBodyText"/>
                          <w:ind w:left="170"/>
                          <w:jc w:val="left"/>
                        </w:pPr>
                        <w:r>
                          <w:t>Long day care</w:t>
                        </w:r>
                        <w:r w:rsidR="0010137D">
                          <w:t xml:space="preserve"> </w:t>
                        </w:r>
                      </w:p>
                    </w:tc>
                    <w:tc>
                      <w:tcPr>
                        <w:tcW w:w="588" w:type="dxa"/>
                        <w:tcBorders>
                          <w:top w:val="single" w:sz="6" w:space="0" w:color="BFBFBF"/>
                          <w:left w:val="single" w:sz="6" w:space="0" w:color="BFBFBF"/>
                          <w:bottom w:val="single" w:sz="6" w:space="0" w:color="BFBFBF"/>
                          <w:right w:val="single" w:sz="6" w:space="0" w:color="BFBFBF"/>
                        </w:tcBorders>
                        <w:shd w:val="clear" w:color="auto" w:fill="78A22F"/>
                      </w:tcPr>
                      <w:p w:rsidR="00E54D2D" w:rsidRDefault="00E54D2D" w:rsidP="00E54D2D">
                        <w:pPr>
                          <w:pStyle w:val="Note"/>
                          <w:rPr>
                            <w:i/>
                          </w:rPr>
                        </w:pPr>
                      </w:p>
                    </w:tc>
                    <w:tc>
                      <w:tcPr>
                        <w:tcW w:w="587" w:type="dxa"/>
                        <w:tcBorders>
                          <w:top w:val="single" w:sz="6" w:space="0" w:color="BFBFBF"/>
                          <w:left w:val="single" w:sz="6" w:space="0" w:color="BFBFBF"/>
                          <w:bottom w:val="single" w:sz="6" w:space="0" w:color="BFBFBF"/>
                          <w:right w:val="single" w:sz="6" w:space="0" w:color="BFBFBF"/>
                        </w:tcBorders>
                        <w:shd w:val="clear" w:color="auto" w:fill="D3E8B0"/>
                      </w:tcPr>
                      <w:p w:rsidR="00E54D2D" w:rsidRDefault="00E54D2D" w:rsidP="00E54D2D">
                        <w:pPr>
                          <w:pStyle w:val="TableBodyText"/>
                        </w:pPr>
                      </w:p>
                    </w:tc>
                    <w:tc>
                      <w:tcPr>
                        <w:tcW w:w="587" w:type="dxa"/>
                        <w:tcBorders>
                          <w:top w:val="single" w:sz="6" w:space="0" w:color="BFBFBF"/>
                          <w:left w:val="single" w:sz="6" w:space="0" w:color="BFBFBF"/>
                          <w:bottom w:val="single" w:sz="6" w:space="0" w:color="BFBFBF"/>
                          <w:right w:val="single" w:sz="6" w:space="0" w:color="BFBFBF"/>
                        </w:tcBorders>
                        <w:shd w:val="clear" w:color="auto" w:fill="D3E8B0"/>
                      </w:tcPr>
                      <w:p w:rsidR="00E54D2D" w:rsidRDefault="00E54D2D" w:rsidP="00E54D2D">
                        <w:pPr>
                          <w:pStyle w:val="TableBodyText"/>
                        </w:pPr>
                      </w:p>
                    </w:tc>
                    <w:tc>
                      <w:tcPr>
                        <w:tcW w:w="587" w:type="dxa"/>
                        <w:tcBorders>
                          <w:top w:val="single" w:sz="6" w:space="0" w:color="BFBFBF"/>
                          <w:left w:val="single" w:sz="6" w:space="0" w:color="BFBFBF"/>
                          <w:bottom w:val="single" w:sz="6" w:space="0" w:color="BFBFBF"/>
                          <w:right w:val="single" w:sz="6" w:space="0" w:color="BFBFBF"/>
                        </w:tcBorders>
                        <w:shd w:val="clear" w:color="auto" w:fill="78A22F"/>
                      </w:tcPr>
                      <w:p w:rsidR="00E54D2D" w:rsidRDefault="00E54D2D" w:rsidP="00E54D2D">
                        <w:pPr>
                          <w:pStyle w:val="TableBodyText"/>
                        </w:pPr>
                      </w:p>
                    </w:tc>
                    <w:tc>
                      <w:tcPr>
                        <w:tcW w:w="587" w:type="dxa"/>
                        <w:tcBorders>
                          <w:top w:val="single" w:sz="6" w:space="0" w:color="BFBFBF"/>
                          <w:left w:val="single" w:sz="6" w:space="0" w:color="BFBFBF"/>
                          <w:bottom w:val="single" w:sz="6" w:space="0" w:color="BFBFBF"/>
                          <w:right w:val="single" w:sz="6" w:space="0" w:color="BFBFBF"/>
                        </w:tcBorders>
                        <w:shd w:val="clear" w:color="auto" w:fill="78A22F"/>
                      </w:tcPr>
                      <w:p w:rsidR="00E54D2D" w:rsidRDefault="00E54D2D" w:rsidP="00E54D2D">
                        <w:pPr>
                          <w:pStyle w:val="TableBodyText"/>
                        </w:pPr>
                      </w:p>
                    </w:tc>
                    <w:tc>
                      <w:tcPr>
                        <w:tcW w:w="587" w:type="dxa"/>
                        <w:tcBorders>
                          <w:top w:val="single" w:sz="6" w:space="0" w:color="BFBFBF"/>
                          <w:left w:val="single" w:sz="6" w:space="0" w:color="BFBFBF"/>
                          <w:bottom w:val="single" w:sz="6" w:space="0" w:color="BFBFBF"/>
                          <w:right w:val="single" w:sz="6" w:space="0" w:color="BFBFBF"/>
                        </w:tcBorders>
                        <w:shd w:val="clear" w:color="auto" w:fill="D3E8B0"/>
                      </w:tcPr>
                      <w:p w:rsidR="00E54D2D" w:rsidRDefault="00E54D2D" w:rsidP="00E54D2D">
                        <w:pPr>
                          <w:pStyle w:val="TableBodyText"/>
                        </w:pPr>
                      </w:p>
                    </w:tc>
                    <w:tc>
                      <w:tcPr>
                        <w:tcW w:w="675" w:type="dxa"/>
                        <w:tcBorders>
                          <w:top w:val="single" w:sz="6" w:space="0" w:color="BFBFBF"/>
                          <w:left w:val="single" w:sz="6" w:space="0" w:color="BFBFBF"/>
                          <w:bottom w:val="single" w:sz="6" w:space="0" w:color="BFBFBF"/>
                          <w:right w:val="single" w:sz="6" w:space="0" w:color="BFBFBF"/>
                        </w:tcBorders>
                        <w:shd w:val="clear" w:color="auto" w:fill="D3E8B0"/>
                      </w:tcPr>
                      <w:p w:rsidR="00E54D2D" w:rsidRDefault="00E54D2D" w:rsidP="00E54D2D">
                        <w:pPr>
                          <w:pStyle w:val="TableBodyText"/>
                        </w:pPr>
                      </w:p>
                    </w:tc>
                    <w:tc>
                      <w:tcPr>
                        <w:tcW w:w="499" w:type="dxa"/>
                        <w:tcBorders>
                          <w:top w:val="single" w:sz="6" w:space="0" w:color="BFBFBF"/>
                          <w:left w:val="single" w:sz="6" w:space="0" w:color="BFBFBF"/>
                          <w:bottom w:val="single" w:sz="6" w:space="0" w:color="BFBFBF"/>
                          <w:right w:val="single" w:sz="6" w:space="0" w:color="BFBFBF"/>
                        </w:tcBorders>
                        <w:shd w:val="clear" w:color="auto" w:fill="78A22F"/>
                      </w:tcPr>
                      <w:p w:rsidR="00E54D2D" w:rsidRDefault="00E54D2D" w:rsidP="00E54D2D">
                        <w:pPr>
                          <w:pStyle w:val="TableBodyText"/>
                        </w:pPr>
                      </w:p>
                    </w:tc>
                    <w:tc>
                      <w:tcPr>
                        <w:tcW w:w="639" w:type="dxa"/>
                        <w:tcBorders>
                          <w:top w:val="single" w:sz="6" w:space="0" w:color="BFBFBF"/>
                          <w:left w:val="single" w:sz="6" w:space="0" w:color="BFBFBF"/>
                          <w:bottom w:val="single" w:sz="6" w:space="0" w:color="BFBFBF"/>
                        </w:tcBorders>
                        <w:shd w:val="clear" w:color="auto" w:fill="78A22F"/>
                      </w:tcPr>
                      <w:p w:rsidR="00E54D2D" w:rsidRDefault="00E54D2D" w:rsidP="00E54D2D">
                        <w:pPr>
                          <w:pStyle w:val="TableBodyText"/>
                        </w:pPr>
                      </w:p>
                    </w:tc>
                  </w:tr>
                  <w:tr w:rsidR="00E54D2D" w:rsidTr="003A42BF">
                    <w:trPr>
                      <w:gridAfter w:val="7"/>
                      <w:wAfter w:w="4473" w:type="dxa"/>
                    </w:trPr>
                    <w:tc>
                      <w:tcPr>
                        <w:tcW w:w="3152" w:type="dxa"/>
                        <w:tcBorders>
                          <w:top w:val="single" w:sz="6" w:space="0" w:color="BFBFBF"/>
                          <w:left w:val="single" w:sz="6" w:space="0" w:color="BFBFBF"/>
                          <w:bottom w:val="single" w:sz="6" w:space="0" w:color="BFBFBF"/>
                          <w:right w:val="single" w:sz="6" w:space="0" w:color="BFBFBF"/>
                        </w:tcBorders>
                        <w:shd w:val="clear" w:color="auto" w:fill="auto"/>
                      </w:tcPr>
                      <w:p w:rsidR="00E54D2D" w:rsidRDefault="00E54D2D" w:rsidP="00E54D2D">
                        <w:pPr>
                          <w:pStyle w:val="TableBodyText"/>
                          <w:ind w:left="170"/>
                          <w:jc w:val="left"/>
                        </w:pPr>
                        <w:r>
                          <w:t>Family day care</w:t>
                        </w:r>
                      </w:p>
                    </w:tc>
                    <w:tc>
                      <w:tcPr>
                        <w:tcW w:w="588" w:type="dxa"/>
                        <w:tcBorders>
                          <w:top w:val="single" w:sz="6" w:space="0" w:color="BFBFBF"/>
                          <w:left w:val="single" w:sz="6" w:space="0" w:color="BFBFBF"/>
                          <w:bottom w:val="single" w:sz="6" w:space="0" w:color="BFBFBF"/>
                          <w:right w:val="single" w:sz="6" w:space="0" w:color="BFBFBF"/>
                        </w:tcBorders>
                        <w:shd w:val="clear" w:color="auto" w:fill="D3E8B0"/>
                      </w:tcPr>
                      <w:p w:rsidR="00E54D2D" w:rsidRDefault="00E54D2D" w:rsidP="00E54D2D">
                        <w:pPr>
                          <w:pStyle w:val="TableBodyText"/>
                        </w:pPr>
                      </w:p>
                    </w:tc>
                    <w:tc>
                      <w:tcPr>
                        <w:tcW w:w="587" w:type="dxa"/>
                        <w:tcBorders>
                          <w:top w:val="single" w:sz="6" w:space="0" w:color="BFBFBF"/>
                          <w:left w:val="single" w:sz="6" w:space="0" w:color="BFBFBF"/>
                          <w:bottom w:val="single" w:sz="6" w:space="0" w:color="BFBFBF"/>
                          <w:right w:val="single" w:sz="6" w:space="0" w:color="BFBFBF"/>
                        </w:tcBorders>
                        <w:shd w:val="clear" w:color="auto" w:fill="D3E8B0"/>
                      </w:tcPr>
                      <w:p w:rsidR="00E54D2D" w:rsidRDefault="00E54D2D" w:rsidP="00E54D2D">
                        <w:pPr>
                          <w:pStyle w:val="TableBodyText"/>
                        </w:pPr>
                      </w:p>
                    </w:tc>
                    <w:tc>
                      <w:tcPr>
                        <w:tcW w:w="587" w:type="dxa"/>
                        <w:tcBorders>
                          <w:top w:val="single" w:sz="6" w:space="0" w:color="BFBFBF"/>
                          <w:left w:val="single" w:sz="6" w:space="0" w:color="BFBFBF"/>
                          <w:bottom w:val="single" w:sz="6" w:space="0" w:color="BFBFBF"/>
                          <w:right w:val="single" w:sz="6" w:space="0" w:color="BFBFBF"/>
                        </w:tcBorders>
                        <w:shd w:val="clear" w:color="auto" w:fill="D3E8B0"/>
                      </w:tcPr>
                      <w:p w:rsidR="00E54D2D" w:rsidRDefault="00E54D2D" w:rsidP="00E54D2D">
                        <w:pPr>
                          <w:pStyle w:val="TableBodyText"/>
                        </w:pPr>
                      </w:p>
                    </w:tc>
                    <w:tc>
                      <w:tcPr>
                        <w:tcW w:w="587" w:type="dxa"/>
                        <w:tcBorders>
                          <w:top w:val="single" w:sz="6" w:space="0" w:color="BFBFBF"/>
                          <w:left w:val="single" w:sz="6" w:space="0" w:color="BFBFBF"/>
                          <w:bottom w:val="single" w:sz="6" w:space="0" w:color="BFBFBF"/>
                          <w:right w:val="single" w:sz="6" w:space="0" w:color="BFBFBF"/>
                        </w:tcBorders>
                        <w:shd w:val="clear" w:color="auto" w:fill="78A22F"/>
                      </w:tcPr>
                      <w:p w:rsidR="00E54D2D" w:rsidRDefault="00E54D2D" w:rsidP="00E54D2D">
                        <w:pPr>
                          <w:pStyle w:val="TableBodyText"/>
                        </w:pPr>
                      </w:p>
                    </w:tc>
                    <w:tc>
                      <w:tcPr>
                        <w:tcW w:w="587" w:type="dxa"/>
                        <w:tcBorders>
                          <w:top w:val="single" w:sz="6" w:space="0" w:color="BFBFBF"/>
                          <w:left w:val="single" w:sz="6" w:space="0" w:color="BFBFBF"/>
                          <w:bottom w:val="single" w:sz="6" w:space="0" w:color="BFBFBF"/>
                          <w:right w:val="single" w:sz="6" w:space="0" w:color="BFBFBF"/>
                        </w:tcBorders>
                        <w:shd w:val="clear" w:color="auto" w:fill="D3E8B0"/>
                      </w:tcPr>
                      <w:p w:rsidR="00E54D2D" w:rsidRDefault="00E54D2D" w:rsidP="00E54D2D">
                        <w:pPr>
                          <w:pStyle w:val="TableBodyText"/>
                        </w:pPr>
                      </w:p>
                    </w:tc>
                    <w:tc>
                      <w:tcPr>
                        <w:tcW w:w="587" w:type="dxa"/>
                        <w:tcBorders>
                          <w:top w:val="single" w:sz="6" w:space="0" w:color="BFBFBF"/>
                          <w:left w:val="single" w:sz="6" w:space="0" w:color="BFBFBF"/>
                          <w:bottom w:val="single" w:sz="6" w:space="0" w:color="BFBFBF"/>
                          <w:right w:val="single" w:sz="6" w:space="0" w:color="BFBFBF"/>
                        </w:tcBorders>
                        <w:shd w:val="clear" w:color="auto" w:fill="D3E8B0"/>
                      </w:tcPr>
                      <w:p w:rsidR="00E54D2D" w:rsidRDefault="00E54D2D" w:rsidP="00E54D2D">
                        <w:pPr>
                          <w:pStyle w:val="TableBodyText"/>
                        </w:pPr>
                      </w:p>
                    </w:tc>
                    <w:tc>
                      <w:tcPr>
                        <w:tcW w:w="675" w:type="dxa"/>
                        <w:tcBorders>
                          <w:top w:val="single" w:sz="6" w:space="0" w:color="BFBFBF"/>
                          <w:left w:val="single" w:sz="6" w:space="0" w:color="BFBFBF"/>
                          <w:bottom w:val="single" w:sz="6" w:space="0" w:color="BFBFBF"/>
                          <w:right w:val="single" w:sz="6" w:space="0" w:color="BFBFBF"/>
                        </w:tcBorders>
                        <w:shd w:val="clear" w:color="auto" w:fill="D3E8B0"/>
                      </w:tcPr>
                      <w:p w:rsidR="00E54D2D" w:rsidRDefault="00E54D2D" w:rsidP="00E54D2D">
                        <w:pPr>
                          <w:pStyle w:val="TableBodyText"/>
                        </w:pPr>
                      </w:p>
                    </w:tc>
                    <w:tc>
                      <w:tcPr>
                        <w:tcW w:w="499" w:type="dxa"/>
                        <w:tcBorders>
                          <w:top w:val="single" w:sz="6" w:space="0" w:color="BFBFBF"/>
                          <w:left w:val="single" w:sz="6" w:space="0" w:color="BFBFBF"/>
                          <w:bottom w:val="single" w:sz="6" w:space="0" w:color="BFBFBF"/>
                          <w:right w:val="single" w:sz="6" w:space="0" w:color="BFBFBF"/>
                        </w:tcBorders>
                        <w:shd w:val="clear" w:color="auto" w:fill="78A22F"/>
                      </w:tcPr>
                      <w:p w:rsidR="00E54D2D" w:rsidRDefault="00E54D2D" w:rsidP="00E54D2D">
                        <w:pPr>
                          <w:pStyle w:val="TableBodyText"/>
                        </w:pPr>
                      </w:p>
                    </w:tc>
                    <w:tc>
                      <w:tcPr>
                        <w:tcW w:w="639" w:type="dxa"/>
                        <w:tcBorders>
                          <w:top w:val="single" w:sz="6" w:space="0" w:color="BFBFBF"/>
                          <w:left w:val="single" w:sz="6" w:space="0" w:color="BFBFBF"/>
                          <w:bottom w:val="single" w:sz="6" w:space="0" w:color="BFBFBF"/>
                        </w:tcBorders>
                        <w:shd w:val="clear" w:color="auto" w:fill="78A22F"/>
                      </w:tcPr>
                      <w:p w:rsidR="00E54D2D" w:rsidRDefault="00E54D2D" w:rsidP="00E54D2D">
                        <w:pPr>
                          <w:pStyle w:val="TableBodyText"/>
                        </w:pPr>
                      </w:p>
                    </w:tc>
                  </w:tr>
                  <w:tr w:rsidR="00E54D2D" w:rsidTr="004025F4">
                    <w:trPr>
                      <w:gridAfter w:val="7"/>
                      <w:wAfter w:w="4473" w:type="dxa"/>
                    </w:trPr>
                    <w:tc>
                      <w:tcPr>
                        <w:tcW w:w="3152" w:type="dxa"/>
                        <w:tcBorders>
                          <w:top w:val="single" w:sz="6" w:space="0" w:color="BFBFBF"/>
                          <w:left w:val="single" w:sz="6" w:space="0" w:color="BFBFBF"/>
                          <w:bottom w:val="single" w:sz="6" w:space="0" w:color="BFBFBF"/>
                          <w:right w:val="single" w:sz="6" w:space="0" w:color="BFBFBF"/>
                        </w:tcBorders>
                        <w:shd w:val="clear" w:color="auto" w:fill="auto"/>
                      </w:tcPr>
                      <w:p w:rsidR="00E54D2D" w:rsidRDefault="0010137D" w:rsidP="00E54D2D">
                        <w:pPr>
                          <w:pStyle w:val="TableBodyText"/>
                          <w:ind w:left="170"/>
                          <w:jc w:val="left"/>
                        </w:pPr>
                        <w:proofErr w:type="spellStart"/>
                        <w:r>
                          <w:t>OSHC</w:t>
                        </w:r>
                        <w:proofErr w:type="spellEnd"/>
                      </w:p>
                    </w:tc>
                    <w:tc>
                      <w:tcPr>
                        <w:tcW w:w="588" w:type="dxa"/>
                        <w:tcBorders>
                          <w:top w:val="single" w:sz="6" w:space="0" w:color="BFBFBF"/>
                          <w:left w:val="single" w:sz="6" w:space="0" w:color="BFBFBF"/>
                          <w:bottom w:val="single" w:sz="6" w:space="0" w:color="BFBFBF"/>
                          <w:right w:val="single" w:sz="6" w:space="0" w:color="BFBFBF"/>
                        </w:tcBorders>
                        <w:shd w:val="clear" w:color="auto" w:fill="D3E8B0"/>
                      </w:tcPr>
                      <w:p w:rsidR="00E54D2D" w:rsidRDefault="00E54D2D" w:rsidP="00E54D2D">
                        <w:pPr>
                          <w:pStyle w:val="TableBodyText"/>
                        </w:pPr>
                      </w:p>
                    </w:tc>
                    <w:tc>
                      <w:tcPr>
                        <w:tcW w:w="587" w:type="dxa"/>
                        <w:tcBorders>
                          <w:top w:val="single" w:sz="6" w:space="0" w:color="BFBFBF"/>
                          <w:left w:val="single" w:sz="6" w:space="0" w:color="BFBFBF"/>
                          <w:bottom w:val="single" w:sz="6" w:space="0" w:color="BFBFBF"/>
                          <w:right w:val="single" w:sz="6" w:space="0" w:color="BFBFBF"/>
                        </w:tcBorders>
                        <w:shd w:val="clear" w:color="auto" w:fill="D3E8B0"/>
                      </w:tcPr>
                      <w:p w:rsidR="00E54D2D" w:rsidRDefault="00E54D2D" w:rsidP="00E54D2D">
                        <w:pPr>
                          <w:pStyle w:val="TableBodyText"/>
                        </w:pPr>
                      </w:p>
                    </w:tc>
                    <w:tc>
                      <w:tcPr>
                        <w:tcW w:w="587" w:type="dxa"/>
                        <w:tcBorders>
                          <w:top w:val="single" w:sz="6" w:space="0" w:color="BFBFBF"/>
                          <w:left w:val="single" w:sz="6" w:space="0" w:color="BFBFBF"/>
                          <w:bottom w:val="single" w:sz="6" w:space="0" w:color="BFBFBF"/>
                          <w:right w:val="single" w:sz="6" w:space="0" w:color="BFBFBF"/>
                        </w:tcBorders>
                        <w:shd w:val="clear" w:color="auto" w:fill="78A22F"/>
                      </w:tcPr>
                      <w:p w:rsidR="00E54D2D" w:rsidRDefault="00E54D2D" w:rsidP="00E54D2D">
                        <w:pPr>
                          <w:pStyle w:val="TableBodyText"/>
                        </w:pPr>
                      </w:p>
                    </w:tc>
                    <w:tc>
                      <w:tcPr>
                        <w:tcW w:w="587" w:type="dxa"/>
                        <w:tcBorders>
                          <w:top w:val="single" w:sz="6" w:space="0" w:color="BFBFBF"/>
                          <w:left w:val="single" w:sz="6" w:space="0" w:color="BFBFBF"/>
                          <w:bottom w:val="single" w:sz="6" w:space="0" w:color="BFBFBF"/>
                          <w:right w:val="single" w:sz="6" w:space="0" w:color="BFBFBF"/>
                        </w:tcBorders>
                        <w:shd w:val="clear" w:color="auto" w:fill="78A22F"/>
                      </w:tcPr>
                      <w:p w:rsidR="00E54D2D" w:rsidRDefault="00E54D2D" w:rsidP="00E54D2D">
                        <w:pPr>
                          <w:pStyle w:val="TableBodyText"/>
                        </w:pPr>
                      </w:p>
                    </w:tc>
                    <w:tc>
                      <w:tcPr>
                        <w:tcW w:w="587" w:type="dxa"/>
                        <w:tcBorders>
                          <w:top w:val="single" w:sz="6" w:space="0" w:color="BFBFBF"/>
                          <w:left w:val="single" w:sz="6" w:space="0" w:color="BFBFBF"/>
                          <w:bottom w:val="single" w:sz="6" w:space="0" w:color="BFBFBF"/>
                          <w:right w:val="single" w:sz="6" w:space="0" w:color="BFBFBF"/>
                        </w:tcBorders>
                        <w:shd w:val="clear" w:color="auto" w:fill="D3E8B0"/>
                      </w:tcPr>
                      <w:p w:rsidR="00E54D2D" w:rsidRDefault="00E54D2D" w:rsidP="00E54D2D">
                        <w:pPr>
                          <w:pStyle w:val="TableBodyText"/>
                        </w:pPr>
                      </w:p>
                    </w:tc>
                    <w:tc>
                      <w:tcPr>
                        <w:tcW w:w="587" w:type="dxa"/>
                        <w:tcBorders>
                          <w:top w:val="single" w:sz="6" w:space="0" w:color="BFBFBF"/>
                          <w:left w:val="single" w:sz="6" w:space="0" w:color="BFBFBF"/>
                          <w:bottom w:val="single" w:sz="6" w:space="0" w:color="BFBFBF"/>
                          <w:right w:val="single" w:sz="6" w:space="0" w:color="BFBFBF"/>
                        </w:tcBorders>
                        <w:shd w:val="clear" w:color="auto" w:fill="D3E8B0"/>
                      </w:tcPr>
                      <w:p w:rsidR="00E54D2D" w:rsidRDefault="00E54D2D" w:rsidP="00E54D2D">
                        <w:pPr>
                          <w:pStyle w:val="TableBodyText"/>
                        </w:pPr>
                      </w:p>
                    </w:tc>
                    <w:tc>
                      <w:tcPr>
                        <w:tcW w:w="675" w:type="dxa"/>
                        <w:tcBorders>
                          <w:top w:val="single" w:sz="6" w:space="0" w:color="BFBFBF"/>
                          <w:left w:val="single" w:sz="6" w:space="0" w:color="BFBFBF"/>
                          <w:bottom w:val="single" w:sz="6" w:space="0" w:color="BFBFBF"/>
                          <w:right w:val="single" w:sz="6" w:space="0" w:color="BFBFBF"/>
                        </w:tcBorders>
                        <w:shd w:val="clear" w:color="auto" w:fill="D3E8B0"/>
                      </w:tcPr>
                      <w:p w:rsidR="00E54D2D" w:rsidRDefault="00E54D2D" w:rsidP="00E54D2D">
                        <w:pPr>
                          <w:pStyle w:val="TableBodyText"/>
                        </w:pPr>
                      </w:p>
                    </w:tc>
                    <w:tc>
                      <w:tcPr>
                        <w:tcW w:w="499" w:type="dxa"/>
                        <w:tcBorders>
                          <w:top w:val="single" w:sz="6" w:space="0" w:color="BFBFBF"/>
                          <w:left w:val="single" w:sz="6" w:space="0" w:color="BFBFBF"/>
                          <w:bottom w:val="single" w:sz="6" w:space="0" w:color="BFBFBF"/>
                          <w:right w:val="single" w:sz="6" w:space="0" w:color="BFBFBF"/>
                        </w:tcBorders>
                        <w:shd w:val="clear" w:color="auto" w:fill="D3E8B0"/>
                      </w:tcPr>
                      <w:p w:rsidR="00E54D2D" w:rsidRDefault="00E54D2D" w:rsidP="00E54D2D">
                        <w:pPr>
                          <w:pStyle w:val="TableBodyText"/>
                        </w:pPr>
                      </w:p>
                    </w:tc>
                    <w:tc>
                      <w:tcPr>
                        <w:tcW w:w="639" w:type="dxa"/>
                        <w:tcBorders>
                          <w:top w:val="single" w:sz="6" w:space="0" w:color="BFBFBF"/>
                          <w:left w:val="single" w:sz="6" w:space="0" w:color="BFBFBF"/>
                          <w:bottom w:val="single" w:sz="6" w:space="0" w:color="BFBFBF"/>
                        </w:tcBorders>
                        <w:shd w:val="clear" w:color="auto" w:fill="78A22F"/>
                      </w:tcPr>
                      <w:p w:rsidR="00E54D2D" w:rsidRDefault="00E54D2D" w:rsidP="00E54D2D">
                        <w:pPr>
                          <w:pStyle w:val="TableBodyText"/>
                        </w:pPr>
                      </w:p>
                    </w:tc>
                  </w:tr>
                  <w:tr w:rsidR="00E54D2D" w:rsidTr="004025F4">
                    <w:trPr>
                      <w:gridAfter w:val="7"/>
                      <w:wAfter w:w="4473" w:type="dxa"/>
                    </w:trPr>
                    <w:tc>
                      <w:tcPr>
                        <w:tcW w:w="3152" w:type="dxa"/>
                        <w:tcBorders>
                          <w:top w:val="single" w:sz="6" w:space="0" w:color="BFBFBF"/>
                          <w:left w:val="single" w:sz="6" w:space="0" w:color="BFBFBF"/>
                          <w:bottom w:val="single" w:sz="6" w:space="0" w:color="BFBFBF"/>
                          <w:right w:val="single" w:sz="6" w:space="0" w:color="BFBFBF"/>
                        </w:tcBorders>
                        <w:shd w:val="clear" w:color="auto" w:fill="auto"/>
                      </w:tcPr>
                      <w:p w:rsidR="00E54D2D" w:rsidRDefault="00E54D2D" w:rsidP="00E54D2D">
                        <w:pPr>
                          <w:pStyle w:val="TableBodyText"/>
                          <w:ind w:left="170"/>
                          <w:jc w:val="left"/>
                        </w:pPr>
                        <w:r>
                          <w:t>Vacation care</w:t>
                        </w:r>
                      </w:p>
                    </w:tc>
                    <w:tc>
                      <w:tcPr>
                        <w:tcW w:w="588" w:type="dxa"/>
                        <w:tcBorders>
                          <w:top w:val="single" w:sz="6" w:space="0" w:color="BFBFBF"/>
                          <w:left w:val="single" w:sz="6" w:space="0" w:color="BFBFBF"/>
                          <w:bottom w:val="single" w:sz="6" w:space="0" w:color="BFBFBF"/>
                          <w:right w:val="single" w:sz="6" w:space="0" w:color="BFBFBF"/>
                        </w:tcBorders>
                        <w:shd w:val="clear" w:color="auto" w:fill="78A22F"/>
                      </w:tcPr>
                      <w:p w:rsidR="00E54D2D" w:rsidRDefault="00E54D2D" w:rsidP="00E54D2D">
                        <w:pPr>
                          <w:pStyle w:val="TableBodyText"/>
                        </w:pPr>
                      </w:p>
                    </w:tc>
                    <w:tc>
                      <w:tcPr>
                        <w:tcW w:w="587" w:type="dxa"/>
                        <w:tcBorders>
                          <w:top w:val="single" w:sz="6" w:space="0" w:color="BFBFBF"/>
                          <w:left w:val="single" w:sz="6" w:space="0" w:color="BFBFBF"/>
                          <w:bottom w:val="single" w:sz="6" w:space="0" w:color="BFBFBF"/>
                          <w:right w:val="single" w:sz="6" w:space="0" w:color="BFBFBF"/>
                        </w:tcBorders>
                        <w:shd w:val="clear" w:color="auto" w:fill="D3E8B0"/>
                      </w:tcPr>
                      <w:p w:rsidR="00E54D2D" w:rsidRDefault="00E54D2D" w:rsidP="00E54D2D">
                        <w:pPr>
                          <w:pStyle w:val="TableBodyText"/>
                        </w:pPr>
                      </w:p>
                    </w:tc>
                    <w:tc>
                      <w:tcPr>
                        <w:tcW w:w="587" w:type="dxa"/>
                        <w:tcBorders>
                          <w:top w:val="single" w:sz="6" w:space="0" w:color="BFBFBF"/>
                          <w:left w:val="single" w:sz="6" w:space="0" w:color="BFBFBF"/>
                          <w:bottom w:val="single" w:sz="6" w:space="0" w:color="BFBFBF"/>
                          <w:right w:val="single" w:sz="6" w:space="0" w:color="BFBFBF"/>
                        </w:tcBorders>
                        <w:shd w:val="clear" w:color="auto" w:fill="78A22F"/>
                      </w:tcPr>
                      <w:p w:rsidR="00E54D2D" w:rsidRDefault="00E54D2D" w:rsidP="00E54D2D">
                        <w:pPr>
                          <w:pStyle w:val="TableBodyText"/>
                        </w:pPr>
                      </w:p>
                    </w:tc>
                    <w:tc>
                      <w:tcPr>
                        <w:tcW w:w="587" w:type="dxa"/>
                        <w:tcBorders>
                          <w:top w:val="single" w:sz="6" w:space="0" w:color="BFBFBF"/>
                          <w:left w:val="single" w:sz="6" w:space="0" w:color="BFBFBF"/>
                          <w:bottom w:val="single" w:sz="6" w:space="0" w:color="BFBFBF"/>
                          <w:right w:val="single" w:sz="6" w:space="0" w:color="BFBFBF"/>
                        </w:tcBorders>
                        <w:shd w:val="clear" w:color="auto" w:fill="78A22F"/>
                      </w:tcPr>
                      <w:p w:rsidR="00E54D2D" w:rsidRDefault="00E54D2D" w:rsidP="00E54D2D">
                        <w:pPr>
                          <w:pStyle w:val="TableBodyText"/>
                        </w:pPr>
                      </w:p>
                    </w:tc>
                    <w:tc>
                      <w:tcPr>
                        <w:tcW w:w="587" w:type="dxa"/>
                        <w:tcBorders>
                          <w:top w:val="single" w:sz="6" w:space="0" w:color="BFBFBF"/>
                          <w:left w:val="single" w:sz="6" w:space="0" w:color="BFBFBF"/>
                          <w:bottom w:val="single" w:sz="6" w:space="0" w:color="BFBFBF"/>
                          <w:right w:val="single" w:sz="6" w:space="0" w:color="BFBFBF"/>
                        </w:tcBorders>
                        <w:shd w:val="clear" w:color="auto" w:fill="D3E8B0"/>
                      </w:tcPr>
                      <w:p w:rsidR="00E54D2D" w:rsidRDefault="00E54D2D" w:rsidP="00E54D2D">
                        <w:pPr>
                          <w:pStyle w:val="TableBodyText"/>
                        </w:pPr>
                      </w:p>
                    </w:tc>
                    <w:tc>
                      <w:tcPr>
                        <w:tcW w:w="587" w:type="dxa"/>
                        <w:tcBorders>
                          <w:top w:val="single" w:sz="6" w:space="0" w:color="BFBFBF"/>
                          <w:left w:val="single" w:sz="6" w:space="0" w:color="BFBFBF"/>
                          <w:bottom w:val="single" w:sz="6" w:space="0" w:color="BFBFBF"/>
                          <w:right w:val="single" w:sz="6" w:space="0" w:color="BFBFBF"/>
                        </w:tcBorders>
                        <w:shd w:val="clear" w:color="auto" w:fill="78A22F"/>
                      </w:tcPr>
                      <w:p w:rsidR="00E54D2D" w:rsidRDefault="00E54D2D" w:rsidP="00E54D2D">
                        <w:pPr>
                          <w:pStyle w:val="TableBodyText"/>
                        </w:pPr>
                      </w:p>
                    </w:tc>
                    <w:tc>
                      <w:tcPr>
                        <w:tcW w:w="675" w:type="dxa"/>
                        <w:tcBorders>
                          <w:top w:val="single" w:sz="6" w:space="0" w:color="BFBFBF"/>
                          <w:left w:val="single" w:sz="6" w:space="0" w:color="BFBFBF"/>
                          <w:bottom w:val="single" w:sz="6" w:space="0" w:color="BFBFBF"/>
                          <w:right w:val="single" w:sz="6" w:space="0" w:color="BFBFBF"/>
                        </w:tcBorders>
                        <w:shd w:val="clear" w:color="auto" w:fill="D3E8B0"/>
                      </w:tcPr>
                      <w:p w:rsidR="00E54D2D" w:rsidRDefault="00E54D2D" w:rsidP="00E54D2D">
                        <w:pPr>
                          <w:pStyle w:val="TableBodyText"/>
                        </w:pPr>
                      </w:p>
                    </w:tc>
                    <w:tc>
                      <w:tcPr>
                        <w:tcW w:w="499" w:type="dxa"/>
                        <w:tcBorders>
                          <w:top w:val="single" w:sz="6" w:space="0" w:color="BFBFBF"/>
                          <w:left w:val="single" w:sz="6" w:space="0" w:color="BFBFBF"/>
                          <w:bottom w:val="single" w:sz="6" w:space="0" w:color="BFBFBF"/>
                          <w:right w:val="single" w:sz="6" w:space="0" w:color="BFBFBF"/>
                        </w:tcBorders>
                        <w:shd w:val="clear" w:color="auto" w:fill="D3E8B0"/>
                      </w:tcPr>
                      <w:p w:rsidR="00E54D2D" w:rsidRDefault="00E54D2D" w:rsidP="00E54D2D">
                        <w:pPr>
                          <w:pStyle w:val="TableBodyText"/>
                        </w:pPr>
                      </w:p>
                    </w:tc>
                    <w:tc>
                      <w:tcPr>
                        <w:tcW w:w="639" w:type="dxa"/>
                        <w:tcBorders>
                          <w:top w:val="single" w:sz="6" w:space="0" w:color="BFBFBF"/>
                          <w:left w:val="single" w:sz="6" w:space="0" w:color="BFBFBF"/>
                          <w:bottom w:val="single" w:sz="6" w:space="0" w:color="BFBFBF"/>
                        </w:tcBorders>
                        <w:shd w:val="clear" w:color="auto" w:fill="78A22F"/>
                      </w:tcPr>
                      <w:p w:rsidR="00E54D2D" w:rsidRDefault="00E54D2D" w:rsidP="00E54D2D">
                        <w:pPr>
                          <w:pStyle w:val="TableBodyText"/>
                        </w:pPr>
                      </w:p>
                    </w:tc>
                  </w:tr>
                  <w:tr w:rsidR="00E54D2D" w:rsidTr="004025F4">
                    <w:trPr>
                      <w:gridAfter w:val="7"/>
                      <w:wAfter w:w="4473" w:type="dxa"/>
                    </w:trPr>
                    <w:tc>
                      <w:tcPr>
                        <w:tcW w:w="3152" w:type="dxa"/>
                        <w:tcBorders>
                          <w:top w:val="single" w:sz="6" w:space="0" w:color="BFBFBF"/>
                          <w:left w:val="single" w:sz="6" w:space="0" w:color="BFBFBF"/>
                          <w:bottom w:val="single" w:sz="6" w:space="0" w:color="BFBFBF"/>
                          <w:right w:val="single" w:sz="6" w:space="0" w:color="BFBFBF"/>
                        </w:tcBorders>
                        <w:shd w:val="clear" w:color="auto" w:fill="auto"/>
                      </w:tcPr>
                      <w:p w:rsidR="00E54D2D" w:rsidRDefault="00E54D2D" w:rsidP="00E54D2D">
                        <w:pPr>
                          <w:pStyle w:val="TableBodyText"/>
                          <w:ind w:left="170"/>
                          <w:jc w:val="left"/>
                        </w:pPr>
                        <w:r>
                          <w:t>Occasional care</w:t>
                        </w:r>
                      </w:p>
                    </w:tc>
                    <w:tc>
                      <w:tcPr>
                        <w:tcW w:w="588" w:type="dxa"/>
                        <w:tcBorders>
                          <w:top w:val="single" w:sz="6" w:space="0" w:color="BFBFBF"/>
                          <w:left w:val="single" w:sz="6" w:space="0" w:color="BFBFBF"/>
                          <w:bottom w:val="single" w:sz="6" w:space="0" w:color="BFBFBF"/>
                          <w:right w:val="single" w:sz="6" w:space="0" w:color="BFBFBF"/>
                        </w:tcBorders>
                        <w:shd w:val="clear" w:color="auto" w:fill="78A22F"/>
                      </w:tcPr>
                      <w:p w:rsidR="00E54D2D" w:rsidRDefault="00E54D2D" w:rsidP="00E54D2D">
                        <w:pPr>
                          <w:pStyle w:val="TableBodyText"/>
                        </w:pPr>
                      </w:p>
                    </w:tc>
                    <w:tc>
                      <w:tcPr>
                        <w:tcW w:w="587" w:type="dxa"/>
                        <w:tcBorders>
                          <w:top w:val="single" w:sz="6" w:space="0" w:color="BFBFBF"/>
                          <w:left w:val="single" w:sz="6" w:space="0" w:color="BFBFBF"/>
                          <w:bottom w:val="single" w:sz="6" w:space="0" w:color="BFBFBF"/>
                          <w:right w:val="single" w:sz="6" w:space="0" w:color="BFBFBF"/>
                        </w:tcBorders>
                        <w:shd w:val="clear" w:color="auto" w:fill="78A22F"/>
                      </w:tcPr>
                      <w:p w:rsidR="00E54D2D" w:rsidRDefault="00E54D2D" w:rsidP="00E54D2D">
                        <w:pPr>
                          <w:pStyle w:val="TableBodyText"/>
                        </w:pPr>
                      </w:p>
                    </w:tc>
                    <w:tc>
                      <w:tcPr>
                        <w:tcW w:w="587" w:type="dxa"/>
                        <w:tcBorders>
                          <w:top w:val="single" w:sz="6" w:space="0" w:color="BFBFBF"/>
                          <w:left w:val="single" w:sz="6" w:space="0" w:color="BFBFBF"/>
                          <w:bottom w:val="single" w:sz="6" w:space="0" w:color="BFBFBF"/>
                          <w:right w:val="single" w:sz="6" w:space="0" w:color="BFBFBF"/>
                        </w:tcBorders>
                        <w:shd w:val="clear" w:color="auto" w:fill="78A22F"/>
                      </w:tcPr>
                      <w:p w:rsidR="00E54D2D" w:rsidRDefault="00E54D2D" w:rsidP="00E54D2D">
                        <w:pPr>
                          <w:pStyle w:val="TableBodyText"/>
                        </w:pPr>
                      </w:p>
                    </w:tc>
                    <w:tc>
                      <w:tcPr>
                        <w:tcW w:w="587" w:type="dxa"/>
                        <w:tcBorders>
                          <w:top w:val="single" w:sz="6" w:space="0" w:color="BFBFBF"/>
                          <w:left w:val="single" w:sz="6" w:space="0" w:color="BFBFBF"/>
                          <w:bottom w:val="single" w:sz="6" w:space="0" w:color="BFBFBF"/>
                          <w:right w:val="single" w:sz="6" w:space="0" w:color="BFBFBF"/>
                        </w:tcBorders>
                        <w:shd w:val="clear" w:color="auto" w:fill="78A22F"/>
                      </w:tcPr>
                      <w:p w:rsidR="00E54D2D" w:rsidRDefault="00E54D2D" w:rsidP="00E54D2D">
                        <w:pPr>
                          <w:pStyle w:val="TableBodyText"/>
                        </w:pPr>
                      </w:p>
                    </w:tc>
                    <w:tc>
                      <w:tcPr>
                        <w:tcW w:w="587" w:type="dxa"/>
                        <w:tcBorders>
                          <w:top w:val="single" w:sz="6" w:space="0" w:color="BFBFBF"/>
                          <w:left w:val="single" w:sz="6" w:space="0" w:color="BFBFBF"/>
                          <w:bottom w:val="single" w:sz="6" w:space="0" w:color="BFBFBF"/>
                          <w:right w:val="single" w:sz="6" w:space="0" w:color="BFBFBF"/>
                        </w:tcBorders>
                        <w:shd w:val="clear" w:color="auto" w:fill="78A22F"/>
                      </w:tcPr>
                      <w:p w:rsidR="00E54D2D" w:rsidRDefault="00E54D2D" w:rsidP="00E54D2D">
                        <w:pPr>
                          <w:pStyle w:val="TableBodyText"/>
                        </w:pPr>
                      </w:p>
                    </w:tc>
                    <w:tc>
                      <w:tcPr>
                        <w:tcW w:w="587" w:type="dxa"/>
                        <w:tcBorders>
                          <w:top w:val="single" w:sz="6" w:space="0" w:color="BFBFBF"/>
                          <w:left w:val="single" w:sz="6" w:space="0" w:color="BFBFBF"/>
                          <w:bottom w:val="single" w:sz="6" w:space="0" w:color="BFBFBF"/>
                          <w:right w:val="single" w:sz="6" w:space="0" w:color="BFBFBF"/>
                        </w:tcBorders>
                        <w:shd w:val="clear" w:color="auto" w:fill="78A22F"/>
                      </w:tcPr>
                      <w:p w:rsidR="00E54D2D" w:rsidRDefault="00E54D2D" w:rsidP="00E54D2D">
                        <w:pPr>
                          <w:pStyle w:val="TableBodyText"/>
                        </w:pPr>
                      </w:p>
                    </w:tc>
                    <w:tc>
                      <w:tcPr>
                        <w:tcW w:w="675" w:type="dxa"/>
                        <w:tcBorders>
                          <w:top w:val="single" w:sz="6" w:space="0" w:color="BFBFBF"/>
                          <w:left w:val="single" w:sz="6" w:space="0" w:color="BFBFBF"/>
                          <w:bottom w:val="single" w:sz="6" w:space="0" w:color="BFBFBF"/>
                          <w:right w:val="single" w:sz="6" w:space="0" w:color="BFBFBF"/>
                        </w:tcBorders>
                        <w:shd w:val="clear" w:color="auto" w:fill="D3E8B0"/>
                      </w:tcPr>
                      <w:p w:rsidR="00E54D2D" w:rsidRDefault="00E54D2D" w:rsidP="00E54D2D">
                        <w:pPr>
                          <w:pStyle w:val="TableBodyText"/>
                        </w:pPr>
                      </w:p>
                    </w:tc>
                    <w:tc>
                      <w:tcPr>
                        <w:tcW w:w="499" w:type="dxa"/>
                        <w:tcBorders>
                          <w:top w:val="single" w:sz="6" w:space="0" w:color="BFBFBF"/>
                          <w:left w:val="single" w:sz="6" w:space="0" w:color="BFBFBF"/>
                          <w:bottom w:val="single" w:sz="6" w:space="0" w:color="BFBFBF"/>
                          <w:right w:val="single" w:sz="6" w:space="0" w:color="BFBFBF"/>
                        </w:tcBorders>
                        <w:shd w:val="clear" w:color="auto" w:fill="D3E8B0"/>
                      </w:tcPr>
                      <w:p w:rsidR="00E54D2D" w:rsidRDefault="00E54D2D" w:rsidP="00E54D2D">
                        <w:pPr>
                          <w:pStyle w:val="TableBodyText"/>
                        </w:pPr>
                      </w:p>
                    </w:tc>
                    <w:tc>
                      <w:tcPr>
                        <w:tcW w:w="639" w:type="dxa"/>
                        <w:tcBorders>
                          <w:top w:val="single" w:sz="6" w:space="0" w:color="BFBFBF"/>
                          <w:left w:val="single" w:sz="6" w:space="0" w:color="BFBFBF"/>
                          <w:bottom w:val="single" w:sz="6" w:space="0" w:color="BFBFBF"/>
                        </w:tcBorders>
                        <w:shd w:val="clear" w:color="auto" w:fill="78A22F"/>
                      </w:tcPr>
                      <w:p w:rsidR="00E54D2D" w:rsidRDefault="00E54D2D" w:rsidP="00E54D2D">
                        <w:pPr>
                          <w:pStyle w:val="TableBodyText"/>
                        </w:pPr>
                      </w:p>
                    </w:tc>
                  </w:tr>
                  <w:tr w:rsidR="00BC2652" w:rsidTr="004025F4">
                    <w:tc>
                      <w:tcPr>
                        <w:tcW w:w="3152" w:type="dxa"/>
                        <w:tcBorders>
                          <w:top w:val="single" w:sz="6" w:space="0" w:color="BFBFBF"/>
                          <w:left w:val="single" w:sz="6" w:space="0" w:color="BFBFBF"/>
                          <w:bottom w:val="single" w:sz="6" w:space="0" w:color="BFBFBF"/>
                          <w:right w:val="single" w:sz="6" w:space="0" w:color="BFBFBF"/>
                        </w:tcBorders>
                        <w:shd w:val="clear" w:color="auto" w:fill="auto"/>
                      </w:tcPr>
                      <w:p w:rsidR="00BC2652" w:rsidRDefault="00BC2652" w:rsidP="00E54D2D">
                        <w:pPr>
                          <w:pStyle w:val="TableBodyText"/>
                          <w:ind w:left="170"/>
                          <w:jc w:val="left"/>
                        </w:pPr>
                        <w:r>
                          <w:t>Other care</w:t>
                        </w:r>
                        <w:r w:rsidR="00252995">
                          <w:rPr>
                            <w:rStyle w:val="NoteLabel"/>
                          </w:rPr>
                          <w:t>d</w:t>
                        </w:r>
                      </w:p>
                    </w:tc>
                    <w:tc>
                      <w:tcPr>
                        <w:tcW w:w="588" w:type="dxa"/>
                        <w:tcBorders>
                          <w:top w:val="single" w:sz="6" w:space="0" w:color="BFBFBF"/>
                          <w:left w:val="single" w:sz="6" w:space="0" w:color="BFBFBF"/>
                          <w:bottom w:val="single" w:sz="6" w:space="0" w:color="BFBFBF"/>
                          <w:right w:val="single" w:sz="6" w:space="0" w:color="BFBFBF"/>
                        </w:tcBorders>
                        <w:shd w:val="clear" w:color="auto" w:fill="D3E8B0"/>
                      </w:tcPr>
                      <w:p w:rsidR="00BC2652" w:rsidRDefault="00BC2652" w:rsidP="00BF4CE7">
                        <w:pPr>
                          <w:pStyle w:val="TableBodyText"/>
                        </w:pPr>
                      </w:p>
                    </w:tc>
                    <w:tc>
                      <w:tcPr>
                        <w:tcW w:w="587" w:type="dxa"/>
                        <w:tcBorders>
                          <w:top w:val="single" w:sz="6" w:space="0" w:color="BFBFBF"/>
                          <w:left w:val="single" w:sz="6" w:space="0" w:color="BFBFBF"/>
                          <w:bottom w:val="single" w:sz="6" w:space="0" w:color="BFBFBF"/>
                          <w:right w:val="single" w:sz="6" w:space="0" w:color="BFBFBF"/>
                        </w:tcBorders>
                        <w:shd w:val="clear" w:color="auto" w:fill="D3E8B0"/>
                      </w:tcPr>
                      <w:p w:rsidR="00BC2652" w:rsidRDefault="00BC2652" w:rsidP="00BF4CE7">
                        <w:pPr>
                          <w:pStyle w:val="TableBodyText"/>
                        </w:pPr>
                      </w:p>
                    </w:tc>
                    <w:tc>
                      <w:tcPr>
                        <w:tcW w:w="587" w:type="dxa"/>
                        <w:tcBorders>
                          <w:top w:val="single" w:sz="6" w:space="0" w:color="BFBFBF"/>
                          <w:left w:val="single" w:sz="6" w:space="0" w:color="BFBFBF"/>
                          <w:bottom w:val="single" w:sz="6" w:space="0" w:color="BFBFBF"/>
                          <w:right w:val="single" w:sz="6" w:space="0" w:color="BFBFBF"/>
                        </w:tcBorders>
                        <w:shd w:val="clear" w:color="auto" w:fill="D3E8B0"/>
                      </w:tcPr>
                      <w:p w:rsidR="00BC2652" w:rsidRDefault="00BC2652" w:rsidP="00BF4CE7">
                        <w:pPr>
                          <w:pStyle w:val="TableBodyText"/>
                        </w:pPr>
                      </w:p>
                    </w:tc>
                    <w:tc>
                      <w:tcPr>
                        <w:tcW w:w="587" w:type="dxa"/>
                        <w:tcBorders>
                          <w:top w:val="single" w:sz="6" w:space="0" w:color="BFBFBF"/>
                          <w:left w:val="single" w:sz="6" w:space="0" w:color="BFBFBF"/>
                          <w:bottom w:val="single" w:sz="6" w:space="0" w:color="BFBFBF"/>
                          <w:right w:val="single" w:sz="6" w:space="0" w:color="BFBFBF"/>
                        </w:tcBorders>
                        <w:shd w:val="clear" w:color="auto" w:fill="D3E8B0"/>
                      </w:tcPr>
                      <w:p w:rsidR="00BC2652" w:rsidRDefault="00BC2652" w:rsidP="00BF4CE7">
                        <w:pPr>
                          <w:pStyle w:val="TableBodyText"/>
                        </w:pPr>
                      </w:p>
                    </w:tc>
                    <w:tc>
                      <w:tcPr>
                        <w:tcW w:w="587" w:type="dxa"/>
                        <w:tcBorders>
                          <w:top w:val="single" w:sz="6" w:space="0" w:color="BFBFBF"/>
                          <w:left w:val="single" w:sz="6" w:space="0" w:color="BFBFBF"/>
                          <w:bottom w:val="single" w:sz="6" w:space="0" w:color="BFBFBF"/>
                          <w:right w:val="single" w:sz="6" w:space="0" w:color="BFBFBF"/>
                        </w:tcBorders>
                        <w:shd w:val="clear" w:color="auto" w:fill="D3E8B0"/>
                      </w:tcPr>
                      <w:p w:rsidR="00BC2652" w:rsidRDefault="00BC2652" w:rsidP="00BF4CE7">
                        <w:pPr>
                          <w:pStyle w:val="TableBodyText"/>
                        </w:pPr>
                      </w:p>
                    </w:tc>
                    <w:tc>
                      <w:tcPr>
                        <w:tcW w:w="587" w:type="dxa"/>
                        <w:tcBorders>
                          <w:top w:val="single" w:sz="6" w:space="0" w:color="BFBFBF"/>
                          <w:left w:val="single" w:sz="6" w:space="0" w:color="BFBFBF"/>
                          <w:bottom w:val="single" w:sz="6" w:space="0" w:color="BFBFBF"/>
                          <w:right w:val="single" w:sz="6" w:space="0" w:color="BFBFBF"/>
                        </w:tcBorders>
                        <w:shd w:val="clear" w:color="auto" w:fill="D3E8B0"/>
                      </w:tcPr>
                      <w:p w:rsidR="00BC2652" w:rsidRDefault="00BC2652" w:rsidP="00BF4CE7">
                        <w:pPr>
                          <w:pStyle w:val="TableBodyText"/>
                        </w:pPr>
                      </w:p>
                    </w:tc>
                    <w:tc>
                      <w:tcPr>
                        <w:tcW w:w="675" w:type="dxa"/>
                        <w:tcBorders>
                          <w:top w:val="single" w:sz="6" w:space="0" w:color="BFBFBF"/>
                          <w:left w:val="single" w:sz="6" w:space="0" w:color="BFBFBF"/>
                          <w:bottom w:val="single" w:sz="6" w:space="0" w:color="BFBFBF"/>
                          <w:right w:val="single" w:sz="6" w:space="0" w:color="BFBFBF"/>
                        </w:tcBorders>
                        <w:shd w:val="clear" w:color="auto" w:fill="D3E8B0"/>
                      </w:tcPr>
                      <w:p w:rsidR="00BC2652" w:rsidRDefault="00BC2652" w:rsidP="00BF4CE7">
                        <w:pPr>
                          <w:pStyle w:val="TableBodyText"/>
                        </w:pPr>
                      </w:p>
                    </w:tc>
                    <w:tc>
                      <w:tcPr>
                        <w:tcW w:w="499" w:type="dxa"/>
                        <w:tcBorders>
                          <w:top w:val="single" w:sz="6" w:space="0" w:color="BFBFBF"/>
                          <w:left w:val="single" w:sz="6" w:space="0" w:color="BFBFBF"/>
                          <w:bottom w:val="single" w:sz="6" w:space="0" w:color="BFBFBF"/>
                          <w:right w:val="single" w:sz="6" w:space="0" w:color="BFBFBF"/>
                        </w:tcBorders>
                        <w:shd w:val="clear" w:color="auto" w:fill="78A22F"/>
                      </w:tcPr>
                      <w:p w:rsidR="00BC2652" w:rsidRDefault="00BC2652" w:rsidP="00BF4CE7">
                        <w:pPr>
                          <w:pStyle w:val="TableBodyText"/>
                        </w:pPr>
                      </w:p>
                    </w:tc>
                    <w:tc>
                      <w:tcPr>
                        <w:tcW w:w="639" w:type="dxa"/>
                        <w:tcBorders>
                          <w:top w:val="single" w:sz="6" w:space="0" w:color="BFBFBF"/>
                          <w:left w:val="single" w:sz="6" w:space="0" w:color="BFBFBF"/>
                          <w:bottom w:val="single" w:sz="6" w:space="0" w:color="BFBFBF"/>
                        </w:tcBorders>
                        <w:shd w:val="clear" w:color="auto" w:fill="D3E8B0"/>
                      </w:tcPr>
                      <w:p w:rsidR="00BC2652" w:rsidRDefault="00BC2652" w:rsidP="00BF4CE7">
                        <w:pPr>
                          <w:pStyle w:val="TableBodyText"/>
                        </w:pPr>
                      </w:p>
                    </w:tc>
                    <w:tc>
                      <w:tcPr>
                        <w:tcW w:w="639" w:type="dxa"/>
                      </w:tcPr>
                      <w:p w:rsidR="00BC2652" w:rsidRDefault="00BC2652" w:rsidP="00BF4CE7">
                        <w:pPr>
                          <w:pStyle w:val="TableBodyText"/>
                        </w:pPr>
                      </w:p>
                    </w:tc>
                    <w:tc>
                      <w:tcPr>
                        <w:tcW w:w="639" w:type="dxa"/>
                      </w:tcPr>
                      <w:p w:rsidR="00BC2652" w:rsidRDefault="00BC2652" w:rsidP="00BF4CE7">
                        <w:pPr>
                          <w:pStyle w:val="TableBodyText"/>
                        </w:pPr>
                      </w:p>
                    </w:tc>
                    <w:tc>
                      <w:tcPr>
                        <w:tcW w:w="639" w:type="dxa"/>
                      </w:tcPr>
                      <w:p w:rsidR="00BC2652" w:rsidRDefault="00BC2652" w:rsidP="00BF4CE7">
                        <w:pPr>
                          <w:pStyle w:val="TableBodyText"/>
                        </w:pPr>
                      </w:p>
                    </w:tc>
                    <w:tc>
                      <w:tcPr>
                        <w:tcW w:w="639" w:type="dxa"/>
                      </w:tcPr>
                      <w:p w:rsidR="00BC2652" w:rsidRDefault="00BC2652" w:rsidP="00BF4CE7">
                        <w:pPr>
                          <w:pStyle w:val="TableBodyText"/>
                        </w:pPr>
                      </w:p>
                    </w:tc>
                    <w:tc>
                      <w:tcPr>
                        <w:tcW w:w="639" w:type="dxa"/>
                      </w:tcPr>
                      <w:p w:rsidR="00BC2652" w:rsidRDefault="00BC2652" w:rsidP="00BF4CE7">
                        <w:pPr>
                          <w:pStyle w:val="TableBodyText"/>
                        </w:pPr>
                      </w:p>
                    </w:tc>
                    <w:tc>
                      <w:tcPr>
                        <w:tcW w:w="639" w:type="dxa"/>
                      </w:tcPr>
                      <w:p w:rsidR="00BC2652" w:rsidRDefault="00BC2652" w:rsidP="00BF4CE7">
                        <w:pPr>
                          <w:pStyle w:val="TableBodyText"/>
                        </w:pPr>
                      </w:p>
                    </w:tc>
                    <w:tc>
                      <w:tcPr>
                        <w:tcW w:w="639" w:type="dxa"/>
                      </w:tcPr>
                      <w:p w:rsidR="00BC2652" w:rsidRDefault="00BC2652" w:rsidP="00BF4CE7">
                        <w:pPr>
                          <w:pStyle w:val="TableBodyText"/>
                        </w:pPr>
                      </w:p>
                    </w:tc>
                  </w:tr>
                  <w:tr w:rsidR="00BC2652" w:rsidTr="004025F4">
                    <w:trPr>
                      <w:gridAfter w:val="7"/>
                      <w:wAfter w:w="4473" w:type="dxa"/>
                    </w:trPr>
                    <w:tc>
                      <w:tcPr>
                        <w:tcW w:w="3152" w:type="dxa"/>
                        <w:tcBorders>
                          <w:top w:val="single" w:sz="6" w:space="0" w:color="BFBFBF"/>
                          <w:left w:val="single" w:sz="6" w:space="0" w:color="BFBFBF"/>
                          <w:bottom w:val="single" w:sz="6" w:space="0" w:color="BFBFBF"/>
                          <w:right w:val="single" w:sz="6" w:space="0" w:color="BFBFBF"/>
                        </w:tcBorders>
                        <w:shd w:val="clear" w:color="auto" w:fill="auto"/>
                      </w:tcPr>
                      <w:p w:rsidR="00BC2652" w:rsidRDefault="00BC2652" w:rsidP="00E54D2D">
                        <w:pPr>
                          <w:pStyle w:val="TableBodyText"/>
                          <w:ind w:left="170"/>
                          <w:jc w:val="left"/>
                        </w:pPr>
                        <w:r>
                          <w:t>In home care</w:t>
                        </w:r>
                      </w:p>
                    </w:tc>
                    <w:tc>
                      <w:tcPr>
                        <w:tcW w:w="588" w:type="dxa"/>
                        <w:tcBorders>
                          <w:top w:val="single" w:sz="6" w:space="0" w:color="BFBFBF"/>
                          <w:left w:val="single" w:sz="6" w:space="0" w:color="BFBFBF"/>
                          <w:bottom w:val="single" w:sz="6" w:space="0" w:color="BFBFBF"/>
                          <w:right w:val="single" w:sz="6" w:space="0" w:color="BFBFBF"/>
                        </w:tcBorders>
                        <w:shd w:val="clear" w:color="auto" w:fill="D3E8B0"/>
                      </w:tcPr>
                      <w:p w:rsidR="00BC2652" w:rsidRDefault="00BC2652" w:rsidP="00E54D2D">
                        <w:pPr>
                          <w:pStyle w:val="TableBodyText"/>
                        </w:pPr>
                      </w:p>
                    </w:tc>
                    <w:tc>
                      <w:tcPr>
                        <w:tcW w:w="587" w:type="dxa"/>
                        <w:tcBorders>
                          <w:top w:val="single" w:sz="6" w:space="0" w:color="BFBFBF"/>
                          <w:left w:val="single" w:sz="6" w:space="0" w:color="BFBFBF"/>
                          <w:bottom w:val="single" w:sz="6" w:space="0" w:color="BFBFBF"/>
                          <w:right w:val="single" w:sz="6" w:space="0" w:color="BFBFBF"/>
                        </w:tcBorders>
                        <w:shd w:val="clear" w:color="auto" w:fill="D3E8B0"/>
                      </w:tcPr>
                      <w:p w:rsidR="00BC2652" w:rsidRDefault="00BC2652" w:rsidP="00E54D2D">
                        <w:pPr>
                          <w:pStyle w:val="TableBodyText"/>
                        </w:pPr>
                      </w:p>
                    </w:tc>
                    <w:tc>
                      <w:tcPr>
                        <w:tcW w:w="587" w:type="dxa"/>
                        <w:tcBorders>
                          <w:top w:val="single" w:sz="6" w:space="0" w:color="BFBFBF"/>
                          <w:left w:val="single" w:sz="6" w:space="0" w:color="BFBFBF"/>
                          <w:bottom w:val="single" w:sz="6" w:space="0" w:color="BFBFBF"/>
                          <w:right w:val="single" w:sz="6" w:space="0" w:color="BFBFBF"/>
                        </w:tcBorders>
                        <w:shd w:val="clear" w:color="auto" w:fill="D3E8B0"/>
                      </w:tcPr>
                      <w:p w:rsidR="00BC2652" w:rsidRDefault="00BC2652" w:rsidP="00E54D2D">
                        <w:pPr>
                          <w:pStyle w:val="TableBodyText"/>
                        </w:pPr>
                      </w:p>
                    </w:tc>
                    <w:tc>
                      <w:tcPr>
                        <w:tcW w:w="587" w:type="dxa"/>
                        <w:tcBorders>
                          <w:top w:val="single" w:sz="6" w:space="0" w:color="BFBFBF"/>
                          <w:left w:val="single" w:sz="6" w:space="0" w:color="BFBFBF"/>
                          <w:bottom w:val="single" w:sz="6" w:space="0" w:color="BFBFBF"/>
                          <w:right w:val="single" w:sz="6" w:space="0" w:color="BFBFBF"/>
                        </w:tcBorders>
                        <w:shd w:val="clear" w:color="auto" w:fill="D3E8B0"/>
                      </w:tcPr>
                      <w:p w:rsidR="00BC2652" w:rsidRDefault="00BC2652" w:rsidP="00E54D2D">
                        <w:pPr>
                          <w:pStyle w:val="TableBodyText"/>
                        </w:pPr>
                      </w:p>
                    </w:tc>
                    <w:tc>
                      <w:tcPr>
                        <w:tcW w:w="587" w:type="dxa"/>
                        <w:tcBorders>
                          <w:top w:val="single" w:sz="6" w:space="0" w:color="BFBFBF"/>
                          <w:left w:val="single" w:sz="6" w:space="0" w:color="BFBFBF"/>
                          <w:bottom w:val="single" w:sz="6" w:space="0" w:color="BFBFBF"/>
                          <w:right w:val="single" w:sz="6" w:space="0" w:color="BFBFBF"/>
                        </w:tcBorders>
                        <w:shd w:val="clear" w:color="auto" w:fill="D3E8B0"/>
                      </w:tcPr>
                      <w:p w:rsidR="00BC2652" w:rsidRDefault="00BC2652" w:rsidP="00E54D2D">
                        <w:pPr>
                          <w:pStyle w:val="TableBodyText"/>
                        </w:pPr>
                      </w:p>
                    </w:tc>
                    <w:tc>
                      <w:tcPr>
                        <w:tcW w:w="587" w:type="dxa"/>
                        <w:tcBorders>
                          <w:top w:val="single" w:sz="6" w:space="0" w:color="BFBFBF"/>
                          <w:left w:val="single" w:sz="6" w:space="0" w:color="BFBFBF"/>
                          <w:bottom w:val="single" w:sz="6" w:space="0" w:color="BFBFBF"/>
                          <w:right w:val="single" w:sz="6" w:space="0" w:color="BFBFBF"/>
                        </w:tcBorders>
                        <w:shd w:val="clear" w:color="auto" w:fill="D3E8B0"/>
                      </w:tcPr>
                      <w:p w:rsidR="00BC2652" w:rsidRDefault="00BC2652" w:rsidP="00E54D2D">
                        <w:pPr>
                          <w:pStyle w:val="TableBodyText"/>
                        </w:pPr>
                      </w:p>
                    </w:tc>
                    <w:tc>
                      <w:tcPr>
                        <w:tcW w:w="675" w:type="dxa"/>
                        <w:tcBorders>
                          <w:top w:val="single" w:sz="6" w:space="0" w:color="BFBFBF"/>
                          <w:left w:val="single" w:sz="6" w:space="0" w:color="BFBFBF"/>
                          <w:bottom w:val="single" w:sz="6" w:space="0" w:color="BFBFBF"/>
                          <w:right w:val="single" w:sz="6" w:space="0" w:color="BFBFBF"/>
                        </w:tcBorders>
                        <w:shd w:val="clear" w:color="auto" w:fill="D3E8B0"/>
                      </w:tcPr>
                      <w:p w:rsidR="00BC2652" w:rsidRDefault="00BC2652" w:rsidP="00E54D2D">
                        <w:pPr>
                          <w:pStyle w:val="TableBodyText"/>
                        </w:pPr>
                      </w:p>
                    </w:tc>
                    <w:tc>
                      <w:tcPr>
                        <w:tcW w:w="499" w:type="dxa"/>
                        <w:tcBorders>
                          <w:top w:val="single" w:sz="6" w:space="0" w:color="BFBFBF"/>
                          <w:left w:val="single" w:sz="6" w:space="0" w:color="BFBFBF"/>
                          <w:bottom w:val="single" w:sz="6" w:space="0" w:color="BFBFBF"/>
                          <w:right w:val="single" w:sz="6" w:space="0" w:color="BFBFBF"/>
                        </w:tcBorders>
                        <w:shd w:val="clear" w:color="auto" w:fill="D3E8B0"/>
                      </w:tcPr>
                      <w:p w:rsidR="00BC2652" w:rsidRDefault="00BC2652" w:rsidP="00E54D2D">
                        <w:pPr>
                          <w:pStyle w:val="TableBodyText"/>
                        </w:pPr>
                      </w:p>
                    </w:tc>
                    <w:tc>
                      <w:tcPr>
                        <w:tcW w:w="639" w:type="dxa"/>
                        <w:tcBorders>
                          <w:top w:val="single" w:sz="6" w:space="0" w:color="BFBFBF"/>
                          <w:left w:val="single" w:sz="6" w:space="0" w:color="BFBFBF"/>
                          <w:bottom w:val="single" w:sz="6" w:space="0" w:color="BFBFBF"/>
                        </w:tcBorders>
                        <w:shd w:val="clear" w:color="auto" w:fill="78A22F"/>
                      </w:tcPr>
                      <w:p w:rsidR="00BC2652" w:rsidRDefault="00BC2652" w:rsidP="00E54D2D">
                        <w:pPr>
                          <w:pStyle w:val="TableBodyText"/>
                        </w:pPr>
                      </w:p>
                    </w:tc>
                  </w:tr>
                  <w:tr w:rsidR="00BC2652" w:rsidTr="004025F4">
                    <w:trPr>
                      <w:gridAfter w:val="7"/>
                      <w:wAfter w:w="4473" w:type="dxa"/>
                    </w:trPr>
                    <w:tc>
                      <w:tcPr>
                        <w:tcW w:w="3152" w:type="dxa"/>
                        <w:tcBorders>
                          <w:top w:val="single" w:sz="6" w:space="0" w:color="BFBFBF"/>
                          <w:left w:val="single" w:sz="6" w:space="0" w:color="BFBFBF"/>
                          <w:bottom w:val="single" w:sz="6" w:space="0" w:color="BFBFBF"/>
                          <w:right w:val="single" w:sz="6" w:space="0" w:color="BFBFBF"/>
                        </w:tcBorders>
                        <w:shd w:val="clear" w:color="auto" w:fill="auto"/>
                      </w:tcPr>
                      <w:p w:rsidR="00BC2652" w:rsidRDefault="00BC2652" w:rsidP="00E54D2D">
                        <w:pPr>
                          <w:pStyle w:val="TableBodyText"/>
                          <w:ind w:left="170"/>
                          <w:jc w:val="left"/>
                        </w:pPr>
                        <w:r>
                          <w:t>Budget Based Funded</w:t>
                        </w:r>
                      </w:p>
                    </w:tc>
                    <w:tc>
                      <w:tcPr>
                        <w:tcW w:w="588" w:type="dxa"/>
                        <w:tcBorders>
                          <w:top w:val="single" w:sz="6" w:space="0" w:color="BFBFBF"/>
                          <w:left w:val="single" w:sz="6" w:space="0" w:color="BFBFBF"/>
                          <w:bottom w:val="single" w:sz="6" w:space="0" w:color="BFBFBF"/>
                          <w:right w:val="single" w:sz="6" w:space="0" w:color="BFBFBF"/>
                        </w:tcBorders>
                        <w:shd w:val="clear" w:color="auto" w:fill="D3E8B0"/>
                      </w:tcPr>
                      <w:p w:rsidR="00BC2652" w:rsidRDefault="00BC2652" w:rsidP="00E54D2D">
                        <w:pPr>
                          <w:pStyle w:val="TableBodyText"/>
                        </w:pPr>
                      </w:p>
                    </w:tc>
                    <w:tc>
                      <w:tcPr>
                        <w:tcW w:w="587" w:type="dxa"/>
                        <w:tcBorders>
                          <w:top w:val="single" w:sz="6" w:space="0" w:color="BFBFBF"/>
                          <w:left w:val="single" w:sz="6" w:space="0" w:color="BFBFBF"/>
                          <w:bottom w:val="single" w:sz="6" w:space="0" w:color="BFBFBF"/>
                          <w:right w:val="single" w:sz="6" w:space="0" w:color="BFBFBF"/>
                        </w:tcBorders>
                        <w:shd w:val="clear" w:color="auto" w:fill="D3E8B0"/>
                      </w:tcPr>
                      <w:p w:rsidR="00BC2652" w:rsidRDefault="00BC2652" w:rsidP="00E54D2D">
                        <w:pPr>
                          <w:pStyle w:val="TableBodyText"/>
                        </w:pPr>
                      </w:p>
                    </w:tc>
                    <w:tc>
                      <w:tcPr>
                        <w:tcW w:w="587" w:type="dxa"/>
                        <w:tcBorders>
                          <w:top w:val="single" w:sz="6" w:space="0" w:color="BFBFBF"/>
                          <w:left w:val="single" w:sz="6" w:space="0" w:color="BFBFBF"/>
                          <w:bottom w:val="single" w:sz="6" w:space="0" w:color="BFBFBF"/>
                          <w:right w:val="single" w:sz="6" w:space="0" w:color="BFBFBF"/>
                        </w:tcBorders>
                        <w:shd w:val="clear" w:color="auto" w:fill="78A22F"/>
                      </w:tcPr>
                      <w:p w:rsidR="00BC2652" w:rsidRDefault="00BC2652" w:rsidP="00E54D2D">
                        <w:pPr>
                          <w:pStyle w:val="TableBodyText"/>
                        </w:pPr>
                      </w:p>
                    </w:tc>
                    <w:tc>
                      <w:tcPr>
                        <w:tcW w:w="587" w:type="dxa"/>
                        <w:tcBorders>
                          <w:top w:val="single" w:sz="6" w:space="0" w:color="BFBFBF"/>
                          <w:left w:val="single" w:sz="6" w:space="0" w:color="BFBFBF"/>
                          <w:bottom w:val="single" w:sz="6" w:space="0" w:color="BFBFBF"/>
                          <w:right w:val="single" w:sz="6" w:space="0" w:color="BFBFBF"/>
                        </w:tcBorders>
                        <w:shd w:val="clear" w:color="auto" w:fill="D3E8B0"/>
                      </w:tcPr>
                      <w:p w:rsidR="00BC2652" w:rsidRDefault="00BC2652" w:rsidP="00E54D2D">
                        <w:pPr>
                          <w:pStyle w:val="TableBodyText"/>
                        </w:pPr>
                      </w:p>
                    </w:tc>
                    <w:tc>
                      <w:tcPr>
                        <w:tcW w:w="587" w:type="dxa"/>
                        <w:tcBorders>
                          <w:top w:val="single" w:sz="6" w:space="0" w:color="BFBFBF"/>
                          <w:left w:val="single" w:sz="6" w:space="0" w:color="BFBFBF"/>
                          <w:bottom w:val="single" w:sz="6" w:space="0" w:color="BFBFBF"/>
                          <w:right w:val="single" w:sz="6" w:space="0" w:color="BFBFBF"/>
                        </w:tcBorders>
                        <w:shd w:val="clear" w:color="auto" w:fill="78A22F"/>
                      </w:tcPr>
                      <w:p w:rsidR="00BC2652" w:rsidRDefault="00BC2652" w:rsidP="00E54D2D">
                        <w:pPr>
                          <w:pStyle w:val="TableBodyText"/>
                        </w:pPr>
                      </w:p>
                    </w:tc>
                    <w:tc>
                      <w:tcPr>
                        <w:tcW w:w="587" w:type="dxa"/>
                        <w:tcBorders>
                          <w:top w:val="single" w:sz="6" w:space="0" w:color="BFBFBF"/>
                          <w:left w:val="single" w:sz="6" w:space="0" w:color="BFBFBF"/>
                          <w:bottom w:val="single" w:sz="6" w:space="0" w:color="BFBFBF"/>
                          <w:right w:val="single" w:sz="6" w:space="0" w:color="BFBFBF"/>
                        </w:tcBorders>
                        <w:shd w:val="clear" w:color="auto" w:fill="D3E8B0"/>
                      </w:tcPr>
                      <w:p w:rsidR="00BC2652" w:rsidRDefault="00BC2652" w:rsidP="00E54D2D">
                        <w:pPr>
                          <w:pStyle w:val="TableBodyText"/>
                        </w:pPr>
                      </w:p>
                    </w:tc>
                    <w:tc>
                      <w:tcPr>
                        <w:tcW w:w="675" w:type="dxa"/>
                        <w:tcBorders>
                          <w:top w:val="single" w:sz="6" w:space="0" w:color="BFBFBF"/>
                          <w:left w:val="single" w:sz="6" w:space="0" w:color="BFBFBF"/>
                          <w:bottom w:val="single" w:sz="6" w:space="0" w:color="BFBFBF"/>
                          <w:right w:val="single" w:sz="6" w:space="0" w:color="BFBFBF"/>
                        </w:tcBorders>
                        <w:shd w:val="clear" w:color="auto" w:fill="D3E8B0"/>
                      </w:tcPr>
                      <w:p w:rsidR="00BC2652" w:rsidRDefault="00BC2652" w:rsidP="00E54D2D">
                        <w:pPr>
                          <w:pStyle w:val="TableBodyText"/>
                        </w:pPr>
                      </w:p>
                    </w:tc>
                    <w:tc>
                      <w:tcPr>
                        <w:tcW w:w="499" w:type="dxa"/>
                        <w:tcBorders>
                          <w:top w:val="single" w:sz="6" w:space="0" w:color="BFBFBF"/>
                          <w:left w:val="single" w:sz="6" w:space="0" w:color="BFBFBF"/>
                          <w:bottom w:val="single" w:sz="6" w:space="0" w:color="BFBFBF"/>
                          <w:right w:val="single" w:sz="6" w:space="0" w:color="BFBFBF"/>
                        </w:tcBorders>
                        <w:shd w:val="clear" w:color="auto" w:fill="D3E8B0"/>
                      </w:tcPr>
                      <w:p w:rsidR="00BC2652" w:rsidRDefault="00BC2652" w:rsidP="00E54D2D">
                        <w:pPr>
                          <w:pStyle w:val="TableBodyText"/>
                        </w:pPr>
                      </w:p>
                    </w:tc>
                    <w:tc>
                      <w:tcPr>
                        <w:tcW w:w="639" w:type="dxa"/>
                        <w:tcBorders>
                          <w:top w:val="single" w:sz="6" w:space="0" w:color="BFBFBF"/>
                          <w:left w:val="single" w:sz="6" w:space="0" w:color="BFBFBF"/>
                          <w:bottom w:val="single" w:sz="6" w:space="0" w:color="BFBFBF"/>
                        </w:tcBorders>
                        <w:shd w:val="clear" w:color="auto" w:fill="78A22F"/>
                      </w:tcPr>
                      <w:p w:rsidR="00BC2652" w:rsidRDefault="00BC2652" w:rsidP="00E54D2D">
                        <w:pPr>
                          <w:pStyle w:val="TableBodyText"/>
                        </w:pPr>
                      </w:p>
                    </w:tc>
                  </w:tr>
                  <w:tr w:rsidR="00BC2652" w:rsidRPr="00171360" w:rsidTr="00BC2652">
                    <w:trPr>
                      <w:gridAfter w:val="7"/>
                      <w:wAfter w:w="4473" w:type="dxa"/>
                    </w:trPr>
                    <w:tc>
                      <w:tcPr>
                        <w:tcW w:w="8488" w:type="dxa"/>
                        <w:gridSpan w:val="10"/>
                        <w:tcBorders>
                          <w:top w:val="single" w:sz="6" w:space="0" w:color="BFBFBF"/>
                          <w:left w:val="single" w:sz="6" w:space="0" w:color="BFBFBF"/>
                          <w:bottom w:val="single" w:sz="6" w:space="0" w:color="BFBFBF"/>
                          <w:right w:val="single" w:sz="6" w:space="0" w:color="BFBFBF"/>
                        </w:tcBorders>
                        <w:shd w:val="clear" w:color="auto" w:fill="auto"/>
                      </w:tcPr>
                      <w:p w:rsidR="00BC2652" w:rsidRPr="00171360" w:rsidRDefault="00BC2652" w:rsidP="00E54D2D">
                        <w:pPr>
                          <w:pStyle w:val="TableUnitsRow"/>
                          <w:ind w:right="28"/>
                          <w:jc w:val="left"/>
                          <w:rPr>
                            <w:b/>
                            <w:i/>
                          </w:rPr>
                        </w:pPr>
                        <w:r>
                          <w:rPr>
                            <w:b/>
                            <w:i/>
                          </w:rPr>
                          <w:t>Funded p</w:t>
                        </w:r>
                        <w:r w:rsidRPr="00171360">
                          <w:rPr>
                            <w:b/>
                            <w:i/>
                          </w:rPr>
                          <w:t>reschool services</w:t>
                        </w:r>
                        <w:r w:rsidR="00252995">
                          <w:rPr>
                            <w:rStyle w:val="NoteLabel"/>
                          </w:rPr>
                          <w:t>e</w:t>
                        </w:r>
                      </w:p>
                    </w:tc>
                  </w:tr>
                  <w:tr w:rsidR="002E5662" w:rsidTr="004025F4">
                    <w:trPr>
                      <w:gridAfter w:val="7"/>
                      <w:wAfter w:w="4473" w:type="dxa"/>
                    </w:trPr>
                    <w:tc>
                      <w:tcPr>
                        <w:tcW w:w="3152" w:type="dxa"/>
                        <w:tcBorders>
                          <w:top w:val="single" w:sz="6" w:space="0" w:color="BFBFBF"/>
                          <w:left w:val="single" w:sz="6" w:space="0" w:color="BFBFBF"/>
                          <w:bottom w:val="single" w:sz="6" w:space="0" w:color="BFBFBF"/>
                          <w:right w:val="single" w:sz="6" w:space="0" w:color="BFBFBF"/>
                        </w:tcBorders>
                        <w:shd w:val="clear" w:color="auto" w:fill="auto"/>
                      </w:tcPr>
                      <w:p w:rsidR="002E5662" w:rsidRDefault="002E5662" w:rsidP="00E54D2D">
                        <w:pPr>
                          <w:pStyle w:val="TableBodyText"/>
                          <w:ind w:left="170"/>
                          <w:jc w:val="left"/>
                        </w:pPr>
                        <w:r>
                          <w:t>Local government/community preschools</w:t>
                        </w:r>
                      </w:p>
                    </w:tc>
                    <w:tc>
                      <w:tcPr>
                        <w:tcW w:w="588" w:type="dxa"/>
                        <w:tcBorders>
                          <w:top w:val="single" w:sz="6" w:space="0" w:color="BFBFBF"/>
                          <w:left w:val="single" w:sz="6" w:space="0" w:color="BFBFBF"/>
                          <w:bottom w:val="single" w:sz="6" w:space="0" w:color="BFBFBF"/>
                          <w:right w:val="single" w:sz="6" w:space="0" w:color="BFBFBF"/>
                        </w:tcBorders>
                        <w:shd w:val="clear" w:color="auto" w:fill="78A22F"/>
                      </w:tcPr>
                      <w:p w:rsidR="002E5662" w:rsidRDefault="002E5662" w:rsidP="00E54D2D">
                        <w:pPr>
                          <w:pStyle w:val="TableBodyText"/>
                        </w:pPr>
                      </w:p>
                    </w:tc>
                    <w:tc>
                      <w:tcPr>
                        <w:tcW w:w="587" w:type="dxa"/>
                        <w:tcBorders>
                          <w:top w:val="single" w:sz="6" w:space="0" w:color="BFBFBF"/>
                          <w:left w:val="single" w:sz="6" w:space="0" w:color="BFBFBF"/>
                          <w:bottom w:val="single" w:sz="6" w:space="0" w:color="BFBFBF"/>
                          <w:right w:val="single" w:sz="6" w:space="0" w:color="BFBFBF"/>
                        </w:tcBorders>
                        <w:shd w:val="clear" w:color="auto" w:fill="78A22F"/>
                      </w:tcPr>
                      <w:p w:rsidR="002E5662" w:rsidRDefault="002E5662" w:rsidP="00E54D2D">
                        <w:pPr>
                          <w:pStyle w:val="TableBodyText"/>
                        </w:pPr>
                      </w:p>
                    </w:tc>
                    <w:tc>
                      <w:tcPr>
                        <w:tcW w:w="587" w:type="dxa"/>
                        <w:tcBorders>
                          <w:top w:val="single" w:sz="6" w:space="0" w:color="BFBFBF"/>
                          <w:left w:val="single" w:sz="6" w:space="0" w:color="BFBFBF"/>
                          <w:bottom w:val="single" w:sz="6" w:space="0" w:color="BFBFBF"/>
                          <w:right w:val="single" w:sz="6" w:space="0" w:color="BFBFBF"/>
                        </w:tcBorders>
                        <w:shd w:val="clear" w:color="auto" w:fill="78A22F"/>
                      </w:tcPr>
                      <w:p w:rsidR="002E5662" w:rsidRDefault="002E5662" w:rsidP="00E54D2D">
                        <w:pPr>
                          <w:pStyle w:val="TableBodyText"/>
                        </w:pPr>
                      </w:p>
                    </w:tc>
                    <w:tc>
                      <w:tcPr>
                        <w:tcW w:w="587" w:type="dxa"/>
                        <w:tcBorders>
                          <w:top w:val="single" w:sz="6" w:space="0" w:color="BFBFBF"/>
                          <w:left w:val="single" w:sz="6" w:space="0" w:color="BFBFBF"/>
                          <w:bottom w:val="single" w:sz="6" w:space="0" w:color="BFBFBF"/>
                          <w:right w:val="single" w:sz="6" w:space="0" w:color="BFBFBF"/>
                        </w:tcBorders>
                        <w:shd w:val="clear" w:color="auto" w:fill="78A22F"/>
                      </w:tcPr>
                      <w:p w:rsidR="002E5662" w:rsidRDefault="002E5662" w:rsidP="00E54D2D">
                        <w:pPr>
                          <w:pStyle w:val="TableBodyText"/>
                        </w:pPr>
                      </w:p>
                    </w:tc>
                    <w:tc>
                      <w:tcPr>
                        <w:tcW w:w="587" w:type="dxa"/>
                        <w:tcBorders>
                          <w:top w:val="single" w:sz="6" w:space="0" w:color="BFBFBF"/>
                          <w:left w:val="single" w:sz="6" w:space="0" w:color="BFBFBF"/>
                          <w:bottom w:val="single" w:sz="6" w:space="0" w:color="BFBFBF"/>
                          <w:right w:val="single" w:sz="6" w:space="0" w:color="BFBFBF"/>
                        </w:tcBorders>
                        <w:shd w:val="clear" w:color="auto" w:fill="D3E8B0"/>
                      </w:tcPr>
                      <w:p w:rsidR="002E5662" w:rsidRDefault="002E5662" w:rsidP="00E54D2D">
                        <w:pPr>
                          <w:pStyle w:val="TableBodyText"/>
                        </w:pPr>
                      </w:p>
                    </w:tc>
                    <w:tc>
                      <w:tcPr>
                        <w:tcW w:w="587" w:type="dxa"/>
                        <w:tcBorders>
                          <w:top w:val="single" w:sz="6" w:space="0" w:color="BFBFBF"/>
                          <w:left w:val="single" w:sz="6" w:space="0" w:color="BFBFBF"/>
                          <w:bottom w:val="single" w:sz="6" w:space="0" w:color="BFBFBF"/>
                          <w:right w:val="single" w:sz="6" w:space="0" w:color="BFBFBF"/>
                        </w:tcBorders>
                        <w:shd w:val="clear" w:color="auto" w:fill="D3E8B0"/>
                      </w:tcPr>
                      <w:p w:rsidR="002E5662" w:rsidRDefault="002E5662" w:rsidP="00E54D2D">
                        <w:pPr>
                          <w:pStyle w:val="TableBodyText"/>
                        </w:pPr>
                      </w:p>
                    </w:tc>
                    <w:tc>
                      <w:tcPr>
                        <w:tcW w:w="675" w:type="dxa"/>
                        <w:tcBorders>
                          <w:top w:val="single" w:sz="6" w:space="0" w:color="BFBFBF"/>
                          <w:left w:val="single" w:sz="6" w:space="0" w:color="BFBFBF"/>
                          <w:bottom w:val="single" w:sz="6" w:space="0" w:color="BFBFBF"/>
                          <w:right w:val="single" w:sz="6" w:space="0" w:color="BFBFBF"/>
                        </w:tcBorders>
                        <w:shd w:val="clear" w:color="auto" w:fill="D3E8B0"/>
                      </w:tcPr>
                      <w:p w:rsidR="002E5662" w:rsidRDefault="002E5662" w:rsidP="002E5662">
                        <w:pPr>
                          <w:pStyle w:val="TableBodyText"/>
                        </w:pPr>
                      </w:p>
                    </w:tc>
                    <w:tc>
                      <w:tcPr>
                        <w:tcW w:w="499" w:type="dxa"/>
                        <w:tcBorders>
                          <w:top w:val="single" w:sz="6" w:space="0" w:color="BFBFBF"/>
                          <w:left w:val="single" w:sz="6" w:space="0" w:color="BFBFBF"/>
                          <w:bottom w:val="single" w:sz="6" w:space="0" w:color="BFBFBF"/>
                          <w:right w:val="single" w:sz="6" w:space="0" w:color="BFBFBF"/>
                        </w:tcBorders>
                        <w:shd w:val="clear" w:color="auto" w:fill="78A22F"/>
                      </w:tcPr>
                      <w:p w:rsidR="002E5662" w:rsidRDefault="002E5662" w:rsidP="002E5662">
                        <w:pPr>
                          <w:pStyle w:val="TableBodyText"/>
                        </w:pPr>
                      </w:p>
                    </w:tc>
                    <w:tc>
                      <w:tcPr>
                        <w:tcW w:w="639" w:type="dxa"/>
                        <w:tcBorders>
                          <w:top w:val="single" w:sz="6" w:space="0" w:color="BFBFBF"/>
                          <w:left w:val="single" w:sz="6" w:space="0" w:color="BFBFBF"/>
                          <w:bottom w:val="single" w:sz="6" w:space="0" w:color="BFBFBF"/>
                          <w:right w:val="single" w:sz="6" w:space="0" w:color="BFBFBF"/>
                        </w:tcBorders>
                        <w:shd w:val="clear" w:color="auto" w:fill="D3E8B0"/>
                      </w:tcPr>
                      <w:p w:rsidR="002E5662" w:rsidRDefault="002E5662" w:rsidP="00E54D2D">
                        <w:pPr>
                          <w:pStyle w:val="TableBodyText"/>
                        </w:pPr>
                        <w:r>
                          <w:t xml:space="preserve"> </w:t>
                        </w:r>
                      </w:p>
                    </w:tc>
                  </w:tr>
                  <w:tr w:rsidR="002E5662" w:rsidTr="004025F4">
                    <w:trPr>
                      <w:gridAfter w:val="7"/>
                      <w:wAfter w:w="4473" w:type="dxa"/>
                    </w:trPr>
                    <w:tc>
                      <w:tcPr>
                        <w:tcW w:w="3152" w:type="dxa"/>
                        <w:tcBorders>
                          <w:top w:val="single" w:sz="6" w:space="0" w:color="BFBFBF"/>
                          <w:left w:val="single" w:sz="6" w:space="0" w:color="BFBFBF"/>
                          <w:bottom w:val="single" w:sz="6" w:space="0" w:color="BFBFBF"/>
                          <w:right w:val="single" w:sz="6" w:space="0" w:color="BFBFBF"/>
                        </w:tcBorders>
                        <w:shd w:val="clear" w:color="auto" w:fill="auto"/>
                      </w:tcPr>
                      <w:p w:rsidR="002E5662" w:rsidRDefault="002E5662" w:rsidP="00E54D2D">
                        <w:pPr>
                          <w:pStyle w:val="TableBodyText"/>
                          <w:ind w:left="170"/>
                          <w:jc w:val="left"/>
                        </w:pPr>
                        <w:r>
                          <w:t xml:space="preserve">Preschool program in for profit </w:t>
                        </w:r>
                        <w:proofErr w:type="spellStart"/>
                        <w:r>
                          <w:t>LDC</w:t>
                        </w:r>
                        <w:proofErr w:type="spellEnd"/>
                      </w:p>
                    </w:tc>
                    <w:tc>
                      <w:tcPr>
                        <w:tcW w:w="588" w:type="dxa"/>
                        <w:tcBorders>
                          <w:top w:val="single" w:sz="6" w:space="0" w:color="BFBFBF"/>
                          <w:left w:val="single" w:sz="6" w:space="0" w:color="BFBFBF"/>
                          <w:bottom w:val="single" w:sz="6" w:space="0" w:color="BFBFBF"/>
                          <w:right w:val="single" w:sz="6" w:space="0" w:color="BFBFBF"/>
                        </w:tcBorders>
                        <w:shd w:val="clear" w:color="auto" w:fill="D3E8B0"/>
                      </w:tcPr>
                      <w:p w:rsidR="002E5662" w:rsidRDefault="002E5662" w:rsidP="00E54D2D">
                        <w:pPr>
                          <w:pStyle w:val="TableBodyText"/>
                        </w:pPr>
                      </w:p>
                    </w:tc>
                    <w:tc>
                      <w:tcPr>
                        <w:tcW w:w="587" w:type="dxa"/>
                        <w:tcBorders>
                          <w:top w:val="single" w:sz="6" w:space="0" w:color="BFBFBF"/>
                          <w:left w:val="single" w:sz="6" w:space="0" w:color="BFBFBF"/>
                          <w:bottom w:val="single" w:sz="6" w:space="0" w:color="BFBFBF"/>
                          <w:right w:val="single" w:sz="6" w:space="0" w:color="BFBFBF"/>
                        </w:tcBorders>
                        <w:shd w:val="clear" w:color="auto" w:fill="78A22F"/>
                      </w:tcPr>
                      <w:p w:rsidR="002E5662" w:rsidRDefault="002E5662" w:rsidP="00E54D2D">
                        <w:pPr>
                          <w:pStyle w:val="TableBodyText"/>
                        </w:pPr>
                      </w:p>
                    </w:tc>
                    <w:tc>
                      <w:tcPr>
                        <w:tcW w:w="587" w:type="dxa"/>
                        <w:tcBorders>
                          <w:top w:val="single" w:sz="6" w:space="0" w:color="BFBFBF"/>
                          <w:left w:val="single" w:sz="6" w:space="0" w:color="BFBFBF"/>
                          <w:bottom w:val="single" w:sz="6" w:space="0" w:color="BFBFBF"/>
                          <w:right w:val="single" w:sz="6" w:space="0" w:color="BFBFBF"/>
                        </w:tcBorders>
                        <w:shd w:val="clear" w:color="auto" w:fill="78A22F"/>
                      </w:tcPr>
                      <w:p w:rsidR="002E5662" w:rsidRDefault="002E5662" w:rsidP="00E54D2D">
                        <w:pPr>
                          <w:pStyle w:val="TableBodyText"/>
                        </w:pPr>
                      </w:p>
                    </w:tc>
                    <w:tc>
                      <w:tcPr>
                        <w:tcW w:w="587" w:type="dxa"/>
                        <w:tcBorders>
                          <w:top w:val="single" w:sz="6" w:space="0" w:color="BFBFBF"/>
                          <w:left w:val="single" w:sz="6" w:space="0" w:color="BFBFBF"/>
                          <w:bottom w:val="single" w:sz="6" w:space="0" w:color="BFBFBF"/>
                          <w:right w:val="single" w:sz="6" w:space="0" w:color="BFBFBF"/>
                        </w:tcBorders>
                        <w:shd w:val="clear" w:color="auto" w:fill="D3E8B0"/>
                      </w:tcPr>
                      <w:p w:rsidR="002E5662" w:rsidRDefault="002E5662" w:rsidP="00E54D2D">
                        <w:pPr>
                          <w:pStyle w:val="TableBodyText"/>
                        </w:pPr>
                      </w:p>
                    </w:tc>
                    <w:tc>
                      <w:tcPr>
                        <w:tcW w:w="587" w:type="dxa"/>
                        <w:tcBorders>
                          <w:top w:val="single" w:sz="6" w:space="0" w:color="BFBFBF"/>
                          <w:left w:val="single" w:sz="6" w:space="0" w:color="BFBFBF"/>
                          <w:bottom w:val="single" w:sz="6" w:space="0" w:color="BFBFBF"/>
                          <w:right w:val="single" w:sz="6" w:space="0" w:color="BFBFBF"/>
                        </w:tcBorders>
                        <w:shd w:val="clear" w:color="auto" w:fill="D3E8B0"/>
                      </w:tcPr>
                      <w:p w:rsidR="002E5662" w:rsidRDefault="002E5662" w:rsidP="00E54D2D">
                        <w:pPr>
                          <w:pStyle w:val="TableBodyText"/>
                        </w:pPr>
                      </w:p>
                    </w:tc>
                    <w:tc>
                      <w:tcPr>
                        <w:tcW w:w="587" w:type="dxa"/>
                        <w:tcBorders>
                          <w:top w:val="single" w:sz="6" w:space="0" w:color="BFBFBF"/>
                          <w:left w:val="single" w:sz="6" w:space="0" w:color="BFBFBF"/>
                          <w:bottom w:val="single" w:sz="6" w:space="0" w:color="BFBFBF"/>
                          <w:right w:val="single" w:sz="6" w:space="0" w:color="BFBFBF"/>
                        </w:tcBorders>
                        <w:shd w:val="clear" w:color="auto" w:fill="D3E8B0"/>
                      </w:tcPr>
                      <w:p w:rsidR="002E5662" w:rsidRDefault="002E5662" w:rsidP="00E54D2D">
                        <w:pPr>
                          <w:pStyle w:val="TableBodyText"/>
                        </w:pPr>
                      </w:p>
                    </w:tc>
                    <w:tc>
                      <w:tcPr>
                        <w:tcW w:w="675" w:type="dxa"/>
                        <w:tcBorders>
                          <w:top w:val="single" w:sz="6" w:space="0" w:color="BFBFBF"/>
                          <w:left w:val="single" w:sz="6" w:space="0" w:color="BFBFBF"/>
                          <w:bottom w:val="single" w:sz="6" w:space="0" w:color="BFBFBF"/>
                          <w:right w:val="single" w:sz="6" w:space="0" w:color="BFBFBF"/>
                        </w:tcBorders>
                        <w:shd w:val="clear" w:color="auto" w:fill="D3E8B0"/>
                      </w:tcPr>
                      <w:p w:rsidR="002E5662" w:rsidRDefault="002E5662" w:rsidP="00E54D2D">
                        <w:pPr>
                          <w:pStyle w:val="TableBodyText"/>
                          <w:ind w:right="28"/>
                        </w:pPr>
                      </w:p>
                    </w:tc>
                    <w:tc>
                      <w:tcPr>
                        <w:tcW w:w="499" w:type="dxa"/>
                        <w:tcBorders>
                          <w:top w:val="single" w:sz="6" w:space="0" w:color="BFBFBF"/>
                          <w:left w:val="single" w:sz="6" w:space="0" w:color="BFBFBF"/>
                          <w:bottom w:val="single" w:sz="6" w:space="0" w:color="BFBFBF"/>
                          <w:right w:val="single" w:sz="6" w:space="0" w:color="BFBFBF"/>
                        </w:tcBorders>
                        <w:shd w:val="clear" w:color="auto" w:fill="78A22F"/>
                      </w:tcPr>
                      <w:p w:rsidR="002E5662" w:rsidRDefault="002E5662" w:rsidP="00E54D2D">
                        <w:pPr>
                          <w:pStyle w:val="TableBodyText"/>
                        </w:pPr>
                      </w:p>
                    </w:tc>
                    <w:tc>
                      <w:tcPr>
                        <w:tcW w:w="639" w:type="dxa"/>
                        <w:tcBorders>
                          <w:top w:val="single" w:sz="6" w:space="0" w:color="BFBFBF"/>
                          <w:left w:val="single" w:sz="6" w:space="0" w:color="BFBFBF"/>
                          <w:bottom w:val="single" w:sz="6" w:space="0" w:color="BFBFBF"/>
                          <w:right w:val="single" w:sz="6" w:space="0" w:color="BFBFBF"/>
                        </w:tcBorders>
                        <w:shd w:val="clear" w:color="auto" w:fill="D3E8B0"/>
                      </w:tcPr>
                      <w:p w:rsidR="002E5662" w:rsidRDefault="002E5662" w:rsidP="00E54D2D">
                        <w:pPr>
                          <w:pStyle w:val="TableBodyText"/>
                        </w:pPr>
                        <w:r w:rsidRPr="00480A46">
                          <w:t xml:space="preserve"> </w:t>
                        </w:r>
                      </w:p>
                    </w:tc>
                  </w:tr>
                  <w:tr w:rsidR="002E5662" w:rsidTr="004025F4">
                    <w:trPr>
                      <w:gridAfter w:val="7"/>
                      <w:wAfter w:w="4473" w:type="dxa"/>
                    </w:trPr>
                    <w:tc>
                      <w:tcPr>
                        <w:tcW w:w="3152" w:type="dxa"/>
                        <w:tcBorders>
                          <w:top w:val="single" w:sz="6" w:space="0" w:color="BFBFBF"/>
                          <w:left w:val="single" w:sz="6" w:space="0" w:color="BFBFBF"/>
                          <w:bottom w:val="single" w:sz="6" w:space="0" w:color="BFBFBF"/>
                          <w:right w:val="single" w:sz="6" w:space="0" w:color="BFBFBF"/>
                        </w:tcBorders>
                        <w:shd w:val="clear" w:color="auto" w:fill="auto"/>
                      </w:tcPr>
                      <w:p w:rsidR="002E5662" w:rsidRDefault="002E5662" w:rsidP="00E54D2D">
                        <w:pPr>
                          <w:pStyle w:val="TableBodyText"/>
                          <w:ind w:left="170"/>
                          <w:jc w:val="left"/>
                        </w:pPr>
                        <w:r>
                          <w:t>Preschool program in not</w:t>
                        </w:r>
                        <w:r w:rsidR="002D438E">
                          <w:noBreakHyphen/>
                        </w:r>
                        <w:r>
                          <w:t>for</w:t>
                        </w:r>
                        <w:r w:rsidR="002D438E">
                          <w:noBreakHyphen/>
                        </w:r>
                        <w:r>
                          <w:t xml:space="preserve">profit </w:t>
                        </w:r>
                        <w:proofErr w:type="spellStart"/>
                        <w:r>
                          <w:t>LDC</w:t>
                        </w:r>
                        <w:proofErr w:type="spellEnd"/>
                      </w:p>
                    </w:tc>
                    <w:tc>
                      <w:tcPr>
                        <w:tcW w:w="588" w:type="dxa"/>
                        <w:tcBorders>
                          <w:top w:val="single" w:sz="6" w:space="0" w:color="BFBFBF"/>
                          <w:left w:val="single" w:sz="6" w:space="0" w:color="BFBFBF"/>
                          <w:bottom w:val="single" w:sz="6" w:space="0" w:color="BFBFBF"/>
                          <w:right w:val="single" w:sz="6" w:space="0" w:color="BFBFBF"/>
                        </w:tcBorders>
                        <w:shd w:val="clear" w:color="auto" w:fill="78A22F"/>
                      </w:tcPr>
                      <w:p w:rsidR="002E5662" w:rsidRDefault="002E5662" w:rsidP="00E54D2D">
                        <w:pPr>
                          <w:pStyle w:val="TableBodyText"/>
                        </w:pPr>
                      </w:p>
                    </w:tc>
                    <w:tc>
                      <w:tcPr>
                        <w:tcW w:w="587" w:type="dxa"/>
                        <w:tcBorders>
                          <w:top w:val="single" w:sz="6" w:space="0" w:color="BFBFBF"/>
                          <w:left w:val="single" w:sz="6" w:space="0" w:color="BFBFBF"/>
                          <w:bottom w:val="single" w:sz="6" w:space="0" w:color="BFBFBF"/>
                          <w:right w:val="single" w:sz="6" w:space="0" w:color="BFBFBF"/>
                        </w:tcBorders>
                        <w:shd w:val="clear" w:color="auto" w:fill="78A22F"/>
                      </w:tcPr>
                      <w:p w:rsidR="002E5662" w:rsidRDefault="002E5662" w:rsidP="00E54D2D">
                        <w:pPr>
                          <w:pStyle w:val="TableBodyText"/>
                        </w:pPr>
                      </w:p>
                    </w:tc>
                    <w:tc>
                      <w:tcPr>
                        <w:tcW w:w="587" w:type="dxa"/>
                        <w:tcBorders>
                          <w:top w:val="single" w:sz="6" w:space="0" w:color="BFBFBF"/>
                          <w:left w:val="single" w:sz="6" w:space="0" w:color="BFBFBF"/>
                          <w:bottom w:val="single" w:sz="6" w:space="0" w:color="BFBFBF"/>
                          <w:right w:val="single" w:sz="6" w:space="0" w:color="BFBFBF"/>
                        </w:tcBorders>
                        <w:shd w:val="clear" w:color="auto" w:fill="78A22F"/>
                      </w:tcPr>
                      <w:p w:rsidR="002E5662" w:rsidRDefault="002E5662" w:rsidP="00E54D2D">
                        <w:pPr>
                          <w:pStyle w:val="TableBodyText"/>
                        </w:pPr>
                      </w:p>
                    </w:tc>
                    <w:tc>
                      <w:tcPr>
                        <w:tcW w:w="587" w:type="dxa"/>
                        <w:tcBorders>
                          <w:top w:val="single" w:sz="6" w:space="0" w:color="BFBFBF"/>
                          <w:left w:val="single" w:sz="6" w:space="0" w:color="BFBFBF"/>
                          <w:bottom w:val="single" w:sz="6" w:space="0" w:color="BFBFBF"/>
                          <w:right w:val="single" w:sz="6" w:space="0" w:color="BFBFBF"/>
                        </w:tcBorders>
                        <w:shd w:val="clear" w:color="auto" w:fill="D3E8B0"/>
                      </w:tcPr>
                      <w:p w:rsidR="002E5662" w:rsidRDefault="002E5662" w:rsidP="00E54D2D">
                        <w:pPr>
                          <w:pStyle w:val="TableBodyText"/>
                        </w:pPr>
                      </w:p>
                    </w:tc>
                    <w:tc>
                      <w:tcPr>
                        <w:tcW w:w="587" w:type="dxa"/>
                        <w:tcBorders>
                          <w:top w:val="single" w:sz="6" w:space="0" w:color="BFBFBF"/>
                          <w:left w:val="single" w:sz="6" w:space="0" w:color="BFBFBF"/>
                          <w:bottom w:val="single" w:sz="6" w:space="0" w:color="BFBFBF"/>
                          <w:right w:val="single" w:sz="6" w:space="0" w:color="BFBFBF"/>
                        </w:tcBorders>
                        <w:shd w:val="clear" w:color="auto" w:fill="78A22F"/>
                      </w:tcPr>
                      <w:p w:rsidR="002E5662" w:rsidRDefault="002E5662" w:rsidP="00E54D2D">
                        <w:pPr>
                          <w:pStyle w:val="TableBodyText"/>
                        </w:pPr>
                      </w:p>
                    </w:tc>
                    <w:tc>
                      <w:tcPr>
                        <w:tcW w:w="587" w:type="dxa"/>
                        <w:tcBorders>
                          <w:top w:val="single" w:sz="6" w:space="0" w:color="BFBFBF"/>
                          <w:left w:val="single" w:sz="6" w:space="0" w:color="BFBFBF"/>
                          <w:bottom w:val="single" w:sz="6" w:space="0" w:color="BFBFBF"/>
                          <w:right w:val="single" w:sz="6" w:space="0" w:color="BFBFBF"/>
                        </w:tcBorders>
                        <w:shd w:val="clear" w:color="auto" w:fill="D3E8B0"/>
                      </w:tcPr>
                      <w:p w:rsidR="002E5662" w:rsidRDefault="002E5662" w:rsidP="00E54D2D">
                        <w:pPr>
                          <w:pStyle w:val="TableBodyText"/>
                        </w:pPr>
                      </w:p>
                    </w:tc>
                    <w:tc>
                      <w:tcPr>
                        <w:tcW w:w="675" w:type="dxa"/>
                        <w:tcBorders>
                          <w:top w:val="single" w:sz="6" w:space="0" w:color="BFBFBF"/>
                          <w:left w:val="single" w:sz="6" w:space="0" w:color="BFBFBF"/>
                          <w:bottom w:val="single" w:sz="6" w:space="0" w:color="BFBFBF"/>
                          <w:right w:val="single" w:sz="6" w:space="0" w:color="BFBFBF"/>
                        </w:tcBorders>
                        <w:shd w:val="clear" w:color="auto" w:fill="D3E8B0"/>
                      </w:tcPr>
                      <w:p w:rsidR="002E5662" w:rsidRDefault="002E5662" w:rsidP="00E54D2D">
                        <w:pPr>
                          <w:pStyle w:val="TableBodyText"/>
                          <w:ind w:right="28"/>
                        </w:pPr>
                      </w:p>
                    </w:tc>
                    <w:tc>
                      <w:tcPr>
                        <w:tcW w:w="499" w:type="dxa"/>
                        <w:tcBorders>
                          <w:top w:val="single" w:sz="6" w:space="0" w:color="BFBFBF"/>
                          <w:left w:val="single" w:sz="6" w:space="0" w:color="BFBFBF"/>
                          <w:bottom w:val="single" w:sz="6" w:space="0" w:color="BFBFBF"/>
                          <w:right w:val="single" w:sz="6" w:space="0" w:color="BFBFBF"/>
                        </w:tcBorders>
                        <w:shd w:val="clear" w:color="auto" w:fill="78A22F"/>
                      </w:tcPr>
                      <w:p w:rsidR="002E5662" w:rsidRDefault="002E5662" w:rsidP="00E54D2D">
                        <w:pPr>
                          <w:pStyle w:val="TableBodyText"/>
                        </w:pPr>
                      </w:p>
                    </w:tc>
                    <w:tc>
                      <w:tcPr>
                        <w:tcW w:w="639" w:type="dxa"/>
                        <w:tcBorders>
                          <w:top w:val="single" w:sz="6" w:space="0" w:color="BFBFBF"/>
                          <w:left w:val="single" w:sz="6" w:space="0" w:color="BFBFBF"/>
                          <w:bottom w:val="single" w:sz="6" w:space="0" w:color="BFBFBF"/>
                          <w:right w:val="single" w:sz="6" w:space="0" w:color="BFBFBF"/>
                        </w:tcBorders>
                        <w:shd w:val="clear" w:color="auto" w:fill="D3E8B0"/>
                      </w:tcPr>
                      <w:p w:rsidR="002E5662" w:rsidRDefault="002E5662" w:rsidP="00E54D2D">
                        <w:pPr>
                          <w:pStyle w:val="TableBodyText"/>
                        </w:pPr>
                        <w:r w:rsidRPr="00480A46">
                          <w:t xml:space="preserve"> </w:t>
                        </w:r>
                      </w:p>
                    </w:tc>
                  </w:tr>
                  <w:tr w:rsidR="002E5662" w:rsidTr="004025F4">
                    <w:trPr>
                      <w:gridAfter w:val="7"/>
                      <w:wAfter w:w="4473" w:type="dxa"/>
                    </w:trPr>
                    <w:tc>
                      <w:tcPr>
                        <w:tcW w:w="3152" w:type="dxa"/>
                        <w:tcBorders>
                          <w:top w:val="single" w:sz="6" w:space="0" w:color="BFBFBF"/>
                          <w:left w:val="single" w:sz="6" w:space="0" w:color="BFBFBF"/>
                          <w:bottom w:val="single" w:sz="6" w:space="0" w:color="BFBFBF"/>
                          <w:right w:val="single" w:sz="6" w:space="0" w:color="BFBFBF"/>
                        </w:tcBorders>
                        <w:shd w:val="clear" w:color="auto" w:fill="auto"/>
                      </w:tcPr>
                      <w:p w:rsidR="002E5662" w:rsidRDefault="002E5662" w:rsidP="00E54D2D">
                        <w:pPr>
                          <w:pStyle w:val="TableBodyText"/>
                          <w:ind w:left="170"/>
                          <w:jc w:val="left"/>
                        </w:pPr>
                        <w:r>
                          <w:t>Preschool program in government school</w:t>
                        </w:r>
                      </w:p>
                    </w:tc>
                    <w:tc>
                      <w:tcPr>
                        <w:tcW w:w="588" w:type="dxa"/>
                        <w:tcBorders>
                          <w:top w:val="single" w:sz="6" w:space="0" w:color="BFBFBF"/>
                          <w:left w:val="single" w:sz="6" w:space="0" w:color="BFBFBF"/>
                          <w:bottom w:val="single" w:sz="6" w:space="0" w:color="BFBFBF"/>
                          <w:right w:val="single" w:sz="6" w:space="0" w:color="BFBFBF"/>
                        </w:tcBorders>
                        <w:shd w:val="clear" w:color="auto" w:fill="78A22F"/>
                      </w:tcPr>
                      <w:p w:rsidR="002E5662" w:rsidRDefault="002E5662" w:rsidP="00E54D2D">
                        <w:pPr>
                          <w:pStyle w:val="TableBodyText"/>
                        </w:pPr>
                      </w:p>
                    </w:tc>
                    <w:tc>
                      <w:tcPr>
                        <w:tcW w:w="587" w:type="dxa"/>
                        <w:tcBorders>
                          <w:top w:val="single" w:sz="6" w:space="0" w:color="BFBFBF"/>
                          <w:left w:val="single" w:sz="6" w:space="0" w:color="BFBFBF"/>
                          <w:bottom w:val="single" w:sz="6" w:space="0" w:color="BFBFBF"/>
                          <w:right w:val="single" w:sz="6" w:space="0" w:color="BFBFBF"/>
                        </w:tcBorders>
                        <w:shd w:val="clear" w:color="auto" w:fill="78A22F"/>
                      </w:tcPr>
                      <w:p w:rsidR="002E5662" w:rsidRDefault="002E5662" w:rsidP="00E54D2D">
                        <w:pPr>
                          <w:pStyle w:val="TableBodyText"/>
                        </w:pPr>
                      </w:p>
                    </w:tc>
                    <w:tc>
                      <w:tcPr>
                        <w:tcW w:w="587" w:type="dxa"/>
                        <w:tcBorders>
                          <w:top w:val="single" w:sz="6" w:space="0" w:color="BFBFBF"/>
                          <w:left w:val="single" w:sz="6" w:space="0" w:color="BFBFBF"/>
                          <w:bottom w:val="single" w:sz="6" w:space="0" w:color="BFBFBF"/>
                          <w:right w:val="single" w:sz="6" w:space="0" w:color="BFBFBF"/>
                        </w:tcBorders>
                        <w:shd w:val="clear" w:color="auto" w:fill="78A22F"/>
                      </w:tcPr>
                      <w:p w:rsidR="002E5662" w:rsidRDefault="002E5662" w:rsidP="00E54D2D">
                        <w:pPr>
                          <w:pStyle w:val="TableBodyText"/>
                        </w:pPr>
                      </w:p>
                    </w:tc>
                    <w:tc>
                      <w:tcPr>
                        <w:tcW w:w="587" w:type="dxa"/>
                        <w:tcBorders>
                          <w:top w:val="single" w:sz="6" w:space="0" w:color="BFBFBF"/>
                          <w:left w:val="single" w:sz="6" w:space="0" w:color="BFBFBF"/>
                          <w:bottom w:val="single" w:sz="6" w:space="0" w:color="BFBFBF"/>
                          <w:right w:val="single" w:sz="6" w:space="0" w:color="BFBFBF"/>
                        </w:tcBorders>
                        <w:shd w:val="clear" w:color="auto" w:fill="78A22F"/>
                      </w:tcPr>
                      <w:p w:rsidR="002E5662" w:rsidRDefault="002E5662" w:rsidP="00E54D2D">
                        <w:pPr>
                          <w:pStyle w:val="TableBodyText"/>
                        </w:pPr>
                      </w:p>
                    </w:tc>
                    <w:tc>
                      <w:tcPr>
                        <w:tcW w:w="587" w:type="dxa"/>
                        <w:tcBorders>
                          <w:top w:val="single" w:sz="6" w:space="0" w:color="BFBFBF"/>
                          <w:left w:val="single" w:sz="6" w:space="0" w:color="BFBFBF"/>
                          <w:bottom w:val="single" w:sz="6" w:space="0" w:color="BFBFBF"/>
                          <w:right w:val="single" w:sz="6" w:space="0" w:color="BFBFBF"/>
                        </w:tcBorders>
                        <w:shd w:val="clear" w:color="auto" w:fill="78A22F"/>
                      </w:tcPr>
                      <w:p w:rsidR="002E5662" w:rsidRDefault="002E5662" w:rsidP="00E54D2D">
                        <w:pPr>
                          <w:pStyle w:val="TableBodyText"/>
                        </w:pPr>
                      </w:p>
                    </w:tc>
                    <w:tc>
                      <w:tcPr>
                        <w:tcW w:w="587" w:type="dxa"/>
                        <w:tcBorders>
                          <w:top w:val="single" w:sz="6" w:space="0" w:color="BFBFBF"/>
                          <w:left w:val="single" w:sz="6" w:space="0" w:color="BFBFBF"/>
                          <w:bottom w:val="single" w:sz="6" w:space="0" w:color="BFBFBF"/>
                          <w:right w:val="single" w:sz="6" w:space="0" w:color="BFBFBF"/>
                        </w:tcBorders>
                        <w:shd w:val="clear" w:color="auto" w:fill="78A22F"/>
                      </w:tcPr>
                      <w:p w:rsidR="002E5662" w:rsidRDefault="002E5662" w:rsidP="00E54D2D">
                        <w:pPr>
                          <w:pStyle w:val="TableBodyText"/>
                        </w:pPr>
                      </w:p>
                    </w:tc>
                    <w:tc>
                      <w:tcPr>
                        <w:tcW w:w="675" w:type="dxa"/>
                        <w:tcBorders>
                          <w:top w:val="single" w:sz="6" w:space="0" w:color="BFBFBF"/>
                          <w:left w:val="single" w:sz="6" w:space="0" w:color="BFBFBF"/>
                          <w:bottom w:val="single" w:sz="6" w:space="0" w:color="BFBFBF"/>
                          <w:right w:val="single" w:sz="6" w:space="0" w:color="BFBFBF"/>
                        </w:tcBorders>
                        <w:shd w:val="clear" w:color="auto" w:fill="78A22F"/>
                      </w:tcPr>
                      <w:p w:rsidR="002E5662" w:rsidRDefault="002E5662" w:rsidP="00E54D2D">
                        <w:pPr>
                          <w:pStyle w:val="TableBodyText"/>
                          <w:ind w:right="28"/>
                        </w:pPr>
                      </w:p>
                    </w:tc>
                    <w:tc>
                      <w:tcPr>
                        <w:tcW w:w="499" w:type="dxa"/>
                        <w:tcBorders>
                          <w:top w:val="single" w:sz="6" w:space="0" w:color="BFBFBF"/>
                          <w:left w:val="single" w:sz="6" w:space="0" w:color="BFBFBF"/>
                          <w:bottom w:val="single" w:sz="6" w:space="0" w:color="BFBFBF"/>
                          <w:right w:val="single" w:sz="6" w:space="0" w:color="BFBFBF"/>
                        </w:tcBorders>
                        <w:shd w:val="clear" w:color="auto" w:fill="78A22F"/>
                      </w:tcPr>
                      <w:p w:rsidR="002E5662" w:rsidRDefault="002E5662" w:rsidP="00E54D2D">
                        <w:pPr>
                          <w:pStyle w:val="TableBodyText"/>
                        </w:pPr>
                      </w:p>
                    </w:tc>
                    <w:tc>
                      <w:tcPr>
                        <w:tcW w:w="639" w:type="dxa"/>
                        <w:tcBorders>
                          <w:top w:val="single" w:sz="6" w:space="0" w:color="BFBFBF"/>
                          <w:left w:val="single" w:sz="6" w:space="0" w:color="BFBFBF"/>
                          <w:bottom w:val="single" w:sz="6" w:space="0" w:color="BFBFBF"/>
                          <w:right w:val="single" w:sz="6" w:space="0" w:color="BFBFBF"/>
                        </w:tcBorders>
                        <w:shd w:val="clear" w:color="auto" w:fill="D3E8B0"/>
                      </w:tcPr>
                      <w:p w:rsidR="002E5662" w:rsidRDefault="002E5662" w:rsidP="00E54D2D">
                        <w:pPr>
                          <w:pStyle w:val="TableBodyText"/>
                        </w:pPr>
                        <w:r w:rsidRPr="00480A46">
                          <w:t xml:space="preserve"> </w:t>
                        </w:r>
                      </w:p>
                    </w:tc>
                  </w:tr>
                  <w:tr w:rsidR="002E5662" w:rsidTr="004025F4">
                    <w:trPr>
                      <w:gridAfter w:val="7"/>
                      <w:wAfter w:w="4473" w:type="dxa"/>
                    </w:trPr>
                    <w:tc>
                      <w:tcPr>
                        <w:tcW w:w="3152" w:type="dxa"/>
                        <w:tcBorders>
                          <w:top w:val="single" w:sz="6" w:space="0" w:color="BFBFBF"/>
                          <w:left w:val="single" w:sz="6" w:space="0" w:color="BFBFBF"/>
                          <w:bottom w:val="single" w:sz="6" w:space="0" w:color="BFBFBF"/>
                          <w:right w:val="single" w:sz="6" w:space="0" w:color="BFBFBF"/>
                        </w:tcBorders>
                        <w:shd w:val="clear" w:color="auto" w:fill="auto"/>
                      </w:tcPr>
                      <w:p w:rsidR="002E5662" w:rsidRDefault="002E5662" w:rsidP="00E54D2D">
                        <w:pPr>
                          <w:pStyle w:val="TableBodyText"/>
                          <w:ind w:left="170"/>
                          <w:jc w:val="left"/>
                        </w:pPr>
                        <w:r>
                          <w:t>Preschool program in</w:t>
                        </w:r>
                        <w:r w:rsidR="002D438E">
                          <w:t xml:space="preserve"> </w:t>
                        </w:r>
                        <w:r>
                          <w:t>non</w:t>
                        </w:r>
                        <w:r w:rsidR="002D438E">
                          <w:noBreakHyphen/>
                        </w:r>
                        <w:r>
                          <w:t xml:space="preserve">government school </w:t>
                        </w:r>
                      </w:p>
                    </w:tc>
                    <w:tc>
                      <w:tcPr>
                        <w:tcW w:w="588" w:type="dxa"/>
                        <w:tcBorders>
                          <w:top w:val="single" w:sz="6" w:space="0" w:color="BFBFBF"/>
                          <w:left w:val="single" w:sz="6" w:space="0" w:color="BFBFBF"/>
                          <w:bottom w:val="single" w:sz="6" w:space="0" w:color="BFBFBF"/>
                          <w:right w:val="single" w:sz="6" w:space="0" w:color="BFBFBF"/>
                        </w:tcBorders>
                        <w:shd w:val="clear" w:color="auto" w:fill="D3E8B0"/>
                      </w:tcPr>
                      <w:p w:rsidR="002E5662" w:rsidRDefault="002E5662" w:rsidP="00E54D2D">
                        <w:pPr>
                          <w:pStyle w:val="TableBodyText"/>
                        </w:pPr>
                      </w:p>
                    </w:tc>
                    <w:tc>
                      <w:tcPr>
                        <w:tcW w:w="587" w:type="dxa"/>
                        <w:tcBorders>
                          <w:top w:val="single" w:sz="6" w:space="0" w:color="BFBFBF"/>
                          <w:left w:val="single" w:sz="6" w:space="0" w:color="BFBFBF"/>
                          <w:bottom w:val="single" w:sz="6" w:space="0" w:color="BFBFBF"/>
                          <w:right w:val="single" w:sz="6" w:space="0" w:color="BFBFBF"/>
                        </w:tcBorders>
                        <w:shd w:val="clear" w:color="auto" w:fill="78A22F"/>
                      </w:tcPr>
                      <w:p w:rsidR="002E5662" w:rsidRDefault="002E5662" w:rsidP="00E54D2D">
                        <w:pPr>
                          <w:pStyle w:val="TableBodyText"/>
                        </w:pPr>
                      </w:p>
                    </w:tc>
                    <w:tc>
                      <w:tcPr>
                        <w:tcW w:w="587" w:type="dxa"/>
                        <w:tcBorders>
                          <w:top w:val="single" w:sz="6" w:space="0" w:color="BFBFBF"/>
                          <w:left w:val="single" w:sz="6" w:space="0" w:color="BFBFBF"/>
                          <w:bottom w:val="single" w:sz="6" w:space="0" w:color="BFBFBF"/>
                          <w:right w:val="single" w:sz="6" w:space="0" w:color="BFBFBF"/>
                        </w:tcBorders>
                        <w:shd w:val="clear" w:color="auto" w:fill="78A22F"/>
                      </w:tcPr>
                      <w:p w:rsidR="002E5662" w:rsidRDefault="002E5662" w:rsidP="00E54D2D">
                        <w:pPr>
                          <w:pStyle w:val="TableBodyText"/>
                        </w:pPr>
                      </w:p>
                    </w:tc>
                    <w:tc>
                      <w:tcPr>
                        <w:tcW w:w="587" w:type="dxa"/>
                        <w:tcBorders>
                          <w:top w:val="single" w:sz="6" w:space="0" w:color="BFBFBF"/>
                          <w:left w:val="single" w:sz="6" w:space="0" w:color="BFBFBF"/>
                          <w:bottom w:val="single" w:sz="6" w:space="0" w:color="BFBFBF"/>
                          <w:right w:val="single" w:sz="6" w:space="0" w:color="BFBFBF"/>
                        </w:tcBorders>
                        <w:shd w:val="clear" w:color="auto" w:fill="78A22F"/>
                      </w:tcPr>
                      <w:p w:rsidR="002E5662" w:rsidRDefault="002E5662" w:rsidP="00E54D2D">
                        <w:pPr>
                          <w:pStyle w:val="TableBodyText"/>
                        </w:pPr>
                      </w:p>
                    </w:tc>
                    <w:tc>
                      <w:tcPr>
                        <w:tcW w:w="587" w:type="dxa"/>
                        <w:tcBorders>
                          <w:top w:val="single" w:sz="6" w:space="0" w:color="BFBFBF"/>
                          <w:left w:val="single" w:sz="6" w:space="0" w:color="BFBFBF"/>
                          <w:bottom w:val="single" w:sz="6" w:space="0" w:color="BFBFBF"/>
                          <w:right w:val="single" w:sz="6" w:space="0" w:color="BFBFBF"/>
                        </w:tcBorders>
                        <w:shd w:val="clear" w:color="auto" w:fill="78A22F"/>
                      </w:tcPr>
                      <w:p w:rsidR="002E5662" w:rsidRDefault="002E5662" w:rsidP="00E54D2D">
                        <w:pPr>
                          <w:pStyle w:val="TableBodyText"/>
                        </w:pPr>
                      </w:p>
                    </w:tc>
                    <w:tc>
                      <w:tcPr>
                        <w:tcW w:w="587" w:type="dxa"/>
                        <w:tcBorders>
                          <w:top w:val="single" w:sz="6" w:space="0" w:color="BFBFBF"/>
                          <w:left w:val="single" w:sz="6" w:space="0" w:color="BFBFBF"/>
                          <w:bottom w:val="single" w:sz="6" w:space="0" w:color="BFBFBF"/>
                          <w:right w:val="single" w:sz="6" w:space="0" w:color="BFBFBF"/>
                        </w:tcBorders>
                        <w:shd w:val="clear" w:color="auto" w:fill="78A22F"/>
                      </w:tcPr>
                      <w:p w:rsidR="002E5662" w:rsidRDefault="002E5662" w:rsidP="00E54D2D">
                        <w:pPr>
                          <w:pStyle w:val="TableBodyText"/>
                        </w:pPr>
                      </w:p>
                    </w:tc>
                    <w:tc>
                      <w:tcPr>
                        <w:tcW w:w="675" w:type="dxa"/>
                        <w:tcBorders>
                          <w:top w:val="single" w:sz="6" w:space="0" w:color="BFBFBF"/>
                          <w:left w:val="single" w:sz="6" w:space="0" w:color="BFBFBF"/>
                          <w:bottom w:val="single" w:sz="6" w:space="0" w:color="BFBFBF"/>
                          <w:right w:val="single" w:sz="6" w:space="0" w:color="BFBFBF"/>
                        </w:tcBorders>
                        <w:shd w:val="clear" w:color="auto" w:fill="D3E8B0"/>
                      </w:tcPr>
                      <w:p w:rsidR="002E5662" w:rsidRDefault="002E5662" w:rsidP="00E54D2D">
                        <w:pPr>
                          <w:pStyle w:val="TableBodyText"/>
                          <w:ind w:right="28"/>
                        </w:pPr>
                      </w:p>
                    </w:tc>
                    <w:tc>
                      <w:tcPr>
                        <w:tcW w:w="499" w:type="dxa"/>
                        <w:tcBorders>
                          <w:top w:val="single" w:sz="6" w:space="0" w:color="BFBFBF"/>
                          <w:left w:val="single" w:sz="6" w:space="0" w:color="BFBFBF"/>
                          <w:bottom w:val="single" w:sz="6" w:space="0" w:color="BFBFBF"/>
                          <w:right w:val="single" w:sz="6" w:space="0" w:color="BFBFBF"/>
                        </w:tcBorders>
                        <w:shd w:val="clear" w:color="auto" w:fill="78A22F"/>
                      </w:tcPr>
                      <w:p w:rsidR="002E5662" w:rsidRDefault="002E5662" w:rsidP="00E54D2D">
                        <w:pPr>
                          <w:pStyle w:val="TableBodyText"/>
                        </w:pPr>
                      </w:p>
                    </w:tc>
                    <w:tc>
                      <w:tcPr>
                        <w:tcW w:w="639" w:type="dxa"/>
                        <w:tcBorders>
                          <w:top w:val="single" w:sz="6" w:space="0" w:color="BFBFBF"/>
                          <w:left w:val="single" w:sz="6" w:space="0" w:color="BFBFBF"/>
                          <w:bottom w:val="single" w:sz="6" w:space="0" w:color="BFBFBF"/>
                          <w:right w:val="single" w:sz="6" w:space="0" w:color="BFBFBF"/>
                        </w:tcBorders>
                        <w:shd w:val="clear" w:color="auto" w:fill="D3E8B0"/>
                      </w:tcPr>
                      <w:p w:rsidR="002E5662" w:rsidRDefault="002E5662" w:rsidP="00E54D2D">
                        <w:pPr>
                          <w:pStyle w:val="TableBodyText"/>
                        </w:pPr>
                        <w:r w:rsidRPr="00480A46">
                          <w:t xml:space="preserve"> </w:t>
                        </w:r>
                      </w:p>
                    </w:tc>
                  </w:tr>
                </w:tbl>
                <w:p w:rsidR="00E54D2D" w:rsidRDefault="00E54D2D" w:rsidP="00E54D2D">
                  <w:pPr>
                    <w:pStyle w:val="Figure"/>
                    <w:spacing w:before="60" w:after="60"/>
                  </w:pPr>
                </w:p>
              </w:tc>
            </w:tr>
          </w:tbl>
          <w:p w:rsidR="00E54D2D" w:rsidRDefault="00E54D2D" w:rsidP="00E54D2D">
            <w:pPr>
              <w:pStyle w:val="Figure"/>
            </w:pPr>
          </w:p>
        </w:tc>
      </w:tr>
      <w:tr w:rsidR="00E54D2D" w:rsidRPr="00176D3F" w:rsidTr="00E54D2D">
        <w:tc>
          <w:tcPr>
            <w:tcW w:w="304" w:type="dxa"/>
            <w:tcBorders>
              <w:top w:val="nil"/>
              <w:left w:val="nil"/>
              <w:bottom w:val="nil"/>
              <w:right w:val="single" w:sz="6" w:space="0" w:color="BFBFBF"/>
            </w:tcBorders>
            <w:shd w:val="clear" w:color="auto" w:fill="auto"/>
          </w:tcPr>
          <w:p w:rsidR="00E54D2D" w:rsidRPr="008E77FE" w:rsidRDefault="00E54D2D" w:rsidP="00E54D2D">
            <w:pPr>
              <w:pStyle w:val="Note"/>
              <w:rPr>
                <w:rStyle w:val="NoteLabel"/>
              </w:rPr>
            </w:pPr>
          </w:p>
        </w:tc>
        <w:tc>
          <w:tcPr>
            <w:tcW w:w="525" w:type="dxa"/>
            <w:tcBorders>
              <w:top w:val="single" w:sz="6" w:space="0" w:color="BFBFBF"/>
              <w:left w:val="single" w:sz="6" w:space="0" w:color="BFBFBF"/>
              <w:bottom w:val="single" w:sz="6" w:space="0" w:color="BFBFBF"/>
              <w:right w:val="single" w:sz="6" w:space="0" w:color="BFBFBF"/>
            </w:tcBorders>
            <w:shd w:val="clear" w:color="auto" w:fill="78A22F"/>
          </w:tcPr>
          <w:p w:rsidR="00E54D2D" w:rsidRPr="008E77FE" w:rsidRDefault="00E54D2D" w:rsidP="00E54D2D">
            <w:pPr>
              <w:pStyle w:val="Note"/>
              <w:rPr>
                <w:rStyle w:val="NoteLabel"/>
              </w:rPr>
            </w:pPr>
          </w:p>
        </w:tc>
        <w:tc>
          <w:tcPr>
            <w:tcW w:w="7942" w:type="dxa"/>
            <w:tcBorders>
              <w:top w:val="nil"/>
              <w:left w:val="single" w:sz="6" w:space="0" w:color="BFBFBF"/>
              <w:bottom w:val="nil"/>
              <w:right w:val="nil"/>
            </w:tcBorders>
            <w:shd w:val="clear" w:color="auto" w:fill="auto"/>
          </w:tcPr>
          <w:p w:rsidR="00E54D2D" w:rsidRPr="00D70068" w:rsidRDefault="00E54D2D" w:rsidP="00E54D2D">
            <w:pPr>
              <w:pStyle w:val="Note"/>
              <w:rPr>
                <w:rStyle w:val="NoteLabel"/>
                <w:b w:val="0"/>
                <w:position w:val="0"/>
              </w:rPr>
            </w:pPr>
            <w:r w:rsidRPr="00D70068">
              <w:rPr>
                <w:rStyle w:val="NoteLabel"/>
                <w:b w:val="0"/>
                <w:position w:val="0"/>
              </w:rPr>
              <w:t>Government provides funding to at least one of these services</w:t>
            </w:r>
          </w:p>
        </w:tc>
      </w:tr>
      <w:tr w:rsidR="00E54D2D" w:rsidRPr="00176D3F" w:rsidTr="00E54D2D">
        <w:tc>
          <w:tcPr>
            <w:tcW w:w="304" w:type="dxa"/>
            <w:tcBorders>
              <w:top w:val="nil"/>
              <w:left w:val="nil"/>
              <w:bottom w:val="nil"/>
              <w:right w:val="single" w:sz="6" w:space="0" w:color="BFBFBF"/>
            </w:tcBorders>
            <w:shd w:val="clear" w:color="auto" w:fill="auto"/>
          </w:tcPr>
          <w:p w:rsidR="00E54D2D" w:rsidRPr="008E77FE" w:rsidRDefault="00E54D2D" w:rsidP="00E54D2D">
            <w:pPr>
              <w:pStyle w:val="Note"/>
              <w:rPr>
                <w:rStyle w:val="NoteLabel"/>
              </w:rPr>
            </w:pPr>
          </w:p>
        </w:tc>
        <w:tc>
          <w:tcPr>
            <w:tcW w:w="525" w:type="dxa"/>
            <w:tcBorders>
              <w:top w:val="single" w:sz="6" w:space="0" w:color="BFBFBF"/>
              <w:left w:val="single" w:sz="6" w:space="0" w:color="BFBFBF"/>
              <w:bottom w:val="single" w:sz="6" w:space="0" w:color="BFBFBF"/>
              <w:right w:val="single" w:sz="6" w:space="0" w:color="BFBFBF"/>
            </w:tcBorders>
            <w:shd w:val="clear" w:color="auto" w:fill="D3E8B0"/>
          </w:tcPr>
          <w:p w:rsidR="00E54D2D" w:rsidRPr="008E77FE" w:rsidRDefault="00E54D2D" w:rsidP="00E54D2D">
            <w:pPr>
              <w:pStyle w:val="Note"/>
              <w:rPr>
                <w:rStyle w:val="NoteLabel"/>
              </w:rPr>
            </w:pPr>
          </w:p>
        </w:tc>
        <w:tc>
          <w:tcPr>
            <w:tcW w:w="7942" w:type="dxa"/>
            <w:tcBorders>
              <w:top w:val="nil"/>
              <w:left w:val="single" w:sz="6" w:space="0" w:color="BFBFBF"/>
              <w:bottom w:val="nil"/>
              <w:right w:val="nil"/>
            </w:tcBorders>
            <w:shd w:val="clear" w:color="auto" w:fill="auto"/>
          </w:tcPr>
          <w:p w:rsidR="00E54D2D" w:rsidRPr="00D70068" w:rsidRDefault="00E54D2D" w:rsidP="00E54D2D">
            <w:pPr>
              <w:pStyle w:val="Note"/>
              <w:rPr>
                <w:rStyle w:val="NoteLabel"/>
                <w:b w:val="0"/>
                <w:position w:val="0"/>
              </w:rPr>
            </w:pPr>
            <w:r w:rsidRPr="00D70068">
              <w:rPr>
                <w:rStyle w:val="NoteLabel"/>
                <w:b w:val="0"/>
                <w:position w:val="0"/>
              </w:rPr>
              <w:t xml:space="preserve">Government does not provide funding to </w:t>
            </w:r>
            <w:r>
              <w:rPr>
                <w:rStyle w:val="NoteLabel"/>
                <w:b w:val="0"/>
                <w:position w:val="0"/>
              </w:rPr>
              <w:t xml:space="preserve">any of </w:t>
            </w:r>
            <w:r w:rsidRPr="00D70068">
              <w:rPr>
                <w:rStyle w:val="NoteLabel"/>
                <w:b w:val="0"/>
                <w:position w:val="0"/>
              </w:rPr>
              <w:t>these services</w:t>
            </w:r>
          </w:p>
        </w:tc>
      </w:tr>
      <w:tr w:rsidR="00E54D2D" w:rsidRPr="00176D3F" w:rsidTr="00E54D2D">
        <w:tc>
          <w:tcPr>
            <w:tcW w:w="8771" w:type="dxa"/>
            <w:gridSpan w:val="3"/>
            <w:tcBorders>
              <w:top w:val="nil"/>
              <w:left w:val="nil"/>
              <w:bottom w:val="nil"/>
              <w:right w:val="nil"/>
            </w:tcBorders>
            <w:shd w:val="clear" w:color="auto" w:fill="auto"/>
          </w:tcPr>
          <w:p w:rsidR="00E54D2D" w:rsidRPr="00176D3F" w:rsidRDefault="0010137D" w:rsidP="009F310F">
            <w:pPr>
              <w:pStyle w:val="Note"/>
            </w:pPr>
            <w:proofErr w:type="spellStart"/>
            <w:r w:rsidRPr="0010137D">
              <w:t>LDC</w:t>
            </w:r>
            <w:proofErr w:type="spellEnd"/>
            <w:r w:rsidRPr="0010137D">
              <w:t xml:space="preserve"> = long day care.</w:t>
            </w:r>
            <w:r>
              <w:rPr>
                <w:rStyle w:val="NoteLabel"/>
              </w:rPr>
              <w:t xml:space="preserve"> </w:t>
            </w:r>
            <w:r w:rsidR="00E54D2D" w:rsidRPr="008E77FE">
              <w:rPr>
                <w:rStyle w:val="NoteLabel"/>
              </w:rPr>
              <w:t>a</w:t>
            </w:r>
            <w:r w:rsidR="00E54D2D">
              <w:t xml:space="preserve"> Refers to services which received any Australian, State or Territory government funding (recurrent or capital funding) in 2014</w:t>
            </w:r>
            <w:r w:rsidR="002D438E">
              <w:noBreakHyphen/>
            </w:r>
            <w:r w:rsidR="00E54D2D">
              <w:t xml:space="preserve">15. </w:t>
            </w:r>
            <w:r w:rsidR="00E54D2D">
              <w:rPr>
                <w:rStyle w:val="NoteLabel"/>
              </w:rPr>
              <w:t>b</w:t>
            </w:r>
            <w:r w:rsidR="00E54D2D">
              <w:t xml:space="preserve"> Some services may receive funding from both the Australian and State and Territory governments. </w:t>
            </w:r>
            <w:r w:rsidR="00252995">
              <w:rPr>
                <w:rStyle w:val="NoteLabel"/>
              </w:rPr>
              <w:t>c</w:t>
            </w:r>
            <w:r w:rsidR="00E54D2D">
              <w:t xml:space="preserve"> In Tasmania, some child care services may receive funding under an annual, small capital grants (minor infrastructure) program. These </w:t>
            </w:r>
            <w:r w:rsidR="00252995">
              <w:t xml:space="preserve">services are not included in this table unless </w:t>
            </w:r>
            <w:r w:rsidR="00E54D2D">
              <w:t xml:space="preserve">they also receive recurrent funding. </w:t>
            </w:r>
            <w:r w:rsidR="004025F4">
              <w:t xml:space="preserve">In the ACT, childcare services and preschools outside the government sector may receive support through capital grants, rental subsidies, and funding through budget initiatives. These services are not included in this table unless they also receive recurrent funding. </w:t>
            </w:r>
            <w:r w:rsidR="00252995">
              <w:rPr>
                <w:rStyle w:val="NoteLabel"/>
              </w:rPr>
              <w:t>d</w:t>
            </w:r>
            <w:r w:rsidR="00BC2652">
              <w:t xml:space="preserve"> </w:t>
            </w:r>
            <w:r w:rsidR="00F22011">
              <w:t>O</w:t>
            </w:r>
            <w:r w:rsidR="00BC2652">
              <w:t>ther care services</w:t>
            </w:r>
            <w:r w:rsidR="00F22011">
              <w:t xml:space="preserve"> in </w:t>
            </w:r>
            <w:r w:rsidR="00BC2652">
              <w:t>the NT are 3 year old kindergarten s</w:t>
            </w:r>
            <w:r w:rsidR="004025F4">
              <w:t xml:space="preserve">ervices.                </w:t>
            </w:r>
            <w:r w:rsidR="00EF57C9">
              <w:t xml:space="preserve"> </w:t>
            </w:r>
            <w:r w:rsidR="00252995">
              <w:rPr>
                <w:rStyle w:val="NoteLabel"/>
              </w:rPr>
              <w:t>e</w:t>
            </w:r>
            <w:r w:rsidR="00E54D2D">
              <w:t xml:space="preserve"> </w:t>
            </w:r>
            <w:r w:rsidR="006A3F3E" w:rsidRPr="006A3F3E">
              <w:t xml:space="preserve">Australian Government funding provided through the </w:t>
            </w:r>
            <w:r w:rsidR="00D03467">
              <w:t xml:space="preserve">NP </w:t>
            </w:r>
            <w:proofErr w:type="spellStart"/>
            <w:r w:rsidR="00D03467">
              <w:t>UAECE</w:t>
            </w:r>
            <w:proofErr w:type="spellEnd"/>
            <w:r w:rsidR="006A3F3E" w:rsidRPr="006A3F3E">
              <w:t xml:space="preserve"> is a contribution to support states and territories to increase preschool participation a</w:t>
            </w:r>
            <w:r w:rsidR="00D03467">
              <w:t>nd attendance rates. State and T</w:t>
            </w:r>
            <w:r w:rsidR="006A3F3E" w:rsidRPr="006A3F3E">
              <w:t>erritory governments are responsible for the provision of preschool education in Australia and each jurisdiction has different arrangements for regulating, funding and delivering services.</w:t>
            </w:r>
          </w:p>
        </w:tc>
      </w:tr>
      <w:tr w:rsidR="00E54D2D" w:rsidRPr="00176D3F" w:rsidTr="00E54D2D">
        <w:tc>
          <w:tcPr>
            <w:tcW w:w="8771" w:type="dxa"/>
            <w:gridSpan w:val="3"/>
            <w:tcBorders>
              <w:top w:val="nil"/>
              <w:left w:val="nil"/>
              <w:bottom w:val="nil"/>
              <w:right w:val="nil"/>
            </w:tcBorders>
            <w:shd w:val="clear" w:color="auto" w:fill="auto"/>
          </w:tcPr>
          <w:p w:rsidR="00E54D2D" w:rsidRPr="00176D3F" w:rsidRDefault="00E54D2D" w:rsidP="005A7C12">
            <w:pPr>
              <w:pStyle w:val="Source"/>
            </w:pPr>
            <w:r>
              <w:rPr>
                <w:i/>
              </w:rPr>
              <w:t>Source</w:t>
            </w:r>
            <w:r w:rsidRPr="00167F06">
              <w:t xml:space="preserve">: </w:t>
            </w:r>
            <w:r w:rsidR="00077D68">
              <w:t xml:space="preserve">Australian, </w:t>
            </w:r>
            <w:r>
              <w:t>State and Territory governments (unpublished</w:t>
            </w:r>
            <w:r w:rsidR="00A14B5B">
              <w:t>)</w:t>
            </w:r>
            <w:r w:rsidR="005A7C12">
              <w:t>.</w:t>
            </w:r>
          </w:p>
        </w:tc>
      </w:tr>
      <w:tr w:rsidR="00E54D2D" w:rsidTr="00E54D2D">
        <w:tc>
          <w:tcPr>
            <w:tcW w:w="8771" w:type="dxa"/>
            <w:gridSpan w:val="3"/>
            <w:tcBorders>
              <w:top w:val="nil"/>
              <w:left w:val="nil"/>
              <w:bottom w:val="single" w:sz="6" w:space="0" w:color="78A22F"/>
              <w:right w:val="nil"/>
            </w:tcBorders>
            <w:shd w:val="clear" w:color="auto" w:fill="auto"/>
          </w:tcPr>
          <w:p w:rsidR="00E54D2D" w:rsidRDefault="00E54D2D" w:rsidP="00E54D2D">
            <w:pPr>
              <w:pStyle w:val="Figurespace"/>
            </w:pPr>
          </w:p>
        </w:tc>
      </w:tr>
      <w:tr w:rsidR="00E54D2D" w:rsidRPr="000863A5" w:rsidTr="00E54D2D">
        <w:tc>
          <w:tcPr>
            <w:tcW w:w="8771" w:type="dxa"/>
            <w:gridSpan w:val="3"/>
            <w:tcBorders>
              <w:top w:val="single" w:sz="6" w:space="0" w:color="78A22F"/>
              <w:left w:val="nil"/>
              <w:bottom w:val="nil"/>
              <w:right w:val="nil"/>
            </w:tcBorders>
          </w:tcPr>
          <w:p w:rsidR="00E54D2D" w:rsidRPr="00626D32" w:rsidRDefault="00E54D2D" w:rsidP="00E54D2D">
            <w:pPr>
              <w:pStyle w:val="BoxSpaceBelow"/>
            </w:pPr>
          </w:p>
        </w:tc>
      </w:tr>
    </w:tbl>
    <w:p w:rsidR="00FB5623" w:rsidRDefault="00FB5623" w:rsidP="00FB5623">
      <w:pPr>
        <w:pStyle w:val="Heading4"/>
      </w:pPr>
      <w:r>
        <w:lastRenderedPageBreak/>
        <w:t>Funded child care services</w:t>
      </w:r>
    </w:p>
    <w:p w:rsidR="00FB5623" w:rsidRPr="00F31D53" w:rsidRDefault="00FB5623" w:rsidP="00FB5623">
      <w:pPr>
        <w:pStyle w:val="BodyText"/>
      </w:pPr>
      <w:r>
        <w:t xml:space="preserve">The Australian Government provides the majority of funding to child care services in Australia. In the </w:t>
      </w:r>
      <w:r w:rsidR="00A76805">
        <w:t>March quarter 2015 there were 16 966</w:t>
      </w:r>
      <w:r w:rsidRPr="00F31D53">
        <w:t xml:space="preserve"> </w:t>
      </w:r>
      <w:r>
        <w:t xml:space="preserve">Australian Government </w:t>
      </w:r>
      <w:proofErr w:type="spellStart"/>
      <w:r w:rsidRPr="00F31D53">
        <w:t>CCB</w:t>
      </w:r>
      <w:proofErr w:type="spellEnd"/>
      <w:r w:rsidRPr="00F31D53">
        <w:t xml:space="preserve"> approved child ca</w:t>
      </w:r>
      <w:r>
        <w:t xml:space="preserve">re </w:t>
      </w:r>
      <w:r w:rsidR="00732EDE">
        <w:t>services in Australia (table</w:t>
      </w:r>
      <w:r w:rsidR="00697D43">
        <w:t> </w:t>
      </w:r>
      <w:r w:rsidR="00732EDE">
        <w:t>3.2</w:t>
      </w:r>
      <w:r>
        <w:t>)</w:t>
      </w:r>
      <w:r w:rsidRPr="00F31D53">
        <w:t xml:space="preserve">. </w:t>
      </w:r>
    </w:p>
    <w:p w:rsidR="00FB5623" w:rsidRDefault="00FB5623" w:rsidP="00FB5623">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8771"/>
      </w:tblGrid>
      <w:tr w:rsidR="00FB5623" w:rsidTr="00F70955">
        <w:tc>
          <w:tcPr>
            <w:tcW w:w="8771" w:type="dxa"/>
            <w:tcBorders>
              <w:top w:val="single" w:sz="6" w:space="0" w:color="78A22F"/>
              <w:left w:val="nil"/>
              <w:bottom w:val="nil"/>
              <w:right w:val="nil"/>
            </w:tcBorders>
            <w:shd w:val="clear" w:color="auto" w:fill="auto"/>
          </w:tcPr>
          <w:p w:rsidR="00FB5623" w:rsidRPr="00784A05" w:rsidRDefault="00FB5623" w:rsidP="004A5BC8">
            <w:pPr>
              <w:pStyle w:val="TableTitle"/>
            </w:pPr>
            <w:r>
              <w:rPr>
                <w:b w:val="0"/>
              </w:rPr>
              <w:t>Table 3.</w:t>
            </w:r>
            <w:r w:rsidR="000E3849">
              <w:rPr>
                <w:b w:val="0"/>
                <w:noProof/>
              </w:rPr>
              <w:t>2</w:t>
            </w:r>
            <w:r>
              <w:tab/>
              <w:t xml:space="preserve">Number of Australian Government </w:t>
            </w:r>
            <w:proofErr w:type="spellStart"/>
            <w:r w:rsidRPr="0055030A">
              <w:t>CCB</w:t>
            </w:r>
            <w:proofErr w:type="spellEnd"/>
            <w:r w:rsidRPr="0055030A">
              <w:t xml:space="preserve"> a</w:t>
            </w:r>
            <w:r>
              <w:t xml:space="preserve">pproved </w:t>
            </w:r>
            <w:r w:rsidRPr="0055030A">
              <w:t>child care services</w:t>
            </w:r>
            <w:r w:rsidR="0054080C">
              <w:t xml:space="preserve">, by service type, </w:t>
            </w:r>
            <w:r>
              <w:t>2015</w:t>
            </w:r>
            <w:r w:rsidRPr="0055030A">
              <w:rPr>
                <w:rStyle w:val="NoteLabel"/>
                <w:b/>
              </w:rPr>
              <w:t>a</w:t>
            </w:r>
          </w:p>
        </w:tc>
      </w:tr>
      <w:tr w:rsidR="00FB5623" w:rsidTr="00F70955">
        <w:trPr>
          <w:cantSplit/>
        </w:trPr>
        <w:tc>
          <w:tcPr>
            <w:tcW w:w="8771" w:type="dxa"/>
            <w:tcBorders>
              <w:top w:val="nil"/>
              <w:left w:val="nil"/>
              <w:bottom w:val="nil"/>
              <w:right w:val="nil"/>
            </w:tcBorders>
            <w:shd w:val="clear" w:color="auto" w:fill="auto"/>
          </w:tcPr>
          <w:tbl>
            <w:tblPr>
              <w:tblW w:w="5000" w:type="pct"/>
              <w:tblCellMar>
                <w:left w:w="0" w:type="dxa"/>
                <w:right w:w="0" w:type="dxa"/>
              </w:tblCellMar>
              <w:tblLook w:val="0000" w:firstRow="0" w:lastRow="0" w:firstColumn="0" w:lastColumn="0" w:noHBand="0" w:noVBand="0"/>
            </w:tblPr>
            <w:tblGrid>
              <w:gridCol w:w="1488"/>
              <w:gridCol w:w="702"/>
              <w:gridCol w:w="821"/>
              <w:gridCol w:w="820"/>
              <w:gridCol w:w="822"/>
              <w:gridCol w:w="686"/>
              <w:gridCol w:w="822"/>
              <w:gridCol w:w="822"/>
              <w:gridCol w:w="682"/>
              <w:gridCol w:w="822"/>
            </w:tblGrid>
            <w:tr w:rsidR="00FB5623" w:rsidRPr="004C2A64" w:rsidTr="00F70955">
              <w:tc>
                <w:tcPr>
                  <w:tcW w:w="877" w:type="pct"/>
                  <w:tcBorders>
                    <w:top w:val="single" w:sz="6" w:space="0" w:color="BFBFBF"/>
                    <w:bottom w:val="single" w:sz="6" w:space="0" w:color="BFBFBF"/>
                  </w:tcBorders>
                  <w:shd w:val="clear" w:color="auto" w:fill="auto"/>
                </w:tcPr>
                <w:p w:rsidR="00FB5623" w:rsidRDefault="00FB5623" w:rsidP="00F70955">
                  <w:pPr>
                    <w:pStyle w:val="TableColumnHeading"/>
                    <w:jc w:val="left"/>
                  </w:pPr>
                </w:p>
              </w:tc>
              <w:tc>
                <w:tcPr>
                  <w:tcW w:w="414" w:type="pct"/>
                  <w:tcBorders>
                    <w:top w:val="single" w:sz="6" w:space="0" w:color="BFBFBF"/>
                    <w:bottom w:val="single" w:sz="6" w:space="0" w:color="BFBFBF"/>
                  </w:tcBorders>
                  <w:shd w:val="clear" w:color="auto" w:fill="auto"/>
                </w:tcPr>
                <w:p w:rsidR="00FB5623" w:rsidRPr="00D16A39" w:rsidRDefault="00FB5623" w:rsidP="00F70955">
                  <w:pPr>
                    <w:pStyle w:val="TableColumnHeading"/>
                  </w:pPr>
                  <w:r w:rsidRPr="00D16A39">
                    <w:t>NSW</w:t>
                  </w:r>
                </w:p>
              </w:tc>
              <w:tc>
                <w:tcPr>
                  <w:tcW w:w="484" w:type="pct"/>
                  <w:tcBorders>
                    <w:top w:val="single" w:sz="6" w:space="0" w:color="BFBFBF"/>
                    <w:bottom w:val="single" w:sz="6" w:space="0" w:color="BFBFBF"/>
                  </w:tcBorders>
                </w:tcPr>
                <w:p w:rsidR="00FB5623" w:rsidRPr="00D16A39" w:rsidRDefault="00FB5623" w:rsidP="00F70955">
                  <w:pPr>
                    <w:pStyle w:val="TableColumnHeading"/>
                  </w:pPr>
                  <w:r w:rsidRPr="00D16A39">
                    <w:t>Vic</w:t>
                  </w:r>
                </w:p>
              </w:tc>
              <w:tc>
                <w:tcPr>
                  <w:tcW w:w="483" w:type="pct"/>
                  <w:tcBorders>
                    <w:top w:val="single" w:sz="6" w:space="0" w:color="BFBFBF"/>
                    <w:bottom w:val="single" w:sz="6" w:space="0" w:color="BFBFBF"/>
                  </w:tcBorders>
                </w:tcPr>
                <w:p w:rsidR="00FB5623" w:rsidRPr="00D16A39" w:rsidRDefault="00FB5623" w:rsidP="00F70955">
                  <w:pPr>
                    <w:pStyle w:val="TableColumnHeading"/>
                  </w:pPr>
                  <w:r w:rsidRPr="00D16A39">
                    <w:t>Qld</w:t>
                  </w:r>
                </w:p>
              </w:tc>
              <w:tc>
                <w:tcPr>
                  <w:tcW w:w="484" w:type="pct"/>
                  <w:tcBorders>
                    <w:top w:val="single" w:sz="6" w:space="0" w:color="BFBFBF"/>
                    <w:bottom w:val="single" w:sz="6" w:space="0" w:color="BFBFBF"/>
                  </w:tcBorders>
                </w:tcPr>
                <w:p w:rsidR="00FB5623" w:rsidRPr="00D16A39" w:rsidRDefault="00FB5623" w:rsidP="00F70955">
                  <w:pPr>
                    <w:pStyle w:val="TableColumnHeading"/>
                  </w:pPr>
                  <w:r w:rsidRPr="00D16A39">
                    <w:t>WA</w:t>
                  </w:r>
                </w:p>
              </w:tc>
              <w:tc>
                <w:tcPr>
                  <w:tcW w:w="404" w:type="pct"/>
                  <w:tcBorders>
                    <w:top w:val="single" w:sz="6" w:space="0" w:color="BFBFBF"/>
                    <w:bottom w:val="single" w:sz="6" w:space="0" w:color="BFBFBF"/>
                  </w:tcBorders>
                </w:tcPr>
                <w:p w:rsidR="00FB5623" w:rsidRPr="00D16A39" w:rsidRDefault="00FB5623" w:rsidP="00F70955">
                  <w:pPr>
                    <w:pStyle w:val="TableColumnHeading"/>
                  </w:pPr>
                  <w:r w:rsidRPr="00D16A39">
                    <w:t>SA</w:t>
                  </w:r>
                </w:p>
              </w:tc>
              <w:tc>
                <w:tcPr>
                  <w:tcW w:w="484" w:type="pct"/>
                  <w:tcBorders>
                    <w:top w:val="single" w:sz="6" w:space="0" w:color="BFBFBF"/>
                    <w:bottom w:val="single" w:sz="6" w:space="0" w:color="BFBFBF"/>
                  </w:tcBorders>
                </w:tcPr>
                <w:p w:rsidR="00FB5623" w:rsidRPr="00D16A39" w:rsidRDefault="00FB5623" w:rsidP="00F70955">
                  <w:pPr>
                    <w:pStyle w:val="TableColumnHeading"/>
                  </w:pPr>
                  <w:proofErr w:type="spellStart"/>
                  <w:r w:rsidRPr="00D16A39">
                    <w:t>Tas</w:t>
                  </w:r>
                  <w:proofErr w:type="spellEnd"/>
                </w:p>
              </w:tc>
              <w:tc>
                <w:tcPr>
                  <w:tcW w:w="484" w:type="pct"/>
                  <w:tcBorders>
                    <w:top w:val="single" w:sz="6" w:space="0" w:color="BFBFBF"/>
                    <w:bottom w:val="single" w:sz="6" w:space="0" w:color="BFBFBF"/>
                  </w:tcBorders>
                </w:tcPr>
                <w:p w:rsidR="00FB5623" w:rsidRPr="00D16A39" w:rsidRDefault="00FB5623" w:rsidP="00F70955">
                  <w:pPr>
                    <w:pStyle w:val="TableColumnHeading"/>
                  </w:pPr>
                  <w:r w:rsidRPr="00D16A39">
                    <w:t>ACT</w:t>
                  </w:r>
                </w:p>
              </w:tc>
              <w:tc>
                <w:tcPr>
                  <w:tcW w:w="402" w:type="pct"/>
                  <w:tcBorders>
                    <w:top w:val="single" w:sz="6" w:space="0" w:color="BFBFBF"/>
                    <w:bottom w:val="single" w:sz="6" w:space="0" w:color="BFBFBF"/>
                  </w:tcBorders>
                </w:tcPr>
                <w:p w:rsidR="00FB5623" w:rsidRPr="00D16A39" w:rsidRDefault="00FB5623" w:rsidP="00F70955">
                  <w:pPr>
                    <w:pStyle w:val="TableColumnHeading"/>
                  </w:pPr>
                  <w:r w:rsidRPr="00D16A39">
                    <w:t>NT</w:t>
                  </w:r>
                </w:p>
              </w:tc>
              <w:tc>
                <w:tcPr>
                  <w:tcW w:w="484" w:type="pct"/>
                  <w:tcBorders>
                    <w:top w:val="single" w:sz="6" w:space="0" w:color="BFBFBF"/>
                    <w:bottom w:val="single" w:sz="6" w:space="0" w:color="BFBFBF"/>
                  </w:tcBorders>
                  <w:shd w:val="clear" w:color="auto" w:fill="auto"/>
                </w:tcPr>
                <w:p w:rsidR="00FB5623" w:rsidRPr="00D16A39" w:rsidRDefault="00FB5623" w:rsidP="00F70955">
                  <w:pPr>
                    <w:pStyle w:val="TableColumnHeading"/>
                  </w:pPr>
                  <w:proofErr w:type="spellStart"/>
                  <w:r w:rsidRPr="00D16A39">
                    <w:t>Aust</w:t>
                  </w:r>
                  <w:proofErr w:type="spellEnd"/>
                </w:p>
              </w:tc>
            </w:tr>
            <w:tr w:rsidR="00757EA6" w:rsidTr="00757EA6">
              <w:tc>
                <w:tcPr>
                  <w:tcW w:w="877" w:type="pct"/>
                  <w:tcBorders>
                    <w:top w:val="single" w:sz="6" w:space="0" w:color="BFBFBF"/>
                  </w:tcBorders>
                  <w:vAlign w:val="center"/>
                </w:tcPr>
                <w:p w:rsidR="00757EA6" w:rsidRDefault="00757EA6" w:rsidP="00F70955">
                  <w:pPr>
                    <w:pStyle w:val="TableUnitsRow"/>
                    <w:jc w:val="left"/>
                  </w:pPr>
                  <w:r>
                    <w:t>Long day care</w:t>
                  </w:r>
                </w:p>
              </w:tc>
              <w:tc>
                <w:tcPr>
                  <w:tcW w:w="414" w:type="pct"/>
                  <w:tcBorders>
                    <w:top w:val="single" w:sz="6" w:space="0" w:color="BFBFBF"/>
                  </w:tcBorders>
                  <w:vAlign w:val="center"/>
                </w:tcPr>
                <w:p w:rsidR="00757EA6" w:rsidRPr="00836EB4" w:rsidRDefault="00757EA6" w:rsidP="00F70955">
                  <w:pPr>
                    <w:pStyle w:val="TableBodyText"/>
                  </w:pPr>
                  <w:r w:rsidRPr="00836EB4">
                    <w:t>2 740</w:t>
                  </w:r>
                </w:p>
              </w:tc>
              <w:tc>
                <w:tcPr>
                  <w:tcW w:w="484" w:type="pct"/>
                  <w:tcBorders>
                    <w:top w:val="single" w:sz="6" w:space="0" w:color="BFBFBF"/>
                  </w:tcBorders>
                  <w:vAlign w:val="center"/>
                </w:tcPr>
                <w:p w:rsidR="00757EA6" w:rsidRPr="00836EB4" w:rsidRDefault="00757EA6" w:rsidP="00F70955">
                  <w:pPr>
                    <w:pStyle w:val="TableBodyText"/>
                  </w:pPr>
                  <w:r w:rsidRPr="00836EB4">
                    <w:t>1 249</w:t>
                  </w:r>
                </w:p>
              </w:tc>
              <w:tc>
                <w:tcPr>
                  <w:tcW w:w="483" w:type="pct"/>
                  <w:tcBorders>
                    <w:top w:val="single" w:sz="6" w:space="0" w:color="BFBFBF"/>
                  </w:tcBorders>
                  <w:vAlign w:val="bottom"/>
                </w:tcPr>
                <w:p w:rsidR="00757EA6" w:rsidRPr="00757EA6" w:rsidRDefault="00757EA6" w:rsidP="00757EA6">
                  <w:pPr>
                    <w:pStyle w:val="TableBodyText"/>
                  </w:pPr>
                  <w:bookmarkStart w:id="1" w:name="RANGE!T23"/>
                  <w:r w:rsidRPr="00757EA6">
                    <w:t xml:space="preserve"> 1 443</w:t>
                  </w:r>
                  <w:bookmarkEnd w:id="1"/>
                </w:p>
              </w:tc>
              <w:tc>
                <w:tcPr>
                  <w:tcW w:w="484" w:type="pct"/>
                  <w:tcBorders>
                    <w:top w:val="single" w:sz="6" w:space="0" w:color="BFBFBF"/>
                  </w:tcBorders>
                </w:tcPr>
                <w:p w:rsidR="00757EA6" w:rsidRPr="00757EA6" w:rsidRDefault="002D438E" w:rsidP="00757EA6">
                  <w:pPr>
                    <w:pStyle w:val="TableBodyText"/>
                  </w:pPr>
                  <w:bookmarkStart w:id="2" w:name="RANGE!U23"/>
                  <w:r>
                    <w:t xml:space="preserve"> </w:t>
                  </w:r>
                  <w:r w:rsidR="00757EA6" w:rsidRPr="00757EA6">
                    <w:t>552</w:t>
                  </w:r>
                  <w:bookmarkEnd w:id="2"/>
                </w:p>
              </w:tc>
              <w:tc>
                <w:tcPr>
                  <w:tcW w:w="404" w:type="pct"/>
                  <w:tcBorders>
                    <w:top w:val="single" w:sz="6" w:space="0" w:color="BFBFBF"/>
                  </w:tcBorders>
                </w:tcPr>
                <w:p w:rsidR="00757EA6" w:rsidRPr="00757EA6" w:rsidRDefault="002D438E" w:rsidP="00757EA6">
                  <w:pPr>
                    <w:pStyle w:val="TableBodyText"/>
                  </w:pPr>
                  <w:bookmarkStart w:id="3" w:name="RANGE!V23"/>
                  <w:r>
                    <w:t xml:space="preserve"> </w:t>
                  </w:r>
                  <w:r w:rsidR="00757EA6" w:rsidRPr="00757EA6">
                    <w:t>344</w:t>
                  </w:r>
                  <w:bookmarkEnd w:id="3"/>
                </w:p>
              </w:tc>
              <w:tc>
                <w:tcPr>
                  <w:tcW w:w="484" w:type="pct"/>
                  <w:tcBorders>
                    <w:top w:val="single" w:sz="6" w:space="0" w:color="BFBFBF"/>
                  </w:tcBorders>
                </w:tcPr>
                <w:p w:rsidR="00757EA6" w:rsidRPr="00757EA6" w:rsidRDefault="002D438E" w:rsidP="00757EA6">
                  <w:pPr>
                    <w:pStyle w:val="TableBodyText"/>
                  </w:pPr>
                  <w:bookmarkStart w:id="4" w:name="RANGE!W23"/>
                  <w:r>
                    <w:t xml:space="preserve"> </w:t>
                  </w:r>
                  <w:r w:rsidR="00757EA6" w:rsidRPr="00757EA6">
                    <w:t>115</w:t>
                  </w:r>
                  <w:bookmarkEnd w:id="4"/>
                </w:p>
              </w:tc>
              <w:tc>
                <w:tcPr>
                  <w:tcW w:w="484" w:type="pct"/>
                  <w:tcBorders>
                    <w:top w:val="single" w:sz="6" w:space="0" w:color="BFBFBF"/>
                  </w:tcBorders>
                </w:tcPr>
                <w:p w:rsidR="00757EA6" w:rsidRPr="00757EA6" w:rsidRDefault="002D438E" w:rsidP="00757EA6">
                  <w:pPr>
                    <w:pStyle w:val="TableBodyText"/>
                  </w:pPr>
                  <w:bookmarkStart w:id="5" w:name="RANGE!X23"/>
                  <w:r>
                    <w:t xml:space="preserve"> </w:t>
                  </w:r>
                  <w:r w:rsidR="00757EA6" w:rsidRPr="00757EA6">
                    <w:t>136</w:t>
                  </w:r>
                  <w:bookmarkEnd w:id="5"/>
                </w:p>
              </w:tc>
              <w:tc>
                <w:tcPr>
                  <w:tcW w:w="402" w:type="pct"/>
                  <w:tcBorders>
                    <w:top w:val="single" w:sz="6" w:space="0" w:color="BFBFBF"/>
                  </w:tcBorders>
                </w:tcPr>
                <w:p w:rsidR="00757EA6" w:rsidRPr="00757EA6" w:rsidRDefault="002D438E" w:rsidP="00757EA6">
                  <w:pPr>
                    <w:pStyle w:val="TableBodyText"/>
                  </w:pPr>
                  <w:bookmarkStart w:id="6" w:name="RANGE!Y23"/>
                  <w:r>
                    <w:t xml:space="preserve"> </w:t>
                  </w:r>
                  <w:r w:rsidR="00757EA6" w:rsidRPr="00757EA6">
                    <w:t>77</w:t>
                  </w:r>
                  <w:bookmarkEnd w:id="6"/>
                </w:p>
              </w:tc>
              <w:tc>
                <w:tcPr>
                  <w:tcW w:w="484" w:type="pct"/>
                  <w:tcBorders>
                    <w:top w:val="single" w:sz="6" w:space="0" w:color="BFBFBF"/>
                  </w:tcBorders>
                  <w:vAlign w:val="bottom"/>
                </w:tcPr>
                <w:p w:rsidR="00757EA6" w:rsidRPr="00757EA6" w:rsidRDefault="00757EA6" w:rsidP="00757EA6">
                  <w:pPr>
                    <w:pStyle w:val="TableBodyText"/>
                  </w:pPr>
                  <w:bookmarkStart w:id="7" w:name="RANGE!Z23"/>
                  <w:r w:rsidRPr="00757EA6">
                    <w:t xml:space="preserve"> 6 656</w:t>
                  </w:r>
                  <w:bookmarkEnd w:id="7"/>
                </w:p>
              </w:tc>
            </w:tr>
            <w:tr w:rsidR="00757EA6" w:rsidTr="00757EA6">
              <w:tc>
                <w:tcPr>
                  <w:tcW w:w="877" w:type="pct"/>
                  <w:vAlign w:val="center"/>
                </w:tcPr>
                <w:p w:rsidR="00757EA6" w:rsidRDefault="00757EA6" w:rsidP="00F70955">
                  <w:pPr>
                    <w:pStyle w:val="TableBodyText"/>
                    <w:jc w:val="left"/>
                  </w:pPr>
                  <w:r>
                    <w:t>Family day care</w:t>
                  </w:r>
                </w:p>
              </w:tc>
              <w:tc>
                <w:tcPr>
                  <w:tcW w:w="414" w:type="pct"/>
                  <w:vAlign w:val="center"/>
                </w:tcPr>
                <w:p w:rsidR="00757EA6" w:rsidRPr="00836EB4" w:rsidRDefault="00757EA6" w:rsidP="00F70955">
                  <w:pPr>
                    <w:pStyle w:val="TableBodyText"/>
                  </w:pPr>
                  <w:r w:rsidRPr="00836EB4">
                    <w:t>237</w:t>
                  </w:r>
                </w:p>
              </w:tc>
              <w:tc>
                <w:tcPr>
                  <w:tcW w:w="484" w:type="pct"/>
                  <w:vAlign w:val="center"/>
                </w:tcPr>
                <w:p w:rsidR="00757EA6" w:rsidRPr="00836EB4" w:rsidRDefault="00757EA6" w:rsidP="00F70955">
                  <w:pPr>
                    <w:pStyle w:val="TableBodyText"/>
                  </w:pPr>
                  <w:r w:rsidRPr="00836EB4">
                    <w:t>318</w:t>
                  </w:r>
                </w:p>
              </w:tc>
              <w:tc>
                <w:tcPr>
                  <w:tcW w:w="483" w:type="pct"/>
                  <w:vAlign w:val="bottom"/>
                </w:tcPr>
                <w:p w:rsidR="00757EA6" w:rsidRPr="00757EA6" w:rsidRDefault="002D438E" w:rsidP="00757EA6">
                  <w:pPr>
                    <w:pStyle w:val="TableBodyText"/>
                  </w:pPr>
                  <w:bookmarkStart w:id="8" w:name="RANGE!T24"/>
                  <w:r>
                    <w:t xml:space="preserve"> </w:t>
                  </w:r>
                  <w:r w:rsidR="00757EA6" w:rsidRPr="00757EA6">
                    <w:t>115</w:t>
                  </w:r>
                  <w:bookmarkEnd w:id="8"/>
                </w:p>
              </w:tc>
              <w:tc>
                <w:tcPr>
                  <w:tcW w:w="484" w:type="pct"/>
                </w:tcPr>
                <w:p w:rsidR="00757EA6" w:rsidRPr="00757EA6" w:rsidRDefault="002D438E" w:rsidP="00757EA6">
                  <w:pPr>
                    <w:pStyle w:val="TableBodyText"/>
                  </w:pPr>
                  <w:bookmarkStart w:id="9" w:name="RANGE!U24"/>
                  <w:r>
                    <w:t xml:space="preserve"> </w:t>
                  </w:r>
                  <w:r w:rsidR="00757EA6" w:rsidRPr="00757EA6">
                    <w:t>45</w:t>
                  </w:r>
                  <w:bookmarkEnd w:id="9"/>
                </w:p>
              </w:tc>
              <w:tc>
                <w:tcPr>
                  <w:tcW w:w="404" w:type="pct"/>
                </w:tcPr>
                <w:p w:rsidR="00757EA6" w:rsidRPr="00757EA6" w:rsidRDefault="002D438E" w:rsidP="00757EA6">
                  <w:pPr>
                    <w:pStyle w:val="TableBodyText"/>
                  </w:pPr>
                  <w:bookmarkStart w:id="10" w:name="RANGE!V24"/>
                  <w:r>
                    <w:t xml:space="preserve"> </w:t>
                  </w:r>
                  <w:r w:rsidR="00757EA6" w:rsidRPr="00757EA6">
                    <w:t>29</w:t>
                  </w:r>
                  <w:bookmarkEnd w:id="10"/>
                </w:p>
              </w:tc>
              <w:tc>
                <w:tcPr>
                  <w:tcW w:w="484" w:type="pct"/>
                </w:tcPr>
                <w:p w:rsidR="00757EA6" w:rsidRPr="00757EA6" w:rsidRDefault="002D438E" w:rsidP="00757EA6">
                  <w:pPr>
                    <w:pStyle w:val="TableBodyText"/>
                  </w:pPr>
                  <w:bookmarkStart w:id="11" w:name="RANGE!W24"/>
                  <w:r>
                    <w:t xml:space="preserve"> </w:t>
                  </w:r>
                  <w:r w:rsidR="00757EA6" w:rsidRPr="00757EA6">
                    <w:t>11</w:t>
                  </w:r>
                  <w:bookmarkEnd w:id="11"/>
                </w:p>
              </w:tc>
              <w:tc>
                <w:tcPr>
                  <w:tcW w:w="484" w:type="pct"/>
                </w:tcPr>
                <w:p w:rsidR="00757EA6" w:rsidRPr="00757EA6" w:rsidRDefault="002D438E" w:rsidP="00757EA6">
                  <w:pPr>
                    <w:pStyle w:val="TableBodyText"/>
                  </w:pPr>
                  <w:bookmarkStart w:id="12" w:name="RANGE!X24"/>
                  <w:r>
                    <w:t xml:space="preserve"> </w:t>
                  </w:r>
                  <w:r w:rsidR="00757EA6" w:rsidRPr="00757EA6">
                    <w:t>12</w:t>
                  </w:r>
                  <w:bookmarkEnd w:id="12"/>
                </w:p>
              </w:tc>
              <w:tc>
                <w:tcPr>
                  <w:tcW w:w="402" w:type="pct"/>
                </w:tcPr>
                <w:p w:rsidR="00757EA6" w:rsidRPr="00757EA6" w:rsidRDefault="002D438E" w:rsidP="00757EA6">
                  <w:pPr>
                    <w:pStyle w:val="TableBodyText"/>
                  </w:pPr>
                  <w:bookmarkStart w:id="13" w:name="RANGE!Y24"/>
                  <w:r>
                    <w:t xml:space="preserve"> </w:t>
                  </w:r>
                  <w:r w:rsidR="00757EA6" w:rsidRPr="00757EA6">
                    <w:t>4</w:t>
                  </w:r>
                  <w:bookmarkEnd w:id="13"/>
                </w:p>
              </w:tc>
              <w:tc>
                <w:tcPr>
                  <w:tcW w:w="484" w:type="pct"/>
                  <w:vAlign w:val="bottom"/>
                </w:tcPr>
                <w:p w:rsidR="00757EA6" w:rsidRPr="00757EA6" w:rsidRDefault="002D438E" w:rsidP="00757EA6">
                  <w:pPr>
                    <w:pStyle w:val="TableBodyText"/>
                  </w:pPr>
                  <w:bookmarkStart w:id="14" w:name="RANGE!Z24"/>
                  <w:r>
                    <w:t xml:space="preserve"> </w:t>
                  </w:r>
                  <w:r w:rsidR="00757EA6" w:rsidRPr="00757EA6">
                    <w:t>771</w:t>
                  </w:r>
                  <w:bookmarkEnd w:id="14"/>
                </w:p>
              </w:tc>
            </w:tr>
            <w:tr w:rsidR="00757EA6" w:rsidTr="00757EA6">
              <w:tc>
                <w:tcPr>
                  <w:tcW w:w="877" w:type="pct"/>
                  <w:vAlign w:val="center"/>
                </w:tcPr>
                <w:p w:rsidR="00757EA6" w:rsidRDefault="00757EA6" w:rsidP="00F70955">
                  <w:pPr>
                    <w:pStyle w:val="TableBodyText"/>
                    <w:jc w:val="left"/>
                  </w:pPr>
                  <w:r>
                    <w:t>Vacation care</w:t>
                  </w:r>
                </w:p>
              </w:tc>
              <w:tc>
                <w:tcPr>
                  <w:tcW w:w="414" w:type="pct"/>
                  <w:vAlign w:val="center"/>
                </w:tcPr>
                <w:p w:rsidR="00757EA6" w:rsidRPr="00836EB4" w:rsidRDefault="00757EA6" w:rsidP="00F70955">
                  <w:pPr>
                    <w:pStyle w:val="TableBodyText"/>
                  </w:pPr>
                  <w:r w:rsidRPr="00836EB4">
                    <w:t>760</w:t>
                  </w:r>
                </w:p>
              </w:tc>
              <w:tc>
                <w:tcPr>
                  <w:tcW w:w="484" w:type="pct"/>
                  <w:vAlign w:val="center"/>
                </w:tcPr>
                <w:p w:rsidR="00757EA6" w:rsidRPr="00836EB4" w:rsidRDefault="00757EA6" w:rsidP="00F70955">
                  <w:pPr>
                    <w:pStyle w:val="TableBodyText"/>
                  </w:pPr>
                  <w:r w:rsidRPr="00836EB4">
                    <w:t>455</w:t>
                  </w:r>
                </w:p>
              </w:tc>
              <w:tc>
                <w:tcPr>
                  <w:tcW w:w="483" w:type="pct"/>
                  <w:vAlign w:val="bottom"/>
                </w:tcPr>
                <w:p w:rsidR="00757EA6" w:rsidRPr="00757EA6" w:rsidRDefault="002D438E" w:rsidP="00757EA6">
                  <w:pPr>
                    <w:pStyle w:val="TableBodyText"/>
                  </w:pPr>
                  <w:bookmarkStart w:id="15" w:name="RANGE!T25"/>
                  <w:r>
                    <w:t xml:space="preserve"> </w:t>
                  </w:r>
                  <w:r w:rsidR="00757EA6" w:rsidRPr="00757EA6">
                    <w:t>600</w:t>
                  </w:r>
                  <w:bookmarkEnd w:id="15"/>
                </w:p>
              </w:tc>
              <w:tc>
                <w:tcPr>
                  <w:tcW w:w="484" w:type="pct"/>
                </w:tcPr>
                <w:p w:rsidR="00757EA6" w:rsidRPr="00757EA6" w:rsidRDefault="002D438E" w:rsidP="00757EA6">
                  <w:pPr>
                    <w:pStyle w:val="TableBodyText"/>
                  </w:pPr>
                  <w:bookmarkStart w:id="16" w:name="RANGE!U25"/>
                  <w:r>
                    <w:t xml:space="preserve"> </w:t>
                  </w:r>
                  <w:r w:rsidR="00757EA6" w:rsidRPr="00757EA6">
                    <w:t>257</w:t>
                  </w:r>
                  <w:bookmarkEnd w:id="16"/>
                </w:p>
              </w:tc>
              <w:tc>
                <w:tcPr>
                  <w:tcW w:w="404" w:type="pct"/>
                </w:tcPr>
                <w:p w:rsidR="00757EA6" w:rsidRPr="00757EA6" w:rsidRDefault="002D438E" w:rsidP="00757EA6">
                  <w:pPr>
                    <w:pStyle w:val="TableBodyText"/>
                  </w:pPr>
                  <w:bookmarkStart w:id="17" w:name="RANGE!V25"/>
                  <w:r>
                    <w:t xml:space="preserve"> </w:t>
                  </w:r>
                  <w:r w:rsidR="00757EA6" w:rsidRPr="00757EA6">
                    <w:t>268</w:t>
                  </w:r>
                  <w:bookmarkEnd w:id="17"/>
                </w:p>
              </w:tc>
              <w:tc>
                <w:tcPr>
                  <w:tcW w:w="484" w:type="pct"/>
                </w:tcPr>
                <w:p w:rsidR="00757EA6" w:rsidRPr="00757EA6" w:rsidRDefault="002D438E" w:rsidP="00757EA6">
                  <w:pPr>
                    <w:pStyle w:val="TableBodyText"/>
                  </w:pPr>
                  <w:bookmarkStart w:id="18" w:name="RANGE!W25"/>
                  <w:r>
                    <w:t xml:space="preserve"> </w:t>
                  </w:r>
                  <w:r w:rsidR="00757EA6" w:rsidRPr="00757EA6">
                    <w:t>80</w:t>
                  </w:r>
                  <w:bookmarkEnd w:id="18"/>
                </w:p>
              </w:tc>
              <w:tc>
                <w:tcPr>
                  <w:tcW w:w="484" w:type="pct"/>
                </w:tcPr>
                <w:p w:rsidR="00757EA6" w:rsidRPr="00757EA6" w:rsidRDefault="002D438E" w:rsidP="00757EA6">
                  <w:pPr>
                    <w:pStyle w:val="TableBodyText"/>
                  </w:pPr>
                  <w:bookmarkStart w:id="19" w:name="RANGE!X25"/>
                  <w:r>
                    <w:t xml:space="preserve"> </w:t>
                  </w:r>
                  <w:r w:rsidR="00757EA6" w:rsidRPr="00757EA6">
                    <w:t>55</w:t>
                  </w:r>
                  <w:bookmarkEnd w:id="19"/>
                </w:p>
              </w:tc>
              <w:tc>
                <w:tcPr>
                  <w:tcW w:w="402" w:type="pct"/>
                </w:tcPr>
                <w:p w:rsidR="00757EA6" w:rsidRPr="00757EA6" w:rsidRDefault="002D438E" w:rsidP="00757EA6">
                  <w:pPr>
                    <w:pStyle w:val="TableBodyText"/>
                  </w:pPr>
                  <w:bookmarkStart w:id="20" w:name="RANGE!Y25"/>
                  <w:r>
                    <w:t xml:space="preserve"> </w:t>
                  </w:r>
                  <w:r w:rsidR="00757EA6" w:rsidRPr="00757EA6">
                    <w:t>40</w:t>
                  </w:r>
                  <w:bookmarkEnd w:id="20"/>
                </w:p>
              </w:tc>
              <w:tc>
                <w:tcPr>
                  <w:tcW w:w="484" w:type="pct"/>
                  <w:vAlign w:val="bottom"/>
                </w:tcPr>
                <w:p w:rsidR="00757EA6" w:rsidRPr="00757EA6" w:rsidRDefault="00757EA6" w:rsidP="00757EA6">
                  <w:pPr>
                    <w:pStyle w:val="TableBodyText"/>
                  </w:pPr>
                  <w:bookmarkStart w:id="21" w:name="RANGE!Z25"/>
                  <w:r w:rsidRPr="00757EA6">
                    <w:t xml:space="preserve"> 2 515</w:t>
                  </w:r>
                  <w:bookmarkEnd w:id="21"/>
                </w:p>
              </w:tc>
            </w:tr>
            <w:tr w:rsidR="00757EA6" w:rsidTr="00757EA6">
              <w:tc>
                <w:tcPr>
                  <w:tcW w:w="877" w:type="pct"/>
                  <w:vAlign w:val="center"/>
                </w:tcPr>
                <w:p w:rsidR="00757EA6" w:rsidRDefault="00757EA6" w:rsidP="00F70955">
                  <w:pPr>
                    <w:pStyle w:val="TableBodyText"/>
                    <w:jc w:val="left"/>
                  </w:pPr>
                  <w:proofErr w:type="spellStart"/>
                  <w:r>
                    <w:t>OSHC</w:t>
                  </w:r>
                  <w:proofErr w:type="spellEnd"/>
                </w:p>
              </w:tc>
              <w:tc>
                <w:tcPr>
                  <w:tcW w:w="414" w:type="pct"/>
                  <w:vAlign w:val="center"/>
                </w:tcPr>
                <w:p w:rsidR="00757EA6" w:rsidRPr="00836EB4" w:rsidRDefault="00757EA6" w:rsidP="00F70955">
                  <w:pPr>
                    <w:pStyle w:val="TableBodyText"/>
                  </w:pPr>
                  <w:r w:rsidRPr="00836EB4">
                    <w:t>1 963</w:t>
                  </w:r>
                </w:p>
              </w:tc>
              <w:tc>
                <w:tcPr>
                  <w:tcW w:w="484" w:type="pct"/>
                  <w:vAlign w:val="center"/>
                </w:tcPr>
                <w:p w:rsidR="00757EA6" w:rsidRPr="00836EB4" w:rsidRDefault="00757EA6" w:rsidP="00F70955">
                  <w:pPr>
                    <w:pStyle w:val="TableBodyText"/>
                  </w:pPr>
                  <w:r w:rsidRPr="00836EB4">
                    <w:t>1 852</w:t>
                  </w:r>
                </w:p>
              </w:tc>
              <w:tc>
                <w:tcPr>
                  <w:tcW w:w="483" w:type="pct"/>
                </w:tcPr>
                <w:p w:rsidR="00757EA6" w:rsidRPr="00757EA6" w:rsidRDefault="00757EA6" w:rsidP="00757EA6">
                  <w:pPr>
                    <w:pStyle w:val="TableBodyText"/>
                  </w:pPr>
                  <w:bookmarkStart w:id="22" w:name="RANGE!T26"/>
                  <w:r w:rsidRPr="00757EA6">
                    <w:t xml:space="preserve"> 1 285</w:t>
                  </w:r>
                  <w:bookmarkEnd w:id="22"/>
                </w:p>
              </w:tc>
              <w:tc>
                <w:tcPr>
                  <w:tcW w:w="484" w:type="pct"/>
                </w:tcPr>
                <w:p w:rsidR="00757EA6" w:rsidRPr="00757EA6" w:rsidRDefault="002D438E" w:rsidP="00757EA6">
                  <w:pPr>
                    <w:pStyle w:val="TableBodyText"/>
                  </w:pPr>
                  <w:bookmarkStart w:id="23" w:name="RANGE!U26"/>
                  <w:r>
                    <w:t xml:space="preserve"> </w:t>
                  </w:r>
                  <w:r w:rsidR="00757EA6" w:rsidRPr="00757EA6">
                    <w:t>708</w:t>
                  </w:r>
                  <w:bookmarkEnd w:id="23"/>
                </w:p>
              </w:tc>
              <w:tc>
                <w:tcPr>
                  <w:tcW w:w="404" w:type="pct"/>
                </w:tcPr>
                <w:p w:rsidR="00757EA6" w:rsidRPr="00757EA6" w:rsidRDefault="002D438E" w:rsidP="00757EA6">
                  <w:pPr>
                    <w:pStyle w:val="TableBodyText"/>
                  </w:pPr>
                  <w:bookmarkStart w:id="24" w:name="RANGE!V26"/>
                  <w:r>
                    <w:t xml:space="preserve"> </w:t>
                  </w:r>
                  <w:r w:rsidR="00757EA6" w:rsidRPr="00757EA6">
                    <w:t>659</w:t>
                  </w:r>
                  <w:bookmarkEnd w:id="24"/>
                </w:p>
              </w:tc>
              <w:tc>
                <w:tcPr>
                  <w:tcW w:w="484" w:type="pct"/>
                </w:tcPr>
                <w:p w:rsidR="00757EA6" w:rsidRPr="00757EA6" w:rsidRDefault="002D438E" w:rsidP="00757EA6">
                  <w:pPr>
                    <w:pStyle w:val="TableBodyText"/>
                  </w:pPr>
                  <w:bookmarkStart w:id="25" w:name="RANGE!W26"/>
                  <w:r>
                    <w:t xml:space="preserve"> </w:t>
                  </w:r>
                  <w:r w:rsidR="00757EA6" w:rsidRPr="00757EA6">
                    <w:t>163</w:t>
                  </w:r>
                  <w:bookmarkEnd w:id="25"/>
                </w:p>
              </w:tc>
              <w:tc>
                <w:tcPr>
                  <w:tcW w:w="484" w:type="pct"/>
                </w:tcPr>
                <w:p w:rsidR="00757EA6" w:rsidRPr="00757EA6" w:rsidRDefault="002D438E" w:rsidP="00757EA6">
                  <w:pPr>
                    <w:pStyle w:val="TableBodyText"/>
                  </w:pPr>
                  <w:bookmarkStart w:id="26" w:name="RANGE!X26"/>
                  <w:r>
                    <w:t xml:space="preserve"> </w:t>
                  </w:r>
                  <w:r w:rsidR="00757EA6" w:rsidRPr="00757EA6">
                    <w:t>148</w:t>
                  </w:r>
                  <w:bookmarkEnd w:id="26"/>
                </w:p>
              </w:tc>
              <w:tc>
                <w:tcPr>
                  <w:tcW w:w="402" w:type="pct"/>
                </w:tcPr>
                <w:p w:rsidR="00757EA6" w:rsidRPr="00757EA6" w:rsidRDefault="002D438E" w:rsidP="00757EA6">
                  <w:pPr>
                    <w:pStyle w:val="TableBodyText"/>
                  </w:pPr>
                  <w:bookmarkStart w:id="27" w:name="RANGE!Y26"/>
                  <w:r>
                    <w:t xml:space="preserve"> </w:t>
                  </w:r>
                  <w:r w:rsidR="00757EA6" w:rsidRPr="00757EA6">
                    <w:t>63</w:t>
                  </w:r>
                  <w:bookmarkEnd w:id="27"/>
                </w:p>
              </w:tc>
              <w:tc>
                <w:tcPr>
                  <w:tcW w:w="484" w:type="pct"/>
                  <w:vAlign w:val="bottom"/>
                </w:tcPr>
                <w:p w:rsidR="00757EA6" w:rsidRPr="00757EA6" w:rsidRDefault="00757EA6" w:rsidP="00757EA6">
                  <w:pPr>
                    <w:pStyle w:val="TableBodyText"/>
                  </w:pPr>
                  <w:bookmarkStart w:id="28" w:name="RANGE!Z26"/>
                  <w:r w:rsidRPr="00757EA6">
                    <w:t xml:space="preserve"> 6 841</w:t>
                  </w:r>
                  <w:bookmarkEnd w:id="28"/>
                </w:p>
              </w:tc>
            </w:tr>
            <w:tr w:rsidR="00757EA6" w:rsidTr="00757EA6">
              <w:tc>
                <w:tcPr>
                  <w:tcW w:w="877" w:type="pct"/>
                  <w:vAlign w:val="center"/>
                </w:tcPr>
                <w:p w:rsidR="00757EA6" w:rsidRDefault="00757EA6" w:rsidP="00F70955">
                  <w:pPr>
                    <w:pStyle w:val="TableBodyText"/>
                    <w:jc w:val="left"/>
                  </w:pPr>
                  <w:r>
                    <w:t>Occasional care</w:t>
                  </w:r>
                </w:p>
              </w:tc>
              <w:tc>
                <w:tcPr>
                  <w:tcW w:w="414" w:type="pct"/>
                  <w:vAlign w:val="center"/>
                </w:tcPr>
                <w:p w:rsidR="00757EA6" w:rsidRPr="00836EB4" w:rsidRDefault="00757EA6" w:rsidP="00F70955">
                  <w:pPr>
                    <w:pStyle w:val="TableBodyText"/>
                  </w:pPr>
                  <w:r w:rsidRPr="00836EB4">
                    <w:t>36</w:t>
                  </w:r>
                </w:p>
              </w:tc>
              <w:tc>
                <w:tcPr>
                  <w:tcW w:w="484" w:type="pct"/>
                  <w:vAlign w:val="center"/>
                </w:tcPr>
                <w:p w:rsidR="00757EA6" w:rsidRPr="00836EB4" w:rsidRDefault="00757EA6" w:rsidP="00F70955">
                  <w:pPr>
                    <w:pStyle w:val="TableBodyText"/>
                  </w:pPr>
                  <w:r w:rsidRPr="00836EB4">
                    <w:t>52</w:t>
                  </w:r>
                </w:p>
              </w:tc>
              <w:tc>
                <w:tcPr>
                  <w:tcW w:w="483" w:type="pct"/>
                  <w:vAlign w:val="bottom"/>
                </w:tcPr>
                <w:p w:rsidR="00757EA6" w:rsidRPr="00757EA6" w:rsidRDefault="002D438E" w:rsidP="00757EA6">
                  <w:pPr>
                    <w:pStyle w:val="TableBodyText"/>
                  </w:pPr>
                  <w:bookmarkStart w:id="29" w:name="RANGE!T27"/>
                  <w:r>
                    <w:t xml:space="preserve"> </w:t>
                  </w:r>
                  <w:r w:rsidR="00757EA6" w:rsidRPr="00757EA6">
                    <w:t>8</w:t>
                  </w:r>
                  <w:bookmarkEnd w:id="29"/>
                </w:p>
              </w:tc>
              <w:tc>
                <w:tcPr>
                  <w:tcW w:w="484" w:type="pct"/>
                  <w:vAlign w:val="bottom"/>
                </w:tcPr>
                <w:p w:rsidR="00757EA6" w:rsidRPr="00757EA6" w:rsidRDefault="002D438E" w:rsidP="00757EA6">
                  <w:pPr>
                    <w:pStyle w:val="TableBodyText"/>
                  </w:pPr>
                  <w:bookmarkStart w:id="30" w:name="RANGE!U27"/>
                  <w:r>
                    <w:t xml:space="preserve"> </w:t>
                  </w:r>
                  <w:r w:rsidR="00757EA6" w:rsidRPr="00757EA6">
                    <w:t>11</w:t>
                  </w:r>
                  <w:bookmarkEnd w:id="30"/>
                </w:p>
              </w:tc>
              <w:tc>
                <w:tcPr>
                  <w:tcW w:w="404" w:type="pct"/>
                  <w:vAlign w:val="bottom"/>
                </w:tcPr>
                <w:p w:rsidR="00757EA6" w:rsidRPr="00757EA6" w:rsidRDefault="002D438E" w:rsidP="00757EA6">
                  <w:pPr>
                    <w:pStyle w:val="TableBodyText"/>
                  </w:pPr>
                  <w:bookmarkStart w:id="31" w:name="RANGE!V27"/>
                  <w:r>
                    <w:t xml:space="preserve"> </w:t>
                  </w:r>
                  <w:r w:rsidR="00757EA6" w:rsidRPr="00757EA6">
                    <w:t>2</w:t>
                  </w:r>
                  <w:bookmarkEnd w:id="31"/>
                </w:p>
              </w:tc>
              <w:tc>
                <w:tcPr>
                  <w:tcW w:w="484" w:type="pct"/>
                  <w:vAlign w:val="bottom"/>
                </w:tcPr>
                <w:p w:rsidR="00757EA6" w:rsidRPr="00757EA6" w:rsidRDefault="002D438E" w:rsidP="00757EA6">
                  <w:pPr>
                    <w:pStyle w:val="TableBodyText"/>
                  </w:pPr>
                  <w:bookmarkStart w:id="32" w:name="RANGE!W27"/>
                  <w:r>
                    <w:t xml:space="preserve"> </w:t>
                  </w:r>
                  <w:r w:rsidR="00757EA6" w:rsidRPr="00757EA6">
                    <w:t>4</w:t>
                  </w:r>
                  <w:bookmarkEnd w:id="32"/>
                </w:p>
              </w:tc>
              <w:tc>
                <w:tcPr>
                  <w:tcW w:w="484" w:type="pct"/>
                </w:tcPr>
                <w:p w:rsidR="00757EA6" w:rsidRPr="00757EA6" w:rsidRDefault="002D438E" w:rsidP="00757EA6">
                  <w:pPr>
                    <w:pStyle w:val="TableBodyText"/>
                  </w:pPr>
                  <w:bookmarkStart w:id="33" w:name="RANGE!X27"/>
                  <w:r>
                    <w:t xml:space="preserve"> </w:t>
                  </w:r>
                  <w:r w:rsidR="00757EA6" w:rsidRPr="00757EA6">
                    <w:t>3</w:t>
                  </w:r>
                  <w:bookmarkEnd w:id="33"/>
                </w:p>
              </w:tc>
              <w:tc>
                <w:tcPr>
                  <w:tcW w:w="402" w:type="pct"/>
                </w:tcPr>
                <w:p w:rsidR="00757EA6" w:rsidRPr="00757EA6" w:rsidRDefault="00757EA6" w:rsidP="00757EA6">
                  <w:pPr>
                    <w:pStyle w:val="TableBodyText"/>
                  </w:pPr>
                  <w:bookmarkStart w:id="34" w:name="RANGE!Y27"/>
                  <w:r w:rsidRPr="00757EA6">
                    <w:t>–</w:t>
                  </w:r>
                  <w:bookmarkEnd w:id="34"/>
                </w:p>
              </w:tc>
              <w:tc>
                <w:tcPr>
                  <w:tcW w:w="484" w:type="pct"/>
                  <w:vAlign w:val="bottom"/>
                </w:tcPr>
                <w:p w:rsidR="00757EA6" w:rsidRPr="00757EA6" w:rsidRDefault="002D438E" w:rsidP="00757EA6">
                  <w:pPr>
                    <w:pStyle w:val="TableBodyText"/>
                  </w:pPr>
                  <w:bookmarkStart w:id="35" w:name="RANGE!Z27"/>
                  <w:r>
                    <w:t xml:space="preserve"> </w:t>
                  </w:r>
                  <w:r w:rsidR="00757EA6" w:rsidRPr="00757EA6">
                    <w:t>116</w:t>
                  </w:r>
                  <w:bookmarkEnd w:id="35"/>
                </w:p>
              </w:tc>
            </w:tr>
            <w:tr w:rsidR="00757EA6" w:rsidTr="00081576">
              <w:trPr>
                <w:trHeight w:hRule="exact" w:val="227"/>
              </w:trPr>
              <w:tc>
                <w:tcPr>
                  <w:tcW w:w="877" w:type="pct"/>
                  <w:vAlign w:val="center"/>
                </w:tcPr>
                <w:p w:rsidR="00757EA6" w:rsidRDefault="00757EA6" w:rsidP="00F70955">
                  <w:pPr>
                    <w:pStyle w:val="TableBodyText"/>
                    <w:jc w:val="left"/>
                  </w:pPr>
                  <w:r>
                    <w:t>In home care</w:t>
                  </w:r>
                </w:p>
              </w:tc>
              <w:tc>
                <w:tcPr>
                  <w:tcW w:w="414" w:type="pct"/>
                  <w:vAlign w:val="center"/>
                </w:tcPr>
                <w:p w:rsidR="00757EA6" w:rsidRPr="00836EB4" w:rsidRDefault="00757EA6" w:rsidP="00F70955">
                  <w:pPr>
                    <w:pStyle w:val="TableBodyText"/>
                  </w:pPr>
                  <w:r w:rsidRPr="00836EB4">
                    <w:t>19</w:t>
                  </w:r>
                </w:p>
              </w:tc>
              <w:tc>
                <w:tcPr>
                  <w:tcW w:w="484" w:type="pct"/>
                  <w:vAlign w:val="center"/>
                </w:tcPr>
                <w:p w:rsidR="00757EA6" w:rsidRPr="00836EB4" w:rsidRDefault="00757EA6" w:rsidP="00F70955">
                  <w:pPr>
                    <w:pStyle w:val="TableBodyText"/>
                  </w:pPr>
                  <w:r w:rsidRPr="00836EB4">
                    <w:t>15</w:t>
                  </w:r>
                </w:p>
              </w:tc>
              <w:tc>
                <w:tcPr>
                  <w:tcW w:w="483" w:type="pct"/>
                  <w:vAlign w:val="bottom"/>
                </w:tcPr>
                <w:p w:rsidR="00757EA6" w:rsidRPr="00757EA6" w:rsidRDefault="002D438E" w:rsidP="00757EA6">
                  <w:pPr>
                    <w:pStyle w:val="TableBodyText"/>
                  </w:pPr>
                  <w:bookmarkStart w:id="36" w:name="RANGE!T28"/>
                  <w:r>
                    <w:t xml:space="preserve"> </w:t>
                  </w:r>
                  <w:r w:rsidR="00757EA6" w:rsidRPr="00757EA6">
                    <w:t>21</w:t>
                  </w:r>
                  <w:bookmarkEnd w:id="36"/>
                </w:p>
              </w:tc>
              <w:tc>
                <w:tcPr>
                  <w:tcW w:w="484" w:type="pct"/>
                </w:tcPr>
                <w:p w:rsidR="00757EA6" w:rsidRPr="00757EA6" w:rsidRDefault="002D438E" w:rsidP="00757EA6">
                  <w:pPr>
                    <w:pStyle w:val="TableBodyText"/>
                  </w:pPr>
                  <w:bookmarkStart w:id="37" w:name="RANGE!U28"/>
                  <w:r>
                    <w:t xml:space="preserve"> </w:t>
                  </w:r>
                  <w:r w:rsidR="00757EA6" w:rsidRPr="00757EA6">
                    <w:t>6</w:t>
                  </w:r>
                  <w:bookmarkEnd w:id="37"/>
                </w:p>
              </w:tc>
              <w:tc>
                <w:tcPr>
                  <w:tcW w:w="404" w:type="pct"/>
                </w:tcPr>
                <w:p w:rsidR="00757EA6" w:rsidRPr="00757EA6" w:rsidRDefault="002D438E" w:rsidP="00757EA6">
                  <w:pPr>
                    <w:pStyle w:val="TableBodyText"/>
                  </w:pPr>
                  <w:bookmarkStart w:id="38" w:name="RANGE!V28"/>
                  <w:r>
                    <w:t xml:space="preserve"> </w:t>
                  </w:r>
                  <w:r w:rsidR="00757EA6" w:rsidRPr="00757EA6">
                    <w:t>3</w:t>
                  </w:r>
                  <w:bookmarkEnd w:id="38"/>
                </w:p>
              </w:tc>
              <w:tc>
                <w:tcPr>
                  <w:tcW w:w="484" w:type="pct"/>
                </w:tcPr>
                <w:p w:rsidR="00757EA6" w:rsidRPr="00757EA6" w:rsidRDefault="002D438E" w:rsidP="00757EA6">
                  <w:pPr>
                    <w:pStyle w:val="TableBodyText"/>
                  </w:pPr>
                  <w:bookmarkStart w:id="39" w:name="RANGE!W28"/>
                  <w:r>
                    <w:t xml:space="preserve"> </w:t>
                  </w:r>
                  <w:r w:rsidR="00757EA6" w:rsidRPr="00757EA6">
                    <w:t>2</w:t>
                  </w:r>
                  <w:bookmarkEnd w:id="39"/>
                </w:p>
              </w:tc>
              <w:tc>
                <w:tcPr>
                  <w:tcW w:w="484" w:type="pct"/>
                </w:tcPr>
                <w:p w:rsidR="00757EA6" w:rsidRPr="00757EA6" w:rsidRDefault="002D438E" w:rsidP="00757EA6">
                  <w:pPr>
                    <w:pStyle w:val="TableBodyText"/>
                  </w:pPr>
                  <w:bookmarkStart w:id="40" w:name="RANGE!X28"/>
                  <w:r>
                    <w:t xml:space="preserve"> </w:t>
                  </w:r>
                  <w:r w:rsidR="00757EA6" w:rsidRPr="00757EA6">
                    <w:t>1</w:t>
                  </w:r>
                  <w:bookmarkEnd w:id="40"/>
                </w:p>
              </w:tc>
              <w:tc>
                <w:tcPr>
                  <w:tcW w:w="402" w:type="pct"/>
                </w:tcPr>
                <w:p w:rsidR="00757EA6" w:rsidRPr="00757EA6" w:rsidRDefault="00757EA6" w:rsidP="00757EA6">
                  <w:pPr>
                    <w:pStyle w:val="TableBodyText"/>
                  </w:pPr>
                  <w:bookmarkStart w:id="41" w:name="RANGE!Y28"/>
                  <w:r w:rsidRPr="00757EA6">
                    <w:t>–</w:t>
                  </w:r>
                  <w:bookmarkEnd w:id="41"/>
                </w:p>
              </w:tc>
              <w:tc>
                <w:tcPr>
                  <w:tcW w:w="484" w:type="pct"/>
                  <w:vAlign w:val="bottom"/>
                </w:tcPr>
                <w:p w:rsidR="00757EA6" w:rsidRPr="00757EA6" w:rsidRDefault="002D438E" w:rsidP="00757EA6">
                  <w:pPr>
                    <w:pStyle w:val="TableBodyText"/>
                  </w:pPr>
                  <w:bookmarkStart w:id="42" w:name="RANGE!Z28"/>
                  <w:r>
                    <w:t xml:space="preserve"> </w:t>
                  </w:r>
                  <w:r w:rsidR="00757EA6" w:rsidRPr="00757EA6">
                    <w:t>67</w:t>
                  </w:r>
                  <w:bookmarkEnd w:id="42"/>
                </w:p>
              </w:tc>
            </w:tr>
            <w:tr w:rsidR="00DF531D" w:rsidTr="00081576">
              <w:trPr>
                <w:trHeight w:hRule="exact" w:val="227"/>
              </w:trPr>
              <w:tc>
                <w:tcPr>
                  <w:tcW w:w="877" w:type="pct"/>
                  <w:tcBorders>
                    <w:bottom w:val="single" w:sz="6" w:space="0" w:color="BFBFBF"/>
                  </w:tcBorders>
                  <w:vAlign w:val="center"/>
                </w:tcPr>
                <w:p w:rsidR="00DF531D" w:rsidRPr="00DF531D" w:rsidRDefault="00DF531D" w:rsidP="00F70955">
                  <w:pPr>
                    <w:pStyle w:val="TableBodyText"/>
                    <w:jc w:val="left"/>
                    <w:rPr>
                      <w:b/>
                    </w:rPr>
                  </w:pPr>
                  <w:r w:rsidRPr="00DF531D">
                    <w:rPr>
                      <w:b/>
                    </w:rPr>
                    <w:t>Total</w:t>
                  </w:r>
                </w:p>
              </w:tc>
              <w:tc>
                <w:tcPr>
                  <w:tcW w:w="414" w:type="pct"/>
                  <w:tcBorders>
                    <w:bottom w:val="single" w:sz="6" w:space="0" w:color="BFBFBF"/>
                  </w:tcBorders>
                  <w:vAlign w:val="center"/>
                </w:tcPr>
                <w:p w:rsidR="00DF531D" w:rsidRPr="00DF531D" w:rsidRDefault="00DF531D" w:rsidP="00F70955">
                  <w:pPr>
                    <w:pStyle w:val="TableBodyText"/>
                    <w:rPr>
                      <w:b/>
                    </w:rPr>
                  </w:pPr>
                  <w:r w:rsidRPr="00DF531D">
                    <w:rPr>
                      <w:b/>
                    </w:rPr>
                    <w:t>5 755</w:t>
                  </w:r>
                </w:p>
              </w:tc>
              <w:tc>
                <w:tcPr>
                  <w:tcW w:w="484" w:type="pct"/>
                  <w:tcBorders>
                    <w:bottom w:val="single" w:sz="6" w:space="0" w:color="BFBFBF"/>
                  </w:tcBorders>
                  <w:vAlign w:val="center"/>
                </w:tcPr>
                <w:p w:rsidR="00DF531D" w:rsidRPr="00DF531D" w:rsidRDefault="00DF531D" w:rsidP="00F70955">
                  <w:pPr>
                    <w:pStyle w:val="TableBodyText"/>
                    <w:rPr>
                      <w:b/>
                    </w:rPr>
                  </w:pPr>
                  <w:r w:rsidRPr="00DF531D">
                    <w:rPr>
                      <w:b/>
                    </w:rPr>
                    <w:t>3 941</w:t>
                  </w:r>
                </w:p>
              </w:tc>
              <w:tc>
                <w:tcPr>
                  <w:tcW w:w="483" w:type="pct"/>
                  <w:tcBorders>
                    <w:bottom w:val="single" w:sz="6" w:space="0" w:color="BFBFBF"/>
                  </w:tcBorders>
                  <w:vAlign w:val="bottom"/>
                </w:tcPr>
                <w:p w:rsidR="00DF531D" w:rsidRPr="00DF531D" w:rsidRDefault="00DF531D" w:rsidP="00757EA6">
                  <w:pPr>
                    <w:pStyle w:val="TableBodyText"/>
                    <w:rPr>
                      <w:b/>
                    </w:rPr>
                  </w:pPr>
                  <w:r w:rsidRPr="00DF531D">
                    <w:rPr>
                      <w:b/>
                    </w:rPr>
                    <w:t>3 472</w:t>
                  </w:r>
                </w:p>
              </w:tc>
              <w:tc>
                <w:tcPr>
                  <w:tcW w:w="484" w:type="pct"/>
                  <w:tcBorders>
                    <w:bottom w:val="single" w:sz="6" w:space="0" w:color="BFBFBF"/>
                  </w:tcBorders>
                </w:tcPr>
                <w:p w:rsidR="00DF531D" w:rsidRPr="00DF531D" w:rsidRDefault="00DF531D" w:rsidP="00757EA6">
                  <w:pPr>
                    <w:pStyle w:val="TableBodyText"/>
                    <w:rPr>
                      <w:b/>
                    </w:rPr>
                  </w:pPr>
                  <w:r w:rsidRPr="00DF531D">
                    <w:rPr>
                      <w:b/>
                    </w:rPr>
                    <w:t>1 579</w:t>
                  </w:r>
                </w:p>
              </w:tc>
              <w:tc>
                <w:tcPr>
                  <w:tcW w:w="404" w:type="pct"/>
                  <w:tcBorders>
                    <w:bottom w:val="single" w:sz="6" w:space="0" w:color="BFBFBF"/>
                  </w:tcBorders>
                </w:tcPr>
                <w:p w:rsidR="00DF531D" w:rsidRPr="00DF531D" w:rsidRDefault="00DF531D" w:rsidP="00757EA6">
                  <w:pPr>
                    <w:pStyle w:val="TableBodyText"/>
                    <w:rPr>
                      <w:b/>
                    </w:rPr>
                  </w:pPr>
                  <w:r w:rsidRPr="00DF531D">
                    <w:rPr>
                      <w:b/>
                    </w:rPr>
                    <w:t>1 305</w:t>
                  </w:r>
                </w:p>
              </w:tc>
              <w:tc>
                <w:tcPr>
                  <w:tcW w:w="484" w:type="pct"/>
                  <w:tcBorders>
                    <w:bottom w:val="single" w:sz="6" w:space="0" w:color="BFBFBF"/>
                  </w:tcBorders>
                </w:tcPr>
                <w:p w:rsidR="00DF531D" w:rsidRPr="00DF531D" w:rsidRDefault="00DF531D" w:rsidP="00757EA6">
                  <w:pPr>
                    <w:pStyle w:val="TableBodyText"/>
                    <w:rPr>
                      <w:b/>
                    </w:rPr>
                  </w:pPr>
                  <w:r w:rsidRPr="00DF531D">
                    <w:rPr>
                      <w:b/>
                    </w:rPr>
                    <w:t>375</w:t>
                  </w:r>
                </w:p>
              </w:tc>
              <w:tc>
                <w:tcPr>
                  <w:tcW w:w="484" w:type="pct"/>
                  <w:tcBorders>
                    <w:bottom w:val="single" w:sz="6" w:space="0" w:color="BFBFBF"/>
                  </w:tcBorders>
                </w:tcPr>
                <w:p w:rsidR="00DF531D" w:rsidRPr="00DF531D" w:rsidRDefault="00DF531D" w:rsidP="00757EA6">
                  <w:pPr>
                    <w:pStyle w:val="TableBodyText"/>
                    <w:rPr>
                      <w:b/>
                    </w:rPr>
                  </w:pPr>
                  <w:r w:rsidRPr="00DF531D">
                    <w:rPr>
                      <w:b/>
                    </w:rPr>
                    <w:t>355</w:t>
                  </w:r>
                </w:p>
              </w:tc>
              <w:tc>
                <w:tcPr>
                  <w:tcW w:w="402" w:type="pct"/>
                  <w:tcBorders>
                    <w:bottom w:val="single" w:sz="6" w:space="0" w:color="BFBFBF"/>
                  </w:tcBorders>
                </w:tcPr>
                <w:p w:rsidR="00DF531D" w:rsidRPr="00DF531D" w:rsidRDefault="00DF531D" w:rsidP="00757EA6">
                  <w:pPr>
                    <w:pStyle w:val="TableBodyText"/>
                    <w:rPr>
                      <w:b/>
                    </w:rPr>
                  </w:pPr>
                  <w:r w:rsidRPr="00DF531D">
                    <w:rPr>
                      <w:b/>
                    </w:rPr>
                    <w:t>184</w:t>
                  </w:r>
                </w:p>
              </w:tc>
              <w:tc>
                <w:tcPr>
                  <w:tcW w:w="484" w:type="pct"/>
                  <w:tcBorders>
                    <w:bottom w:val="single" w:sz="6" w:space="0" w:color="BFBFBF"/>
                  </w:tcBorders>
                  <w:vAlign w:val="bottom"/>
                </w:tcPr>
                <w:p w:rsidR="00DF531D" w:rsidRPr="00DF531D" w:rsidRDefault="00DF531D" w:rsidP="00757EA6">
                  <w:pPr>
                    <w:pStyle w:val="TableBodyText"/>
                    <w:rPr>
                      <w:b/>
                    </w:rPr>
                  </w:pPr>
                  <w:r w:rsidRPr="00DF531D">
                    <w:rPr>
                      <w:b/>
                    </w:rPr>
                    <w:t>16 966</w:t>
                  </w:r>
                </w:p>
              </w:tc>
            </w:tr>
          </w:tbl>
          <w:p w:rsidR="00FB5623" w:rsidRDefault="00FB5623" w:rsidP="00F70955">
            <w:pPr>
              <w:pStyle w:val="Box"/>
            </w:pPr>
          </w:p>
        </w:tc>
      </w:tr>
      <w:tr w:rsidR="00FB5623" w:rsidTr="00F70955">
        <w:trPr>
          <w:cantSplit/>
        </w:trPr>
        <w:tc>
          <w:tcPr>
            <w:tcW w:w="8771" w:type="dxa"/>
            <w:tcBorders>
              <w:top w:val="nil"/>
              <w:left w:val="nil"/>
              <w:bottom w:val="nil"/>
              <w:right w:val="nil"/>
            </w:tcBorders>
            <w:shd w:val="clear" w:color="auto" w:fill="auto"/>
          </w:tcPr>
          <w:p w:rsidR="00FB5623" w:rsidRPr="00141CC1" w:rsidRDefault="00FB5623" w:rsidP="00B234CC">
            <w:pPr>
              <w:pStyle w:val="Note"/>
            </w:pPr>
            <w:r w:rsidRPr="008E77FE">
              <w:rPr>
                <w:rStyle w:val="NoteLabel"/>
              </w:rPr>
              <w:t>a</w:t>
            </w:r>
            <w:r w:rsidR="00C3461D">
              <w:t xml:space="preserve"> </w:t>
            </w:r>
            <w:r w:rsidR="006853DC" w:rsidRPr="006853DC">
              <w:t>See table</w:t>
            </w:r>
            <w:r w:rsidR="00697D43">
              <w:t> </w:t>
            </w:r>
            <w:proofErr w:type="spellStart"/>
            <w:r w:rsidR="006853DC" w:rsidRPr="006853DC">
              <w:t>3A.8</w:t>
            </w:r>
            <w:proofErr w:type="spellEnd"/>
            <w:r w:rsidR="006853DC" w:rsidRPr="006853DC">
              <w:t xml:space="preserve"> for detailed </w:t>
            </w:r>
            <w:r w:rsidR="00485709">
              <w:t xml:space="preserve">footnotes and </w:t>
            </w:r>
            <w:r w:rsidR="006853DC" w:rsidRPr="006853DC">
              <w:t>caveats.</w:t>
            </w:r>
            <w:r w:rsidR="00B234CC" w:rsidRPr="006853DC">
              <w:t xml:space="preserve"> </w:t>
            </w:r>
            <w:r w:rsidRPr="00490A9E">
              <w:t>– Nil or rounded to zero.</w:t>
            </w:r>
          </w:p>
        </w:tc>
      </w:tr>
      <w:tr w:rsidR="00FB5623" w:rsidTr="00F70955">
        <w:trPr>
          <w:cantSplit/>
        </w:trPr>
        <w:tc>
          <w:tcPr>
            <w:tcW w:w="8771" w:type="dxa"/>
            <w:tcBorders>
              <w:top w:val="nil"/>
              <w:left w:val="nil"/>
              <w:bottom w:val="nil"/>
              <w:right w:val="nil"/>
            </w:tcBorders>
            <w:shd w:val="clear" w:color="auto" w:fill="auto"/>
          </w:tcPr>
          <w:p w:rsidR="00FB5623" w:rsidRDefault="00FB5623" w:rsidP="00F70955">
            <w:pPr>
              <w:pStyle w:val="Source"/>
            </w:pPr>
            <w:r w:rsidRPr="0055030A">
              <w:rPr>
                <w:i/>
              </w:rPr>
              <w:t>Source</w:t>
            </w:r>
            <w:r w:rsidRPr="0055030A">
              <w:t xml:space="preserve">: </w:t>
            </w:r>
            <w:r>
              <w:t xml:space="preserve">Australian Government Department of </w:t>
            </w:r>
            <w:r w:rsidR="00ED4FA9">
              <w:t>Education and Training</w:t>
            </w:r>
            <w:r w:rsidRPr="0055030A">
              <w:t xml:space="preserve"> (unpublished</w:t>
            </w:r>
            <w:r>
              <w:t>); tab</w:t>
            </w:r>
            <w:r w:rsidR="00D51C95">
              <w:t>le</w:t>
            </w:r>
            <w:r w:rsidR="00697D43">
              <w:t> </w:t>
            </w:r>
            <w:proofErr w:type="spellStart"/>
            <w:r w:rsidR="002B57D2">
              <w:t>3A.8</w:t>
            </w:r>
            <w:proofErr w:type="spellEnd"/>
            <w:r>
              <w:t>.</w:t>
            </w:r>
          </w:p>
        </w:tc>
      </w:tr>
      <w:tr w:rsidR="00FB5623" w:rsidTr="00F70955">
        <w:trPr>
          <w:cantSplit/>
        </w:trPr>
        <w:tc>
          <w:tcPr>
            <w:tcW w:w="8771" w:type="dxa"/>
            <w:tcBorders>
              <w:top w:val="nil"/>
              <w:left w:val="nil"/>
              <w:bottom w:val="single" w:sz="6" w:space="0" w:color="78A22F"/>
              <w:right w:val="nil"/>
            </w:tcBorders>
            <w:shd w:val="clear" w:color="auto" w:fill="auto"/>
          </w:tcPr>
          <w:p w:rsidR="00FB5623" w:rsidRDefault="00FB5623" w:rsidP="00F70955">
            <w:pPr>
              <w:pStyle w:val="Box"/>
              <w:spacing w:before="0" w:line="120" w:lineRule="exact"/>
            </w:pPr>
          </w:p>
        </w:tc>
      </w:tr>
      <w:tr w:rsidR="00FB5623" w:rsidRPr="000863A5" w:rsidTr="00F70955">
        <w:tc>
          <w:tcPr>
            <w:tcW w:w="8771" w:type="dxa"/>
            <w:tcBorders>
              <w:top w:val="single" w:sz="6" w:space="0" w:color="78A22F"/>
              <w:left w:val="nil"/>
              <w:bottom w:val="nil"/>
              <w:right w:val="nil"/>
            </w:tcBorders>
          </w:tcPr>
          <w:p w:rsidR="00FB5623" w:rsidRPr="00626D32" w:rsidRDefault="00FB5623" w:rsidP="00F70955">
            <w:pPr>
              <w:pStyle w:val="BoxSpaceBelow"/>
            </w:pPr>
          </w:p>
        </w:tc>
      </w:tr>
    </w:tbl>
    <w:p w:rsidR="009831BE" w:rsidRDefault="009831BE" w:rsidP="0047671F">
      <w:pPr>
        <w:pStyle w:val="BodyText"/>
      </w:pPr>
      <w:r>
        <w:t xml:space="preserve">All Australian Government expenditure is on </w:t>
      </w:r>
      <w:proofErr w:type="spellStart"/>
      <w:r>
        <w:t>CCB</w:t>
      </w:r>
      <w:proofErr w:type="spellEnd"/>
      <w:r>
        <w:t xml:space="preserve"> approved child care services with the exception of Budget Based Funded child care services (box</w:t>
      </w:r>
      <w:r w:rsidR="00697D43">
        <w:t> </w:t>
      </w:r>
      <w:r>
        <w:t>3.2).</w:t>
      </w:r>
    </w:p>
    <w:p w:rsidR="00FB5623" w:rsidRDefault="00FB5623" w:rsidP="00FB5623">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FB5623" w:rsidTr="00F70955">
        <w:tc>
          <w:tcPr>
            <w:tcW w:w="8771" w:type="dxa"/>
            <w:tcBorders>
              <w:top w:val="single" w:sz="6" w:space="0" w:color="78A22F"/>
              <w:left w:val="nil"/>
              <w:bottom w:val="nil"/>
              <w:right w:val="nil"/>
            </w:tcBorders>
            <w:shd w:val="clear" w:color="auto" w:fill="F2F2F2"/>
          </w:tcPr>
          <w:p w:rsidR="00FB5623" w:rsidRDefault="00FB5623" w:rsidP="00F70955">
            <w:pPr>
              <w:pStyle w:val="BoxTitle"/>
            </w:pPr>
            <w:r>
              <w:rPr>
                <w:b w:val="0"/>
              </w:rPr>
              <w:t>Box 3.2</w:t>
            </w:r>
            <w:r>
              <w:tab/>
              <w:t>Budget Based Funded services</w:t>
            </w:r>
          </w:p>
        </w:tc>
      </w:tr>
      <w:tr w:rsidR="00FB5623" w:rsidTr="00F70955">
        <w:trPr>
          <w:cantSplit/>
        </w:trPr>
        <w:tc>
          <w:tcPr>
            <w:tcW w:w="8771" w:type="dxa"/>
            <w:tcBorders>
              <w:top w:val="nil"/>
              <w:left w:val="nil"/>
              <w:bottom w:val="nil"/>
              <w:right w:val="nil"/>
            </w:tcBorders>
            <w:shd w:val="clear" w:color="auto" w:fill="F2F2F2"/>
          </w:tcPr>
          <w:p w:rsidR="00FB5623" w:rsidRPr="004264B0" w:rsidRDefault="00FB5623" w:rsidP="00F70955">
            <w:pPr>
              <w:pStyle w:val="Box"/>
            </w:pPr>
            <w:r>
              <w:t xml:space="preserve">These services are part of the Australian Government’s </w:t>
            </w:r>
            <w:r w:rsidRPr="004264B0">
              <w:t xml:space="preserve">Budget Based Funded </w:t>
            </w:r>
            <w:proofErr w:type="spellStart"/>
            <w:r w:rsidRPr="004264B0">
              <w:t>Programme</w:t>
            </w:r>
            <w:proofErr w:type="spellEnd"/>
            <w:r>
              <w:t xml:space="preserve"> which</w:t>
            </w:r>
            <w:r w:rsidRPr="004264B0">
              <w:t xml:space="preserve"> provides a</w:t>
            </w:r>
            <w:r>
              <w:t>n Australian Government</w:t>
            </w:r>
            <w:r w:rsidRPr="004264B0">
              <w:t xml:space="preserve"> contribution to the operational costs of </w:t>
            </w:r>
            <w:r>
              <w:t xml:space="preserve">child care and early learning and school aged care services </w:t>
            </w:r>
            <w:r w:rsidRPr="004264B0">
              <w:t xml:space="preserve">in </w:t>
            </w:r>
            <w:r>
              <w:t xml:space="preserve">a limited number of </w:t>
            </w:r>
            <w:r w:rsidRPr="004264B0">
              <w:t>approved locations. These services are predominantly located in regional, remote and Aboriginal and Torres Strait I</w:t>
            </w:r>
            <w:r>
              <w:t xml:space="preserve">slander communities where the market would otherwise fail to deliver services to meet the needs of children and their families. </w:t>
            </w:r>
          </w:p>
          <w:p w:rsidR="00FB5623" w:rsidRDefault="00FB5623" w:rsidP="00F70955">
            <w:pPr>
              <w:pStyle w:val="Box"/>
            </w:pPr>
            <w:r w:rsidRPr="004264B0">
              <w:t xml:space="preserve">A range of service types are funded including crèches, mobile services, Multifunctional Aboriginal Children’s Services and </w:t>
            </w:r>
            <w:proofErr w:type="spellStart"/>
            <w:r>
              <w:t>OSHC</w:t>
            </w:r>
            <w:proofErr w:type="spellEnd"/>
            <w:r w:rsidRPr="004264B0">
              <w:t xml:space="preserve"> service</w:t>
            </w:r>
            <w:r>
              <w:t xml:space="preserve">s. </w:t>
            </w:r>
            <w:r w:rsidRPr="007116F0">
              <w:t xml:space="preserve">Services reported as Budget Based Funded services are not approved to administer </w:t>
            </w:r>
            <w:proofErr w:type="spellStart"/>
            <w:r w:rsidRPr="007116F0">
              <w:t>CCB</w:t>
            </w:r>
            <w:proofErr w:type="spellEnd"/>
            <w:r w:rsidRPr="007116F0">
              <w:t xml:space="preserve"> on behalf of families.</w:t>
            </w:r>
            <w:r>
              <w:t xml:space="preserve"> State and Territory governments may license or register Budget Based Funded services to operate.</w:t>
            </w:r>
          </w:p>
          <w:p w:rsidR="00FB5623" w:rsidRDefault="00A76805" w:rsidP="00F70955">
            <w:pPr>
              <w:pStyle w:val="Box"/>
            </w:pPr>
            <w:r>
              <w:t>In March 2015 there were 304</w:t>
            </w:r>
            <w:r w:rsidR="00FB5623">
              <w:t xml:space="preserve"> Budget Base</w:t>
            </w:r>
            <w:r>
              <w:t>d Funded services nationally (38 in NSW, 14 in Victoria, 72 in Queensland, 28 in WA,</w:t>
            </w:r>
            <w:r w:rsidR="001A5D86">
              <w:t xml:space="preserve"> 39 in SA, 6 in Tasmania and 107</w:t>
            </w:r>
            <w:r w:rsidR="00FB5623">
              <w:t xml:space="preserve"> in the NT</w:t>
            </w:r>
            <w:r>
              <w:t>)</w:t>
            </w:r>
            <w:r w:rsidR="00FB5623">
              <w:t xml:space="preserve">. Data on the use of Budget Based Funded services are not </w:t>
            </w:r>
            <w:r w:rsidR="004615CF">
              <w:t xml:space="preserve">available and therefore </w:t>
            </w:r>
            <w:r>
              <w:t xml:space="preserve">are </w:t>
            </w:r>
            <w:r w:rsidR="004615CF">
              <w:t xml:space="preserve">not </w:t>
            </w:r>
            <w:r w:rsidR="00FB5623">
              <w:t xml:space="preserve">reported in this chapter. </w:t>
            </w:r>
          </w:p>
        </w:tc>
      </w:tr>
      <w:tr w:rsidR="00FB5623" w:rsidTr="00F70955">
        <w:trPr>
          <w:cantSplit/>
        </w:trPr>
        <w:tc>
          <w:tcPr>
            <w:tcW w:w="8771" w:type="dxa"/>
            <w:tcBorders>
              <w:top w:val="nil"/>
              <w:left w:val="nil"/>
              <w:bottom w:val="nil"/>
              <w:right w:val="nil"/>
            </w:tcBorders>
            <w:shd w:val="clear" w:color="auto" w:fill="F2F2F2"/>
          </w:tcPr>
          <w:p w:rsidR="00FB5623" w:rsidRDefault="00FB5623" w:rsidP="00F70955">
            <w:pPr>
              <w:pStyle w:val="BoxSource"/>
            </w:pPr>
            <w:r>
              <w:rPr>
                <w:i/>
              </w:rPr>
              <w:t>Source</w:t>
            </w:r>
            <w:r w:rsidRPr="00167F06">
              <w:t xml:space="preserve">: </w:t>
            </w:r>
            <w:r>
              <w:t xml:space="preserve">Australian Government Department of </w:t>
            </w:r>
            <w:r w:rsidR="00ED4FA9">
              <w:t>Education and Training</w:t>
            </w:r>
            <w:r>
              <w:t xml:space="preserve"> (unpublished).</w:t>
            </w:r>
          </w:p>
        </w:tc>
      </w:tr>
      <w:tr w:rsidR="00FB5623" w:rsidTr="00F70955">
        <w:trPr>
          <w:cantSplit/>
        </w:trPr>
        <w:tc>
          <w:tcPr>
            <w:tcW w:w="8771" w:type="dxa"/>
            <w:tcBorders>
              <w:top w:val="nil"/>
              <w:left w:val="nil"/>
              <w:bottom w:val="single" w:sz="6" w:space="0" w:color="78A22F"/>
              <w:right w:val="nil"/>
            </w:tcBorders>
            <w:shd w:val="clear" w:color="auto" w:fill="F2F2F2"/>
          </w:tcPr>
          <w:p w:rsidR="00FB5623" w:rsidRDefault="00FB5623" w:rsidP="00F70955">
            <w:pPr>
              <w:pStyle w:val="Box"/>
              <w:spacing w:before="0" w:line="120" w:lineRule="exact"/>
            </w:pPr>
          </w:p>
        </w:tc>
      </w:tr>
      <w:tr w:rsidR="00FB5623" w:rsidRPr="000863A5" w:rsidTr="00F70955">
        <w:tc>
          <w:tcPr>
            <w:tcW w:w="8771" w:type="dxa"/>
            <w:tcBorders>
              <w:top w:val="single" w:sz="6" w:space="0" w:color="78A22F"/>
              <w:left w:val="nil"/>
              <w:bottom w:val="nil"/>
              <w:right w:val="nil"/>
            </w:tcBorders>
          </w:tcPr>
          <w:p w:rsidR="00FB5623" w:rsidRPr="00626D32" w:rsidRDefault="00FB5623" w:rsidP="00F70955">
            <w:pPr>
              <w:pStyle w:val="BoxSpaceBelow"/>
            </w:pPr>
          </w:p>
        </w:tc>
      </w:tr>
    </w:tbl>
    <w:p w:rsidR="00FB5623" w:rsidRDefault="00D51C95" w:rsidP="00FB5623">
      <w:pPr>
        <w:pStyle w:val="Heading4"/>
        <w:rPr>
          <w:rFonts w:ascii="Times New Roman" w:hAnsi="Times New Roman"/>
        </w:rPr>
      </w:pPr>
      <w:r>
        <w:rPr>
          <w:rFonts w:ascii="Times New Roman" w:hAnsi="Times New Roman"/>
        </w:rPr>
        <w:lastRenderedPageBreak/>
        <w:t xml:space="preserve">In addition, there are some </w:t>
      </w:r>
      <w:r w:rsidR="00FB5623">
        <w:rPr>
          <w:rFonts w:ascii="Times New Roman" w:hAnsi="Times New Roman"/>
        </w:rPr>
        <w:t xml:space="preserve">child care services which do not receive Australian Government funding and are funded </w:t>
      </w:r>
      <w:r w:rsidR="00C06D5A">
        <w:rPr>
          <w:rFonts w:ascii="Times New Roman" w:hAnsi="Times New Roman"/>
        </w:rPr>
        <w:t xml:space="preserve">only </w:t>
      </w:r>
      <w:r w:rsidR="00FB5623">
        <w:rPr>
          <w:rFonts w:ascii="Times New Roman" w:hAnsi="Times New Roman"/>
        </w:rPr>
        <w:t xml:space="preserve">by State and </w:t>
      </w:r>
      <w:r w:rsidR="00BF4CE7">
        <w:rPr>
          <w:rFonts w:ascii="Times New Roman" w:hAnsi="Times New Roman"/>
        </w:rPr>
        <w:t>Territory governments (table</w:t>
      </w:r>
      <w:r w:rsidR="00697D43">
        <w:rPr>
          <w:rFonts w:ascii="Times New Roman" w:hAnsi="Times New Roman"/>
        </w:rPr>
        <w:t> </w:t>
      </w:r>
      <w:r w:rsidR="00BF4CE7">
        <w:rPr>
          <w:rFonts w:ascii="Times New Roman" w:hAnsi="Times New Roman"/>
        </w:rPr>
        <w:t>3.3</w:t>
      </w:r>
      <w:r w:rsidR="00FB5623">
        <w:rPr>
          <w:rFonts w:ascii="Times New Roman" w:hAnsi="Times New Roman"/>
        </w:rPr>
        <w:t xml:space="preserve">). </w:t>
      </w:r>
    </w:p>
    <w:p w:rsidR="00FB5623" w:rsidRDefault="00FB5623" w:rsidP="00FB5623">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8771"/>
      </w:tblGrid>
      <w:tr w:rsidR="00FB5623" w:rsidTr="00F70955">
        <w:tc>
          <w:tcPr>
            <w:tcW w:w="8771" w:type="dxa"/>
            <w:tcBorders>
              <w:top w:val="single" w:sz="6" w:space="0" w:color="78A22F"/>
              <w:left w:val="nil"/>
              <w:bottom w:val="nil"/>
              <w:right w:val="nil"/>
            </w:tcBorders>
            <w:shd w:val="clear" w:color="auto" w:fill="auto"/>
          </w:tcPr>
          <w:p w:rsidR="00FB5623" w:rsidRPr="00784A05" w:rsidRDefault="00FB5623" w:rsidP="007D5960">
            <w:pPr>
              <w:pStyle w:val="TableTitle"/>
            </w:pPr>
            <w:r>
              <w:rPr>
                <w:b w:val="0"/>
              </w:rPr>
              <w:t>Table 3.</w:t>
            </w:r>
            <w:r w:rsidR="00BF4CE7">
              <w:rPr>
                <w:b w:val="0"/>
              </w:rPr>
              <w:t>3</w:t>
            </w:r>
            <w:r>
              <w:tab/>
              <w:t xml:space="preserve">Number of State and Territory government </w:t>
            </w:r>
            <w:r w:rsidR="002312CC">
              <w:t xml:space="preserve">(only) </w:t>
            </w:r>
            <w:r>
              <w:t xml:space="preserve">funded </w:t>
            </w:r>
            <w:r w:rsidRPr="0055030A">
              <w:t>child care services</w:t>
            </w:r>
            <w:r w:rsidR="004C29BF">
              <w:t xml:space="preserve">, by service type, </w:t>
            </w:r>
            <w:r w:rsidR="00D05C58">
              <w:t>30</w:t>
            </w:r>
            <w:r w:rsidR="002D438E">
              <w:t> </w:t>
            </w:r>
            <w:r w:rsidR="00D05C58">
              <w:t xml:space="preserve">June </w:t>
            </w:r>
            <w:r>
              <w:t>2015</w:t>
            </w:r>
            <w:r w:rsidRPr="0055030A">
              <w:rPr>
                <w:rStyle w:val="NoteLabel"/>
                <w:b/>
              </w:rPr>
              <w:t>a</w:t>
            </w:r>
          </w:p>
        </w:tc>
      </w:tr>
      <w:tr w:rsidR="00FB5623" w:rsidTr="00F70955">
        <w:trPr>
          <w:cantSplit/>
        </w:trPr>
        <w:tc>
          <w:tcPr>
            <w:tcW w:w="8771" w:type="dxa"/>
            <w:tcBorders>
              <w:top w:val="nil"/>
              <w:left w:val="nil"/>
              <w:bottom w:val="nil"/>
              <w:right w:val="nil"/>
            </w:tcBorders>
            <w:shd w:val="clear" w:color="auto" w:fill="auto"/>
          </w:tcPr>
          <w:tbl>
            <w:tblPr>
              <w:tblW w:w="5000" w:type="pct"/>
              <w:tblCellMar>
                <w:left w:w="0" w:type="dxa"/>
                <w:right w:w="0" w:type="dxa"/>
              </w:tblCellMar>
              <w:tblLook w:val="0000" w:firstRow="0" w:lastRow="0" w:firstColumn="0" w:lastColumn="0" w:noHBand="0" w:noVBand="0"/>
            </w:tblPr>
            <w:tblGrid>
              <w:gridCol w:w="1488"/>
              <w:gridCol w:w="702"/>
              <w:gridCol w:w="821"/>
              <w:gridCol w:w="820"/>
              <w:gridCol w:w="822"/>
              <w:gridCol w:w="686"/>
              <w:gridCol w:w="822"/>
              <w:gridCol w:w="822"/>
              <w:gridCol w:w="682"/>
              <w:gridCol w:w="822"/>
            </w:tblGrid>
            <w:tr w:rsidR="00FB5623" w:rsidRPr="004C2A64" w:rsidTr="00F70955">
              <w:tc>
                <w:tcPr>
                  <w:tcW w:w="877" w:type="pct"/>
                  <w:tcBorders>
                    <w:top w:val="single" w:sz="6" w:space="0" w:color="BFBFBF"/>
                    <w:bottom w:val="single" w:sz="6" w:space="0" w:color="BFBFBF"/>
                  </w:tcBorders>
                  <w:shd w:val="clear" w:color="auto" w:fill="auto"/>
                </w:tcPr>
                <w:p w:rsidR="00FB5623" w:rsidRDefault="00FB5623" w:rsidP="00F70955">
                  <w:pPr>
                    <w:pStyle w:val="TableColumnHeading"/>
                    <w:jc w:val="left"/>
                  </w:pPr>
                </w:p>
              </w:tc>
              <w:tc>
                <w:tcPr>
                  <w:tcW w:w="414" w:type="pct"/>
                  <w:tcBorders>
                    <w:top w:val="single" w:sz="6" w:space="0" w:color="BFBFBF"/>
                    <w:bottom w:val="single" w:sz="6" w:space="0" w:color="BFBFBF"/>
                  </w:tcBorders>
                  <w:shd w:val="clear" w:color="auto" w:fill="auto"/>
                </w:tcPr>
                <w:p w:rsidR="00FB5623" w:rsidRPr="00D16A39" w:rsidRDefault="00FB5623" w:rsidP="00F70955">
                  <w:pPr>
                    <w:pStyle w:val="TableColumnHeading"/>
                  </w:pPr>
                  <w:r w:rsidRPr="00D16A39">
                    <w:t>NSW</w:t>
                  </w:r>
                </w:p>
              </w:tc>
              <w:tc>
                <w:tcPr>
                  <w:tcW w:w="484" w:type="pct"/>
                  <w:tcBorders>
                    <w:top w:val="single" w:sz="6" w:space="0" w:color="BFBFBF"/>
                    <w:bottom w:val="single" w:sz="6" w:space="0" w:color="BFBFBF"/>
                  </w:tcBorders>
                </w:tcPr>
                <w:p w:rsidR="00FB5623" w:rsidRPr="00D16A39" w:rsidRDefault="00FB5623" w:rsidP="00F70955">
                  <w:pPr>
                    <w:pStyle w:val="TableColumnHeading"/>
                  </w:pPr>
                  <w:r w:rsidRPr="00D16A39">
                    <w:t>Vic</w:t>
                  </w:r>
                </w:p>
              </w:tc>
              <w:tc>
                <w:tcPr>
                  <w:tcW w:w="483" w:type="pct"/>
                  <w:tcBorders>
                    <w:top w:val="single" w:sz="6" w:space="0" w:color="BFBFBF"/>
                    <w:bottom w:val="single" w:sz="6" w:space="0" w:color="BFBFBF"/>
                  </w:tcBorders>
                </w:tcPr>
                <w:p w:rsidR="00FB5623" w:rsidRPr="00D16A39" w:rsidRDefault="00FB5623" w:rsidP="00F70955">
                  <w:pPr>
                    <w:pStyle w:val="TableColumnHeading"/>
                  </w:pPr>
                  <w:r w:rsidRPr="00D16A39">
                    <w:t>Qld</w:t>
                  </w:r>
                </w:p>
              </w:tc>
              <w:tc>
                <w:tcPr>
                  <w:tcW w:w="484" w:type="pct"/>
                  <w:tcBorders>
                    <w:top w:val="single" w:sz="6" w:space="0" w:color="BFBFBF"/>
                    <w:bottom w:val="single" w:sz="6" w:space="0" w:color="BFBFBF"/>
                  </w:tcBorders>
                </w:tcPr>
                <w:p w:rsidR="00FB5623" w:rsidRPr="00D16A39" w:rsidRDefault="00FB5623" w:rsidP="00F70955">
                  <w:pPr>
                    <w:pStyle w:val="TableColumnHeading"/>
                  </w:pPr>
                  <w:r w:rsidRPr="00D16A39">
                    <w:t>WA</w:t>
                  </w:r>
                </w:p>
              </w:tc>
              <w:tc>
                <w:tcPr>
                  <w:tcW w:w="404" w:type="pct"/>
                  <w:tcBorders>
                    <w:top w:val="single" w:sz="6" w:space="0" w:color="BFBFBF"/>
                    <w:bottom w:val="single" w:sz="6" w:space="0" w:color="BFBFBF"/>
                  </w:tcBorders>
                </w:tcPr>
                <w:p w:rsidR="00FB5623" w:rsidRPr="00D16A39" w:rsidRDefault="00FB5623" w:rsidP="00F70955">
                  <w:pPr>
                    <w:pStyle w:val="TableColumnHeading"/>
                  </w:pPr>
                  <w:r w:rsidRPr="00D16A39">
                    <w:t>SA</w:t>
                  </w:r>
                </w:p>
              </w:tc>
              <w:tc>
                <w:tcPr>
                  <w:tcW w:w="484" w:type="pct"/>
                  <w:tcBorders>
                    <w:top w:val="single" w:sz="6" w:space="0" w:color="BFBFBF"/>
                    <w:bottom w:val="single" w:sz="6" w:space="0" w:color="BFBFBF"/>
                  </w:tcBorders>
                </w:tcPr>
                <w:p w:rsidR="00FB5623" w:rsidRPr="00D16A39" w:rsidRDefault="00FB5623" w:rsidP="00F70955">
                  <w:pPr>
                    <w:pStyle w:val="TableColumnHeading"/>
                  </w:pPr>
                  <w:proofErr w:type="spellStart"/>
                  <w:r w:rsidRPr="00D16A39">
                    <w:t>Tas</w:t>
                  </w:r>
                  <w:proofErr w:type="spellEnd"/>
                </w:p>
              </w:tc>
              <w:tc>
                <w:tcPr>
                  <w:tcW w:w="484" w:type="pct"/>
                  <w:tcBorders>
                    <w:top w:val="single" w:sz="6" w:space="0" w:color="BFBFBF"/>
                    <w:bottom w:val="single" w:sz="6" w:space="0" w:color="BFBFBF"/>
                  </w:tcBorders>
                </w:tcPr>
                <w:p w:rsidR="00FB5623" w:rsidRPr="00D16A39" w:rsidRDefault="00FB5623" w:rsidP="00F70955">
                  <w:pPr>
                    <w:pStyle w:val="TableColumnHeading"/>
                  </w:pPr>
                  <w:r w:rsidRPr="00D16A39">
                    <w:t>ACT</w:t>
                  </w:r>
                </w:p>
              </w:tc>
              <w:tc>
                <w:tcPr>
                  <w:tcW w:w="402" w:type="pct"/>
                  <w:tcBorders>
                    <w:top w:val="single" w:sz="6" w:space="0" w:color="BFBFBF"/>
                    <w:bottom w:val="single" w:sz="6" w:space="0" w:color="BFBFBF"/>
                  </w:tcBorders>
                </w:tcPr>
                <w:p w:rsidR="00FB5623" w:rsidRPr="00D16A39" w:rsidRDefault="00FB5623" w:rsidP="00F70955">
                  <w:pPr>
                    <w:pStyle w:val="TableColumnHeading"/>
                  </w:pPr>
                  <w:r w:rsidRPr="00D16A39">
                    <w:t>NT</w:t>
                  </w:r>
                </w:p>
              </w:tc>
              <w:tc>
                <w:tcPr>
                  <w:tcW w:w="484" w:type="pct"/>
                  <w:tcBorders>
                    <w:top w:val="single" w:sz="6" w:space="0" w:color="BFBFBF"/>
                    <w:bottom w:val="single" w:sz="6" w:space="0" w:color="BFBFBF"/>
                  </w:tcBorders>
                  <w:shd w:val="clear" w:color="auto" w:fill="auto"/>
                </w:tcPr>
                <w:p w:rsidR="00FB5623" w:rsidRPr="00D16A39" w:rsidRDefault="00FB5623" w:rsidP="00F70955">
                  <w:pPr>
                    <w:pStyle w:val="TableColumnHeading"/>
                  </w:pPr>
                  <w:proofErr w:type="spellStart"/>
                  <w:r w:rsidRPr="00D16A39">
                    <w:t>Aust</w:t>
                  </w:r>
                  <w:proofErr w:type="spellEnd"/>
                </w:p>
              </w:tc>
            </w:tr>
            <w:tr w:rsidR="000E560E" w:rsidTr="00081576">
              <w:tc>
                <w:tcPr>
                  <w:tcW w:w="877" w:type="pct"/>
                  <w:tcBorders>
                    <w:bottom w:val="single" w:sz="6" w:space="0" w:color="BFBFBF"/>
                  </w:tcBorders>
                  <w:vAlign w:val="bottom"/>
                </w:tcPr>
                <w:p w:rsidR="000E560E" w:rsidRPr="00211E75" w:rsidRDefault="000E560E" w:rsidP="00F70955">
                  <w:pPr>
                    <w:pStyle w:val="TableBodyText"/>
                    <w:jc w:val="left"/>
                  </w:pPr>
                  <w:r w:rsidRPr="00211E75">
                    <w:t>Total</w:t>
                  </w:r>
                </w:p>
              </w:tc>
              <w:tc>
                <w:tcPr>
                  <w:tcW w:w="414" w:type="pct"/>
                  <w:tcBorders>
                    <w:bottom w:val="single" w:sz="6" w:space="0" w:color="BFBFBF"/>
                  </w:tcBorders>
                </w:tcPr>
                <w:p w:rsidR="000E560E" w:rsidRPr="00211E75" w:rsidRDefault="000E560E" w:rsidP="00C16777">
                  <w:pPr>
                    <w:pStyle w:val="TableBodyText"/>
                  </w:pPr>
                  <w:proofErr w:type="spellStart"/>
                  <w:r w:rsidRPr="00211E75">
                    <w:t>na</w:t>
                  </w:r>
                  <w:proofErr w:type="spellEnd"/>
                </w:p>
              </w:tc>
              <w:tc>
                <w:tcPr>
                  <w:tcW w:w="484" w:type="pct"/>
                  <w:tcBorders>
                    <w:bottom w:val="single" w:sz="6" w:space="0" w:color="BFBFBF"/>
                  </w:tcBorders>
                  <w:vAlign w:val="center"/>
                </w:tcPr>
                <w:p w:rsidR="000E560E" w:rsidRPr="00211E75" w:rsidRDefault="002D438E" w:rsidP="000E560E">
                  <w:pPr>
                    <w:pStyle w:val="TableBodyText"/>
                  </w:pPr>
                  <w:bookmarkStart w:id="43" w:name="RANGE!T10"/>
                  <w:r w:rsidRPr="00211E75">
                    <w:t xml:space="preserve"> </w:t>
                  </w:r>
                  <w:r w:rsidR="000E560E" w:rsidRPr="00211E75">
                    <w:t>94</w:t>
                  </w:r>
                  <w:bookmarkEnd w:id="43"/>
                </w:p>
              </w:tc>
              <w:tc>
                <w:tcPr>
                  <w:tcW w:w="483" w:type="pct"/>
                  <w:tcBorders>
                    <w:bottom w:val="single" w:sz="6" w:space="0" w:color="BFBFBF"/>
                  </w:tcBorders>
                  <w:vAlign w:val="center"/>
                </w:tcPr>
                <w:p w:rsidR="000E560E" w:rsidRPr="00211E75" w:rsidRDefault="002D438E" w:rsidP="000E560E">
                  <w:pPr>
                    <w:pStyle w:val="TableBodyText"/>
                  </w:pPr>
                  <w:bookmarkStart w:id="44" w:name="RANGE!U10"/>
                  <w:r w:rsidRPr="00211E75">
                    <w:t xml:space="preserve"> </w:t>
                  </w:r>
                  <w:r w:rsidR="000E560E" w:rsidRPr="00211E75">
                    <w:t>33</w:t>
                  </w:r>
                  <w:bookmarkEnd w:id="44"/>
                </w:p>
              </w:tc>
              <w:tc>
                <w:tcPr>
                  <w:tcW w:w="484" w:type="pct"/>
                  <w:tcBorders>
                    <w:bottom w:val="single" w:sz="6" w:space="0" w:color="BFBFBF"/>
                  </w:tcBorders>
                  <w:vAlign w:val="center"/>
                </w:tcPr>
                <w:p w:rsidR="000E560E" w:rsidRPr="00211E75" w:rsidRDefault="000759C4" w:rsidP="000E560E">
                  <w:pPr>
                    <w:pStyle w:val="TableBodyText"/>
                  </w:pPr>
                  <w:r w:rsidRPr="00211E75">
                    <w:t>10</w:t>
                  </w:r>
                </w:p>
              </w:tc>
              <w:tc>
                <w:tcPr>
                  <w:tcW w:w="404" w:type="pct"/>
                  <w:tcBorders>
                    <w:bottom w:val="single" w:sz="6" w:space="0" w:color="BFBFBF"/>
                  </w:tcBorders>
                  <w:vAlign w:val="center"/>
                </w:tcPr>
                <w:p w:rsidR="000E560E" w:rsidRPr="00211E75" w:rsidRDefault="002D438E" w:rsidP="000E560E">
                  <w:pPr>
                    <w:pStyle w:val="TableBodyText"/>
                  </w:pPr>
                  <w:bookmarkStart w:id="45" w:name="RANGE!W10"/>
                  <w:r w:rsidRPr="00211E75">
                    <w:t xml:space="preserve"> </w:t>
                  </w:r>
                  <w:r w:rsidR="000E560E" w:rsidRPr="00211E75">
                    <w:t>115</w:t>
                  </w:r>
                  <w:bookmarkEnd w:id="45"/>
                </w:p>
              </w:tc>
              <w:tc>
                <w:tcPr>
                  <w:tcW w:w="484" w:type="pct"/>
                  <w:tcBorders>
                    <w:bottom w:val="single" w:sz="6" w:space="0" w:color="BFBFBF"/>
                  </w:tcBorders>
                  <w:vAlign w:val="center"/>
                </w:tcPr>
                <w:p w:rsidR="000E560E" w:rsidRPr="00211E75" w:rsidRDefault="002D438E" w:rsidP="000E560E">
                  <w:pPr>
                    <w:pStyle w:val="TableBodyText"/>
                  </w:pPr>
                  <w:bookmarkStart w:id="46" w:name="RANGE!X10"/>
                  <w:r w:rsidRPr="00211E75">
                    <w:t xml:space="preserve"> </w:t>
                  </w:r>
                  <w:r w:rsidR="000E560E" w:rsidRPr="00211E75">
                    <w:t>19</w:t>
                  </w:r>
                  <w:bookmarkEnd w:id="46"/>
                </w:p>
              </w:tc>
              <w:tc>
                <w:tcPr>
                  <w:tcW w:w="484" w:type="pct"/>
                  <w:tcBorders>
                    <w:bottom w:val="single" w:sz="6" w:space="0" w:color="BFBFBF"/>
                  </w:tcBorders>
                  <w:vAlign w:val="center"/>
                </w:tcPr>
                <w:p w:rsidR="000E560E" w:rsidRPr="00211E75" w:rsidRDefault="000E560E" w:rsidP="000E560E">
                  <w:pPr>
                    <w:pStyle w:val="TableBodyText"/>
                  </w:pPr>
                  <w:bookmarkStart w:id="47" w:name="RANGE!Y10"/>
                  <w:r w:rsidRPr="00211E75">
                    <w:t>..</w:t>
                  </w:r>
                  <w:bookmarkEnd w:id="47"/>
                </w:p>
              </w:tc>
              <w:tc>
                <w:tcPr>
                  <w:tcW w:w="402" w:type="pct"/>
                  <w:tcBorders>
                    <w:bottom w:val="single" w:sz="6" w:space="0" w:color="BFBFBF"/>
                  </w:tcBorders>
                  <w:vAlign w:val="center"/>
                </w:tcPr>
                <w:p w:rsidR="000E560E" w:rsidRPr="00211E75" w:rsidRDefault="002D438E" w:rsidP="000E560E">
                  <w:pPr>
                    <w:pStyle w:val="TableBodyText"/>
                  </w:pPr>
                  <w:bookmarkStart w:id="48" w:name="RANGE!Z10"/>
                  <w:r w:rsidRPr="00211E75">
                    <w:t xml:space="preserve"> </w:t>
                  </w:r>
                  <w:r w:rsidR="000E560E" w:rsidRPr="00211E75">
                    <w:t>2</w:t>
                  </w:r>
                  <w:bookmarkEnd w:id="48"/>
                </w:p>
              </w:tc>
              <w:tc>
                <w:tcPr>
                  <w:tcW w:w="484" w:type="pct"/>
                  <w:tcBorders>
                    <w:bottom w:val="single" w:sz="6" w:space="0" w:color="BFBFBF"/>
                  </w:tcBorders>
                  <w:vAlign w:val="center"/>
                </w:tcPr>
                <w:p w:rsidR="000E560E" w:rsidRPr="00211E75" w:rsidRDefault="002D438E" w:rsidP="000E560E">
                  <w:pPr>
                    <w:pStyle w:val="TableBodyText"/>
                  </w:pPr>
                  <w:r w:rsidRPr="00211E75">
                    <w:t xml:space="preserve"> </w:t>
                  </w:r>
                  <w:r w:rsidR="00B45441" w:rsidRPr="00211E75">
                    <w:t>27</w:t>
                  </w:r>
                  <w:r w:rsidR="000E560E" w:rsidRPr="00211E75">
                    <w:t>3</w:t>
                  </w:r>
                </w:p>
              </w:tc>
            </w:tr>
          </w:tbl>
          <w:p w:rsidR="00FB5623" w:rsidRDefault="00FB5623" w:rsidP="00F70955">
            <w:pPr>
              <w:pStyle w:val="Box"/>
            </w:pPr>
          </w:p>
        </w:tc>
      </w:tr>
      <w:tr w:rsidR="00FB5623" w:rsidTr="00F70955">
        <w:trPr>
          <w:cantSplit/>
        </w:trPr>
        <w:tc>
          <w:tcPr>
            <w:tcW w:w="8771" w:type="dxa"/>
            <w:tcBorders>
              <w:top w:val="nil"/>
              <w:left w:val="nil"/>
              <w:bottom w:val="nil"/>
              <w:right w:val="nil"/>
            </w:tcBorders>
            <w:shd w:val="clear" w:color="auto" w:fill="auto"/>
          </w:tcPr>
          <w:p w:rsidR="00FB5623" w:rsidRPr="00141CC1" w:rsidRDefault="00FB5623" w:rsidP="00C3461D">
            <w:pPr>
              <w:pStyle w:val="Note"/>
            </w:pPr>
            <w:r w:rsidRPr="008E77FE">
              <w:rPr>
                <w:rStyle w:val="NoteLabel"/>
              </w:rPr>
              <w:t>a</w:t>
            </w:r>
            <w:r w:rsidR="00C3461D">
              <w:t xml:space="preserve"> </w:t>
            </w:r>
            <w:r w:rsidR="006853DC">
              <w:t>See table</w:t>
            </w:r>
            <w:r w:rsidR="00697D43">
              <w:t> </w:t>
            </w:r>
            <w:proofErr w:type="spellStart"/>
            <w:r w:rsidR="006853DC">
              <w:t>3A.9</w:t>
            </w:r>
            <w:proofErr w:type="spellEnd"/>
            <w:r w:rsidR="006853DC" w:rsidRPr="006853DC">
              <w:t xml:space="preserve"> for detailed </w:t>
            </w:r>
            <w:r w:rsidR="00485709">
              <w:t xml:space="preserve">footnotes and </w:t>
            </w:r>
            <w:r w:rsidR="006853DC" w:rsidRPr="006853DC">
              <w:t>caveats</w:t>
            </w:r>
            <w:r w:rsidR="006853DC">
              <w:t>.</w:t>
            </w:r>
            <w:r w:rsidR="00C3461D">
              <w:t xml:space="preserve"> </w:t>
            </w:r>
            <w:proofErr w:type="spellStart"/>
            <w:r w:rsidRPr="00963752">
              <w:rPr>
                <w:b/>
              </w:rPr>
              <w:t>na</w:t>
            </w:r>
            <w:proofErr w:type="spellEnd"/>
            <w:r>
              <w:t xml:space="preserve"> No</w:t>
            </w:r>
            <w:r w:rsidR="002E35DB">
              <w:t>t available. .. Not applicable.</w:t>
            </w:r>
          </w:p>
        </w:tc>
      </w:tr>
      <w:tr w:rsidR="00FB5623" w:rsidTr="00F70955">
        <w:trPr>
          <w:cantSplit/>
        </w:trPr>
        <w:tc>
          <w:tcPr>
            <w:tcW w:w="8771" w:type="dxa"/>
            <w:tcBorders>
              <w:top w:val="nil"/>
              <w:left w:val="nil"/>
              <w:bottom w:val="nil"/>
              <w:right w:val="nil"/>
            </w:tcBorders>
            <w:shd w:val="clear" w:color="auto" w:fill="auto"/>
          </w:tcPr>
          <w:p w:rsidR="00FB5623" w:rsidRDefault="00FB5623" w:rsidP="00F70955">
            <w:pPr>
              <w:pStyle w:val="Source"/>
            </w:pPr>
            <w:r w:rsidRPr="0055030A">
              <w:rPr>
                <w:i/>
              </w:rPr>
              <w:t>Source</w:t>
            </w:r>
            <w:r w:rsidRPr="0055030A">
              <w:t xml:space="preserve">: </w:t>
            </w:r>
            <w:r>
              <w:t xml:space="preserve">State and Territory governments </w:t>
            </w:r>
            <w:r w:rsidRPr="0055030A">
              <w:t>(unpublished</w:t>
            </w:r>
            <w:r w:rsidR="002B57D2">
              <w:t>); table</w:t>
            </w:r>
            <w:r w:rsidR="00697D43">
              <w:t> </w:t>
            </w:r>
            <w:proofErr w:type="spellStart"/>
            <w:r w:rsidR="002B57D2">
              <w:t>3A.9</w:t>
            </w:r>
            <w:proofErr w:type="spellEnd"/>
            <w:r>
              <w:t>.</w:t>
            </w:r>
          </w:p>
        </w:tc>
      </w:tr>
      <w:tr w:rsidR="00FB5623" w:rsidTr="00F70955">
        <w:trPr>
          <w:cantSplit/>
        </w:trPr>
        <w:tc>
          <w:tcPr>
            <w:tcW w:w="8771" w:type="dxa"/>
            <w:tcBorders>
              <w:top w:val="nil"/>
              <w:left w:val="nil"/>
              <w:bottom w:val="single" w:sz="6" w:space="0" w:color="78A22F"/>
              <w:right w:val="nil"/>
            </w:tcBorders>
            <w:shd w:val="clear" w:color="auto" w:fill="auto"/>
          </w:tcPr>
          <w:p w:rsidR="00FB5623" w:rsidRDefault="00FB5623" w:rsidP="00F70955">
            <w:pPr>
              <w:pStyle w:val="Box"/>
              <w:spacing w:before="0" w:line="120" w:lineRule="exact"/>
            </w:pPr>
          </w:p>
        </w:tc>
      </w:tr>
      <w:tr w:rsidR="00FB5623" w:rsidRPr="000863A5" w:rsidTr="00F70955">
        <w:tc>
          <w:tcPr>
            <w:tcW w:w="8771" w:type="dxa"/>
            <w:tcBorders>
              <w:top w:val="single" w:sz="6" w:space="0" w:color="78A22F"/>
              <w:left w:val="nil"/>
              <w:bottom w:val="nil"/>
              <w:right w:val="nil"/>
            </w:tcBorders>
          </w:tcPr>
          <w:p w:rsidR="00FB5623" w:rsidRPr="00626D32" w:rsidRDefault="00FB5623" w:rsidP="00F70955">
            <w:pPr>
              <w:pStyle w:val="BoxSpaceBelow"/>
            </w:pPr>
          </w:p>
        </w:tc>
      </w:tr>
    </w:tbl>
    <w:p w:rsidR="00D51C95" w:rsidRDefault="006A3378" w:rsidP="00D51C95">
      <w:pPr>
        <w:pStyle w:val="BodyText"/>
      </w:pPr>
      <w:r>
        <w:t>T</w:t>
      </w:r>
      <w:r w:rsidR="00D51C95">
        <w:t xml:space="preserve">here are </w:t>
      </w:r>
      <w:r>
        <w:t xml:space="preserve">also </w:t>
      </w:r>
      <w:r w:rsidR="00D51C95">
        <w:t>some child care services which operate but do not receive any State and Territory</w:t>
      </w:r>
      <w:r w:rsidR="00353D41">
        <w:t xml:space="preserve"> government funding. Examples include</w:t>
      </w:r>
      <w:r w:rsidR="00D51C95">
        <w:t xml:space="preserve"> some vacation care and occasional care services</w:t>
      </w:r>
      <w:r w:rsidR="00890D68">
        <w:t xml:space="preserve"> in NSW</w:t>
      </w:r>
      <w:r w:rsidR="00353D41">
        <w:t xml:space="preserve">, some </w:t>
      </w:r>
      <w:r w:rsidR="00890D68">
        <w:t>occas</w:t>
      </w:r>
      <w:r w:rsidR="00353D41">
        <w:t xml:space="preserve">ional care services in Tasmania and some </w:t>
      </w:r>
      <w:r w:rsidR="00890D68">
        <w:t>3 year old kindergarten</w:t>
      </w:r>
      <w:r w:rsidR="00037133">
        <w:t xml:space="preserve"> services (i.e. not delivering a preschool program by a qualified teacher) </w:t>
      </w:r>
      <w:r w:rsidR="009831BE">
        <w:t>in Victoria</w:t>
      </w:r>
      <w:r w:rsidR="00037133">
        <w:t xml:space="preserve">. </w:t>
      </w:r>
      <w:r w:rsidR="00950418">
        <w:t>Data on these se</w:t>
      </w:r>
      <w:r w:rsidR="00890D68">
        <w:t>rvices are only included in this Report</w:t>
      </w:r>
      <w:r w:rsidR="00E07FFC">
        <w:t xml:space="preserve"> if they</w:t>
      </w:r>
      <w:r w:rsidR="00950418">
        <w:t xml:space="preserve"> </w:t>
      </w:r>
      <w:r w:rsidR="000064AA">
        <w:t xml:space="preserve">receive Australian Government funding (i.e. are </w:t>
      </w:r>
      <w:proofErr w:type="spellStart"/>
      <w:r w:rsidR="000064AA">
        <w:t>CCB</w:t>
      </w:r>
      <w:proofErr w:type="spellEnd"/>
      <w:r w:rsidR="000064AA">
        <w:t xml:space="preserve"> approved), </w:t>
      </w:r>
      <w:r w:rsidR="00E07FFC">
        <w:t xml:space="preserve">are </w:t>
      </w:r>
      <w:proofErr w:type="spellStart"/>
      <w:r w:rsidR="00950418">
        <w:t>NQF</w:t>
      </w:r>
      <w:proofErr w:type="spellEnd"/>
      <w:r w:rsidR="00950418">
        <w:t xml:space="preserve"> approved or State and Territory government licensed or registered to operate</w:t>
      </w:r>
      <w:r w:rsidR="00AC3346">
        <w:t>.</w:t>
      </w:r>
    </w:p>
    <w:p w:rsidR="00AD5D95" w:rsidRDefault="00AD5D95" w:rsidP="00AD5D95">
      <w:pPr>
        <w:pStyle w:val="Heading4"/>
      </w:pPr>
      <w:r>
        <w:t>Funded preschool services</w:t>
      </w:r>
    </w:p>
    <w:p w:rsidR="00AD5D95" w:rsidRPr="007A4644" w:rsidRDefault="00BF4CE7" w:rsidP="00AD5D95">
      <w:pPr>
        <w:pStyle w:val="BodyText"/>
      </w:pPr>
      <w:r>
        <w:t>Table</w:t>
      </w:r>
      <w:r w:rsidR="00697D43">
        <w:t> </w:t>
      </w:r>
      <w:r>
        <w:t>3.4</w:t>
      </w:r>
      <w:r w:rsidR="007A4644" w:rsidRPr="007A4644">
        <w:t xml:space="preserve"> provides the number of services which deliver a preschool program and receive State and Territory government funding</w:t>
      </w:r>
      <w:r w:rsidR="0021220B">
        <w:t>. I</w:t>
      </w:r>
      <w:r w:rsidR="007A4644" w:rsidRPr="007A4644">
        <w:t xml:space="preserve">nformation on the type of preschool services which receive State and Territory government </w:t>
      </w:r>
      <w:r w:rsidR="00890D68">
        <w:t>funding is included in figure</w:t>
      </w:r>
      <w:r w:rsidR="00697D43">
        <w:t> </w:t>
      </w:r>
      <w:r w:rsidR="00890D68">
        <w:t>3.1</w:t>
      </w:r>
      <w:r w:rsidR="007A4644" w:rsidRPr="007A4644">
        <w:t>.</w:t>
      </w:r>
    </w:p>
    <w:p w:rsidR="00AD5D95" w:rsidRDefault="00AD5D95" w:rsidP="00AD5D95">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8771"/>
      </w:tblGrid>
      <w:tr w:rsidR="00AD5D95" w:rsidTr="000B047F">
        <w:tc>
          <w:tcPr>
            <w:tcW w:w="8771" w:type="dxa"/>
            <w:tcBorders>
              <w:top w:val="single" w:sz="6" w:space="0" w:color="78A22F"/>
              <w:left w:val="nil"/>
              <w:bottom w:val="nil"/>
              <w:right w:val="nil"/>
            </w:tcBorders>
            <w:shd w:val="clear" w:color="auto" w:fill="auto"/>
          </w:tcPr>
          <w:p w:rsidR="00AD5D95" w:rsidRPr="00784A05" w:rsidRDefault="00AD5D95" w:rsidP="0040063A">
            <w:pPr>
              <w:pStyle w:val="TableTitle"/>
            </w:pPr>
            <w:r>
              <w:rPr>
                <w:b w:val="0"/>
              </w:rPr>
              <w:t xml:space="preserve">Table </w:t>
            </w:r>
            <w:r w:rsidRPr="0035143C">
              <w:rPr>
                <w:b w:val="0"/>
              </w:rPr>
              <w:t>3.</w:t>
            </w:r>
            <w:r w:rsidR="00BF4CE7">
              <w:rPr>
                <w:b w:val="0"/>
              </w:rPr>
              <w:t>4</w:t>
            </w:r>
            <w:r>
              <w:tab/>
              <w:t>Number of State and Territory government</w:t>
            </w:r>
            <w:r w:rsidR="003579AB">
              <w:t xml:space="preserve"> funded preschool services,</w:t>
            </w:r>
            <w:r>
              <w:t xml:space="preserve"> </w:t>
            </w:r>
            <w:r w:rsidR="00D05C58">
              <w:t>30</w:t>
            </w:r>
            <w:r w:rsidR="002D438E">
              <w:t> </w:t>
            </w:r>
            <w:r w:rsidR="00D05C58">
              <w:t xml:space="preserve">June </w:t>
            </w:r>
            <w:r>
              <w:t>2015</w:t>
            </w:r>
            <w:r w:rsidRPr="0055030A">
              <w:rPr>
                <w:rStyle w:val="NoteLabel"/>
                <w:b/>
              </w:rPr>
              <w:t>a</w:t>
            </w:r>
            <w:r>
              <w:rPr>
                <w:color w:val="FF0000"/>
              </w:rPr>
              <w:t xml:space="preserve"> </w:t>
            </w:r>
          </w:p>
        </w:tc>
      </w:tr>
      <w:tr w:rsidR="00AD5D95" w:rsidTr="000B047F">
        <w:trPr>
          <w:cantSplit/>
        </w:trPr>
        <w:tc>
          <w:tcPr>
            <w:tcW w:w="8771" w:type="dxa"/>
            <w:tcBorders>
              <w:top w:val="nil"/>
              <w:left w:val="nil"/>
              <w:bottom w:val="nil"/>
              <w:right w:val="nil"/>
            </w:tcBorders>
            <w:shd w:val="clear" w:color="auto" w:fill="auto"/>
          </w:tcPr>
          <w:tbl>
            <w:tblPr>
              <w:tblW w:w="5000" w:type="pct"/>
              <w:tblCellMar>
                <w:left w:w="0" w:type="dxa"/>
                <w:right w:w="0" w:type="dxa"/>
              </w:tblCellMar>
              <w:tblLook w:val="0000" w:firstRow="0" w:lastRow="0" w:firstColumn="0" w:lastColumn="0" w:noHBand="0" w:noVBand="0"/>
            </w:tblPr>
            <w:tblGrid>
              <w:gridCol w:w="1488"/>
              <w:gridCol w:w="702"/>
              <w:gridCol w:w="821"/>
              <w:gridCol w:w="820"/>
              <w:gridCol w:w="822"/>
              <w:gridCol w:w="686"/>
              <w:gridCol w:w="822"/>
              <w:gridCol w:w="822"/>
              <w:gridCol w:w="682"/>
              <w:gridCol w:w="822"/>
            </w:tblGrid>
            <w:tr w:rsidR="00AD5D95" w:rsidRPr="004C2A64" w:rsidTr="000B047F">
              <w:tc>
                <w:tcPr>
                  <w:tcW w:w="877" w:type="pct"/>
                  <w:tcBorders>
                    <w:top w:val="single" w:sz="6" w:space="0" w:color="BFBFBF"/>
                    <w:bottom w:val="single" w:sz="6" w:space="0" w:color="BFBFBF"/>
                  </w:tcBorders>
                  <w:shd w:val="clear" w:color="auto" w:fill="auto"/>
                </w:tcPr>
                <w:p w:rsidR="00AD5D95" w:rsidRDefault="00AD5D95" w:rsidP="000B047F">
                  <w:pPr>
                    <w:pStyle w:val="TableColumnHeading"/>
                    <w:jc w:val="left"/>
                  </w:pPr>
                </w:p>
              </w:tc>
              <w:tc>
                <w:tcPr>
                  <w:tcW w:w="414" w:type="pct"/>
                  <w:tcBorders>
                    <w:top w:val="single" w:sz="6" w:space="0" w:color="BFBFBF"/>
                    <w:bottom w:val="single" w:sz="6" w:space="0" w:color="BFBFBF"/>
                  </w:tcBorders>
                  <w:shd w:val="clear" w:color="auto" w:fill="auto"/>
                </w:tcPr>
                <w:p w:rsidR="00AD5D95" w:rsidRPr="00D16A39" w:rsidRDefault="00AD5D95" w:rsidP="000B047F">
                  <w:pPr>
                    <w:pStyle w:val="TableColumnHeading"/>
                  </w:pPr>
                  <w:r w:rsidRPr="00D16A39">
                    <w:t>NSW</w:t>
                  </w:r>
                </w:p>
              </w:tc>
              <w:tc>
                <w:tcPr>
                  <w:tcW w:w="484" w:type="pct"/>
                  <w:tcBorders>
                    <w:top w:val="single" w:sz="6" w:space="0" w:color="BFBFBF"/>
                    <w:bottom w:val="single" w:sz="6" w:space="0" w:color="BFBFBF"/>
                  </w:tcBorders>
                </w:tcPr>
                <w:p w:rsidR="00AD5D95" w:rsidRPr="00D16A39" w:rsidRDefault="00AD5D95" w:rsidP="000B047F">
                  <w:pPr>
                    <w:pStyle w:val="TableColumnHeading"/>
                  </w:pPr>
                  <w:r w:rsidRPr="00D16A39">
                    <w:t>Vic</w:t>
                  </w:r>
                </w:p>
              </w:tc>
              <w:tc>
                <w:tcPr>
                  <w:tcW w:w="483" w:type="pct"/>
                  <w:tcBorders>
                    <w:top w:val="single" w:sz="6" w:space="0" w:color="BFBFBF"/>
                    <w:bottom w:val="single" w:sz="6" w:space="0" w:color="BFBFBF"/>
                  </w:tcBorders>
                </w:tcPr>
                <w:p w:rsidR="00AD5D95" w:rsidRPr="00D16A39" w:rsidRDefault="00AD5D95" w:rsidP="000B047F">
                  <w:pPr>
                    <w:pStyle w:val="TableColumnHeading"/>
                  </w:pPr>
                  <w:r w:rsidRPr="00D16A39">
                    <w:t>Qld</w:t>
                  </w:r>
                </w:p>
              </w:tc>
              <w:tc>
                <w:tcPr>
                  <w:tcW w:w="484" w:type="pct"/>
                  <w:tcBorders>
                    <w:top w:val="single" w:sz="6" w:space="0" w:color="BFBFBF"/>
                    <w:bottom w:val="single" w:sz="6" w:space="0" w:color="BFBFBF"/>
                  </w:tcBorders>
                </w:tcPr>
                <w:p w:rsidR="00AD5D95" w:rsidRPr="00D16A39" w:rsidRDefault="00AD5D95" w:rsidP="000B047F">
                  <w:pPr>
                    <w:pStyle w:val="TableColumnHeading"/>
                  </w:pPr>
                  <w:r w:rsidRPr="00D16A39">
                    <w:t>WA</w:t>
                  </w:r>
                </w:p>
              </w:tc>
              <w:tc>
                <w:tcPr>
                  <w:tcW w:w="404" w:type="pct"/>
                  <w:tcBorders>
                    <w:top w:val="single" w:sz="6" w:space="0" w:color="BFBFBF"/>
                    <w:bottom w:val="single" w:sz="6" w:space="0" w:color="BFBFBF"/>
                  </w:tcBorders>
                </w:tcPr>
                <w:p w:rsidR="00AD5D95" w:rsidRPr="00D16A39" w:rsidRDefault="00AD5D95" w:rsidP="000B047F">
                  <w:pPr>
                    <w:pStyle w:val="TableColumnHeading"/>
                  </w:pPr>
                  <w:r w:rsidRPr="00D16A39">
                    <w:t>SA</w:t>
                  </w:r>
                </w:p>
              </w:tc>
              <w:tc>
                <w:tcPr>
                  <w:tcW w:w="484" w:type="pct"/>
                  <w:tcBorders>
                    <w:top w:val="single" w:sz="6" w:space="0" w:color="BFBFBF"/>
                    <w:bottom w:val="single" w:sz="6" w:space="0" w:color="BFBFBF"/>
                  </w:tcBorders>
                </w:tcPr>
                <w:p w:rsidR="00AD5D95" w:rsidRPr="00D16A39" w:rsidRDefault="00AD5D95" w:rsidP="000B047F">
                  <w:pPr>
                    <w:pStyle w:val="TableColumnHeading"/>
                  </w:pPr>
                  <w:proofErr w:type="spellStart"/>
                  <w:r w:rsidRPr="00D16A39">
                    <w:t>Tas</w:t>
                  </w:r>
                  <w:proofErr w:type="spellEnd"/>
                </w:p>
              </w:tc>
              <w:tc>
                <w:tcPr>
                  <w:tcW w:w="484" w:type="pct"/>
                  <w:tcBorders>
                    <w:top w:val="single" w:sz="6" w:space="0" w:color="BFBFBF"/>
                    <w:bottom w:val="single" w:sz="6" w:space="0" w:color="BFBFBF"/>
                  </w:tcBorders>
                </w:tcPr>
                <w:p w:rsidR="00AD5D95" w:rsidRPr="00D16A39" w:rsidRDefault="00AD5D95" w:rsidP="000B047F">
                  <w:pPr>
                    <w:pStyle w:val="TableColumnHeading"/>
                  </w:pPr>
                  <w:r w:rsidRPr="00D16A39">
                    <w:t>ACT</w:t>
                  </w:r>
                </w:p>
              </w:tc>
              <w:tc>
                <w:tcPr>
                  <w:tcW w:w="402" w:type="pct"/>
                  <w:tcBorders>
                    <w:top w:val="single" w:sz="6" w:space="0" w:color="BFBFBF"/>
                    <w:bottom w:val="single" w:sz="6" w:space="0" w:color="BFBFBF"/>
                  </w:tcBorders>
                </w:tcPr>
                <w:p w:rsidR="00AD5D95" w:rsidRPr="00D16A39" w:rsidRDefault="00AD5D95" w:rsidP="000B047F">
                  <w:pPr>
                    <w:pStyle w:val="TableColumnHeading"/>
                  </w:pPr>
                  <w:r w:rsidRPr="00D16A39">
                    <w:t>NT</w:t>
                  </w:r>
                </w:p>
              </w:tc>
              <w:tc>
                <w:tcPr>
                  <w:tcW w:w="484" w:type="pct"/>
                  <w:tcBorders>
                    <w:top w:val="single" w:sz="6" w:space="0" w:color="BFBFBF"/>
                    <w:bottom w:val="single" w:sz="6" w:space="0" w:color="BFBFBF"/>
                  </w:tcBorders>
                  <w:shd w:val="clear" w:color="auto" w:fill="auto"/>
                </w:tcPr>
                <w:p w:rsidR="00AD5D95" w:rsidRPr="00D16A39" w:rsidRDefault="00AD5D95" w:rsidP="000B047F">
                  <w:pPr>
                    <w:pStyle w:val="TableColumnHeading"/>
                  </w:pPr>
                  <w:proofErr w:type="spellStart"/>
                  <w:r w:rsidRPr="00D16A39">
                    <w:t>Aust</w:t>
                  </w:r>
                  <w:proofErr w:type="spellEnd"/>
                </w:p>
              </w:tc>
            </w:tr>
            <w:tr w:rsidR="00AD5D95" w:rsidTr="006B1681">
              <w:tc>
                <w:tcPr>
                  <w:tcW w:w="877" w:type="pct"/>
                  <w:tcBorders>
                    <w:bottom w:val="single" w:sz="6" w:space="0" w:color="BFBFBF"/>
                  </w:tcBorders>
                  <w:vAlign w:val="bottom"/>
                </w:tcPr>
                <w:p w:rsidR="00AD5D95" w:rsidRPr="00211E75" w:rsidRDefault="0018165F" w:rsidP="0018165F">
                  <w:pPr>
                    <w:pStyle w:val="TableBodyText"/>
                    <w:jc w:val="left"/>
                  </w:pPr>
                  <w:r w:rsidRPr="00211E75">
                    <w:t>Total</w:t>
                  </w:r>
                </w:p>
              </w:tc>
              <w:tc>
                <w:tcPr>
                  <w:tcW w:w="414" w:type="pct"/>
                  <w:tcBorders>
                    <w:bottom w:val="single" w:sz="6" w:space="0" w:color="BFBFBF"/>
                  </w:tcBorders>
                  <w:shd w:val="clear" w:color="auto" w:fill="auto"/>
                  <w:vAlign w:val="bottom"/>
                </w:tcPr>
                <w:p w:rsidR="00AD5D95" w:rsidRPr="00211E75" w:rsidRDefault="006C1AD4" w:rsidP="000B047F">
                  <w:pPr>
                    <w:pStyle w:val="TableBodyText"/>
                  </w:pPr>
                  <w:r w:rsidRPr="006B1681">
                    <w:t>865</w:t>
                  </w:r>
                </w:p>
              </w:tc>
              <w:tc>
                <w:tcPr>
                  <w:tcW w:w="484" w:type="pct"/>
                  <w:tcBorders>
                    <w:bottom w:val="single" w:sz="6" w:space="0" w:color="BFBFBF"/>
                  </w:tcBorders>
                  <w:vAlign w:val="bottom"/>
                </w:tcPr>
                <w:p w:rsidR="00AD5D95" w:rsidRPr="00211E75" w:rsidRDefault="0029116B" w:rsidP="000B047F">
                  <w:pPr>
                    <w:pStyle w:val="TableBodyText"/>
                  </w:pPr>
                  <w:r w:rsidRPr="00211E75">
                    <w:t>1 195</w:t>
                  </w:r>
                </w:p>
              </w:tc>
              <w:tc>
                <w:tcPr>
                  <w:tcW w:w="483" w:type="pct"/>
                  <w:tcBorders>
                    <w:bottom w:val="single" w:sz="6" w:space="0" w:color="BFBFBF"/>
                  </w:tcBorders>
                  <w:vAlign w:val="bottom"/>
                </w:tcPr>
                <w:p w:rsidR="00AD5D95" w:rsidRPr="00211E75" w:rsidRDefault="0029116B" w:rsidP="000B047F">
                  <w:pPr>
                    <w:pStyle w:val="TableBodyText"/>
                  </w:pPr>
                  <w:r w:rsidRPr="00211E75">
                    <w:t>465</w:t>
                  </w:r>
                </w:p>
              </w:tc>
              <w:tc>
                <w:tcPr>
                  <w:tcW w:w="484" w:type="pct"/>
                  <w:tcBorders>
                    <w:bottom w:val="single" w:sz="6" w:space="0" w:color="BFBFBF"/>
                  </w:tcBorders>
                  <w:vAlign w:val="bottom"/>
                </w:tcPr>
                <w:p w:rsidR="00AD5D95" w:rsidRPr="00211E75" w:rsidRDefault="006F66BA" w:rsidP="000B047F">
                  <w:pPr>
                    <w:pStyle w:val="TableBodyText"/>
                  </w:pPr>
                  <w:r w:rsidRPr="00211E75">
                    <w:t>909</w:t>
                  </w:r>
                </w:p>
              </w:tc>
              <w:tc>
                <w:tcPr>
                  <w:tcW w:w="404" w:type="pct"/>
                  <w:tcBorders>
                    <w:bottom w:val="single" w:sz="6" w:space="0" w:color="BFBFBF"/>
                  </w:tcBorders>
                  <w:vAlign w:val="bottom"/>
                </w:tcPr>
                <w:p w:rsidR="00AD5D95" w:rsidRPr="00211E75" w:rsidRDefault="0029116B" w:rsidP="000B047F">
                  <w:pPr>
                    <w:pStyle w:val="TableBodyText"/>
                  </w:pPr>
                  <w:r w:rsidRPr="00211E75">
                    <w:t>389</w:t>
                  </w:r>
                </w:p>
              </w:tc>
              <w:tc>
                <w:tcPr>
                  <w:tcW w:w="484" w:type="pct"/>
                  <w:tcBorders>
                    <w:bottom w:val="single" w:sz="6" w:space="0" w:color="BFBFBF"/>
                  </w:tcBorders>
                  <w:vAlign w:val="bottom"/>
                </w:tcPr>
                <w:p w:rsidR="00AD5D95" w:rsidRPr="00211E75" w:rsidRDefault="0029116B" w:rsidP="000B047F">
                  <w:pPr>
                    <w:pStyle w:val="TableBodyText"/>
                  </w:pPr>
                  <w:r w:rsidRPr="00211E75">
                    <w:t>213</w:t>
                  </w:r>
                </w:p>
              </w:tc>
              <w:tc>
                <w:tcPr>
                  <w:tcW w:w="484" w:type="pct"/>
                  <w:tcBorders>
                    <w:bottom w:val="single" w:sz="6" w:space="0" w:color="BFBFBF"/>
                  </w:tcBorders>
                  <w:vAlign w:val="bottom"/>
                </w:tcPr>
                <w:p w:rsidR="00AD5D95" w:rsidRPr="00211E75" w:rsidRDefault="0029116B" w:rsidP="000B047F">
                  <w:pPr>
                    <w:pStyle w:val="TableBodyText"/>
                  </w:pPr>
                  <w:r w:rsidRPr="00211E75">
                    <w:t>77</w:t>
                  </w:r>
                </w:p>
              </w:tc>
              <w:tc>
                <w:tcPr>
                  <w:tcW w:w="402" w:type="pct"/>
                  <w:tcBorders>
                    <w:bottom w:val="single" w:sz="6" w:space="0" w:color="BFBFBF"/>
                  </w:tcBorders>
                  <w:vAlign w:val="bottom"/>
                </w:tcPr>
                <w:p w:rsidR="00AD5D95" w:rsidRPr="00211E75" w:rsidRDefault="0029116B" w:rsidP="000B047F">
                  <w:pPr>
                    <w:pStyle w:val="TableBodyText"/>
                  </w:pPr>
                  <w:r w:rsidRPr="00211E75">
                    <w:t>120</w:t>
                  </w:r>
                </w:p>
              </w:tc>
              <w:tc>
                <w:tcPr>
                  <w:tcW w:w="484" w:type="pct"/>
                  <w:tcBorders>
                    <w:bottom w:val="single" w:sz="6" w:space="0" w:color="BFBFBF"/>
                  </w:tcBorders>
                  <w:vAlign w:val="bottom"/>
                </w:tcPr>
                <w:p w:rsidR="00AD5D95" w:rsidRPr="00211E75" w:rsidRDefault="006C1AD4" w:rsidP="000B047F">
                  <w:pPr>
                    <w:pStyle w:val="TableBodyText"/>
                  </w:pPr>
                  <w:r w:rsidRPr="006B1681">
                    <w:t>4 233</w:t>
                  </w:r>
                </w:p>
              </w:tc>
            </w:tr>
          </w:tbl>
          <w:p w:rsidR="00AD5D95" w:rsidRDefault="00AD5D95" w:rsidP="000B047F">
            <w:pPr>
              <w:pStyle w:val="Box"/>
            </w:pPr>
          </w:p>
        </w:tc>
      </w:tr>
      <w:tr w:rsidR="00AD5D95" w:rsidTr="000B047F">
        <w:trPr>
          <w:cantSplit/>
        </w:trPr>
        <w:tc>
          <w:tcPr>
            <w:tcW w:w="8771" w:type="dxa"/>
            <w:tcBorders>
              <w:top w:val="nil"/>
              <w:left w:val="nil"/>
              <w:bottom w:val="nil"/>
              <w:right w:val="nil"/>
            </w:tcBorders>
            <w:shd w:val="clear" w:color="auto" w:fill="auto"/>
          </w:tcPr>
          <w:p w:rsidR="00AD5D95" w:rsidRPr="00141CC1" w:rsidRDefault="00AD5D95" w:rsidP="006853DC">
            <w:pPr>
              <w:pStyle w:val="Note"/>
            </w:pPr>
            <w:r w:rsidRPr="008E77FE">
              <w:rPr>
                <w:rStyle w:val="NoteLabel"/>
              </w:rPr>
              <w:t>a</w:t>
            </w:r>
            <w:r w:rsidR="00EB73C7">
              <w:t xml:space="preserve"> </w:t>
            </w:r>
            <w:r w:rsidR="006853DC">
              <w:t>See table</w:t>
            </w:r>
            <w:r w:rsidR="00697D43">
              <w:t> </w:t>
            </w:r>
            <w:proofErr w:type="spellStart"/>
            <w:r w:rsidR="006853DC">
              <w:t>3A.9</w:t>
            </w:r>
            <w:proofErr w:type="spellEnd"/>
            <w:r w:rsidR="006853DC" w:rsidRPr="006853DC">
              <w:t xml:space="preserve"> for detailed </w:t>
            </w:r>
            <w:r w:rsidR="00485709">
              <w:t xml:space="preserve">footnotes and </w:t>
            </w:r>
            <w:r w:rsidR="006853DC" w:rsidRPr="006853DC">
              <w:t>caveats</w:t>
            </w:r>
            <w:r w:rsidR="006853DC">
              <w:t>.</w:t>
            </w:r>
          </w:p>
        </w:tc>
      </w:tr>
      <w:tr w:rsidR="00AD5D95" w:rsidTr="000B047F">
        <w:trPr>
          <w:cantSplit/>
        </w:trPr>
        <w:tc>
          <w:tcPr>
            <w:tcW w:w="8771" w:type="dxa"/>
            <w:tcBorders>
              <w:top w:val="nil"/>
              <w:left w:val="nil"/>
              <w:bottom w:val="nil"/>
              <w:right w:val="nil"/>
            </w:tcBorders>
            <w:shd w:val="clear" w:color="auto" w:fill="auto"/>
          </w:tcPr>
          <w:p w:rsidR="00AD5D95" w:rsidRDefault="00AD5D95" w:rsidP="00056F71">
            <w:pPr>
              <w:pStyle w:val="Source"/>
            </w:pPr>
            <w:r w:rsidRPr="0055030A">
              <w:rPr>
                <w:i/>
              </w:rPr>
              <w:t>Source</w:t>
            </w:r>
            <w:r w:rsidRPr="0055030A">
              <w:t xml:space="preserve">: </w:t>
            </w:r>
            <w:r w:rsidR="00056F71">
              <w:t xml:space="preserve">State and Territory governments </w:t>
            </w:r>
            <w:r w:rsidRPr="0055030A">
              <w:t>(unpublished</w:t>
            </w:r>
            <w:r w:rsidR="002B57D2">
              <w:t>); table</w:t>
            </w:r>
            <w:r w:rsidR="00697D43">
              <w:t> </w:t>
            </w:r>
            <w:proofErr w:type="spellStart"/>
            <w:r w:rsidR="002B57D2">
              <w:t>3A.9</w:t>
            </w:r>
            <w:proofErr w:type="spellEnd"/>
            <w:r w:rsidR="00A932D8">
              <w:t>.</w:t>
            </w:r>
          </w:p>
        </w:tc>
      </w:tr>
      <w:tr w:rsidR="00AD5D95" w:rsidTr="000B047F">
        <w:trPr>
          <w:cantSplit/>
        </w:trPr>
        <w:tc>
          <w:tcPr>
            <w:tcW w:w="8771" w:type="dxa"/>
            <w:tcBorders>
              <w:top w:val="nil"/>
              <w:left w:val="nil"/>
              <w:bottom w:val="single" w:sz="6" w:space="0" w:color="78A22F"/>
              <w:right w:val="nil"/>
            </w:tcBorders>
            <w:shd w:val="clear" w:color="auto" w:fill="auto"/>
          </w:tcPr>
          <w:p w:rsidR="00AD5D95" w:rsidRDefault="00AD5D95" w:rsidP="000B047F">
            <w:pPr>
              <w:pStyle w:val="Box"/>
              <w:spacing w:before="0" w:line="120" w:lineRule="exact"/>
            </w:pPr>
          </w:p>
        </w:tc>
      </w:tr>
      <w:tr w:rsidR="00AD5D95" w:rsidRPr="000863A5" w:rsidTr="000B047F">
        <w:tc>
          <w:tcPr>
            <w:tcW w:w="8771" w:type="dxa"/>
            <w:tcBorders>
              <w:top w:val="single" w:sz="6" w:space="0" w:color="78A22F"/>
              <w:left w:val="nil"/>
              <w:bottom w:val="nil"/>
              <w:right w:val="nil"/>
            </w:tcBorders>
          </w:tcPr>
          <w:p w:rsidR="00AD5D95" w:rsidRPr="00626D32" w:rsidRDefault="00AD5D95" w:rsidP="000B047F">
            <w:pPr>
              <w:pStyle w:val="BoxSpaceBelow"/>
            </w:pPr>
          </w:p>
        </w:tc>
      </w:tr>
    </w:tbl>
    <w:p w:rsidR="00037133" w:rsidRDefault="00037133" w:rsidP="00037133">
      <w:pPr>
        <w:pStyle w:val="BodyText"/>
      </w:pPr>
      <w:r>
        <w:t>Not all services delivering a preschool program receive State and Territory</w:t>
      </w:r>
      <w:r w:rsidR="007762CF">
        <w:t xml:space="preserve"> government </w:t>
      </w:r>
      <w:r>
        <w:t>funding. For example, in NSW preschool programs delivered in for profit and</w:t>
      </w:r>
      <w:r w:rsidR="002D438E">
        <w:t xml:space="preserve"> </w:t>
      </w:r>
      <w:r>
        <w:t>not</w:t>
      </w:r>
      <w:r w:rsidR="002D438E">
        <w:noBreakHyphen/>
      </w:r>
      <w:r>
        <w:t>for</w:t>
      </w:r>
      <w:r w:rsidR="002D438E">
        <w:noBreakHyphen/>
      </w:r>
      <w:r>
        <w:t>profit long day care centres and in non</w:t>
      </w:r>
      <w:r w:rsidR="002D438E">
        <w:noBreakHyphen/>
      </w:r>
      <w:r>
        <w:t>government schools do not receive NSW government funding. In WA there are some preschool programs in government schools and non</w:t>
      </w:r>
      <w:r w:rsidR="002D438E">
        <w:noBreakHyphen/>
      </w:r>
      <w:r>
        <w:t>government schools</w:t>
      </w:r>
      <w:r w:rsidR="005B41C9">
        <w:t>,</w:t>
      </w:r>
      <w:r>
        <w:t xml:space="preserve"> particularly for 3 year olds which do not receive WA government funding (these services receive local government funding).</w:t>
      </w:r>
    </w:p>
    <w:p w:rsidR="007230B4" w:rsidRPr="008B42D1" w:rsidRDefault="007230B4" w:rsidP="007230B4">
      <w:pPr>
        <w:pStyle w:val="Heading3"/>
        <w:rPr>
          <w:rStyle w:val="BoxChar"/>
        </w:rPr>
      </w:pPr>
      <w:r w:rsidRPr="0003611E">
        <w:lastRenderedPageBreak/>
        <w:t xml:space="preserve">Quality of </w:t>
      </w:r>
      <w:r>
        <w:t>services</w:t>
      </w:r>
    </w:p>
    <w:p w:rsidR="007230B4" w:rsidRDefault="007230B4" w:rsidP="007230B4">
      <w:pPr>
        <w:pStyle w:val="BodyText"/>
      </w:pPr>
      <w:r w:rsidRPr="0003611E">
        <w:t xml:space="preserve">Governments seek to ensure that </w:t>
      </w:r>
      <w:proofErr w:type="spellStart"/>
      <w:r w:rsidR="0018407E">
        <w:t>ECEC</w:t>
      </w:r>
      <w:proofErr w:type="spellEnd"/>
      <w:r>
        <w:t xml:space="preserve"> services are of</w:t>
      </w:r>
      <w:r w:rsidRPr="0003611E">
        <w:t xml:space="preserve"> a satisfactory quality through:</w:t>
      </w:r>
    </w:p>
    <w:p w:rsidR="007230B4" w:rsidRDefault="007230B4" w:rsidP="007230B4">
      <w:pPr>
        <w:pStyle w:val="ListBullet"/>
      </w:pPr>
      <w:r>
        <w:t xml:space="preserve">approvals, licensing, quality assurance, measuring performance against standards, and funding linked to outcomes </w:t>
      </w:r>
    </w:p>
    <w:p w:rsidR="007230B4" w:rsidRDefault="007230B4" w:rsidP="007230B4">
      <w:pPr>
        <w:pStyle w:val="ListBullet"/>
      </w:pPr>
      <w:r>
        <w:t>monitoring compliance with the legislation</w:t>
      </w:r>
    </w:p>
    <w:p w:rsidR="007230B4" w:rsidRDefault="007230B4" w:rsidP="007230B4">
      <w:pPr>
        <w:pStyle w:val="ListBullet"/>
      </w:pPr>
      <w:r>
        <w:t xml:space="preserve">providing curriculum and policy support and advice </w:t>
      </w:r>
    </w:p>
    <w:p w:rsidR="007230B4" w:rsidRPr="00CF1088" w:rsidRDefault="007230B4" w:rsidP="007230B4">
      <w:pPr>
        <w:pStyle w:val="ListBullet"/>
      </w:pPr>
      <w:r w:rsidRPr="00CF1088">
        <w:t>information sessions and sector engagement opportunities.</w:t>
      </w:r>
    </w:p>
    <w:p w:rsidR="007230B4" w:rsidRPr="00454B6D" w:rsidRDefault="007230B4" w:rsidP="002A5A28">
      <w:pPr>
        <w:pStyle w:val="Heading4"/>
        <w:rPr>
          <w:b/>
          <w:sz w:val="20"/>
        </w:rPr>
      </w:pPr>
      <w:r w:rsidRPr="00873E25">
        <w:t>Service approval</w:t>
      </w:r>
      <w:r>
        <w:t xml:space="preserve"> and </w:t>
      </w:r>
      <w:r w:rsidRPr="00873E25">
        <w:t>licensing</w:t>
      </w:r>
    </w:p>
    <w:p w:rsidR="00FB5623" w:rsidRDefault="00FB5623" w:rsidP="00FB5623">
      <w:pPr>
        <w:pStyle w:val="BodyText"/>
      </w:pPr>
      <w:r w:rsidRPr="000955DF">
        <w:t>Service approval and licensing requirements establish the foundations for quality of care by stipulating enforceable standards to support the health, safety, welfare and developmen</w:t>
      </w:r>
      <w:r>
        <w:t xml:space="preserve">tal needs of children in approved or licensed </w:t>
      </w:r>
      <w:r w:rsidRPr="000955DF">
        <w:t xml:space="preserve">education and care services. </w:t>
      </w:r>
      <w:r>
        <w:t xml:space="preserve">State and Territory governments are responsible for regulating most </w:t>
      </w:r>
      <w:proofErr w:type="spellStart"/>
      <w:r>
        <w:t>ECEC</w:t>
      </w:r>
      <w:proofErr w:type="spellEnd"/>
      <w:r>
        <w:t xml:space="preserve"> services. These regulatory responsibilities include the approval or licensing, monitoring, assessment and rating of services in accordance with the relevant regulations. </w:t>
      </w:r>
    </w:p>
    <w:p w:rsidR="00C949A4" w:rsidRDefault="00FB5623" w:rsidP="00FB5623">
      <w:pPr>
        <w:pStyle w:val="BodyText"/>
      </w:pPr>
      <w:r>
        <w:t>Most long day care, preschool</w:t>
      </w:r>
      <w:r w:rsidRPr="000955DF">
        <w:t>,</w:t>
      </w:r>
      <w:r>
        <w:t xml:space="preserve"> family day care</w:t>
      </w:r>
      <w:r w:rsidR="001B446F">
        <w:t>, vacation care</w:t>
      </w:r>
      <w:r>
        <w:t xml:space="preserve"> and </w:t>
      </w:r>
      <w:proofErr w:type="spellStart"/>
      <w:r>
        <w:t>OSHC</w:t>
      </w:r>
      <w:proofErr w:type="spellEnd"/>
      <w:r>
        <w:t xml:space="preserve"> services </w:t>
      </w:r>
      <w:r w:rsidRPr="008C4C2D">
        <w:t xml:space="preserve">are approved services that </w:t>
      </w:r>
      <w:r>
        <w:t xml:space="preserve">fall within the scope of the </w:t>
      </w:r>
      <w:proofErr w:type="spellStart"/>
      <w:r w:rsidRPr="00656EE3">
        <w:t>NQF</w:t>
      </w:r>
      <w:proofErr w:type="spellEnd"/>
      <w:r>
        <w:t xml:space="preserve">. </w:t>
      </w:r>
      <w:proofErr w:type="spellStart"/>
      <w:r w:rsidR="00C949A4">
        <w:t>NQF</w:t>
      </w:r>
      <w:proofErr w:type="spellEnd"/>
      <w:r w:rsidR="00C949A4">
        <w:t xml:space="preserve"> approved services are </w:t>
      </w:r>
      <w:r w:rsidR="00C949A4" w:rsidRPr="008C4C2D">
        <w:t>regulated in accordance with the requirements of the Education and Care Services National Law and Nat</w:t>
      </w:r>
      <w:r w:rsidR="00C949A4">
        <w:t>ional Regulations. A small number of services continue to be licensed through other relevant legislation in each jurisdiction, for example occasional care and mobile preschools. In addition, some services may require State or Territory ba</w:t>
      </w:r>
      <w:r w:rsidR="00353D41">
        <w:t>sed registration to operate (instead of</w:t>
      </w:r>
      <w:r w:rsidR="00C949A4">
        <w:t xml:space="preserve"> </w:t>
      </w:r>
      <w:proofErr w:type="spellStart"/>
      <w:r w:rsidR="00C949A4">
        <w:t>NQF</w:t>
      </w:r>
      <w:proofErr w:type="spellEnd"/>
      <w:r w:rsidR="00C949A4">
        <w:t xml:space="preserve"> approval or State or Territory licensing).</w:t>
      </w:r>
    </w:p>
    <w:p w:rsidR="00FB5623" w:rsidRPr="008C4C2D" w:rsidRDefault="00FB5623" w:rsidP="00FB5623">
      <w:pPr>
        <w:pStyle w:val="BodyText"/>
      </w:pPr>
      <w:r w:rsidRPr="008C4C2D">
        <w:t xml:space="preserve">To operate as an approved education and care service under the </w:t>
      </w:r>
      <w:proofErr w:type="spellStart"/>
      <w:r w:rsidRPr="008C4C2D">
        <w:t>NQF</w:t>
      </w:r>
      <w:proofErr w:type="spellEnd"/>
      <w:r w:rsidRPr="008C4C2D">
        <w:t>, a person or entity must first apply to t</w:t>
      </w:r>
      <w:r>
        <w:t>he relevant State or Territory r</w:t>
      </w:r>
      <w:r w:rsidRPr="008C4C2D">
        <w:t>egulato</w:t>
      </w:r>
      <w:r>
        <w:t>ry authority to become an approved provider. An approved provider must then apply for a service a</w:t>
      </w:r>
      <w:r w:rsidRPr="008C4C2D">
        <w:t>pproval to operate an education and care service.</w:t>
      </w:r>
      <w:r w:rsidR="00C949A4">
        <w:t xml:space="preserve"> </w:t>
      </w:r>
      <w:r w:rsidRPr="008C4C2D">
        <w:t xml:space="preserve">To obtain a service approval or license to operate, providers of </w:t>
      </w:r>
      <w:proofErr w:type="spellStart"/>
      <w:r>
        <w:t>ECEC</w:t>
      </w:r>
      <w:proofErr w:type="spellEnd"/>
      <w:r w:rsidRPr="008C4C2D">
        <w:t xml:space="preserve"> services must meet legislative and regulatory requirements in relation to the premises, policies and procedures.</w:t>
      </w:r>
    </w:p>
    <w:p w:rsidR="00FB5623" w:rsidRDefault="00FB5623" w:rsidP="00FB5623">
      <w:pPr>
        <w:pStyle w:val="BodyText"/>
      </w:pPr>
      <w:r>
        <w:t xml:space="preserve">The number of </w:t>
      </w:r>
      <w:proofErr w:type="spellStart"/>
      <w:r w:rsidR="00FE7C26">
        <w:t>NQF</w:t>
      </w:r>
      <w:proofErr w:type="spellEnd"/>
      <w:r w:rsidR="00FE7C26">
        <w:t xml:space="preserve"> approved and State and Territory government licensed or registered </w:t>
      </w:r>
      <w:r>
        <w:t xml:space="preserve">services by service type </w:t>
      </w:r>
      <w:r w:rsidR="00BF4CE7">
        <w:t>are reported in tables</w:t>
      </w:r>
      <w:r w:rsidR="00697D43">
        <w:t> </w:t>
      </w:r>
      <w:r w:rsidR="00BF4CE7">
        <w:t>3.5 and 3.6</w:t>
      </w:r>
      <w:r w:rsidR="00FE7C26">
        <w:t xml:space="preserve"> respectively.</w:t>
      </w:r>
      <w:r>
        <w:t xml:space="preserve"> </w:t>
      </w:r>
    </w:p>
    <w:p w:rsidR="007230B4" w:rsidRPr="00DD0623" w:rsidRDefault="007230B4" w:rsidP="002A5A28">
      <w:pPr>
        <w:pStyle w:val="Heading4"/>
        <w:rPr>
          <w:i/>
        </w:rPr>
      </w:pPr>
      <w:r>
        <w:t xml:space="preserve">Quality </w:t>
      </w:r>
      <w:r w:rsidRPr="002352A8">
        <w:t>improvement</w:t>
      </w:r>
    </w:p>
    <w:p w:rsidR="00F70955" w:rsidRDefault="00F70955" w:rsidP="00F70955">
      <w:pPr>
        <w:pStyle w:val="BodyText"/>
      </w:pPr>
      <w:r w:rsidRPr="002352A8">
        <w:t>Since 1</w:t>
      </w:r>
      <w:r>
        <w:t> </w:t>
      </w:r>
      <w:r w:rsidRPr="002352A8">
        <w:t xml:space="preserve">January 2012, the </w:t>
      </w:r>
      <w:proofErr w:type="spellStart"/>
      <w:r w:rsidRPr="002352A8">
        <w:t>NQF</w:t>
      </w:r>
      <w:proofErr w:type="spellEnd"/>
      <w:r w:rsidRPr="002352A8">
        <w:t xml:space="preserve"> has </w:t>
      </w:r>
      <w:r>
        <w:t xml:space="preserve">determined </w:t>
      </w:r>
      <w:r w:rsidRPr="002352A8">
        <w:t xml:space="preserve">the approach to quality improvement. </w:t>
      </w:r>
      <w:r>
        <w:t>Box </w:t>
      </w:r>
      <w:r w:rsidRPr="00F167EC">
        <w:t>3.16</w:t>
      </w:r>
      <w:r w:rsidRPr="00C15186">
        <w:t xml:space="preserve"> provides additional information on the </w:t>
      </w:r>
      <w:proofErr w:type="spellStart"/>
      <w:r w:rsidRPr="00C15186">
        <w:t>NQF</w:t>
      </w:r>
      <w:proofErr w:type="spellEnd"/>
      <w:r w:rsidRPr="00C15186">
        <w:t>.</w:t>
      </w:r>
    </w:p>
    <w:p w:rsidR="00F70955" w:rsidRDefault="00F70955" w:rsidP="00F70955">
      <w:pPr>
        <w:pStyle w:val="BodyText"/>
      </w:pPr>
      <w:r>
        <w:lastRenderedPageBreak/>
        <w:t xml:space="preserve">The </w:t>
      </w:r>
      <w:proofErr w:type="spellStart"/>
      <w:r>
        <w:t>NQS</w:t>
      </w:r>
      <w:proofErr w:type="spellEnd"/>
      <w:r w:rsidRPr="00C15186">
        <w:t xml:space="preserve"> </w:t>
      </w:r>
      <w:r>
        <w:t xml:space="preserve">is a key aspect of the </w:t>
      </w:r>
      <w:proofErr w:type="spellStart"/>
      <w:r>
        <w:t>NQF</w:t>
      </w:r>
      <w:proofErr w:type="spellEnd"/>
      <w:r>
        <w:t xml:space="preserve"> and </w:t>
      </w:r>
      <w:r w:rsidRPr="00C15186">
        <w:t xml:space="preserve">sets a national benchmark for the quality </w:t>
      </w:r>
      <w:r>
        <w:t xml:space="preserve">of </w:t>
      </w:r>
      <w:r w:rsidRPr="00C15186">
        <w:t xml:space="preserve">services, </w:t>
      </w:r>
      <w:r>
        <w:t>in seven key quality areas</w:t>
      </w:r>
      <w:r w:rsidR="00C949A4">
        <w:t xml:space="preserve"> for 18</w:t>
      </w:r>
      <w:r w:rsidRPr="00C15186">
        <w:t xml:space="preserve"> standards</w:t>
      </w:r>
      <w:r>
        <w:t xml:space="preserve">. </w:t>
      </w:r>
      <w:r w:rsidRPr="00C15186">
        <w:t xml:space="preserve">Each standard contains a number of elements that describe the outcomes that contribute to the standard being achieved. </w:t>
      </w:r>
    </w:p>
    <w:p w:rsidR="00F70955" w:rsidRPr="002C5241" w:rsidRDefault="00F70955" w:rsidP="00F70955">
      <w:pPr>
        <w:pStyle w:val="BodyText"/>
      </w:pPr>
      <w:r w:rsidRPr="00C15186">
        <w:t xml:space="preserve">The </w:t>
      </w:r>
      <w:proofErr w:type="spellStart"/>
      <w:r w:rsidRPr="00C15186">
        <w:t>NQS</w:t>
      </w:r>
      <w:proofErr w:type="spellEnd"/>
      <w:r w:rsidRPr="00C15186">
        <w:t xml:space="preserve"> is accompanied by a national assessment and rating process reporting the quali</w:t>
      </w:r>
      <w:r>
        <w:t xml:space="preserve">ty of each service, against the five rating levels ‘Significant Improvement Required’, ‘Working Towards </w:t>
      </w:r>
      <w:proofErr w:type="spellStart"/>
      <w:r>
        <w:t>NQS</w:t>
      </w:r>
      <w:proofErr w:type="spellEnd"/>
      <w:r>
        <w:t xml:space="preserve">’, ‘Meeting </w:t>
      </w:r>
      <w:proofErr w:type="spellStart"/>
      <w:r>
        <w:t>NQS</w:t>
      </w:r>
      <w:proofErr w:type="spellEnd"/>
      <w:r>
        <w:t xml:space="preserve">’, ‘Exceeding </w:t>
      </w:r>
      <w:proofErr w:type="spellStart"/>
      <w:r>
        <w:t>NQS</w:t>
      </w:r>
      <w:proofErr w:type="spellEnd"/>
      <w:r>
        <w:t>’ and ‘Excellent’. The ‘Excellent’ rating can only be awarded by the national body, the Australian Children’s Education and Care Quality Authority (</w:t>
      </w:r>
      <w:proofErr w:type="spellStart"/>
      <w:r w:rsidR="00353D41">
        <w:t>ACECQA</w:t>
      </w:r>
      <w:proofErr w:type="spellEnd"/>
      <w:r w:rsidR="00353D41">
        <w:t>), on application by the approved p</w:t>
      </w:r>
      <w:r>
        <w:t>rovider. The other four ratings result from the assessment and ratings process.</w:t>
      </w:r>
      <w:r w:rsidRPr="00C15186">
        <w:t xml:space="preserve"> </w:t>
      </w:r>
      <w:r>
        <w:t>Until a service is assessed and rated, it is taken to have the prescribed provisional rating of ‘Provisional – Not Yet Assessed’.</w:t>
      </w:r>
    </w:p>
    <w:p w:rsidR="007230B4" w:rsidRPr="00DD0623" w:rsidRDefault="007230B4" w:rsidP="002A5A28">
      <w:pPr>
        <w:pStyle w:val="Heading4"/>
        <w:rPr>
          <w:i/>
        </w:rPr>
      </w:pPr>
      <w:r w:rsidRPr="00516ACC">
        <w:t>Funding pe</w:t>
      </w:r>
      <w:r w:rsidR="00FB36B5">
        <w:t>rformance standards and outcomes</w:t>
      </w:r>
    </w:p>
    <w:p w:rsidR="007230B4" w:rsidRDefault="007230B4" w:rsidP="007230B4">
      <w:pPr>
        <w:pStyle w:val="BodyText"/>
      </w:pPr>
      <w:r w:rsidRPr="00516ACC">
        <w:t xml:space="preserve">State and Territory governments impose varying performance requirements for funding </w:t>
      </w:r>
      <w:proofErr w:type="spellStart"/>
      <w:r w:rsidR="0018407E">
        <w:t>ECEC</w:t>
      </w:r>
      <w:proofErr w:type="spellEnd"/>
      <w:r w:rsidRPr="00516ACC">
        <w:t xml:space="preserve"> services. These requirements </w:t>
      </w:r>
      <w:r>
        <w:t>can</w:t>
      </w:r>
      <w:r w:rsidRPr="00516ACC">
        <w:t xml:space="preserve"> include:</w:t>
      </w:r>
    </w:p>
    <w:p w:rsidR="007230B4" w:rsidRDefault="007230B4" w:rsidP="007230B4">
      <w:pPr>
        <w:pStyle w:val="ListBullet"/>
      </w:pPr>
      <w:r>
        <w:t>the employment of higher qualified staff than required by licensing or minimum standards</w:t>
      </w:r>
    </w:p>
    <w:p w:rsidR="007230B4" w:rsidRDefault="00BF3F89" w:rsidP="007230B4">
      <w:pPr>
        <w:pStyle w:val="ListBullet"/>
      </w:pPr>
      <w:r>
        <w:t>self</w:t>
      </w:r>
      <w:r w:rsidR="007B063C">
        <w:noBreakHyphen/>
      </w:r>
      <w:r>
        <w:t>assessment</w:t>
      </w:r>
      <w:r w:rsidR="007230B4">
        <w:t xml:space="preserve"> of quality</w:t>
      </w:r>
    </w:p>
    <w:p w:rsidR="007230B4" w:rsidRDefault="007230B4" w:rsidP="007230B4">
      <w:pPr>
        <w:pStyle w:val="ListBullet"/>
      </w:pPr>
      <w:r>
        <w:t>a demonstration of the delivery of quality educational and recreational programs.</w:t>
      </w:r>
    </w:p>
    <w:p w:rsidR="007230B4" w:rsidRDefault="007230B4" w:rsidP="007230B4">
      <w:pPr>
        <w:pStyle w:val="Heading3"/>
      </w:pPr>
      <w:r w:rsidRPr="000E5150">
        <w:t>Size and scope</w:t>
      </w:r>
      <w:r w:rsidR="001A795E">
        <w:t xml:space="preserve"> </w:t>
      </w:r>
    </w:p>
    <w:p w:rsidR="00F70955" w:rsidRDefault="00F70955" w:rsidP="00F70955">
      <w:pPr>
        <w:pStyle w:val="Heading4"/>
      </w:pPr>
      <w:proofErr w:type="spellStart"/>
      <w:r>
        <w:t>NQF</w:t>
      </w:r>
      <w:proofErr w:type="spellEnd"/>
      <w:r>
        <w:t xml:space="preserve"> approved </w:t>
      </w:r>
      <w:proofErr w:type="spellStart"/>
      <w:r>
        <w:t>ECEC</w:t>
      </w:r>
      <w:proofErr w:type="spellEnd"/>
      <w:r w:rsidRPr="00B22CE6">
        <w:t xml:space="preserve"> services </w:t>
      </w:r>
    </w:p>
    <w:p w:rsidR="00F70955" w:rsidRDefault="00A12A73" w:rsidP="00F70955">
      <w:pPr>
        <w:pStyle w:val="BodyText"/>
      </w:pPr>
      <w:r>
        <w:t>At 30 June 2015 there were 14 910</w:t>
      </w:r>
      <w:r w:rsidR="00F70955">
        <w:t xml:space="preserve"> </w:t>
      </w:r>
      <w:proofErr w:type="spellStart"/>
      <w:r w:rsidR="00F70955">
        <w:t>NQF</w:t>
      </w:r>
      <w:proofErr w:type="spellEnd"/>
      <w:r w:rsidR="00F70955">
        <w:t xml:space="preserve"> approved </w:t>
      </w:r>
      <w:proofErr w:type="spellStart"/>
      <w:r w:rsidR="00F70955">
        <w:t>ECEC</w:t>
      </w:r>
      <w:proofErr w:type="spellEnd"/>
      <w:r w:rsidR="00F70955">
        <w:t xml:space="preserve"> services </w:t>
      </w:r>
      <w:r w:rsidR="00FF5F01">
        <w:t>in Australia</w:t>
      </w:r>
      <w:r w:rsidR="001B446F">
        <w:t>,</w:t>
      </w:r>
      <w:r w:rsidR="000F428B">
        <w:t xml:space="preserve"> delivering 19 535 service types</w:t>
      </w:r>
      <w:r w:rsidR="00BF4CE7">
        <w:t xml:space="preserve"> (table</w:t>
      </w:r>
      <w:r w:rsidR="00697D43">
        <w:t> </w:t>
      </w:r>
      <w:r w:rsidR="00BF4CE7">
        <w:t>3.5</w:t>
      </w:r>
      <w:r w:rsidR="00FF5F01">
        <w:t>)</w:t>
      </w:r>
      <w:r>
        <w:t xml:space="preserve">. </w:t>
      </w:r>
    </w:p>
    <w:p w:rsidR="00E4750D" w:rsidRDefault="00E4750D" w:rsidP="00F70955">
      <w:pPr>
        <w:pStyle w:val="BodyText"/>
      </w:pPr>
    </w:p>
    <w:tbl>
      <w:tblPr>
        <w:tblW w:w="0" w:type="auto"/>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8771"/>
      </w:tblGrid>
      <w:tr w:rsidR="00F70955" w:rsidRPr="00784A05" w:rsidTr="00F70955">
        <w:tc>
          <w:tcPr>
            <w:tcW w:w="8771" w:type="dxa"/>
            <w:tcBorders>
              <w:top w:val="single" w:sz="6" w:space="0" w:color="78A22F"/>
              <w:left w:val="nil"/>
              <w:bottom w:val="nil"/>
              <w:right w:val="nil"/>
            </w:tcBorders>
            <w:shd w:val="clear" w:color="auto" w:fill="auto"/>
          </w:tcPr>
          <w:p w:rsidR="00F70955" w:rsidRPr="00784A05" w:rsidRDefault="00F70955" w:rsidP="00F70955">
            <w:pPr>
              <w:pStyle w:val="TableTitle"/>
            </w:pPr>
            <w:r>
              <w:rPr>
                <w:b w:val="0"/>
              </w:rPr>
              <w:lastRenderedPageBreak/>
              <w:t>Table 3.</w:t>
            </w:r>
            <w:r w:rsidR="00BF4CE7">
              <w:rPr>
                <w:b w:val="0"/>
              </w:rPr>
              <w:t>5</w:t>
            </w:r>
            <w:r>
              <w:tab/>
              <w:t xml:space="preserve">Number of </w:t>
            </w:r>
            <w:proofErr w:type="spellStart"/>
            <w:r>
              <w:t>NQF</w:t>
            </w:r>
            <w:proofErr w:type="spellEnd"/>
            <w:r>
              <w:t xml:space="preserve"> approved </w:t>
            </w:r>
            <w:proofErr w:type="spellStart"/>
            <w:r>
              <w:t>ECEC</w:t>
            </w:r>
            <w:proofErr w:type="spellEnd"/>
            <w:r>
              <w:t xml:space="preserve"> </w:t>
            </w:r>
            <w:r w:rsidRPr="0055030A">
              <w:t>serv</w:t>
            </w:r>
            <w:r>
              <w:t>ices, by service type, 30</w:t>
            </w:r>
            <w:r w:rsidR="002D438E">
              <w:t> </w:t>
            </w:r>
            <w:r>
              <w:t>June 2015</w:t>
            </w:r>
            <w:r w:rsidR="00F57C13">
              <w:rPr>
                <w:rStyle w:val="NoteLabel"/>
                <w:b/>
              </w:rPr>
              <w:t>a</w:t>
            </w:r>
          </w:p>
        </w:tc>
      </w:tr>
      <w:tr w:rsidR="00F70955" w:rsidTr="00F70955">
        <w:trPr>
          <w:cantSplit/>
        </w:trPr>
        <w:tc>
          <w:tcPr>
            <w:tcW w:w="8771" w:type="dxa"/>
            <w:tcBorders>
              <w:top w:val="nil"/>
              <w:left w:val="nil"/>
              <w:bottom w:val="nil"/>
              <w:right w:val="nil"/>
            </w:tcBorders>
            <w:shd w:val="clear" w:color="auto" w:fill="auto"/>
          </w:tcPr>
          <w:tbl>
            <w:tblPr>
              <w:tblW w:w="5000" w:type="pct"/>
              <w:tblCellMar>
                <w:left w:w="0" w:type="dxa"/>
                <w:right w:w="0" w:type="dxa"/>
              </w:tblCellMar>
              <w:tblLook w:val="0000" w:firstRow="0" w:lastRow="0" w:firstColumn="0" w:lastColumn="0" w:noHBand="0" w:noVBand="0"/>
            </w:tblPr>
            <w:tblGrid>
              <w:gridCol w:w="1071"/>
              <w:gridCol w:w="1072"/>
              <w:gridCol w:w="705"/>
              <w:gridCol w:w="704"/>
              <w:gridCol w:w="704"/>
              <w:gridCol w:w="706"/>
              <w:gridCol w:w="706"/>
              <w:gridCol w:w="706"/>
              <w:gridCol w:w="706"/>
              <w:gridCol w:w="706"/>
              <w:gridCol w:w="701"/>
            </w:tblGrid>
            <w:tr w:rsidR="00F70955" w:rsidRPr="00D16A39" w:rsidTr="00382074">
              <w:tc>
                <w:tcPr>
                  <w:tcW w:w="1071" w:type="dxa"/>
                  <w:tcBorders>
                    <w:top w:val="single" w:sz="6" w:space="0" w:color="BFBFBF"/>
                    <w:bottom w:val="single" w:sz="6" w:space="0" w:color="BFBFBF"/>
                  </w:tcBorders>
                  <w:shd w:val="clear" w:color="auto" w:fill="auto"/>
                </w:tcPr>
                <w:p w:rsidR="00F70955" w:rsidRPr="00D16A39" w:rsidRDefault="00F70955" w:rsidP="00F70955">
                  <w:pPr>
                    <w:pStyle w:val="TableColumnHeading"/>
                    <w:jc w:val="left"/>
                  </w:pPr>
                </w:p>
              </w:tc>
              <w:tc>
                <w:tcPr>
                  <w:tcW w:w="1072" w:type="dxa"/>
                  <w:tcBorders>
                    <w:top w:val="single" w:sz="6" w:space="0" w:color="BFBFBF"/>
                    <w:bottom w:val="single" w:sz="6" w:space="0" w:color="BFBFBF"/>
                  </w:tcBorders>
                  <w:shd w:val="clear" w:color="auto" w:fill="auto"/>
                </w:tcPr>
                <w:p w:rsidR="00F70955" w:rsidRPr="00D16A39" w:rsidRDefault="00F70955" w:rsidP="00F70955">
                  <w:pPr>
                    <w:pStyle w:val="TableColumnHeading"/>
                  </w:pPr>
                </w:p>
              </w:tc>
              <w:tc>
                <w:tcPr>
                  <w:tcW w:w="705" w:type="dxa"/>
                  <w:tcBorders>
                    <w:top w:val="single" w:sz="6" w:space="0" w:color="BFBFBF"/>
                    <w:bottom w:val="single" w:sz="6" w:space="0" w:color="BFBFBF"/>
                  </w:tcBorders>
                  <w:shd w:val="clear" w:color="auto" w:fill="auto"/>
                </w:tcPr>
                <w:p w:rsidR="00F70955" w:rsidRPr="00D16A39" w:rsidRDefault="00F70955" w:rsidP="00F70955">
                  <w:pPr>
                    <w:pStyle w:val="TableColumnHeading"/>
                  </w:pPr>
                  <w:r w:rsidRPr="00D16A39">
                    <w:t>NSW</w:t>
                  </w:r>
                </w:p>
              </w:tc>
              <w:tc>
                <w:tcPr>
                  <w:tcW w:w="704" w:type="dxa"/>
                  <w:tcBorders>
                    <w:top w:val="single" w:sz="6" w:space="0" w:color="BFBFBF"/>
                    <w:bottom w:val="single" w:sz="6" w:space="0" w:color="BFBFBF"/>
                  </w:tcBorders>
                  <w:shd w:val="clear" w:color="auto" w:fill="auto"/>
                </w:tcPr>
                <w:p w:rsidR="00F70955" w:rsidRPr="00D16A39" w:rsidRDefault="00F70955" w:rsidP="00F70955">
                  <w:pPr>
                    <w:pStyle w:val="TableColumnHeading"/>
                  </w:pPr>
                  <w:r w:rsidRPr="00D16A39">
                    <w:t>Vic</w:t>
                  </w:r>
                </w:p>
              </w:tc>
              <w:tc>
                <w:tcPr>
                  <w:tcW w:w="704" w:type="dxa"/>
                  <w:tcBorders>
                    <w:top w:val="single" w:sz="6" w:space="0" w:color="BFBFBF"/>
                    <w:bottom w:val="single" w:sz="6" w:space="0" w:color="BFBFBF"/>
                  </w:tcBorders>
                  <w:shd w:val="clear" w:color="auto" w:fill="auto"/>
                </w:tcPr>
                <w:p w:rsidR="00F70955" w:rsidRPr="00D16A39" w:rsidRDefault="00F70955" w:rsidP="00F70955">
                  <w:pPr>
                    <w:pStyle w:val="TableColumnHeading"/>
                  </w:pPr>
                  <w:r w:rsidRPr="00D16A39">
                    <w:t>Qld</w:t>
                  </w:r>
                </w:p>
              </w:tc>
              <w:tc>
                <w:tcPr>
                  <w:tcW w:w="706" w:type="dxa"/>
                  <w:tcBorders>
                    <w:top w:val="single" w:sz="6" w:space="0" w:color="BFBFBF"/>
                    <w:bottom w:val="single" w:sz="6" w:space="0" w:color="BFBFBF"/>
                  </w:tcBorders>
                  <w:shd w:val="clear" w:color="auto" w:fill="auto"/>
                </w:tcPr>
                <w:p w:rsidR="00F70955" w:rsidRPr="00D16A39" w:rsidRDefault="00F70955" w:rsidP="00F70955">
                  <w:pPr>
                    <w:pStyle w:val="TableColumnHeading"/>
                  </w:pPr>
                  <w:r w:rsidRPr="00D16A39">
                    <w:t>WA</w:t>
                  </w:r>
                </w:p>
              </w:tc>
              <w:tc>
                <w:tcPr>
                  <w:tcW w:w="706" w:type="dxa"/>
                  <w:tcBorders>
                    <w:top w:val="single" w:sz="6" w:space="0" w:color="BFBFBF"/>
                    <w:bottom w:val="single" w:sz="6" w:space="0" w:color="BFBFBF"/>
                  </w:tcBorders>
                  <w:shd w:val="clear" w:color="auto" w:fill="auto"/>
                </w:tcPr>
                <w:p w:rsidR="00F70955" w:rsidRPr="00D16A39" w:rsidRDefault="00F70955" w:rsidP="00F70955">
                  <w:pPr>
                    <w:pStyle w:val="TableColumnHeading"/>
                  </w:pPr>
                  <w:r w:rsidRPr="00D16A39">
                    <w:t>SA</w:t>
                  </w:r>
                </w:p>
              </w:tc>
              <w:tc>
                <w:tcPr>
                  <w:tcW w:w="706" w:type="dxa"/>
                  <w:tcBorders>
                    <w:top w:val="single" w:sz="6" w:space="0" w:color="BFBFBF"/>
                    <w:bottom w:val="single" w:sz="6" w:space="0" w:color="BFBFBF"/>
                  </w:tcBorders>
                  <w:shd w:val="clear" w:color="auto" w:fill="auto"/>
                </w:tcPr>
                <w:p w:rsidR="00F70955" w:rsidRPr="00D16A39" w:rsidRDefault="00F70955" w:rsidP="00F70955">
                  <w:pPr>
                    <w:pStyle w:val="TableColumnHeading"/>
                  </w:pPr>
                  <w:proofErr w:type="spellStart"/>
                  <w:r w:rsidRPr="00D16A39">
                    <w:t>Tas</w:t>
                  </w:r>
                  <w:proofErr w:type="spellEnd"/>
                </w:p>
              </w:tc>
              <w:tc>
                <w:tcPr>
                  <w:tcW w:w="706" w:type="dxa"/>
                  <w:tcBorders>
                    <w:top w:val="single" w:sz="6" w:space="0" w:color="BFBFBF"/>
                    <w:bottom w:val="single" w:sz="6" w:space="0" w:color="BFBFBF"/>
                  </w:tcBorders>
                  <w:shd w:val="clear" w:color="auto" w:fill="auto"/>
                </w:tcPr>
                <w:p w:rsidR="00F70955" w:rsidRPr="00D16A39" w:rsidRDefault="00F70955" w:rsidP="00F70955">
                  <w:pPr>
                    <w:pStyle w:val="TableColumnHeading"/>
                  </w:pPr>
                  <w:r w:rsidRPr="00D16A39">
                    <w:t>ACT</w:t>
                  </w:r>
                </w:p>
              </w:tc>
              <w:tc>
                <w:tcPr>
                  <w:tcW w:w="706" w:type="dxa"/>
                  <w:tcBorders>
                    <w:top w:val="single" w:sz="6" w:space="0" w:color="BFBFBF"/>
                    <w:bottom w:val="single" w:sz="6" w:space="0" w:color="BFBFBF"/>
                  </w:tcBorders>
                  <w:shd w:val="clear" w:color="auto" w:fill="auto"/>
                </w:tcPr>
                <w:p w:rsidR="00F70955" w:rsidRPr="00D16A39" w:rsidRDefault="00F70955" w:rsidP="00F70955">
                  <w:pPr>
                    <w:pStyle w:val="TableColumnHeading"/>
                  </w:pPr>
                  <w:r w:rsidRPr="00D16A39">
                    <w:t>NT</w:t>
                  </w:r>
                </w:p>
              </w:tc>
              <w:tc>
                <w:tcPr>
                  <w:tcW w:w="701" w:type="dxa"/>
                  <w:tcBorders>
                    <w:top w:val="single" w:sz="6" w:space="0" w:color="BFBFBF"/>
                    <w:bottom w:val="single" w:sz="6" w:space="0" w:color="BFBFBF"/>
                  </w:tcBorders>
                </w:tcPr>
                <w:p w:rsidR="00F70955" w:rsidRPr="00D16A39" w:rsidRDefault="00F70955" w:rsidP="00F70955">
                  <w:pPr>
                    <w:pStyle w:val="TableColumnHeading"/>
                  </w:pPr>
                  <w:proofErr w:type="spellStart"/>
                  <w:r w:rsidRPr="00D16A39">
                    <w:t>Aust</w:t>
                  </w:r>
                  <w:proofErr w:type="spellEnd"/>
                </w:p>
              </w:tc>
            </w:tr>
            <w:tr w:rsidR="00320735" w:rsidRPr="00D16A39" w:rsidTr="00382074">
              <w:tc>
                <w:tcPr>
                  <w:tcW w:w="2143" w:type="dxa"/>
                  <w:gridSpan w:val="2"/>
                  <w:vAlign w:val="center"/>
                </w:tcPr>
                <w:p w:rsidR="00320735" w:rsidRPr="00D16A39" w:rsidRDefault="00320735" w:rsidP="00382074">
                  <w:pPr>
                    <w:pStyle w:val="TableBodyText"/>
                    <w:jc w:val="left"/>
                  </w:pPr>
                  <w:r w:rsidRPr="00D16A39">
                    <w:t>Long day care</w:t>
                  </w:r>
                </w:p>
              </w:tc>
              <w:tc>
                <w:tcPr>
                  <w:tcW w:w="705" w:type="dxa"/>
                  <w:vAlign w:val="bottom"/>
                </w:tcPr>
                <w:p w:rsidR="00320735" w:rsidRPr="000B2E40" w:rsidRDefault="00320735" w:rsidP="000B2E40">
                  <w:pPr>
                    <w:pStyle w:val="TableBodyText"/>
                  </w:pPr>
                  <w:r w:rsidRPr="000B2E40">
                    <w:t>2</w:t>
                  </w:r>
                  <w:r w:rsidR="000B2E40">
                    <w:t xml:space="preserve"> </w:t>
                  </w:r>
                  <w:r w:rsidRPr="000B2E40">
                    <w:t>777</w:t>
                  </w:r>
                </w:p>
              </w:tc>
              <w:tc>
                <w:tcPr>
                  <w:tcW w:w="704" w:type="dxa"/>
                  <w:vAlign w:val="bottom"/>
                </w:tcPr>
                <w:p w:rsidR="00320735" w:rsidRPr="000B2E40" w:rsidRDefault="00320735" w:rsidP="000B2E40">
                  <w:pPr>
                    <w:pStyle w:val="TableBodyText"/>
                  </w:pPr>
                  <w:r w:rsidRPr="000B2E40">
                    <w:t>1</w:t>
                  </w:r>
                  <w:r w:rsidR="000B2E40">
                    <w:t xml:space="preserve"> </w:t>
                  </w:r>
                  <w:r w:rsidRPr="000B2E40">
                    <w:t>259</w:t>
                  </w:r>
                </w:p>
              </w:tc>
              <w:tc>
                <w:tcPr>
                  <w:tcW w:w="704" w:type="dxa"/>
                  <w:vAlign w:val="bottom"/>
                </w:tcPr>
                <w:p w:rsidR="00320735" w:rsidRPr="000B2E40" w:rsidRDefault="00320735" w:rsidP="000B2E40">
                  <w:pPr>
                    <w:pStyle w:val="TableBodyText"/>
                  </w:pPr>
                  <w:r w:rsidRPr="000B2E40">
                    <w:t>1</w:t>
                  </w:r>
                  <w:r w:rsidR="000B2E40">
                    <w:t xml:space="preserve"> </w:t>
                  </w:r>
                  <w:r w:rsidRPr="000B2E40">
                    <w:t>420</w:t>
                  </w:r>
                </w:p>
              </w:tc>
              <w:tc>
                <w:tcPr>
                  <w:tcW w:w="706" w:type="dxa"/>
                  <w:vAlign w:val="bottom"/>
                </w:tcPr>
                <w:p w:rsidR="00320735" w:rsidRPr="000B2E40" w:rsidRDefault="00320735" w:rsidP="000B2E40">
                  <w:pPr>
                    <w:pStyle w:val="TableBodyText"/>
                  </w:pPr>
                  <w:r w:rsidRPr="000B2E40">
                    <w:t>635</w:t>
                  </w:r>
                </w:p>
              </w:tc>
              <w:tc>
                <w:tcPr>
                  <w:tcW w:w="706" w:type="dxa"/>
                  <w:vAlign w:val="bottom"/>
                </w:tcPr>
                <w:p w:rsidR="00320735" w:rsidRPr="000B2E40" w:rsidRDefault="00320735" w:rsidP="000B2E40">
                  <w:pPr>
                    <w:pStyle w:val="TableBodyText"/>
                  </w:pPr>
                  <w:r w:rsidRPr="000B2E40">
                    <w:t>322</w:t>
                  </w:r>
                </w:p>
              </w:tc>
              <w:tc>
                <w:tcPr>
                  <w:tcW w:w="706" w:type="dxa"/>
                  <w:vAlign w:val="bottom"/>
                </w:tcPr>
                <w:p w:rsidR="00320735" w:rsidRPr="000B2E40" w:rsidRDefault="00320735" w:rsidP="000B2E40">
                  <w:pPr>
                    <w:pStyle w:val="TableBodyText"/>
                  </w:pPr>
                  <w:r w:rsidRPr="000B2E40">
                    <w:t>116</w:t>
                  </w:r>
                </w:p>
              </w:tc>
              <w:tc>
                <w:tcPr>
                  <w:tcW w:w="706" w:type="dxa"/>
                  <w:vAlign w:val="bottom"/>
                </w:tcPr>
                <w:p w:rsidR="00320735" w:rsidRPr="000B2E40" w:rsidRDefault="00320735" w:rsidP="000B2E40">
                  <w:pPr>
                    <w:pStyle w:val="TableBodyText"/>
                  </w:pPr>
                  <w:r w:rsidRPr="000B2E40">
                    <w:t>129</w:t>
                  </w:r>
                </w:p>
              </w:tc>
              <w:tc>
                <w:tcPr>
                  <w:tcW w:w="706" w:type="dxa"/>
                  <w:vAlign w:val="bottom"/>
                </w:tcPr>
                <w:p w:rsidR="00320735" w:rsidRPr="000B2E40" w:rsidRDefault="00320735" w:rsidP="000B2E40">
                  <w:pPr>
                    <w:pStyle w:val="TableBodyText"/>
                  </w:pPr>
                  <w:r w:rsidRPr="000B2E40">
                    <w:t>76</w:t>
                  </w:r>
                </w:p>
              </w:tc>
              <w:tc>
                <w:tcPr>
                  <w:tcW w:w="701" w:type="dxa"/>
                  <w:shd w:val="clear" w:color="auto" w:fill="auto"/>
                  <w:vAlign w:val="bottom"/>
                </w:tcPr>
                <w:p w:rsidR="00320735" w:rsidRPr="000B2E40" w:rsidRDefault="00320735" w:rsidP="000B2E40">
                  <w:pPr>
                    <w:pStyle w:val="TableBodyText"/>
                  </w:pPr>
                  <w:r w:rsidRPr="000B2E40">
                    <w:t>6</w:t>
                  </w:r>
                  <w:r w:rsidR="00F833AE">
                    <w:t> </w:t>
                  </w:r>
                  <w:r w:rsidRPr="000B2E40">
                    <w:t>734</w:t>
                  </w:r>
                </w:p>
              </w:tc>
            </w:tr>
            <w:tr w:rsidR="00320735" w:rsidRPr="00D16A39" w:rsidTr="00382074">
              <w:tc>
                <w:tcPr>
                  <w:tcW w:w="2143" w:type="dxa"/>
                  <w:gridSpan w:val="2"/>
                  <w:vAlign w:val="center"/>
                </w:tcPr>
                <w:p w:rsidR="00320735" w:rsidRPr="00D16A39" w:rsidRDefault="00320735" w:rsidP="00382074">
                  <w:pPr>
                    <w:pStyle w:val="TableBodyText"/>
                    <w:jc w:val="left"/>
                  </w:pPr>
                  <w:r w:rsidRPr="00D16A39">
                    <w:t>Family day care</w:t>
                  </w:r>
                </w:p>
              </w:tc>
              <w:tc>
                <w:tcPr>
                  <w:tcW w:w="705" w:type="dxa"/>
                  <w:vAlign w:val="bottom"/>
                </w:tcPr>
                <w:p w:rsidR="00320735" w:rsidRPr="000B2E40" w:rsidRDefault="00320735" w:rsidP="000B2E40">
                  <w:pPr>
                    <w:pStyle w:val="TableBodyText"/>
                  </w:pPr>
                  <w:r w:rsidRPr="000B2E40">
                    <w:t>324</w:t>
                  </w:r>
                </w:p>
              </w:tc>
              <w:tc>
                <w:tcPr>
                  <w:tcW w:w="704" w:type="dxa"/>
                  <w:vAlign w:val="bottom"/>
                </w:tcPr>
                <w:p w:rsidR="00320735" w:rsidRPr="000B2E40" w:rsidRDefault="00320735" w:rsidP="000B2E40">
                  <w:pPr>
                    <w:pStyle w:val="TableBodyText"/>
                  </w:pPr>
                  <w:r w:rsidRPr="000B2E40">
                    <w:t>361</w:t>
                  </w:r>
                </w:p>
              </w:tc>
              <w:tc>
                <w:tcPr>
                  <w:tcW w:w="704" w:type="dxa"/>
                  <w:vAlign w:val="bottom"/>
                </w:tcPr>
                <w:p w:rsidR="00320735" w:rsidRPr="000B2E40" w:rsidRDefault="00320735" w:rsidP="000B2E40">
                  <w:pPr>
                    <w:pStyle w:val="TableBodyText"/>
                  </w:pPr>
                  <w:r w:rsidRPr="000B2E40">
                    <w:t>145</w:t>
                  </w:r>
                </w:p>
              </w:tc>
              <w:tc>
                <w:tcPr>
                  <w:tcW w:w="706" w:type="dxa"/>
                  <w:vAlign w:val="bottom"/>
                </w:tcPr>
                <w:p w:rsidR="00320735" w:rsidRPr="000B2E40" w:rsidRDefault="00320735" w:rsidP="000B2E40">
                  <w:pPr>
                    <w:pStyle w:val="TableBodyText"/>
                  </w:pPr>
                  <w:r w:rsidRPr="000B2E40">
                    <w:t>62</w:t>
                  </w:r>
                </w:p>
              </w:tc>
              <w:tc>
                <w:tcPr>
                  <w:tcW w:w="706" w:type="dxa"/>
                  <w:vAlign w:val="bottom"/>
                </w:tcPr>
                <w:p w:rsidR="00320735" w:rsidRPr="000B2E40" w:rsidRDefault="00320735" w:rsidP="000B2E40">
                  <w:pPr>
                    <w:pStyle w:val="TableBodyText"/>
                  </w:pPr>
                  <w:r w:rsidRPr="000B2E40">
                    <w:t>38</w:t>
                  </w:r>
                </w:p>
              </w:tc>
              <w:tc>
                <w:tcPr>
                  <w:tcW w:w="706" w:type="dxa"/>
                  <w:vAlign w:val="bottom"/>
                </w:tcPr>
                <w:p w:rsidR="00320735" w:rsidRPr="000B2E40" w:rsidRDefault="00320735" w:rsidP="000B2E40">
                  <w:pPr>
                    <w:pStyle w:val="TableBodyText"/>
                  </w:pPr>
                  <w:r w:rsidRPr="000B2E40">
                    <w:t>12</w:t>
                  </w:r>
                </w:p>
              </w:tc>
              <w:tc>
                <w:tcPr>
                  <w:tcW w:w="706" w:type="dxa"/>
                  <w:vAlign w:val="bottom"/>
                </w:tcPr>
                <w:p w:rsidR="00320735" w:rsidRPr="000B2E40" w:rsidRDefault="00320735" w:rsidP="000B2E40">
                  <w:pPr>
                    <w:pStyle w:val="TableBodyText"/>
                  </w:pPr>
                  <w:r w:rsidRPr="000B2E40">
                    <w:t>18</w:t>
                  </w:r>
                </w:p>
              </w:tc>
              <w:tc>
                <w:tcPr>
                  <w:tcW w:w="706" w:type="dxa"/>
                  <w:vAlign w:val="bottom"/>
                </w:tcPr>
                <w:p w:rsidR="00320735" w:rsidRPr="000B2E40" w:rsidRDefault="00320735" w:rsidP="000B2E40">
                  <w:pPr>
                    <w:pStyle w:val="TableBodyText"/>
                  </w:pPr>
                  <w:r w:rsidRPr="000B2E40">
                    <w:t>6</w:t>
                  </w:r>
                </w:p>
              </w:tc>
              <w:tc>
                <w:tcPr>
                  <w:tcW w:w="701" w:type="dxa"/>
                  <w:shd w:val="clear" w:color="auto" w:fill="auto"/>
                  <w:vAlign w:val="bottom"/>
                </w:tcPr>
                <w:p w:rsidR="00320735" w:rsidRPr="000B2E40" w:rsidRDefault="00320735" w:rsidP="000B2E40">
                  <w:pPr>
                    <w:pStyle w:val="TableBodyText"/>
                  </w:pPr>
                  <w:r w:rsidRPr="000B2E40">
                    <w:t>966</w:t>
                  </w:r>
                </w:p>
              </w:tc>
            </w:tr>
            <w:tr w:rsidR="00320735" w:rsidRPr="00D16A39" w:rsidTr="00382074">
              <w:tc>
                <w:tcPr>
                  <w:tcW w:w="2143" w:type="dxa"/>
                  <w:gridSpan w:val="2"/>
                  <w:vAlign w:val="center"/>
                </w:tcPr>
                <w:p w:rsidR="00320735" w:rsidRPr="00D16A39" w:rsidRDefault="00320735" w:rsidP="00382074">
                  <w:pPr>
                    <w:pStyle w:val="TableBodyText"/>
                    <w:jc w:val="left"/>
                  </w:pPr>
                  <w:r w:rsidRPr="00D16A39">
                    <w:t>Vacation care</w:t>
                  </w:r>
                </w:p>
              </w:tc>
              <w:tc>
                <w:tcPr>
                  <w:tcW w:w="705" w:type="dxa"/>
                  <w:vAlign w:val="bottom"/>
                </w:tcPr>
                <w:p w:rsidR="00320735" w:rsidRPr="000B2E40" w:rsidRDefault="00320735" w:rsidP="000B2E40">
                  <w:pPr>
                    <w:pStyle w:val="TableBodyText"/>
                  </w:pPr>
                  <w:r w:rsidRPr="000B2E40">
                    <w:t>945</w:t>
                  </w:r>
                </w:p>
              </w:tc>
              <w:tc>
                <w:tcPr>
                  <w:tcW w:w="704" w:type="dxa"/>
                  <w:vAlign w:val="bottom"/>
                </w:tcPr>
                <w:p w:rsidR="00320735" w:rsidRPr="000B2E40" w:rsidRDefault="00320735" w:rsidP="000B2E40">
                  <w:pPr>
                    <w:pStyle w:val="TableBodyText"/>
                  </w:pPr>
                  <w:r w:rsidRPr="000B2E40">
                    <w:t>476</w:t>
                  </w:r>
                </w:p>
              </w:tc>
              <w:tc>
                <w:tcPr>
                  <w:tcW w:w="704" w:type="dxa"/>
                  <w:vAlign w:val="bottom"/>
                </w:tcPr>
                <w:p w:rsidR="00320735" w:rsidRPr="000B2E40" w:rsidRDefault="00320735" w:rsidP="000B2E40">
                  <w:pPr>
                    <w:pStyle w:val="TableBodyText"/>
                  </w:pPr>
                  <w:r w:rsidRPr="000B2E40">
                    <w:t>935</w:t>
                  </w:r>
                </w:p>
              </w:tc>
              <w:tc>
                <w:tcPr>
                  <w:tcW w:w="706" w:type="dxa"/>
                  <w:vAlign w:val="bottom"/>
                </w:tcPr>
                <w:p w:rsidR="00320735" w:rsidRPr="000B2E40" w:rsidRDefault="00320735" w:rsidP="000B2E40">
                  <w:pPr>
                    <w:pStyle w:val="TableBodyText"/>
                  </w:pPr>
                  <w:r w:rsidRPr="000B2E40">
                    <w:t>356</w:t>
                  </w:r>
                </w:p>
              </w:tc>
              <w:tc>
                <w:tcPr>
                  <w:tcW w:w="706" w:type="dxa"/>
                  <w:vAlign w:val="bottom"/>
                </w:tcPr>
                <w:p w:rsidR="00320735" w:rsidRPr="000B2E40" w:rsidRDefault="00320735" w:rsidP="000B2E40">
                  <w:pPr>
                    <w:pStyle w:val="TableBodyText"/>
                  </w:pPr>
                  <w:r w:rsidRPr="000B2E40">
                    <w:t>286</w:t>
                  </w:r>
                </w:p>
              </w:tc>
              <w:tc>
                <w:tcPr>
                  <w:tcW w:w="706" w:type="dxa"/>
                  <w:vAlign w:val="bottom"/>
                </w:tcPr>
                <w:p w:rsidR="00320735" w:rsidRPr="000B2E40" w:rsidRDefault="00320735" w:rsidP="000B2E40">
                  <w:pPr>
                    <w:pStyle w:val="TableBodyText"/>
                  </w:pPr>
                  <w:r w:rsidRPr="000B2E40">
                    <w:t>102</w:t>
                  </w:r>
                </w:p>
              </w:tc>
              <w:tc>
                <w:tcPr>
                  <w:tcW w:w="706" w:type="dxa"/>
                  <w:vAlign w:val="bottom"/>
                </w:tcPr>
                <w:p w:rsidR="00320735" w:rsidRPr="000B2E40" w:rsidRDefault="00320735" w:rsidP="000B2E40">
                  <w:pPr>
                    <w:pStyle w:val="TableBodyText"/>
                  </w:pPr>
                  <w:r w:rsidRPr="000B2E40">
                    <w:t>64</w:t>
                  </w:r>
                </w:p>
              </w:tc>
              <w:tc>
                <w:tcPr>
                  <w:tcW w:w="706" w:type="dxa"/>
                  <w:shd w:val="clear" w:color="auto" w:fill="auto"/>
                  <w:vAlign w:val="bottom"/>
                </w:tcPr>
                <w:p w:rsidR="00320735" w:rsidRPr="000B2E40" w:rsidRDefault="00320735" w:rsidP="000B2E40">
                  <w:pPr>
                    <w:pStyle w:val="TableBodyText"/>
                  </w:pPr>
                  <w:r w:rsidRPr="000B2E40">
                    <w:t>38</w:t>
                  </w:r>
                </w:p>
              </w:tc>
              <w:tc>
                <w:tcPr>
                  <w:tcW w:w="701" w:type="dxa"/>
                  <w:shd w:val="clear" w:color="auto" w:fill="auto"/>
                  <w:vAlign w:val="bottom"/>
                </w:tcPr>
                <w:p w:rsidR="00320735" w:rsidRPr="000B2E40" w:rsidRDefault="00320735" w:rsidP="000B2E40">
                  <w:pPr>
                    <w:pStyle w:val="TableBodyText"/>
                  </w:pPr>
                  <w:r w:rsidRPr="000B2E40">
                    <w:t>3</w:t>
                  </w:r>
                  <w:r w:rsidR="00F833AE">
                    <w:t> </w:t>
                  </w:r>
                  <w:r w:rsidRPr="000B2E40">
                    <w:t>202</w:t>
                  </w:r>
                </w:p>
              </w:tc>
            </w:tr>
            <w:tr w:rsidR="00320735" w:rsidRPr="00D16A39" w:rsidTr="00382074">
              <w:tc>
                <w:tcPr>
                  <w:tcW w:w="2143" w:type="dxa"/>
                  <w:gridSpan w:val="2"/>
                  <w:vAlign w:val="center"/>
                </w:tcPr>
                <w:p w:rsidR="00320735" w:rsidRPr="00D16A39" w:rsidRDefault="00320735" w:rsidP="00382074">
                  <w:pPr>
                    <w:pStyle w:val="TableBodyText"/>
                    <w:jc w:val="left"/>
                  </w:pPr>
                  <w:proofErr w:type="spellStart"/>
                  <w:r w:rsidRPr="00D16A39">
                    <w:t>OSHC</w:t>
                  </w:r>
                  <w:proofErr w:type="spellEnd"/>
                </w:p>
              </w:tc>
              <w:tc>
                <w:tcPr>
                  <w:tcW w:w="705" w:type="dxa"/>
                  <w:vAlign w:val="bottom"/>
                </w:tcPr>
                <w:p w:rsidR="00320735" w:rsidRPr="000B2E40" w:rsidRDefault="00320735" w:rsidP="000B2E40">
                  <w:pPr>
                    <w:pStyle w:val="TableBodyText"/>
                  </w:pPr>
                  <w:r w:rsidRPr="000B2E40">
                    <w:t>1</w:t>
                  </w:r>
                  <w:r w:rsidR="000B2E40">
                    <w:t xml:space="preserve"> </w:t>
                  </w:r>
                  <w:r w:rsidRPr="000B2E40">
                    <w:t>268</w:t>
                  </w:r>
                </w:p>
              </w:tc>
              <w:tc>
                <w:tcPr>
                  <w:tcW w:w="704" w:type="dxa"/>
                  <w:vAlign w:val="bottom"/>
                </w:tcPr>
                <w:p w:rsidR="00320735" w:rsidRPr="000B2E40" w:rsidRDefault="00320735" w:rsidP="000B2E40">
                  <w:pPr>
                    <w:pStyle w:val="TableBodyText"/>
                  </w:pPr>
                  <w:r w:rsidRPr="000B2E40">
                    <w:t>1</w:t>
                  </w:r>
                  <w:r w:rsidR="000B2E40">
                    <w:t xml:space="preserve"> </w:t>
                  </w:r>
                  <w:r w:rsidRPr="000B2E40">
                    <w:t>098</w:t>
                  </w:r>
                </w:p>
              </w:tc>
              <w:tc>
                <w:tcPr>
                  <w:tcW w:w="704" w:type="dxa"/>
                  <w:vAlign w:val="bottom"/>
                </w:tcPr>
                <w:p w:rsidR="00320735" w:rsidRPr="000B2E40" w:rsidRDefault="00320735" w:rsidP="000B2E40">
                  <w:pPr>
                    <w:pStyle w:val="TableBodyText"/>
                  </w:pPr>
                  <w:r w:rsidRPr="000B2E40">
                    <w:t>972</w:t>
                  </w:r>
                </w:p>
              </w:tc>
              <w:tc>
                <w:tcPr>
                  <w:tcW w:w="706" w:type="dxa"/>
                  <w:vAlign w:val="bottom"/>
                </w:tcPr>
                <w:p w:rsidR="00320735" w:rsidRPr="000B2E40" w:rsidRDefault="00320735" w:rsidP="000B2E40">
                  <w:pPr>
                    <w:pStyle w:val="TableBodyText"/>
                  </w:pPr>
                  <w:r w:rsidRPr="000B2E40">
                    <w:t>419</w:t>
                  </w:r>
                </w:p>
              </w:tc>
              <w:tc>
                <w:tcPr>
                  <w:tcW w:w="706" w:type="dxa"/>
                  <w:vAlign w:val="bottom"/>
                </w:tcPr>
                <w:p w:rsidR="00320735" w:rsidRPr="000B2E40" w:rsidRDefault="00320735" w:rsidP="000B2E40">
                  <w:pPr>
                    <w:pStyle w:val="TableBodyText"/>
                  </w:pPr>
                  <w:r w:rsidRPr="000B2E40">
                    <w:t>362</w:t>
                  </w:r>
                </w:p>
              </w:tc>
              <w:tc>
                <w:tcPr>
                  <w:tcW w:w="706" w:type="dxa"/>
                  <w:vAlign w:val="bottom"/>
                </w:tcPr>
                <w:p w:rsidR="00320735" w:rsidRPr="000B2E40" w:rsidRDefault="00320735" w:rsidP="000B2E40">
                  <w:pPr>
                    <w:pStyle w:val="TableBodyText"/>
                  </w:pPr>
                  <w:r w:rsidRPr="000B2E40">
                    <w:t>133</w:t>
                  </w:r>
                </w:p>
              </w:tc>
              <w:tc>
                <w:tcPr>
                  <w:tcW w:w="706" w:type="dxa"/>
                  <w:vAlign w:val="bottom"/>
                </w:tcPr>
                <w:p w:rsidR="00320735" w:rsidRPr="000B2E40" w:rsidRDefault="00320735" w:rsidP="000B2E40">
                  <w:pPr>
                    <w:pStyle w:val="TableBodyText"/>
                  </w:pPr>
                  <w:r w:rsidRPr="000B2E40">
                    <w:t>102</w:t>
                  </w:r>
                </w:p>
              </w:tc>
              <w:tc>
                <w:tcPr>
                  <w:tcW w:w="706" w:type="dxa"/>
                  <w:vAlign w:val="bottom"/>
                </w:tcPr>
                <w:p w:rsidR="00320735" w:rsidRPr="000B2E40" w:rsidRDefault="00320735" w:rsidP="000B2E40">
                  <w:pPr>
                    <w:pStyle w:val="TableBodyText"/>
                  </w:pPr>
                  <w:r w:rsidRPr="000B2E40">
                    <w:t>50</w:t>
                  </w:r>
                </w:p>
              </w:tc>
              <w:tc>
                <w:tcPr>
                  <w:tcW w:w="701" w:type="dxa"/>
                  <w:shd w:val="clear" w:color="auto" w:fill="auto"/>
                  <w:vAlign w:val="bottom"/>
                </w:tcPr>
                <w:p w:rsidR="00320735" w:rsidRPr="000B2E40" w:rsidRDefault="00320735" w:rsidP="000B2E40">
                  <w:pPr>
                    <w:pStyle w:val="TableBodyText"/>
                  </w:pPr>
                  <w:r w:rsidRPr="000B2E40">
                    <w:t>4</w:t>
                  </w:r>
                  <w:r w:rsidR="00F833AE">
                    <w:t> </w:t>
                  </w:r>
                  <w:r w:rsidRPr="000B2E40">
                    <w:t>404</w:t>
                  </w:r>
                </w:p>
              </w:tc>
            </w:tr>
            <w:tr w:rsidR="00320735" w:rsidRPr="00D16A39" w:rsidTr="00382074">
              <w:tc>
                <w:tcPr>
                  <w:tcW w:w="2143" w:type="dxa"/>
                  <w:gridSpan w:val="2"/>
                  <w:vAlign w:val="center"/>
                </w:tcPr>
                <w:p w:rsidR="00320735" w:rsidRPr="00D16A39" w:rsidRDefault="00320735" w:rsidP="00382074">
                  <w:pPr>
                    <w:pStyle w:val="TableBodyText"/>
                    <w:jc w:val="left"/>
                  </w:pPr>
                  <w:r>
                    <w:t>Occasional care</w:t>
                  </w:r>
                </w:p>
              </w:tc>
              <w:tc>
                <w:tcPr>
                  <w:tcW w:w="705" w:type="dxa"/>
                  <w:vAlign w:val="bottom"/>
                </w:tcPr>
                <w:p w:rsidR="00320735" w:rsidRPr="000B2E40" w:rsidRDefault="00320735" w:rsidP="000B2E40">
                  <w:pPr>
                    <w:pStyle w:val="TableBodyText"/>
                  </w:pPr>
                  <w:r w:rsidRPr="000B2E40">
                    <w:t>..</w:t>
                  </w:r>
                </w:p>
              </w:tc>
              <w:tc>
                <w:tcPr>
                  <w:tcW w:w="704" w:type="dxa"/>
                  <w:shd w:val="clear" w:color="auto" w:fill="auto"/>
                  <w:vAlign w:val="bottom"/>
                </w:tcPr>
                <w:p w:rsidR="00320735" w:rsidRPr="000B2E40" w:rsidRDefault="00320735" w:rsidP="000B2E40">
                  <w:pPr>
                    <w:pStyle w:val="TableBodyText"/>
                  </w:pPr>
                  <w:r w:rsidRPr="000B2E40">
                    <w:t>..</w:t>
                  </w:r>
                </w:p>
              </w:tc>
              <w:tc>
                <w:tcPr>
                  <w:tcW w:w="704" w:type="dxa"/>
                  <w:vAlign w:val="bottom"/>
                </w:tcPr>
                <w:p w:rsidR="00320735" w:rsidRPr="000B2E40" w:rsidRDefault="00320735" w:rsidP="000B2E40">
                  <w:pPr>
                    <w:pStyle w:val="TableBodyText"/>
                  </w:pPr>
                  <w:r w:rsidRPr="000B2E40">
                    <w:t>..</w:t>
                  </w:r>
                </w:p>
              </w:tc>
              <w:tc>
                <w:tcPr>
                  <w:tcW w:w="706" w:type="dxa"/>
                  <w:vAlign w:val="bottom"/>
                </w:tcPr>
                <w:p w:rsidR="00320735" w:rsidRPr="000B2E40" w:rsidRDefault="00320735" w:rsidP="000B2E40">
                  <w:pPr>
                    <w:pStyle w:val="TableBodyText"/>
                  </w:pPr>
                  <w:r w:rsidRPr="000B2E40">
                    <w:t>..</w:t>
                  </w:r>
                </w:p>
              </w:tc>
              <w:tc>
                <w:tcPr>
                  <w:tcW w:w="706" w:type="dxa"/>
                  <w:vAlign w:val="bottom"/>
                </w:tcPr>
                <w:p w:rsidR="00320735" w:rsidRPr="000B2E40" w:rsidRDefault="00320735" w:rsidP="000B2E40">
                  <w:pPr>
                    <w:pStyle w:val="TableBodyText"/>
                  </w:pPr>
                  <w:r w:rsidRPr="000B2E40">
                    <w:t>..</w:t>
                  </w:r>
                </w:p>
              </w:tc>
              <w:tc>
                <w:tcPr>
                  <w:tcW w:w="706" w:type="dxa"/>
                  <w:vAlign w:val="bottom"/>
                </w:tcPr>
                <w:p w:rsidR="00320735" w:rsidRPr="000B2E40" w:rsidRDefault="00320735" w:rsidP="000B2E40">
                  <w:pPr>
                    <w:pStyle w:val="TableBodyText"/>
                  </w:pPr>
                  <w:r w:rsidRPr="000B2E40">
                    <w:t>..</w:t>
                  </w:r>
                </w:p>
              </w:tc>
              <w:tc>
                <w:tcPr>
                  <w:tcW w:w="706" w:type="dxa"/>
                  <w:vAlign w:val="bottom"/>
                </w:tcPr>
                <w:p w:rsidR="00320735" w:rsidRPr="000B2E40" w:rsidRDefault="00320735" w:rsidP="000B2E40">
                  <w:pPr>
                    <w:pStyle w:val="TableBodyText"/>
                  </w:pPr>
                  <w:r w:rsidRPr="000B2E40">
                    <w:t>..</w:t>
                  </w:r>
                </w:p>
              </w:tc>
              <w:tc>
                <w:tcPr>
                  <w:tcW w:w="706" w:type="dxa"/>
                  <w:vAlign w:val="bottom"/>
                </w:tcPr>
                <w:p w:rsidR="00320735" w:rsidRPr="000B2E40" w:rsidRDefault="00320735" w:rsidP="000B2E40">
                  <w:pPr>
                    <w:pStyle w:val="TableBodyText"/>
                  </w:pPr>
                  <w:r w:rsidRPr="000B2E40">
                    <w:t>..</w:t>
                  </w:r>
                </w:p>
              </w:tc>
              <w:tc>
                <w:tcPr>
                  <w:tcW w:w="701" w:type="dxa"/>
                  <w:shd w:val="clear" w:color="auto" w:fill="auto"/>
                  <w:vAlign w:val="bottom"/>
                </w:tcPr>
                <w:p w:rsidR="00320735" w:rsidRPr="000B2E40" w:rsidRDefault="00320735" w:rsidP="000B2E40">
                  <w:pPr>
                    <w:pStyle w:val="TableBodyText"/>
                  </w:pPr>
                  <w:r w:rsidRPr="000B2E40">
                    <w:t>..</w:t>
                  </w:r>
                </w:p>
              </w:tc>
            </w:tr>
            <w:tr w:rsidR="00320735" w:rsidRPr="00D16A39" w:rsidTr="00382074">
              <w:tc>
                <w:tcPr>
                  <w:tcW w:w="2143" w:type="dxa"/>
                  <w:gridSpan w:val="2"/>
                  <w:vAlign w:val="center"/>
                </w:tcPr>
                <w:p w:rsidR="00320735" w:rsidRPr="00D16A39" w:rsidRDefault="00320735" w:rsidP="00382074">
                  <w:pPr>
                    <w:pStyle w:val="TableBodyText"/>
                    <w:jc w:val="left"/>
                  </w:pPr>
                  <w:r w:rsidRPr="00D16A39">
                    <w:t>Other care</w:t>
                  </w:r>
                </w:p>
              </w:tc>
              <w:tc>
                <w:tcPr>
                  <w:tcW w:w="705" w:type="dxa"/>
                  <w:vAlign w:val="bottom"/>
                </w:tcPr>
                <w:p w:rsidR="00320735" w:rsidRPr="000B2E40" w:rsidRDefault="00320735" w:rsidP="000B2E40">
                  <w:pPr>
                    <w:pStyle w:val="TableBodyText"/>
                  </w:pPr>
                  <w:r w:rsidRPr="000B2E40">
                    <w:t>27</w:t>
                  </w:r>
                </w:p>
              </w:tc>
              <w:tc>
                <w:tcPr>
                  <w:tcW w:w="704" w:type="dxa"/>
                  <w:shd w:val="clear" w:color="auto" w:fill="auto"/>
                  <w:vAlign w:val="bottom"/>
                </w:tcPr>
                <w:p w:rsidR="00320735" w:rsidRPr="000B2E40" w:rsidRDefault="00320735" w:rsidP="000B2E40">
                  <w:pPr>
                    <w:pStyle w:val="TableBodyText"/>
                  </w:pPr>
                  <w:r w:rsidRPr="000B2E40">
                    <w:t>148</w:t>
                  </w:r>
                </w:p>
              </w:tc>
              <w:tc>
                <w:tcPr>
                  <w:tcW w:w="704" w:type="dxa"/>
                  <w:vAlign w:val="bottom"/>
                </w:tcPr>
                <w:p w:rsidR="00320735" w:rsidRPr="000B2E40" w:rsidRDefault="00320735" w:rsidP="000B2E40">
                  <w:pPr>
                    <w:pStyle w:val="TableBodyText"/>
                  </w:pPr>
                  <w:r w:rsidRPr="000B2E40">
                    <w:t>13</w:t>
                  </w:r>
                </w:p>
              </w:tc>
              <w:tc>
                <w:tcPr>
                  <w:tcW w:w="706" w:type="dxa"/>
                  <w:vAlign w:val="bottom"/>
                </w:tcPr>
                <w:p w:rsidR="00320735" w:rsidRPr="000B2E40" w:rsidRDefault="00320735" w:rsidP="000B2E40">
                  <w:pPr>
                    <w:pStyle w:val="TableBodyText"/>
                  </w:pPr>
                  <w:r w:rsidRPr="000B2E40">
                    <w:t>24</w:t>
                  </w:r>
                </w:p>
              </w:tc>
              <w:tc>
                <w:tcPr>
                  <w:tcW w:w="706" w:type="dxa"/>
                  <w:vAlign w:val="bottom"/>
                </w:tcPr>
                <w:p w:rsidR="00320735" w:rsidRPr="000B2E40" w:rsidRDefault="00320735" w:rsidP="000B2E40">
                  <w:pPr>
                    <w:pStyle w:val="TableBodyText"/>
                  </w:pPr>
                  <w:r w:rsidRPr="000B2E40">
                    <w:t>118</w:t>
                  </w:r>
                </w:p>
              </w:tc>
              <w:tc>
                <w:tcPr>
                  <w:tcW w:w="706" w:type="dxa"/>
                  <w:vAlign w:val="bottom"/>
                </w:tcPr>
                <w:p w:rsidR="00320735" w:rsidRPr="000B2E40" w:rsidRDefault="00FF5F01" w:rsidP="000B2E40">
                  <w:pPr>
                    <w:pStyle w:val="TableBodyText"/>
                  </w:pPr>
                  <w:r>
                    <w:t>–</w:t>
                  </w:r>
                </w:p>
              </w:tc>
              <w:tc>
                <w:tcPr>
                  <w:tcW w:w="706" w:type="dxa"/>
                  <w:vAlign w:val="bottom"/>
                </w:tcPr>
                <w:p w:rsidR="00320735" w:rsidRPr="000B2E40" w:rsidRDefault="00320735" w:rsidP="000B2E40">
                  <w:pPr>
                    <w:pStyle w:val="TableBodyText"/>
                  </w:pPr>
                  <w:r w:rsidRPr="000B2E40">
                    <w:t>7</w:t>
                  </w:r>
                </w:p>
              </w:tc>
              <w:tc>
                <w:tcPr>
                  <w:tcW w:w="706" w:type="dxa"/>
                  <w:vAlign w:val="bottom"/>
                </w:tcPr>
                <w:p w:rsidR="00320735" w:rsidRPr="000B2E40" w:rsidRDefault="00320735" w:rsidP="000B2E40">
                  <w:pPr>
                    <w:pStyle w:val="TableBodyText"/>
                  </w:pPr>
                  <w:r w:rsidRPr="000B2E40">
                    <w:t>2</w:t>
                  </w:r>
                </w:p>
              </w:tc>
              <w:tc>
                <w:tcPr>
                  <w:tcW w:w="701" w:type="dxa"/>
                  <w:shd w:val="clear" w:color="auto" w:fill="auto"/>
                  <w:vAlign w:val="bottom"/>
                </w:tcPr>
                <w:p w:rsidR="00320735" w:rsidRPr="000B2E40" w:rsidRDefault="00320735" w:rsidP="000B2E40">
                  <w:pPr>
                    <w:pStyle w:val="TableBodyText"/>
                  </w:pPr>
                  <w:r w:rsidRPr="000B2E40">
                    <w:t>339</w:t>
                  </w:r>
                </w:p>
              </w:tc>
            </w:tr>
            <w:tr w:rsidR="00320735" w:rsidRPr="00D16A39" w:rsidTr="00382074">
              <w:tc>
                <w:tcPr>
                  <w:tcW w:w="2143" w:type="dxa"/>
                  <w:gridSpan w:val="2"/>
                  <w:vAlign w:val="bottom"/>
                </w:tcPr>
                <w:p w:rsidR="00320735" w:rsidRPr="00BD1A8C" w:rsidRDefault="00320735" w:rsidP="00382074">
                  <w:pPr>
                    <w:pStyle w:val="TableBodyText"/>
                    <w:jc w:val="left"/>
                  </w:pPr>
                  <w:r w:rsidRPr="00BD1A8C">
                    <w:t>Preschool</w:t>
                  </w:r>
                </w:p>
              </w:tc>
              <w:tc>
                <w:tcPr>
                  <w:tcW w:w="705" w:type="dxa"/>
                  <w:vAlign w:val="bottom"/>
                </w:tcPr>
                <w:p w:rsidR="00320735" w:rsidRPr="000B2E40" w:rsidRDefault="00320735" w:rsidP="000B2E40">
                  <w:pPr>
                    <w:pStyle w:val="TableBodyText"/>
                  </w:pPr>
                  <w:r w:rsidRPr="000B2E40">
                    <w:t>864</w:t>
                  </w:r>
                </w:p>
              </w:tc>
              <w:tc>
                <w:tcPr>
                  <w:tcW w:w="704" w:type="dxa"/>
                  <w:shd w:val="clear" w:color="auto" w:fill="auto"/>
                  <w:vAlign w:val="bottom"/>
                </w:tcPr>
                <w:p w:rsidR="00320735" w:rsidRPr="000B2E40" w:rsidRDefault="00320735" w:rsidP="000B2E40">
                  <w:pPr>
                    <w:pStyle w:val="TableBodyText"/>
                  </w:pPr>
                  <w:r w:rsidRPr="000B2E40">
                    <w:t>1</w:t>
                  </w:r>
                  <w:r w:rsidR="000B2E40">
                    <w:t xml:space="preserve"> </w:t>
                  </w:r>
                  <w:r w:rsidRPr="000B2E40">
                    <w:t>246</w:t>
                  </w:r>
                </w:p>
              </w:tc>
              <w:tc>
                <w:tcPr>
                  <w:tcW w:w="704" w:type="dxa"/>
                  <w:vAlign w:val="bottom"/>
                </w:tcPr>
                <w:p w:rsidR="00320735" w:rsidRPr="000B2E40" w:rsidRDefault="00320735" w:rsidP="000B2E40">
                  <w:pPr>
                    <w:pStyle w:val="TableBodyText"/>
                  </w:pPr>
                  <w:r w:rsidRPr="000B2E40">
                    <w:t>1</w:t>
                  </w:r>
                  <w:r w:rsidR="000B2E40">
                    <w:t xml:space="preserve"> </w:t>
                  </w:r>
                  <w:r w:rsidRPr="000B2E40">
                    <w:t>145</w:t>
                  </w:r>
                </w:p>
              </w:tc>
              <w:tc>
                <w:tcPr>
                  <w:tcW w:w="706" w:type="dxa"/>
                  <w:vAlign w:val="bottom"/>
                </w:tcPr>
                <w:p w:rsidR="00320735" w:rsidRPr="000B2E40" w:rsidRDefault="00320735" w:rsidP="000B2E40">
                  <w:pPr>
                    <w:pStyle w:val="TableBodyText"/>
                  </w:pPr>
                  <w:r w:rsidRPr="000B2E40">
                    <w:t>18</w:t>
                  </w:r>
                </w:p>
              </w:tc>
              <w:tc>
                <w:tcPr>
                  <w:tcW w:w="706" w:type="dxa"/>
                  <w:vAlign w:val="bottom"/>
                </w:tcPr>
                <w:p w:rsidR="00320735" w:rsidRPr="000B2E40" w:rsidRDefault="00320735" w:rsidP="000B2E40">
                  <w:pPr>
                    <w:pStyle w:val="TableBodyText"/>
                  </w:pPr>
                  <w:r w:rsidRPr="000B2E40">
                    <w:t>437</w:t>
                  </w:r>
                </w:p>
              </w:tc>
              <w:tc>
                <w:tcPr>
                  <w:tcW w:w="706" w:type="dxa"/>
                  <w:vAlign w:val="bottom"/>
                </w:tcPr>
                <w:p w:rsidR="00320735" w:rsidRPr="000B2E40" w:rsidRDefault="00FF5F01" w:rsidP="000B2E40">
                  <w:pPr>
                    <w:pStyle w:val="TableBodyText"/>
                  </w:pPr>
                  <w:r>
                    <w:t>–</w:t>
                  </w:r>
                </w:p>
              </w:tc>
              <w:tc>
                <w:tcPr>
                  <w:tcW w:w="706" w:type="dxa"/>
                  <w:vAlign w:val="bottom"/>
                </w:tcPr>
                <w:p w:rsidR="00320735" w:rsidRPr="000B2E40" w:rsidRDefault="00320735" w:rsidP="000B2E40">
                  <w:pPr>
                    <w:pStyle w:val="TableBodyText"/>
                  </w:pPr>
                  <w:r w:rsidRPr="000B2E40">
                    <w:t>95</w:t>
                  </w:r>
                </w:p>
              </w:tc>
              <w:tc>
                <w:tcPr>
                  <w:tcW w:w="706" w:type="dxa"/>
                  <w:vAlign w:val="bottom"/>
                </w:tcPr>
                <w:p w:rsidR="00320735" w:rsidRPr="000B2E40" w:rsidRDefault="00320735" w:rsidP="000B2E40">
                  <w:pPr>
                    <w:pStyle w:val="TableBodyText"/>
                  </w:pPr>
                  <w:r w:rsidRPr="000B2E40">
                    <w:t>85</w:t>
                  </w:r>
                </w:p>
              </w:tc>
              <w:tc>
                <w:tcPr>
                  <w:tcW w:w="701" w:type="dxa"/>
                  <w:shd w:val="clear" w:color="auto" w:fill="auto"/>
                  <w:vAlign w:val="bottom"/>
                </w:tcPr>
                <w:p w:rsidR="00320735" w:rsidRPr="000B2E40" w:rsidRDefault="00320735" w:rsidP="000B2E40">
                  <w:pPr>
                    <w:pStyle w:val="TableBodyText"/>
                  </w:pPr>
                  <w:r w:rsidRPr="000B2E40">
                    <w:t>3</w:t>
                  </w:r>
                  <w:r w:rsidR="00F833AE">
                    <w:t> </w:t>
                  </w:r>
                  <w:r w:rsidRPr="000B2E40">
                    <w:t>890</w:t>
                  </w:r>
                </w:p>
              </w:tc>
            </w:tr>
            <w:tr w:rsidR="00320735" w:rsidRPr="00D16A39" w:rsidTr="00382074">
              <w:tc>
                <w:tcPr>
                  <w:tcW w:w="2143" w:type="dxa"/>
                  <w:gridSpan w:val="2"/>
                  <w:vAlign w:val="bottom"/>
                </w:tcPr>
                <w:p w:rsidR="00320735" w:rsidRPr="00D16A39" w:rsidRDefault="00320735" w:rsidP="00382074">
                  <w:pPr>
                    <w:pStyle w:val="TableBodyText"/>
                    <w:jc w:val="left"/>
                    <w:rPr>
                      <w:b/>
                    </w:rPr>
                  </w:pPr>
                  <w:r>
                    <w:rPr>
                      <w:b/>
                    </w:rPr>
                    <w:t>Sum of service types</w:t>
                  </w:r>
                </w:p>
              </w:tc>
              <w:tc>
                <w:tcPr>
                  <w:tcW w:w="705" w:type="dxa"/>
                  <w:vAlign w:val="bottom"/>
                </w:tcPr>
                <w:p w:rsidR="00320735" w:rsidRPr="000B2E40" w:rsidRDefault="00320735" w:rsidP="000B2E40">
                  <w:pPr>
                    <w:pStyle w:val="TableBodyText"/>
                    <w:rPr>
                      <w:b/>
                    </w:rPr>
                  </w:pPr>
                  <w:r w:rsidRPr="000B2E40">
                    <w:rPr>
                      <w:b/>
                    </w:rPr>
                    <w:t>6</w:t>
                  </w:r>
                  <w:r w:rsidR="000B2E40">
                    <w:rPr>
                      <w:b/>
                    </w:rPr>
                    <w:t xml:space="preserve"> </w:t>
                  </w:r>
                  <w:r w:rsidRPr="000B2E40">
                    <w:rPr>
                      <w:b/>
                    </w:rPr>
                    <w:t>205</w:t>
                  </w:r>
                </w:p>
              </w:tc>
              <w:tc>
                <w:tcPr>
                  <w:tcW w:w="704" w:type="dxa"/>
                  <w:shd w:val="clear" w:color="auto" w:fill="auto"/>
                  <w:vAlign w:val="bottom"/>
                </w:tcPr>
                <w:p w:rsidR="00320735" w:rsidRPr="000B2E40" w:rsidRDefault="00320735" w:rsidP="000B2E40">
                  <w:pPr>
                    <w:pStyle w:val="TableBodyText"/>
                    <w:rPr>
                      <w:b/>
                    </w:rPr>
                  </w:pPr>
                  <w:r w:rsidRPr="000B2E40">
                    <w:rPr>
                      <w:b/>
                    </w:rPr>
                    <w:t>4</w:t>
                  </w:r>
                  <w:r w:rsidR="000B2E40">
                    <w:rPr>
                      <w:b/>
                    </w:rPr>
                    <w:t xml:space="preserve"> </w:t>
                  </w:r>
                  <w:r w:rsidRPr="000B2E40">
                    <w:rPr>
                      <w:b/>
                    </w:rPr>
                    <w:t>588</w:t>
                  </w:r>
                </w:p>
              </w:tc>
              <w:tc>
                <w:tcPr>
                  <w:tcW w:w="704" w:type="dxa"/>
                  <w:vAlign w:val="bottom"/>
                </w:tcPr>
                <w:p w:rsidR="00320735" w:rsidRPr="000B2E40" w:rsidRDefault="00320735" w:rsidP="000B2E40">
                  <w:pPr>
                    <w:pStyle w:val="TableBodyText"/>
                    <w:rPr>
                      <w:b/>
                    </w:rPr>
                  </w:pPr>
                  <w:r w:rsidRPr="000B2E40">
                    <w:rPr>
                      <w:b/>
                    </w:rPr>
                    <w:t>4</w:t>
                  </w:r>
                  <w:r w:rsidR="000B2E40">
                    <w:rPr>
                      <w:b/>
                    </w:rPr>
                    <w:t xml:space="preserve"> </w:t>
                  </w:r>
                  <w:r w:rsidRPr="000B2E40">
                    <w:rPr>
                      <w:b/>
                    </w:rPr>
                    <w:t>630</w:t>
                  </w:r>
                </w:p>
              </w:tc>
              <w:tc>
                <w:tcPr>
                  <w:tcW w:w="706" w:type="dxa"/>
                  <w:vAlign w:val="bottom"/>
                </w:tcPr>
                <w:p w:rsidR="00320735" w:rsidRPr="000B2E40" w:rsidRDefault="00320735" w:rsidP="000B2E40">
                  <w:pPr>
                    <w:pStyle w:val="TableBodyText"/>
                    <w:rPr>
                      <w:b/>
                    </w:rPr>
                  </w:pPr>
                  <w:r w:rsidRPr="000B2E40">
                    <w:rPr>
                      <w:b/>
                    </w:rPr>
                    <w:t>1</w:t>
                  </w:r>
                  <w:r w:rsidR="000B2E40">
                    <w:rPr>
                      <w:b/>
                    </w:rPr>
                    <w:t xml:space="preserve"> </w:t>
                  </w:r>
                  <w:r w:rsidRPr="000B2E40">
                    <w:rPr>
                      <w:b/>
                    </w:rPr>
                    <w:t>514</w:t>
                  </w:r>
                </w:p>
              </w:tc>
              <w:tc>
                <w:tcPr>
                  <w:tcW w:w="706" w:type="dxa"/>
                  <w:vAlign w:val="bottom"/>
                </w:tcPr>
                <w:p w:rsidR="00320735" w:rsidRPr="000B2E40" w:rsidRDefault="00320735" w:rsidP="000B2E40">
                  <w:pPr>
                    <w:pStyle w:val="TableBodyText"/>
                    <w:rPr>
                      <w:b/>
                    </w:rPr>
                  </w:pPr>
                  <w:r w:rsidRPr="000B2E40">
                    <w:rPr>
                      <w:b/>
                    </w:rPr>
                    <w:t>1</w:t>
                  </w:r>
                  <w:r w:rsidR="000B2E40">
                    <w:rPr>
                      <w:b/>
                    </w:rPr>
                    <w:t xml:space="preserve"> </w:t>
                  </w:r>
                  <w:r w:rsidRPr="000B2E40">
                    <w:rPr>
                      <w:b/>
                    </w:rPr>
                    <w:t>563</w:t>
                  </w:r>
                </w:p>
              </w:tc>
              <w:tc>
                <w:tcPr>
                  <w:tcW w:w="706" w:type="dxa"/>
                  <w:vAlign w:val="bottom"/>
                </w:tcPr>
                <w:p w:rsidR="00320735" w:rsidRPr="000B2E40" w:rsidRDefault="00320735" w:rsidP="000B2E40">
                  <w:pPr>
                    <w:pStyle w:val="TableBodyText"/>
                    <w:rPr>
                      <w:b/>
                    </w:rPr>
                  </w:pPr>
                  <w:r w:rsidRPr="000B2E40">
                    <w:rPr>
                      <w:b/>
                    </w:rPr>
                    <w:t>363</w:t>
                  </w:r>
                </w:p>
              </w:tc>
              <w:tc>
                <w:tcPr>
                  <w:tcW w:w="706" w:type="dxa"/>
                  <w:vAlign w:val="bottom"/>
                </w:tcPr>
                <w:p w:rsidR="00320735" w:rsidRPr="000B2E40" w:rsidRDefault="00320735" w:rsidP="000B2E40">
                  <w:pPr>
                    <w:pStyle w:val="TableBodyText"/>
                    <w:rPr>
                      <w:b/>
                    </w:rPr>
                  </w:pPr>
                  <w:r w:rsidRPr="000B2E40">
                    <w:rPr>
                      <w:b/>
                    </w:rPr>
                    <w:t>415</w:t>
                  </w:r>
                </w:p>
              </w:tc>
              <w:tc>
                <w:tcPr>
                  <w:tcW w:w="706" w:type="dxa"/>
                  <w:vAlign w:val="bottom"/>
                </w:tcPr>
                <w:p w:rsidR="00320735" w:rsidRPr="000B2E40" w:rsidRDefault="00320735" w:rsidP="000B2E40">
                  <w:pPr>
                    <w:pStyle w:val="TableBodyText"/>
                    <w:rPr>
                      <w:b/>
                    </w:rPr>
                  </w:pPr>
                  <w:r w:rsidRPr="000B2E40">
                    <w:rPr>
                      <w:b/>
                    </w:rPr>
                    <w:t>257</w:t>
                  </w:r>
                </w:p>
              </w:tc>
              <w:tc>
                <w:tcPr>
                  <w:tcW w:w="701" w:type="dxa"/>
                  <w:shd w:val="clear" w:color="auto" w:fill="auto"/>
                  <w:vAlign w:val="bottom"/>
                </w:tcPr>
                <w:p w:rsidR="00320735" w:rsidRPr="000B2E40" w:rsidRDefault="00320735" w:rsidP="000B2E40">
                  <w:pPr>
                    <w:pStyle w:val="TableBodyText"/>
                    <w:rPr>
                      <w:b/>
                    </w:rPr>
                  </w:pPr>
                  <w:r w:rsidRPr="000B2E40">
                    <w:rPr>
                      <w:b/>
                    </w:rPr>
                    <w:t>19</w:t>
                  </w:r>
                  <w:r w:rsidR="000B2E40">
                    <w:rPr>
                      <w:b/>
                    </w:rPr>
                    <w:t xml:space="preserve"> </w:t>
                  </w:r>
                  <w:r w:rsidRPr="000B2E40">
                    <w:rPr>
                      <w:b/>
                    </w:rPr>
                    <w:t>535</w:t>
                  </w:r>
                </w:p>
              </w:tc>
            </w:tr>
            <w:tr w:rsidR="00320735" w:rsidRPr="00D16A39" w:rsidTr="00382074">
              <w:tc>
                <w:tcPr>
                  <w:tcW w:w="2143" w:type="dxa"/>
                  <w:gridSpan w:val="2"/>
                  <w:tcBorders>
                    <w:bottom w:val="single" w:sz="6" w:space="0" w:color="BFBFBF"/>
                  </w:tcBorders>
                  <w:vAlign w:val="bottom"/>
                </w:tcPr>
                <w:p w:rsidR="00320735" w:rsidRPr="00D16A39" w:rsidRDefault="00320735" w:rsidP="00382074">
                  <w:pPr>
                    <w:pStyle w:val="TableBodyText"/>
                    <w:jc w:val="left"/>
                    <w:rPr>
                      <w:b/>
                    </w:rPr>
                  </w:pPr>
                  <w:r w:rsidRPr="00D16A39">
                    <w:rPr>
                      <w:b/>
                    </w:rPr>
                    <w:t xml:space="preserve">Total </w:t>
                  </w:r>
                  <w:r w:rsidR="00BE6DA7">
                    <w:rPr>
                      <w:b/>
                    </w:rPr>
                    <w:t xml:space="preserve">individual </w:t>
                  </w:r>
                  <w:proofErr w:type="spellStart"/>
                  <w:r w:rsidR="00FF5F01">
                    <w:rPr>
                      <w:b/>
                    </w:rPr>
                    <w:t>ECEC</w:t>
                  </w:r>
                  <w:proofErr w:type="spellEnd"/>
                  <w:r w:rsidR="00FF5F01">
                    <w:rPr>
                      <w:b/>
                    </w:rPr>
                    <w:t xml:space="preserve"> </w:t>
                  </w:r>
                  <w:r>
                    <w:rPr>
                      <w:b/>
                    </w:rPr>
                    <w:t>services</w:t>
                  </w:r>
                </w:p>
              </w:tc>
              <w:tc>
                <w:tcPr>
                  <w:tcW w:w="705" w:type="dxa"/>
                  <w:tcBorders>
                    <w:bottom w:val="single" w:sz="6" w:space="0" w:color="BFBFBF"/>
                  </w:tcBorders>
                  <w:vAlign w:val="bottom"/>
                </w:tcPr>
                <w:p w:rsidR="00320735" w:rsidRPr="000B2E40" w:rsidRDefault="00320735" w:rsidP="000B2E40">
                  <w:pPr>
                    <w:pStyle w:val="TableBodyText"/>
                    <w:rPr>
                      <w:b/>
                    </w:rPr>
                  </w:pPr>
                  <w:r w:rsidRPr="000B2E40">
                    <w:rPr>
                      <w:b/>
                    </w:rPr>
                    <w:t>5</w:t>
                  </w:r>
                  <w:r w:rsidR="000B2E40">
                    <w:rPr>
                      <w:b/>
                    </w:rPr>
                    <w:t xml:space="preserve"> </w:t>
                  </w:r>
                  <w:r w:rsidRPr="000B2E40">
                    <w:rPr>
                      <w:b/>
                    </w:rPr>
                    <w:t>104</w:t>
                  </w:r>
                </w:p>
              </w:tc>
              <w:tc>
                <w:tcPr>
                  <w:tcW w:w="704" w:type="dxa"/>
                  <w:tcBorders>
                    <w:bottom w:val="single" w:sz="6" w:space="0" w:color="BFBFBF"/>
                  </w:tcBorders>
                  <w:shd w:val="clear" w:color="auto" w:fill="auto"/>
                  <w:vAlign w:val="bottom"/>
                </w:tcPr>
                <w:p w:rsidR="00320735" w:rsidRPr="000B2E40" w:rsidRDefault="00320735" w:rsidP="000B2E40">
                  <w:pPr>
                    <w:pStyle w:val="TableBodyText"/>
                    <w:rPr>
                      <w:b/>
                    </w:rPr>
                  </w:pPr>
                  <w:r w:rsidRPr="000B2E40">
                    <w:rPr>
                      <w:b/>
                    </w:rPr>
                    <w:t>3</w:t>
                  </w:r>
                  <w:r w:rsidR="000B2E40">
                    <w:rPr>
                      <w:b/>
                    </w:rPr>
                    <w:t xml:space="preserve"> </w:t>
                  </w:r>
                  <w:r w:rsidRPr="000B2E40">
                    <w:rPr>
                      <w:b/>
                    </w:rPr>
                    <w:t>977</w:t>
                  </w:r>
                </w:p>
              </w:tc>
              <w:tc>
                <w:tcPr>
                  <w:tcW w:w="704" w:type="dxa"/>
                  <w:tcBorders>
                    <w:bottom w:val="single" w:sz="6" w:space="0" w:color="BFBFBF"/>
                  </w:tcBorders>
                  <w:vAlign w:val="bottom"/>
                </w:tcPr>
                <w:p w:rsidR="00320735" w:rsidRPr="000B2E40" w:rsidRDefault="00320735" w:rsidP="000B2E40">
                  <w:pPr>
                    <w:pStyle w:val="TableBodyText"/>
                    <w:rPr>
                      <w:b/>
                    </w:rPr>
                  </w:pPr>
                  <w:r w:rsidRPr="000B2E40">
                    <w:rPr>
                      <w:b/>
                    </w:rPr>
                    <w:t>2</w:t>
                  </w:r>
                  <w:r w:rsidR="000B2E40">
                    <w:rPr>
                      <w:b/>
                    </w:rPr>
                    <w:t xml:space="preserve"> </w:t>
                  </w:r>
                  <w:r w:rsidRPr="000B2E40">
                    <w:rPr>
                      <w:b/>
                    </w:rPr>
                    <w:t>790</w:t>
                  </w:r>
                </w:p>
              </w:tc>
              <w:tc>
                <w:tcPr>
                  <w:tcW w:w="706" w:type="dxa"/>
                  <w:tcBorders>
                    <w:bottom w:val="single" w:sz="6" w:space="0" w:color="BFBFBF"/>
                  </w:tcBorders>
                  <w:vAlign w:val="bottom"/>
                </w:tcPr>
                <w:p w:rsidR="00320735" w:rsidRPr="000B2E40" w:rsidRDefault="00320735" w:rsidP="000B2E40">
                  <w:pPr>
                    <w:pStyle w:val="TableBodyText"/>
                    <w:rPr>
                      <w:b/>
                    </w:rPr>
                  </w:pPr>
                  <w:r w:rsidRPr="000B2E40">
                    <w:rPr>
                      <w:b/>
                    </w:rPr>
                    <w:t>1</w:t>
                  </w:r>
                  <w:r w:rsidR="000B2E40">
                    <w:rPr>
                      <w:b/>
                    </w:rPr>
                    <w:t xml:space="preserve"> </w:t>
                  </w:r>
                  <w:r w:rsidRPr="000B2E40">
                    <w:rPr>
                      <w:b/>
                    </w:rPr>
                    <w:t>104</w:t>
                  </w:r>
                </w:p>
              </w:tc>
              <w:tc>
                <w:tcPr>
                  <w:tcW w:w="706" w:type="dxa"/>
                  <w:tcBorders>
                    <w:bottom w:val="single" w:sz="6" w:space="0" w:color="BFBFBF"/>
                  </w:tcBorders>
                  <w:vAlign w:val="bottom"/>
                </w:tcPr>
                <w:p w:rsidR="00320735" w:rsidRPr="000B2E40" w:rsidRDefault="00320735" w:rsidP="000B2E40">
                  <w:pPr>
                    <w:pStyle w:val="TableBodyText"/>
                    <w:rPr>
                      <w:b/>
                    </w:rPr>
                  </w:pPr>
                  <w:r w:rsidRPr="000B2E40">
                    <w:rPr>
                      <w:b/>
                    </w:rPr>
                    <w:t>1</w:t>
                  </w:r>
                  <w:r w:rsidR="000B2E40">
                    <w:rPr>
                      <w:b/>
                    </w:rPr>
                    <w:t xml:space="preserve"> </w:t>
                  </w:r>
                  <w:r w:rsidRPr="000B2E40">
                    <w:rPr>
                      <w:b/>
                    </w:rPr>
                    <w:t>153</w:t>
                  </w:r>
                </w:p>
              </w:tc>
              <w:tc>
                <w:tcPr>
                  <w:tcW w:w="706" w:type="dxa"/>
                  <w:tcBorders>
                    <w:bottom w:val="single" w:sz="6" w:space="0" w:color="BFBFBF"/>
                  </w:tcBorders>
                  <w:vAlign w:val="bottom"/>
                </w:tcPr>
                <w:p w:rsidR="00320735" w:rsidRPr="000B2E40" w:rsidRDefault="00320735" w:rsidP="000B2E40">
                  <w:pPr>
                    <w:pStyle w:val="TableBodyText"/>
                    <w:rPr>
                      <w:b/>
                    </w:rPr>
                  </w:pPr>
                  <w:r w:rsidRPr="000B2E40">
                    <w:rPr>
                      <w:b/>
                    </w:rPr>
                    <w:t>222</w:t>
                  </w:r>
                </w:p>
              </w:tc>
              <w:tc>
                <w:tcPr>
                  <w:tcW w:w="706" w:type="dxa"/>
                  <w:tcBorders>
                    <w:bottom w:val="single" w:sz="6" w:space="0" w:color="BFBFBF"/>
                  </w:tcBorders>
                  <w:vAlign w:val="bottom"/>
                </w:tcPr>
                <w:p w:rsidR="00320735" w:rsidRPr="000B2E40" w:rsidRDefault="00320735" w:rsidP="000B2E40">
                  <w:pPr>
                    <w:pStyle w:val="TableBodyText"/>
                    <w:rPr>
                      <w:b/>
                    </w:rPr>
                  </w:pPr>
                  <w:r w:rsidRPr="000B2E40">
                    <w:rPr>
                      <w:b/>
                    </w:rPr>
                    <w:t>341</w:t>
                  </w:r>
                </w:p>
              </w:tc>
              <w:tc>
                <w:tcPr>
                  <w:tcW w:w="706" w:type="dxa"/>
                  <w:tcBorders>
                    <w:bottom w:val="single" w:sz="6" w:space="0" w:color="BFBFBF"/>
                  </w:tcBorders>
                  <w:vAlign w:val="bottom"/>
                </w:tcPr>
                <w:p w:rsidR="00320735" w:rsidRPr="000B2E40" w:rsidRDefault="00320735" w:rsidP="000B2E40">
                  <w:pPr>
                    <w:pStyle w:val="TableBodyText"/>
                    <w:rPr>
                      <w:b/>
                    </w:rPr>
                  </w:pPr>
                  <w:r w:rsidRPr="000B2E40">
                    <w:rPr>
                      <w:b/>
                    </w:rPr>
                    <w:t>219</w:t>
                  </w:r>
                </w:p>
              </w:tc>
              <w:tc>
                <w:tcPr>
                  <w:tcW w:w="701" w:type="dxa"/>
                  <w:tcBorders>
                    <w:bottom w:val="single" w:sz="6" w:space="0" w:color="BFBFBF"/>
                  </w:tcBorders>
                  <w:shd w:val="clear" w:color="auto" w:fill="auto"/>
                  <w:vAlign w:val="bottom"/>
                </w:tcPr>
                <w:p w:rsidR="00320735" w:rsidRPr="000B2E40" w:rsidRDefault="00320735" w:rsidP="000B2E40">
                  <w:pPr>
                    <w:pStyle w:val="TableBodyText"/>
                    <w:rPr>
                      <w:b/>
                    </w:rPr>
                  </w:pPr>
                  <w:r w:rsidRPr="000B2E40">
                    <w:rPr>
                      <w:b/>
                    </w:rPr>
                    <w:t>14</w:t>
                  </w:r>
                  <w:r w:rsidR="000B2E40">
                    <w:rPr>
                      <w:b/>
                    </w:rPr>
                    <w:t xml:space="preserve"> </w:t>
                  </w:r>
                  <w:r w:rsidRPr="000B2E40">
                    <w:rPr>
                      <w:b/>
                    </w:rPr>
                    <w:t>910</w:t>
                  </w:r>
                </w:p>
              </w:tc>
            </w:tr>
          </w:tbl>
          <w:p w:rsidR="00F70955" w:rsidRDefault="00F70955" w:rsidP="00F70955">
            <w:pPr>
              <w:pStyle w:val="Box"/>
            </w:pPr>
          </w:p>
        </w:tc>
      </w:tr>
      <w:tr w:rsidR="00F70955" w:rsidRPr="0055030A" w:rsidTr="00F70955">
        <w:trPr>
          <w:cantSplit/>
        </w:trPr>
        <w:tc>
          <w:tcPr>
            <w:tcW w:w="8771" w:type="dxa"/>
            <w:tcBorders>
              <w:top w:val="nil"/>
              <w:left w:val="nil"/>
              <w:bottom w:val="nil"/>
              <w:right w:val="nil"/>
            </w:tcBorders>
            <w:shd w:val="clear" w:color="auto" w:fill="auto"/>
          </w:tcPr>
          <w:p w:rsidR="00F70955" w:rsidRPr="0055030A" w:rsidRDefault="00F70955" w:rsidP="00814D3F">
            <w:pPr>
              <w:pStyle w:val="Note"/>
            </w:pPr>
            <w:r w:rsidRPr="00FF5F01">
              <w:rPr>
                <w:rStyle w:val="NoteLabel"/>
              </w:rPr>
              <w:t>a</w:t>
            </w:r>
            <w:r w:rsidR="00814D3F">
              <w:t xml:space="preserve"> </w:t>
            </w:r>
            <w:r w:rsidR="006853DC">
              <w:t>See table</w:t>
            </w:r>
            <w:r w:rsidR="00697D43">
              <w:t> </w:t>
            </w:r>
            <w:proofErr w:type="spellStart"/>
            <w:r w:rsidR="006853DC">
              <w:t>3A.10</w:t>
            </w:r>
            <w:proofErr w:type="spellEnd"/>
            <w:r w:rsidR="006853DC" w:rsidRPr="006853DC">
              <w:t xml:space="preserve"> for detailed </w:t>
            </w:r>
            <w:r w:rsidR="00485709">
              <w:t xml:space="preserve">footnotes and </w:t>
            </w:r>
            <w:r w:rsidR="006853DC" w:rsidRPr="006853DC">
              <w:t>caveats</w:t>
            </w:r>
            <w:r w:rsidR="006853DC">
              <w:t>.</w:t>
            </w:r>
            <w:r w:rsidR="00C60012">
              <w:t xml:space="preserve"> </w:t>
            </w:r>
            <w:r w:rsidRPr="00FF5F01">
              <w:t xml:space="preserve">.. Not applicable. </w:t>
            </w:r>
            <w:r w:rsidR="00FF5F01" w:rsidRPr="00FF5F01">
              <w:t>– Nil or rounded to zero.</w:t>
            </w:r>
          </w:p>
        </w:tc>
      </w:tr>
      <w:tr w:rsidR="00F70955" w:rsidTr="00F70955">
        <w:trPr>
          <w:cantSplit/>
        </w:trPr>
        <w:tc>
          <w:tcPr>
            <w:tcW w:w="8771" w:type="dxa"/>
            <w:tcBorders>
              <w:top w:val="nil"/>
              <w:left w:val="nil"/>
              <w:bottom w:val="nil"/>
              <w:right w:val="nil"/>
            </w:tcBorders>
            <w:shd w:val="clear" w:color="auto" w:fill="auto"/>
          </w:tcPr>
          <w:p w:rsidR="00F70955" w:rsidRDefault="00F70955" w:rsidP="00F70955">
            <w:pPr>
              <w:pStyle w:val="Source"/>
            </w:pPr>
            <w:r>
              <w:rPr>
                <w:i/>
              </w:rPr>
              <w:t>Source</w:t>
            </w:r>
            <w:r w:rsidRPr="00167F06">
              <w:t xml:space="preserve">: </w:t>
            </w:r>
            <w:proofErr w:type="spellStart"/>
            <w:r>
              <w:t>ACECQA</w:t>
            </w:r>
            <w:proofErr w:type="spellEnd"/>
            <w:r>
              <w:t xml:space="preserve"> </w:t>
            </w:r>
            <w:proofErr w:type="spellStart"/>
            <w:r w:rsidR="00A12A73">
              <w:t>N</w:t>
            </w:r>
            <w:r w:rsidR="002B57D2">
              <w:t>QAITS</w:t>
            </w:r>
            <w:proofErr w:type="spellEnd"/>
            <w:r w:rsidR="002B57D2">
              <w:t xml:space="preserve"> (unpublished); table</w:t>
            </w:r>
            <w:r w:rsidR="00697D43">
              <w:t> </w:t>
            </w:r>
            <w:proofErr w:type="spellStart"/>
            <w:r w:rsidR="002B57D2">
              <w:t>3A.10</w:t>
            </w:r>
            <w:proofErr w:type="spellEnd"/>
            <w:r>
              <w:t>.</w:t>
            </w:r>
          </w:p>
        </w:tc>
      </w:tr>
      <w:tr w:rsidR="00F70955" w:rsidTr="00F70955">
        <w:trPr>
          <w:cantSplit/>
        </w:trPr>
        <w:tc>
          <w:tcPr>
            <w:tcW w:w="8771" w:type="dxa"/>
            <w:tcBorders>
              <w:top w:val="nil"/>
              <w:left w:val="nil"/>
              <w:bottom w:val="single" w:sz="6" w:space="0" w:color="78A22F"/>
              <w:right w:val="nil"/>
            </w:tcBorders>
            <w:shd w:val="clear" w:color="auto" w:fill="auto"/>
          </w:tcPr>
          <w:p w:rsidR="00F70955" w:rsidRDefault="00F70955" w:rsidP="00F70955">
            <w:pPr>
              <w:pStyle w:val="Box"/>
              <w:spacing w:before="0" w:line="120" w:lineRule="exact"/>
            </w:pPr>
          </w:p>
        </w:tc>
      </w:tr>
      <w:tr w:rsidR="00F70955" w:rsidRPr="00626D32" w:rsidTr="00F70955">
        <w:tc>
          <w:tcPr>
            <w:tcW w:w="8771" w:type="dxa"/>
            <w:tcBorders>
              <w:top w:val="single" w:sz="6" w:space="0" w:color="78A22F"/>
              <w:left w:val="nil"/>
              <w:bottom w:val="nil"/>
              <w:right w:val="nil"/>
            </w:tcBorders>
          </w:tcPr>
          <w:p w:rsidR="00F70955" w:rsidRPr="00626D32" w:rsidRDefault="00F70955" w:rsidP="00F70955">
            <w:pPr>
              <w:pStyle w:val="BoxSpaceBelow"/>
            </w:pPr>
          </w:p>
        </w:tc>
      </w:tr>
    </w:tbl>
    <w:p w:rsidR="00F70955" w:rsidRDefault="00F70955" w:rsidP="00F70955">
      <w:pPr>
        <w:pStyle w:val="Heading4"/>
      </w:pPr>
      <w:r>
        <w:t xml:space="preserve">State and Territory government licensed or registered </w:t>
      </w:r>
      <w:proofErr w:type="spellStart"/>
      <w:r>
        <w:t>ECEC</w:t>
      </w:r>
      <w:proofErr w:type="spellEnd"/>
      <w:r>
        <w:t xml:space="preserve"> services</w:t>
      </w:r>
    </w:p>
    <w:p w:rsidR="00F70955" w:rsidRDefault="00F70955" w:rsidP="00F70955">
      <w:pPr>
        <w:pStyle w:val="BodyText"/>
      </w:pPr>
      <w:r>
        <w:t xml:space="preserve">A small number of </w:t>
      </w:r>
      <w:proofErr w:type="spellStart"/>
      <w:r>
        <w:t>ECEC</w:t>
      </w:r>
      <w:proofErr w:type="spellEnd"/>
      <w:r>
        <w:t xml:space="preserve"> services also exist which State and Territory governments license or register to operate, but are not a</w:t>
      </w:r>
      <w:r w:rsidR="00BF4CE7">
        <w:t xml:space="preserve">pproved under the </w:t>
      </w:r>
      <w:proofErr w:type="spellStart"/>
      <w:r w:rsidR="00BF4CE7">
        <w:t>NQF</w:t>
      </w:r>
      <w:proofErr w:type="spellEnd"/>
      <w:r w:rsidR="00BF4CE7">
        <w:t xml:space="preserve"> (table</w:t>
      </w:r>
      <w:r w:rsidR="00697D43">
        <w:t> </w:t>
      </w:r>
      <w:r w:rsidR="00BF4CE7">
        <w:t>3.6</w:t>
      </w:r>
      <w:r>
        <w:t>).</w:t>
      </w:r>
    </w:p>
    <w:p w:rsidR="00F70955" w:rsidRDefault="00F70955" w:rsidP="00F70955">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8771"/>
      </w:tblGrid>
      <w:tr w:rsidR="00F70955" w:rsidRPr="00784A05" w:rsidTr="00F70955">
        <w:tc>
          <w:tcPr>
            <w:tcW w:w="8771" w:type="dxa"/>
            <w:tcBorders>
              <w:top w:val="single" w:sz="6" w:space="0" w:color="78A22F"/>
              <w:left w:val="nil"/>
              <w:bottom w:val="nil"/>
              <w:right w:val="nil"/>
            </w:tcBorders>
            <w:shd w:val="clear" w:color="auto" w:fill="auto"/>
          </w:tcPr>
          <w:p w:rsidR="00F70955" w:rsidRPr="00784A05" w:rsidRDefault="00F70955" w:rsidP="00F70955">
            <w:pPr>
              <w:pStyle w:val="TableTitle"/>
            </w:pPr>
            <w:r>
              <w:rPr>
                <w:b w:val="0"/>
              </w:rPr>
              <w:t>Table 3.</w:t>
            </w:r>
            <w:r w:rsidR="00BF4CE7">
              <w:rPr>
                <w:b w:val="0"/>
              </w:rPr>
              <w:t>6</w:t>
            </w:r>
            <w:r>
              <w:tab/>
              <w:t xml:space="preserve">Number of State and Territory government licensed or registered </w:t>
            </w:r>
            <w:proofErr w:type="spellStart"/>
            <w:r>
              <w:t>ECEC</w:t>
            </w:r>
            <w:proofErr w:type="spellEnd"/>
            <w:r>
              <w:t xml:space="preserve"> services, by service type, 30</w:t>
            </w:r>
            <w:r w:rsidR="002D438E">
              <w:t> </w:t>
            </w:r>
            <w:r>
              <w:t>June 2015</w:t>
            </w:r>
            <w:r w:rsidRPr="0055030A">
              <w:rPr>
                <w:rStyle w:val="NoteLabel"/>
                <w:b/>
              </w:rPr>
              <w:t>a</w:t>
            </w:r>
          </w:p>
        </w:tc>
      </w:tr>
      <w:tr w:rsidR="00F70955" w:rsidTr="00F70955">
        <w:trPr>
          <w:cantSplit/>
        </w:trPr>
        <w:tc>
          <w:tcPr>
            <w:tcW w:w="8771" w:type="dxa"/>
            <w:tcBorders>
              <w:top w:val="nil"/>
              <w:left w:val="nil"/>
              <w:bottom w:val="nil"/>
              <w:right w:val="nil"/>
            </w:tcBorders>
            <w:shd w:val="clear" w:color="auto" w:fill="auto"/>
          </w:tcPr>
          <w:tbl>
            <w:tblPr>
              <w:tblW w:w="5000" w:type="pct"/>
              <w:tblCellMar>
                <w:left w:w="0" w:type="dxa"/>
                <w:right w:w="0" w:type="dxa"/>
              </w:tblCellMar>
              <w:tblLook w:val="0000" w:firstRow="0" w:lastRow="0" w:firstColumn="0" w:lastColumn="0" w:noHBand="0" w:noVBand="0"/>
            </w:tblPr>
            <w:tblGrid>
              <w:gridCol w:w="1488"/>
              <w:gridCol w:w="702"/>
              <w:gridCol w:w="821"/>
              <w:gridCol w:w="820"/>
              <w:gridCol w:w="822"/>
              <w:gridCol w:w="686"/>
              <w:gridCol w:w="822"/>
              <w:gridCol w:w="822"/>
              <w:gridCol w:w="682"/>
              <w:gridCol w:w="822"/>
            </w:tblGrid>
            <w:tr w:rsidR="00F70955" w:rsidRPr="004C2A64" w:rsidTr="00F70955">
              <w:tc>
                <w:tcPr>
                  <w:tcW w:w="877" w:type="pct"/>
                  <w:tcBorders>
                    <w:top w:val="single" w:sz="6" w:space="0" w:color="BFBFBF"/>
                    <w:bottom w:val="single" w:sz="6" w:space="0" w:color="BFBFBF"/>
                  </w:tcBorders>
                  <w:shd w:val="clear" w:color="auto" w:fill="auto"/>
                </w:tcPr>
                <w:p w:rsidR="00F70955" w:rsidRDefault="00F70955" w:rsidP="00F70955">
                  <w:pPr>
                    <w:pStyle w:val="TableColumnHeading"/>
                    <w:jc w:val="left"/>
                  </w:pPr>
                </w:p>
              </w:tc>
              <w:tc>
                <w:tcPr>
                  <w:tcW w:w="414" w:type="pct"/>
                  <w:tcBorders>
                    <w:top w:val="single" w:sz="6" w:space="0" w:color="BFBFBF"/>
                    <w:bottom w:val="single" w:sz="6" w:space="0" w:color="BFBFBF"/>
                  </w:tcBorders>
                  <w:shd w:val="clear" w:color="auto" w:fill="auto"/>
                </w:tcPr>
                <w:p w:rsidR="00F70955" w:rsidRPr="00D16A39" w:rsidRDefault="00F70955" w:rsidP="00F70955">
                  <w:pPr>
                    <w:pStyle w:val="TableColumnHeading"/>
                  </w:pPr>
                  <w:r w:rsidRPr="00D16A39">
                    <w:t>NSW</w:t>
                  </w:r>
                </w:p>
              </w:tc>
              <w:tc>
                <w:tcPr>
                  <w:tcW w:w="484" w:type="pct"/>
                  <w:tcBorders>
                    <w:top w:val="single" w:sz="6" w:space="0" w:color="BFBFBF"/>
                    <w:bottom w:val="single" w:sz="6" w:space="0" w:color="BFBFBF"/>
                  </w:tcBorders>
                </w:tcPr>
                <w:p w:rsidR="00F70955" w:rsidRPr="00D16A39" w:rsidRDefault="00F70955" w:rsidP="00F70955">
                  <w:pPr>
                    <w:pStyle w:val="TableColumnHeading"/>
                  </w:pPr>
                  <w:r w:rsidRPr="00D16A39">
                    <w:t>Vic</w:t>
                  </w:r>
                </w:p>
              </w:tc>
              <w:tc>
                <w:tcPr>
                  <w:tcW w:w="483" w:type="pct"/>
                  <w:tcBorders>
                    <w:top w:val="single" w:sz="6" w:space="0" w:color="BFBFBF"/>
                    <w:bottom w:val="single" w:sz="6" w:space="0" w:color="BFBFBF"/>
                  </w:tcBorders>
                </w:tcPr>
                <w:p w:rsidR="00F70955" w:rsidRPr="00D16A39" w:rsidRDefault="00F70955" w:rsidP="00F70955">
                  <w:pPr>
                    <w:pStyle w:val="TableColumnHeading"/>
                  </w:pPr>
                  <w:r w:rsidRPr="00D16A39">
                    <w:t>Qld</w:t>
                  </w:r>
                </w:p>
              </w:tc>
              <w:tc>
                <w:tcPr>
                  <w:tcW w:w="484" w:type="pct"/>
                  <w:tcBorders>
                    <w:top w:val="single" w:sz="6" w:space="0" w:color="BFBFBF"/>
                    <w:bottom w:val="single" w:sz="6" w:space="0" w:color="BFBFBF"/>
                  </w:tcBorders>
                </w:tcPr>
                <w:p w:rsidR="00F70955" w:rsidRPr="00D16A39" w:rsidRDefault="00F70955" w:rsidP="00F70955">
                  <w:pPr>
                    <w:pStyle w:val="TableColumnHeading"/>
                  </w:pPr>
                  <w:r w:rsidRPr="00D16A39">
                    <w:t>WA</w:t>
                  </w:r>
                </w:p>
              </w:tc>
              <w:tc>
                <w:tcPr>
                  <w:tcW w:w="404" w:type="pct"/>
                  <w:tcBorders>
                    <w:top w:val="single" w:sz="6" w:space="0" w:color="BFBFBF"/>
                    <w:bottom w:val="single" w:sz="6" w:space="0" w:color="BFBFBF"/>
                  </w:tcBorders>
                </w:tcPr>
                <w:p w:rsidR="00F70955" w:rsidRPr="00D16A39" w:rsidRDefault="00F70955" w:rsidP="00F70955">
                  <w:pPr>
                    <w:pStyle w:val="TableColumnHeading"/>
                  </w:pPr>
                  <w:r w:rsidRPr="00D16A39">
                    <w:t>SA</w:t>
                  </w:r>
                </w:p>
              </w:tc>
              <w:tc>
                <w:tcPr>
                  <w:tcW w:w="484" w:type="pct"/>
                  <w:tcBorders>
                    <w:top w:val="single" w:sz="6" w:space="0" w:color="BFBFBF"/>
                    <w:bottom w:val="single" w:sz="6" w:space="0" w:color="BFBFBF"/>
                  </w:tcBorders>
                </w:tcPr>
                <w:p w:rsidR="00F70955" w:rsidRPr="00D16A39" w:rsidRDefault="00F70955" w:rsidP="00F70955">
                  <w:pPr>
                    <w:pStyle w:val="TableColumnHeading"/>
                  </w:pPr>
                  <w:proofErr w:type="spellStart"/>
                  <w:r w:rsidRPr="00D16A39">
                    <w:t>Tas</w:t>
                  </w:r>
                  <w:proofErr w:type="spellEnd"/>
                </w:p>
              </w:tc>
              <w:tc>
                <w:tcPr>
                  <w:tcW w:w="484" w:type="pct"/>
                  <w:tcBorders>
                    <w:top w:val="single" w:sz="6" w:space="0" w:color="BFBFBF"/>
                    <w:bottom w:val="single" w:sz="6" w:space="0" w:color="BFBFBF"/>
                  </w:tcBorders>
                </w:tcPr>
                <w:p w:rsidR="00F70955" w:rsidRPr="00D16A39" w:rsidRDefault="00F70955" w:rsidP="00F70955">
                  <w:pPr>
                    <w:pStyle w:val="TableColumnHeading"/>
                  </w:pPr>
                  <w:r w:rsidRPr="00D16A39">
                    <w:t>ACT</w:t>
                  </w:r>
                </w:p>
              </w:tc>
              <w:tc>
                <w:tcPr>
                  <w:tcW w:w="402" w:type="pct"/>
                  <w:tcBorders>
                    <w:top w:val="single" w:sz="6" w:space="0" w:color="BFBFBF"/>
                    <w:bottom w:val="single" w:sz="6" w:space="0" w:color="BFBFBF"/>
                  </w:tcBorders>
                </w:tcPr>
                <w:p w:rsidR="00F70955" w:rsidRPr="00D16A39" w:rsidRDefault="00F70955" w:rsidP="00F70955">
                  <w:pPr>
                    <w:pStyle w:val="TableColumnHeading"/>
                  </w:pPr>
                  <w:r w:rsidRPr="00D16A39">
                    <w:t>NT</w:t>
                  </w:r>
                </w:p>
              </w:tc>
              <w:tc>
                <w:tcPr>
                  <w:tcW w:w="484" w:type="pct"/>
                  <w:tcBorders>
                    <w:top w:val="single" w:sz="6" w:space="0" w:color="BFBFBF"/>
                    <w:bottom w:val="single" w:sz="6" w:space="0" w:color="BFBFBF"/>
                  </w:tcBorders>
                  <w:shd w:val="clear" w:color="auto" w:fill="auto"/>
                </w:tcPr>
                <w:p w:rsidR="00F70955" w:rsidRPr="00D16A39" w:rsidRDefault="00F70955" w:rsidP="00F70955">
                  <w:pPr>
                    <w:pStyle w:val="TableColumnHeading"/>
                  </w:pPr>
                  <w:proofErr w:type="spellStart"/>
                  <w:r w:rsidRPr="00D16A39">
                    <w:t>Aust</w:t>
                  </w:r>
                  <w:proofErr w:type="spellEnd"/>
                </w:p>
              </w:tc>
            </w:tr>
            <w:tr w:rsidR="00172F19" w:rsidTr="00F70955">
              <w:trPr>
                <w:trHeight w:val="174"/>
              </w:trPr>
              <w:tc>
                <w:tcPr>
                  <w:tcW w:w="877" w:type="pct"/>
                  <w:tcBorders>
                    <w:top w:val="single" w:sz="6" w:space="0" w:color="BFBFBF"/>
                  </w:tcBorders>
                  <w:vAlign w:val="center"/>
                </w:tcPr>
                <w:p w:rsidR="00172F19" w:rsidRDefault="00172F19" w:rsidP="00F70955">
                  <w:pPr>
                    <w:pStyle w:val="TableUnitsRow"/>
                    <w:jc w:val="left"/>
                  </w:pPr>
                  <w:r>
                    <w:t>Long day care</w:t>
                  </w:r>
                </w:p>
              </w:tc>
              <w:tc>
                <w:tcPr>
                  <w:tcW w:w="414" w:type="pct"/>
                  <w:tcBorders>
                    <w:top w:val="single" w:sz="6" w:space="0" w:color="BFBFBF"/>
                  </w:tcBorders>
                  <w:vAlign w:val="center"/>
                </w:tcPr>
                <w:p w:rsidR="00172F19" w:rsidRPr="00CB222A" w:rsidRDefault="00172F19" w:rsidP="00CB222A">
                  <w:pPr>
                    <w:pStyle w:val="TableBodyText"/>
                  </w:pPr>
                  <w:r w:rsidRPr="00CB222A">
                    <w:t>–</w:t>
                  </w:r>
                </w:p>
              </w:tc>
              <w:tc>
                <w:tcPr>
                  <w:tcW w:w="484" w:type="pct"/>
                  <w:tcBorders>
                    <w:top w:val="single" w:sz="6" w:space="0" w:color="BFBFBF"/>
                  </w:tcBorders>
                  <w:vAlign w:val="center"/>
                </w:tcPr>
                <w:p w:rsidR="00172F19" w:rsidRPr="00CB222A" w:rsidRDefault="002D438E" w:rsidP="00CB222A">
                  <w:pPr>
                    <w:pStyle w:val="TableBodyText"/>
                  </w:pPr>
                  <w:r>
                    <w:t xml:space="preserve"> </w:t>
                  </w:r>
                  <w:r w:rsidR="00172F19" w:rsidRPr="00CB222A">
                    <w:t>28</w:t>
                  </w:r>
                </w:p>
              </w:tc>
              <w:tc>
                <w:tcPr>
                  <w:tcW w:w="483" w:type="pct"/>
                  <w:tcBorders>
                    <w:top w:val="single" w:sz="6" w:space="0" w:color="BFBFBF"/>
                  </w:tcBorders>
                  <w:vAlign w:val="center"/>
                </w:tcPr>
                <w:p w:rsidR="00172F19" w:rsidRPr="00CB222A" w:rsidRDefault="002D438E" w:rsidP="00CB222A">
                  <w:pPr>
                    <w:pStyle w:val="TableBodyText"/>
                  </w:pPr>
                  <w:r>
                    <w:t xml:space="preserve"> </w:t>
                  </w:r>
                  <w:r w:rsidR="00172F19" w:rsidRPr="00CB222A">
                    <w:t>17</w:t>
                  </w:r>
                </w:p>
              </w:tc>
              <w:tc>
                <w:tcPr>
                  <w:tcW w:w="484" w:type="pct"/>
                  <w:tcBorders>
                    <w:top w:val="single" w:sz="6" w:space="0" w:color="BFBFBF"/>
                  </w:tcBorders>
                  <w:vAlign w:val="center"/>
                </w:tcPr>
                <w:p w:rsidR="00172F19" w:rsidRPr="00CB222A" w:rsidRDefault="002D438E" w:rsidP="00CB222A">
                  <w:pPr>
                    <w:pStyle w:val="TableBodyText"/>
                  </w:pPr>
                  <w:r>
                    <w:t xml:space="preserve"> </w:t>
                  </w:r>
                  <w:r w:rsidR="00172F19" w:rsidRPr="00CB222A">
                    <w:t>13</w:t>
                  </w:r>
                </w:p>
              </w:tc>
              <w:tc>
                <w:tcPr>
                  <w:tcW w:w="404" w:type="pct"/>
                  <w:tcBorders>
                    <w:top w:val="single" w:sz="6" w:space="0" w:color="BFBFBF"/>
                  </w:tcBorders>
                  <w:vAlign w:val="center"/>
                </w:tcPr>
                <w:p w:rsidR="00172F19" w:rsidRPr="00CB222A" w:rsidRDefault="00172F19" w:rsidP="00CB222A">
                  <w:pPr>
                    <w:pStyle w:val="TableBodyText"/>
                  </w:pPr>
                  <w:r w:rsidRPr="00CB222A">
                    <w:t>..</w:t>
                  </w:r>
                </w:p>
              </w:tc>
              <w:tc>
                <w:tcPr>
                  <w:tcW w:w="484" w:type="pct"/>
                  <w:tcBorders>
                    <w:top w:val="single" w:sz="6" w:space="0" w:color="BFBFBF"/>
                  </w:tcBorders>
                  <w:vAlign w:val="center"/>
                </w:tcPr>
                <w:p w:rsidR="00172F19" w:rsidRPr="00CB222A" w:rsidRDefault="002D438E" w:rsidP="00CB222A">
                  <w:pPr>
                    <w:pStyle w:val="TableBodyText"/>
                  </w:pPr>
                  <w:r>
                    <w:t xml:space="preserve"> </w:t>
                  </w:r>
                  <w:r w:rsidR="00172F19" w:rsidRPr="00CB222A">
                    <w:t>4</w:t>
                  </w:r>
                </w:p>
              </w:tc>
              <w:tc>
                <w:tcPr>
                  <w:tcW w:w="484" w:type="pct"/>
                  <w:tcBorders>
                    <w:top w:val="single" w:sz="6" w:space="0" w:color="BFBFBF"/>
                  </w:tcBorders>
                  <w:vAlign w:val="center"/>
                </w:tcPr>
                <w:p w:rsidR="00172F19" w:rsidRPr="006B1681" w:rsidRDefault="00172F19" w:rsidP="0028258A">
                  <w:pPr>
                    <w:pStyle w:val="TableBodyText"/>
                  </w:pPr>
                  <w:r w:rsidRPr="006B1681">
                    <w:t>–</w:t>
                  </w:r>
                </w:p>
              </w:tc>
              <w:tc>
                <w:tcPr>
                  <w:tcW w:w="402" w:type="pct"/>
                  <w:tcBorders>
                    <w:top w:val="single" w:sz="6" w:space="0" w:color="BFBFBF"/>
                  </w:tcBorders>
                  <w:vAlign w:val="center"/>
                </w:tcPr>
                <w:p w:rsidR="00172F19" w:rsidRPr="006B1681" w:rsidRDefault="00B63E04" w:rsidP="00CB222A">
                  <w:pPr>
                    <w:pStyle w:val="TableBodyText"/>
                  </w:pPr>
                  <w:r w:rsidRPr="006B1681">
                    <w:t>..</w:t>
                  </w:r>
                </w:p>
              </w:tc>
              <w:tc>
                <w:tcPr>
                  <w:tcW w:w="484" w:type="pct"/>
                  <w:tcBorders>
                    <w:top w:val="single" w:sz="6" w:space="0" w:color="BFBFBF"/>
                  </w:tcBorders>
                  <w:vAlign w:val="center"/>
                </w:tcPr>
                <w:p w:rsidR="00172F19" w:rsidRPr="006B1681" w:rsidRDefault="002D438E" w:rsidP="00CB222A">
                  <w:pPr>
                    <w:pStyle w:val="TableBodyText"/>
                  </w:pPr>
                  <w:r w:rsidRPr="006B1681">
                    <w:t xml:space="preserve"> </w:t>
                  </w:r>
                  <w:r w:rsidR="00045A9A" w:rsidRPr="006B1681">
                    <w:t>62</w:t>
                  </w:r>
                </w:p>
              </w:tc>
            </w:tr>
            <w:tr w:rsidR="00172F19" w:rsidTr="00081576">
              <w:trPr>
                <w:trHeight w:val="274"/>
              </w:trPr>
              <w:tc>
                <w:tcPr>
                  <w:tcW w:w="877" w:type="pct"/>
                  <w:vAlign w:val="center"/>
                </w:tcPr>
                <w:p w:rsidR="00172F19" w:rsidRDefault="00172F19" w:rsidP="00F70955">
                  <w:pPr>
                    <w:pStyle w:val="TableBodyText"/>
                    <w:jc w:val="left"/>
                  </w:pPr>
                  <w:r>
                    <w:t>Family day care</w:t>
                  </w:r>
                </w:p>
              </w:tc>
              <w:tc>
                <w:tcPr>
                  <w:tcW w:w="414" w:type="pct"/>
                  <w:vAlign w:val="center"/>
                </w:tcPr>
                <w:p w:rsidR="00172F19" w:rsidRPr="00CB222A" w:rsidRDefault="00172F19" w:rsidP="00CB222A">
                  <w:pPr>
                    <w:pStyle w:val="TableBodyText"/>
                  </w:pPr>
                  <w:r w:rsidRPr="00CB222A">
                    <w:t>–</w:t>
                  </w:r>
                </w:p>
              </w:tc>
              <w:tc>
                <w:tcPr>
                  <w:tcW w:w="484" w:type="pct"/>
                  <w:vAlign w:val="center"/>
                </w:tcPr>
                <w:p w:rsidR="00172F19" w:rsidRPr="00CB222A" w:rsidRDefault="00172F19" w:rsidP="00CB222A">
                  <w:pPr>
                    <w:pStyle w:val="TableBodyText"/>
                  </w:pPr>
                  <w:r w:rsidRPr="00CB222A">
                    <w:t>..</w:t>
                  </w:r>
                </w:p>
              </w:tc>
              <w:tc>
                <w:tcPr>
                  <w:tcW w:w="483" w:type="pct"/>
                  <w:vAlign w:val="center"/>
                </w:tcPr>
                <w:p w:rsidR="00172F19" w:rsidRPr="00CB222A" w:rsidRDefault="00172F19" w:rsidP="00CB222A">
                  <w:pPr>
                    <w:pStyle w:val="TableBodyText"/>
                  </w:pPr>
                  <w:r w:rsidRPr="00CB222A">
                    <w:t>–</w:t>
                  </w:r>
                </w:p>
              </w:tc>
              <w:tc>
                <w:tcPr>
                  <w:tcW w:w="484" w:type="pct"/>
                  <w:vAlign w:val="center"/>
                </w:tcPr>
                <w:p w:rsidR="00172F19" w:rsidRPr="00CB222A" w:rsidRDefault="00172F19" w:rsidP="00CB222A">
                  <w:pPr>
                    <w:pStyle w:val="TableBodyText"/>
                  </w:pPr>
                  <w:r w:rsidRPr="00CB222A">
                    <w:t>–</w:t>
                  </w:r>
                </w:p>
              </w:tc>
              <w:tc>
                <w:tcPr>
                  <w:tcW w:w="404" w:type="pct"/>
                  <w:vAlign w:val="center"/>
                </w:tcPr>
                <w:p w:rsidR="00172F19" w:rsidRPr="00CB222A" w:rsidRDefault="00172F19" w:rsidP="00CB222A">
                  <w:pPr>
                    <w:pStyle w:val="TableBodyText"/>
                  </w:pPr>
                  <w:r w:rsidRPr="00CB222A">
                    <w:t>..</w:t>
                  </w:r>
                </w:p>
              </w:tc>
              <w:tc>
                <w:tcPr>
                  <w:tcW w:w="484" w:type="pct"/>
                  <w:vAlign w:val="center"/>
                </w:tcPr>
                <w:p w:rsidR="00172F19" w:rsidRPr="00CB222A" w:rsidRDefault="00172F19" w:rsidP="00CB222A">
                  <w:pPr>
                    <w:pStyle w:val="TableBodyText"/>
                  </w:pPr>
                  <w:r w:rsidRPr="00CB222A">
                    <w:t>–</w:t>
                  </w:r>
                </w:p>
              </w:tc>
              <w:tc>
                <w:tcPr>
                  <w:tcW w:w="484" w:type="pct"/>
                  <w:vAlign w:val="center"/>
                </w:tcPr>
                <w:p w:rsidR="00172F19" w:rsidRPr="006B1681" w:rsidRDefault="00172F19" w:rsidP="0028258A">
                  <w:pPr>
                    <w:pStyle w:val="TableBodyText"/>
                  </w:pPr>
                  <w:r w:rsidRPr="006B1681">
                    <w:t>–</w:t>
                  </w:r>
                </w:p>
              </w:tc>
              <w:tc>
                <w:tcPr>
                  <w:tcW w:w="402" w:type="pct"/>
                  <w:vAlign w:val="center"/>
                </w:tcPr>
                <w:p w:rsidR="00172F19" w:rsidRPr="006B1681" w:rsidRDefault="00B63E04" w:rsidP="00CB222A">
                  <w:pPr>
                    <w:pStyle w:val="TableBodyText"/>
                  </w:pPr>
                  <w:r w:rsidRPr="006B1681">
                    <w:t>..</w:t>
                  </w:r>
                </w:p>
              </w:tc>
              <w:tc>
                <w:tcPr>
                  <w:tcW w:w="484" w:type="pct"/>
                  <w:vAlign w:val="center"/>
                </w:tcPr>
                <w:p w:rsidR="00172F19" w:rsidRPr="006B1681" w:rsidRDefault="002D438E" w:rsidP="00CB222A">
                  <w:pPr>
                    <w:pStyle w:val="TableBodyText"/>
                  </w:pPr>
                  <w:r w:rsidRPr="006B1681">
                    <w:t xml:space="preserve"> </w:t>
                  </w:r>
                  <w:r w:rsidR="005B5728" w:rsidRPr="006B1681">
                    <w:t>–</w:t>
                  </w:r>
                </w:p>
              </w:tc>
            </w:tr>
            <w:tr w:rsidR="00172F19" w:rsidTr="00F70955">
              <w:tc>
                <w:tcPr>
                  <w:tcW w:w="877" w:type="pct"/>
                  <w:vAlign w:val="center"/>
                </w:tcPr>
                <w:p w:rsidR="00172F19" w:rsidRPr="0054541A" w:rsidRDefault="00172F19" w:rsidP="00F70955">
                  <w:pPr>
                    <w:pStyle w:val="TableBodyText"/>
                    <w:jc w:val="left"/>
                  </w:pPr>
                  <w:r w:rsidRPr="0054541A">
                    <w:t>Vacation care</w:t>
                  </w:r>
                </w:p>
              </w:tc>
              <w:tc>
                <w:tcPr>
                  <w:tcW w:w="414" w:type="pct"/>
                  <w:vAlign w:val="center"/>
                </w:tcPr>
                <w:p w:rsidR="00172F19" w:rsidRPr="00CB222A" w:rsidRDefault="00172F19" w:rsidP="00CB222A">
                  <w:pPr>
                    <w:pStyle w:val="TableBodyText"/>
                  </w:pPr>
                  <w:r w:rsidRPr="00CB222A">
                    <w:t>–</w:t>
                  </w:r>
                </w:p>
              </w:tc>
              <w:tc>
                <w:tcPr>
                  <w:tcW w:w="484" w:type="pct"/>
                  <w:vAlign w:val="center"/>
                </w:tcPr>
                <w:p w:rsidR="00172F19" w:rsidRPr="00CB222A" w:rsidRDefault="002D438E" w:rsidP="00CB222A">
                  <w:pPr>
                    <w:pStyle w:val="TableBodyText"/>
                  </w:pPr>
                  <w:r>
                    <w:t xml:space="preserve"> </w:t>
                  </w:r>
                  <w:r w:rsidR="00172F19" w:rsidRPr="00CB222A">
                    <w:t>1</w:t>
                  </w:r>
                </w:p>
              </w:tc>
              <w:tc>
                <w:tcPr>
                  <w:tcW w:w="483" w:type="pct"/>
                  <w:vAlign w:val="center"/>
                </w:tcPr>
                <w:p w:rsidR="00172F19" w:rsidRPr="00CB222A" w:rsidRDefault="002D438E" w:rsidP="00CB222A">
                  <w:pPr>
                    <w:pStyle w:val="TableBodyText"/>
                  </w:pPr>
                  <w:r>
                    <w:t xml:space="preserve"> </w:t>
                  </w:r>
                  <w:r w:rsidR="00172F19" w:rsidRPr="00CB222A">
                    <w:t>11</w:t>
                  </w:r>
                </w:p>
              </w:tc>
              <w:tc>
                <w:tcPr>
                  <w:tcW w:w="484" w:type="pct"/>
                  <w:vAlign w:val="center"/>
                </w:tcPr>
                <w:p w:rsidR="00172F19" w:rsidRPr="00CB222A" w:rsidRDefault="00172F19" w:rsidP="00CB222A">
                  <w:pPr>
                    <w:pStyle w:val="TableBodyText"/>
                  </w:pPr>
                  <w:r w:rsidRPr="00CB222A">
                    <w:t>–</w:t>
                  </w:r>
                </w:p>
              </w:tc>
              <w:tc>
                <w:tcPr>
                  <w:tcW w:w="404" w:type="pct"/>
                  <w:vAlign w:val="center"/>
                </w:tcPr>
                <w:p w:rsidR="00172F19" w:rsidRPr="00CB222A" w:rsidRDefault="00172F19" w:rsidP="00CB222A">
                  <w:pPr>
                    <w:pStyle w:val="TableBodyText"/>
                  </w:pPr>
                  <w:r w:rsidRPr="00CB222A">
                    <w:t>..</w:t>
                  </w:r>
                </w:p>
              </w:tc>
              <w:tc>
                <w:tcPr>
                  <w:tcW w:w="484" w:type="pct"/>
                  <w:vAlign w:val="center"/>
                </w:tcPr>
                <w:p w:rsidR="00172F19" w:rsidRPr="00CB222A" w:rsidRDefault="002D438E" w:rsidP="00CB222A">
                  <w:pPr>
                    <w:pStyle w:val="TableBodyText"/>
                  </w:pPr>
                  <w:r>
                    <w:t xml:space="preserve"> </w:t>
                  </w:r>
                  <w:r w:rsidR="00172F19" w:rsidRPr="00CB222A">
                    <w:t>6</w:t>
                  </w:r>
                </w:p>
              </w:tc>
              <w:tc>
                <w:tcPr>
                  <w:tcW w:w="484" w:type="pct"/>
                  <w:vAlign w:val="center"/>
                </w:tcPr>
                <w:p w:rsidR="00172F19" w:rsidRPr="006B1681" w:rsidRDefault="00172F19" w:rsidP="0028258A">
                  <w:pPr>
                    <w:pStyle w:val="TableBodyText"/>
                  </w:pPr>
                  <w:r w:rsidRPr="006B1681">
                    <w:t>–</w:t>
                  </w:r>
                </w:p>
              </w:tc>
              <w:tc>
                <w:tcPr>
                  <w:tcW w:w="402" w:type="pct"/>
                  <w:vAlign w:val="center"/>
                </w:tcPr>
                <w:p w:rsidR="00172F19" w:rsidRPr="006B1681" w:rsidRDefault="00B63E04" w:rsidP="00CB222A">
                  <w:pPr>
                    <w:pStyle w:val="TableBodyText"/>
                  </w:pPr>
                  <w:r w:rsidRPr="006B1681">
                    <w:t>..</w:t>
                  </w:r>
                </w:p>
              </w:tc>
              <w:tc>
                <w:tcPr>
                  <w:tcW w:w="484" w:type="pct"/>
                  <w:vAlign w:val="center"/>
                </w:tcPr>
                <w:p w:rsidR="00172F19" w:rsidRPr="006B1681" w:rsidRDefault="002D438E" w:rsidP="00CB222A">
                  <w:pPr>
                    <w:pStyle w:val="TableBodyText"/>
                  </w:pPr>
                  <w:r w:rsidRPr="006B1681">
                    <w:t xml:space="preserve"> </w:t>
                  </w:r>
                  <w:r w:rsidR="00172F19" w:rsidRPr="006B1681">
                    <w:t>18</w:t>
                  </w:r>
                </w:p>
              </w:tc>
            </w:tr>
            <w:tr w:rsidR="00172F19" w:rsidTr="00F70955">
              <w:tc>
                <w:tcPr>
                  <w:tcW w:w="877" w:type="pct"/>
                  <w:vAlign w:val="center"/>
                </w:tcPr>
                <w:p w:rsidR="00172F19" w:rsidRPr="0054541A" w:rsidRDefault="00172F19" w:rsidP="00F70955">
                  <w:pPr>
                    <w:pStyle w:val="TableBodyText"/>
                    <w:jc w:val="left"/>
                  </w:pPr>
                  <w:proofErr w:type="spellStart"/>
                  <w:r w:rsidRPr="0054541A">
                    <w:t>OSHC</w:t>
                  </w:r>
                  <w:proofErr w:type="spellEnd"/>
                </w:p>
              </w:tc>
              <w:tc>
                <w:tcPr>
                  <w:tcW w:w="414" w:type="pct"/>
                  <w:vAlign w:val="center"/>
                </w:tcPr>
                <w:p w:rsidR="00172F19" w:rsidRPr="00CB222A" w:rsidRDefault="00172F19" w:rsidP="00CB222A">
                  <w:pPr>
                    <w:pStyle w:val="TableBodyText"/>
                  </w:pPr>
                  <w:r w:rsidRPr="00CB222A">
                    <w:t>–</w:t>
                  </w:r>
                </w:p>
              </w:tc>
              <w:tc>
                <w:tcPr>
                  <w:tcW w:w="484" w:type="pct"/>
                  <w:vAlign w:val="center"/>
                </w:tcPr>
                <w:p w:rsidR="00172F19" w:rsidRPr="00CB222A" w:rsidRDefault="00172F19" w:rsidP="00CB222A">
                  <w:pPr>
                    <w:pStyle w:val="TableBodyText"/>
                  </w:pPr>
                  <w:r w:rsidRPr="00CB222A">
                    <w:t>..</w:t>
                  </w:r>
                </w:p>
              </w:tc>
              <w:tc>
                <w:tcPr>
                  <w:tcW w:w="483" w:type="pct"/>
                  <w:vAlign w:val="center"/>
                </w:tcPr>
                <w:p w:rsidR="00172F19" w:rsidRPr="00CB222A" w:rsidRDefault="002D438E" w:rsidP="00CB222A">
                  <w:pPr>
                    <w:pStyle w:val="TableBodyText"/>
                  </w:pPr>
                  <w:r>
                    <w:t xml:space="preserve"> </w:t>
                  </w:r>
                  <w:r w:rsidR="00172F19" w:rsidRPr="00CB222A">
                    <w:t>19</w:t>
                  </w:r>
                </w:p>
              </w:tc>
              <w:tc>
                <w:tcPr>
                  <w:tcW w:w="484" w:type="pct"/>
                  <w:vAlign w:val="center"/>
                </w:tcPr>
                <w:p w:rsidR="00172F19" w:rsidRPr="00CB222A" w:rsidRDefault="00172F19" w:rsidP="00CB222A">
                  <w:pPr>
                    <w:pStyle w:val="TableBodyText"/>
                  </w:pPr>
                  <w:r w:rsidRPr="00CB222A">
                    <w:t>–</w:t>
                  </w:r>
                </w:p>
              </w:tc>
              <w:tc>
                <w:tcPr>
                  <w:tcW w:w="404" w:type="pct"/>
                  <w:vAlign w:val="center"/>
                </w:tcPr>
                <w:p w:rsidR="00172F19" w:rsidRPr="00CB222A" w:rsidRDefault="00172F19" w:rsidP="00CB222A">
                  <w:pPr>
                    <w:pStyle w:val="TableBodyText"/>
                  </w:pPr>
                  <w:r w:rsidRPr="00CB222A">
                    <w:t>..</w:t>
                  </w:r>
                </w:p>
              </w:tc>
              <w:tc>
                <w:tcPr>
                  <w:tcW w:w="484" w:type="pct"/>
                  <w:vAlign w:val="center"/>
                </w:tcPr>
                <w:p w:rsidR="00172F19" w:rsidRPr="00CB222A" w:rsidRDefault="002D438E" w:rsidP="00CB222A">
                  <w:pPr>
                    <w:pStyle w:val="TableBodyText"/>
                  </w:pPr>
                  <w:r>
                    <w:t xml:space="preserve"> </w:t>
                  </w:r>
                  <w:r w:rsidR="00172F19" w:rsidRPr="00CB222A">
                    <w:t>2</w:t>
                  </w:r>
                </w:p>
              </w:tc>
              <w:tc>
                <w:tcPr>
                  <w:tcW w:w="484" w:type="pct"/>
                  <w:vAlign w:val="center"/>
                </w:tcPr>
                <w:p w:rsidR="00172F19" w:rsidRPr="006B1681" w:rsidRDefault="00172F19" w:rsidP="0028258A">
                  <w:pPr>
                    <w:pStyle w:val="TableBodyText"/>
                  </w:pPr>
                  <w:r w:rsidRPr="006B1681">
                    <w:t>–</w:t>
                  </w:r>
                </w:p>
              </w:tc>
              <w:tc>
                <w:tcPr>
                  <w:tcW w:w="402" w:type="pct"/>
                  <w:vAlign w:val="center"/>
                </w:tcPr>
                <w:p w:rsidR="00172F19" w:rsidRPr="006B1681" w:rsidRDefault="00B63E04" w:rsidP="00CB222A">
                  <w:pPr>
                    <w:pStyle w:val="TableBodyText"/>
                  </w:pPr>
                  <w:r w:rsidRPr="006B1681">
                    <w:t>..</w:t>
                  </w:r>
                </w:p>
              </w:tc>
              <w:tc>
                <w:tcPr>
                  <w:tcW w:w="484" w:type="pct"/>
                  <w:vAlign w:val="center"/>
                </w:tcPr>
                <w:p w:rsidR="00172F19" w:rsidRPr="006B1681" w:rsidRDefault="002D438E" w:rsidP="00CB222A">
                  <w:pPr>
                    <w:pStyle w:val="TableBodyText"/>
                  </w:pPr>
                  <w:r w:rsidRPr="006B1681">
                    <w:t xml:space="preserve"> </w:t>
                  </w:r>
                  <w:r w:rsidR="005B5728" w:rsidRPr="006B1681">
                    <w:t>21</w:t>
                  </w:r>
                </w:p>
              </w:tc>
            </w:tr>
            <w:tr w:rsidR="00172F19" w:rsidTr="00F70955">
              <w:tc>
                <w:tcPr>
                  <w:tcW w:w="877" w:type="pct"/>
                  <w:vAlign w:val="center"/>
                </w:tcPr>
                <w:p w:rsidR="00172F19" w:rsidRPr="0054541A" w:rsidRDefault="00172F19" w:rsidP="00F70955">
                  <w:pPr>
                    <w:pStyle w:val="TableBodyText"/>
                    <w:jc w:val="left"/>
                  </w:pPr>
                  <w:r w:rsidRPr="0054541A">
                    <w:t>Occasional care</w:t>
                  </w:r>
                </w:p>
              </w:tc>
              <w:tc>
                <w:tcPr>
                  <w:tcW w:w="414" w:type="pct"/>
                  <w:vAlign w:val="center"/>
                </w:tcPr>
                <w:p w:rsidR="00172F19" w:rsidRPr="00CB222A" w:rsidRDefault="002D438E" w:rsidP="00CB222A">
                  <w:pPr>
                    <w:pStyle w:val="TableBodyText"/>
                  </w:pPr>
                  <w:r>
                    <w:t xml:space="preserve"> </w:t>
                  </w:r>
                  <w:r w:rsidR="00172F19" w:rsidRPr="00CB222A">
                    <w:t>65</w:t>
                  </w:r>
                </w:p>
              </w:tc>
              <w:tc>
                <w:tcPr>
                  <w:tcW w:w="484" w:type="pct"/>
                  <w:vAlign w:val="center"/>
                </w:tcPr>
                <w:p w:rsidR="00172F19" w:rsidRPr="00CB222A" w:rsidRDefault="002D438E" w:rsidP="00CB222A">
                  <w:pPr>
                    <w:pStyle w:val="TableBodyText"/>
                  </w:pPr>
                  <w:r>
                    <w:t xml:space="preserve"> </w:t>
                  </w:r>
                  <w:r w:rsidR="00172F19" w:rsidRPr="00CB222A">
                    <w:t>378</w:t>
                  </w:r>
                </w:p>
              </w:tc>
              <w:tc>
                <w:tcPr>
                  <w:tcW w:w="483" w:type="pct"/>
                  <w:vAlign w:val="center"/>
                </w:tcPr>
                <w:p w:rsidR="00172F19" w:rsidRPr="00CB222A" w:rsidRDefault="002D438E" w:rsidP="00CB222A">
                  <w:pPr>
                    <w:pStyle w:val="TableBodyText"/>
                  </w:pPr>
                  <w:r>
                    <w:t xml:space="preserve"> </w:t>
                  </w:r>
                  <w:r w:rsidR="00172F19" w:rsidRPr="00CB222A">
                    <w:t>36</w:t>
                  </w:r>
                </w:p>
              </w:tc>
              <w:tc>
                <w:tcPr>
                  <w:tcW w:w="484" w:type="pct"/>
                  <w:vAlign w:val="center"/>
                </w:tcPr>
                <w:p w:rsidR="00172F19" w:rsidRPr="00CB222A" w:rsidRDefault="00172F19" w:rsidP="00CB222A">
                  <w:pPr>
                    <w:pStyle w:val="TableBodyText"/>
                  </w:pPr>
                  <w:r w:rsidRPr="00CB222A">
                    <w:t>–</w:t>
                  </w:r>
                </w:p>
              </w:tc>
              <w:tc>
                <w:tcPr>
                  <w:tcW w:w="404" w:type="pct"/>
                  <w:vAlign w:val="center"/>
                </w:tcPr>
                <w:p w:rsidR="00172F19" w:rsidRPr="00CB222A" w:rsidRDefault="002D438E" w:rsidP="00CB222A">
                  <w:pPr>
                    <w:pStyle w:val="TableBodyText"/>
                  </w:pPr>
                  <w:r>
                    <w:t xml:space="preserve"> </w:t>
                  </w:r>
                  <w:r w:rsidR="00172F19" w:rsidRPr="00CB222A">
                    <w:t>87</w:t>
                  </w:r>
                </w:p>
              </w:tc>
              <w:tc>
                <w:tcPr>
                  <w:tcW w:w="484" w:type="pct"/>
                  <w:vAlign w:val="center"/>
                </w:tcPr>
                <w:p w:rsidR="00172F19" w:rsidRPr="00CB222A" w:rsidRDefault="002D438E" w:rsidP="00CB222A">
                  <w:pPr>
                    <w:pStyle w:val="TableBodyText"/>
                  </w:pPr>
                  <w:r>
                    <w:t xml:space="preserve"> </w:t>
                  </w:r>
                  <w:r w:rsidR="00172F19" w:rsidRPr="00CB222A">
                    <w:t>27</w:t>
                  </w:r>
                </w:p>
              </w:tc>
              <w:tc>
                <w:tcPr>
                  <w:tcW w:w="484" w:type="pct"/>
                  <w:vAlign w:val="center"/>
                </w:tcPr>
                <w:p w:rsidR="00172F19" w:rsidRPr="006B1681" w:rsidRDefault="00172F19" w:rsidP="0028258A">
                  <w:pPr>
                    <w:pStyle w:val="TableBodyText"/>
                  </w:pPr>
                  <w:r w:rsidRPr="006B1681">
                    <w:t>–</w:t>
                  </w:r>
                </w:p>
              </w:tc>
              <w:tc>
                <w:tcPr>
                  <w:tcW w:w="402" w:type="pct"/>
                  <w:vAlign w:val="center"/>
                </w:tcPr>
                <w:p w:rsidR="00172F19" w:rsidRPr="006B1681" w:rsidRDefault="00B63E04" w:rsidP="00CB222A">
                  <w:pPr>
                    <w:pStyle w:val="TableBodyText"/>
                  </w:pPr>
                  <w:r w:rsidRPr="006B1681">
                    <w:t>..</w:t>
                  </w:r>
                </w:p>
              </w:tc>
              <w:tc>
                <w:tcPr>
                  <w:tcW w:w="484" w:type="pct"/>
                  <w:vAlign w:val="center"/>
                </w:tcPr>
                <w:p w:rsidR="00172F19" w:rsidRPr="006B1681" w:rsidRDefault="002D438E" w:rsidP="00CB222A">
                  <w:pPr>
                    <w:pStyle w:val="TableBodyText"/>
                  </w:pPr>
                  <w:r w:rsidRPr="006B1681">
                    <w:t xml:space="preserve"> </w:t>
                  </w:r>
                  <w:r w:rsidR="005B5728" w:rsidRPr="006B1681">
                    <w:t>593</w:t>
                  </w:r>
                </w:p>
              </w:tc>
            </w:tr>
            <w:tr w:rsidR="00172F19" w:rsidTr="00081576">
              <w:tc>
                <w:tcPr>
                  <w:tcW w:w="877" w:type="pct"/>
                  <w:vAlign w:val="bottom"/>
                </w:tcPr>
                <w:p w:rsidR="00172F19" w:rsidRPr="0054541A" w:rsidRDefault="00172F19" w:rsidP="00F70955">
                  <w:pPr>
                    <w:pStyle w:val="TableBodyText"/>
                    <w:jc w:val="left"/>
                  </w:pPr>
                  <w:r w:rsidRPr="0054541A">
                    <w:t>Other care</w:t>
                  </w:r>
                </w:p>
              </w:tc>
              <w:tc>
                <w:tcPr>
                  <w:tcW w:w="414" w:type="pct"/>
                  <w:vAlign w:val="center"/>
                </w:tcPr>
                <w:p w:rsidR="00172F19" w:rsidRPr="00CB222A" w:rsidRDefault="002D438E" w:rsidP="00CB222A">
                  <w:pPr>
                    <w:pStyle w:val="TableBodyText"/>
                  </w:pPr>
                  <w:r>
                    <w:t xml:space="preserve"> </w:t>
                  </w:r>
                  <w:r w:rsidR="00172F19" w:rsidRPr="00CB222A">
                    <w:t>91</w:t>
                  </w:r>
                </w:p>
              </w:tc>
              <w:tc>
                <w:tcPr>
                  <w:tcW w:w="484" w:type="pct"/>
                  <w:vAlign w:val="center"/>
                </w:tcPr>
                <w:p w:rsidR="00172F19" w:rsidRPr="00CB222A" w:rsidRDefault="002D438E" w:rsidP="00CB222A">
                  <w:pPr>
                    <w:pStyle w:val="TableBodyText"/>
                  </w:pPr>
                  <w:r>
                    <w:t xml:space="preserve"> </w:t>
                  </w:r>
                  <w:r w:rsidR="00172F19" w:rsidRPr="00CB222A">
                    <w:t>25</w:t>
                  </w:r>
                </w:p>
              </w:tc>
              <w:tc>
                <w:tcPr>
                  <w:tcW w:w="483" w:type="pct"/>
                  <w:vAlign w:val="center"/>
                </w:tcPr>
                <w:p w:rsidR="00172F19" w:rsidRPr="00CB222A" w:rsidRDefault="00172F19" w:rsidP="00CB222A">
                  <w:pPr>
                    <w:pStyle w:val="TableBodyText"/>
                  </w:pPr>
                  <w:r w:rsidRPr="00CB222A">
                    <w:t>–</w:t>
                  </w:r>
                </w:p>
              </w:tc>
              <w:tc>
                <w:tcPr>
                  <w:tcW w:w="484" w:type="pct"/>
                  <w:vAlign w:val="center"/>
                </w:tcPr>
                <w:p w:rsidR="00172F19" w:rsidRPr="00CB222A" w:rsidRDefault="00172F19" w:rsidP="00CB222A">
                  <w:pPr>
                    <w:pStyle w:val="TableBodyText"/>
                  </w:pPr>
                  <w:r w:rsidRPr="00CB222A">
                    <w:t>–</w:t>
                  </w:r>
                </w:p>
              </w:tc>
              <w:tc>
                <w:tcPr>
                  <w:tcW w:w="404" w:type="pct"/>
                  <w:vAlign w:val="center"/>
                </w:tcPr>
                <w:p w:rsidR="00172F19" w:rsidRPr="00CB222A" w:rsidRDefault="002D438E" w:rsidP="00CB222A">
                  <w:pPr>
                    <w:pStyle w:val="TableBodyText"/>
                  </w:pPr>
                  <w:r>
                    <w:t xml:space="preserve"> </w:t>
                  </w:r>
                  <w:r w:rsidR="00172F19" w:rsidRPr="00CB222A">
                    <w:t>28</w:t>
                  </w:r>
                </w:p>
              </w:tc>
              <w:tc>
                <w:tcPr>
                  <w:tcW w:w="484" w:type="pct"/>
                  <w:vAlign w:val="center"/>
                </w:tcPr>
                <w:p w:rsidR="00172F19" w:rsidRPr="00CB222A" w:rsidRDefault="002D438E" w:rsidP="00CB222A">
                  <w:pPr>
                    <w:pStyle w:val="TableBodyText"/>
                  </w:pPr>
                  <w:r>
                    <w:t xml:space="preserve"> </w:t>
                  </w:r>
                  <w:r w:rsidR="00172F19" w:rsidRPr="00CB222A">
                    <w:t>2</w:t>
                  </w:r>
                </w:p>
              </w:tc>
              <w:tc>
                <w:tcPr>
                  <w:tcW w:w="484" w:type="pct"/>
                  <w:vAlign w:val="center"/>
                </w:tcPr>
                <w:p w:rsidR="00172F19" w:rsidRPr="006B1681" w:rsidRDefault="00172F19" w:rsidP="0028258A">
                  <w:pPr>
                    <w:pStyle w:val="TableBodyText"/>
                  </w:pPr>
                  <w:r w:rsidRPr="006B1681">
                    <w:t>–</w:t>
                  </w:r>
                </w:p>
              </w:tc>
              <w:tc>
                <w:tcPr>
                  <w:tcW w:w="402" w:type="pct"/>
                  <w:vAlign w:val="center"/>
                </w:tcPr>
                <w:p w:rsidR="00172F19" w:rsidRPr="006B1681" w:rsidRDefault="00B63E04" w:rsidP="00CB222A">
                  <w:pPr>
                    <w:pStyle w:val="TableBodyText"/>
                  </w:pPr>
                  <w:r w:rsidRPr="006B1681">
                    <w:t>..</w:t>
                  </w:r>
                </w:p>
              </w:tc>
              <w:tc>
                <w:tcPr>
                  <w:tcW w:w="484" w:type="pct"/>
                  <w:vAlign w:val="center"/>
                </w:tcPr>
                <w:p w:rsidR="00172F19" w:rsidRPr="006B1681" w:rsidRDefault="002D438E" w:rsidP="00CB222A">
                  <w:pPr>
                    <w:pStyle w:val="TableBodyText"/>
                  </w:pPr>
                  <w:r w:rsidRPr="006B1681">
                    <w:t xml:space="preserve"> </w:t>
                  </w:r>
                  <w:r w:rsidR="005B5728" w:rsidRPr="006B1681">
                    <w:t>146</w:t>
                  </w:r>
                </w:p>
              </w:tc>
            </w:tr>
            <w:tr w:rsidR="00172F19" w:rsidTr="00081576">
              <w:tc>
                <w:tcPr>
                  <w:tcW w:w="877" w:type="pct"/>
                  <w:vAlign w:val="bottom"/>
                </w:tcPr>
                <w:p w:rsidR="00172F19" w:rsidRPr="00597BA7" w:rsidRDefault="00172F19" w:rsidP="00F70955">
                  <w:pPr>
                    <w:pStyle w:val="TableBodyText"/>
                    <w:jc w:val="left"/>
                  </w:pPr>
                  <w:r w:rsidRPr="00597BA7">
                    <w:t>Preschool</w:t>
                  </w:r>
                </w:p>
              </w:tc>
              <w:tc>
                <w:tcPr>
                  <w:tcW w:w="414" w:type="pct"/>
                  <w:vAlign w:val="center"/>
                </w:tcPr>
                <w:p w:rsidR="00172F19" w:rsidRPr="00CB222A" w:rsidRDefault="00172F19" w:rsidP="00CB222A">
                  <w:pPr>
                    <w:pStyle w:val="TableBodyText"/>
                  </w:pPr>
                  <w:r w:rsidRPr="00CB222A">
                    <w:t>–</w:t>
                  </w:r>
                </w:p>
              </w:tc>
              <w:tc>
                <w:tcPr>
                  <w:tcW w:w="484" w:type="pct"/>
                  <w:vAlign w:val="center"/>
                </w:tcPr>
                <w:p w:rsidR="00172F19" w:rsidRPr="00CB222A" w:rsidRDefault="002D438E" w:rsidP="00CB222A">
                  <w:pPr>
                    <w:pStyle w:val="TableBodyText"/>
                  </w:pPr>
                  <w:r>
                    <w:t xml:space="preserve"> </w:t>
                  </w:r>
                  <w:r w:rsidR="00172F19" w:rsidRPr="00CB222A">
                    <w:t>2</w:t>
                  </w:r>
                </w:p>
              </w:tc>
              <w:tc>
                <w:tcPr>
                  <w:tcW w:w="483" w:type="pct"/>
                  <w:vAlign w:val="center"/>
                </w:tcPr>
                <w:p w:rsidR="00172F19" w:rsidRPr="00CB222A" w:rsidRDefault="002D438E" w:rsidP="00CB222A">
                  <w:pPr>
                    <w:pStyle w:val="TableBodyText"/>
                  </w:pPr>
                  <w:r>
                    <w:t xml:space="preserve"> </w:t>
                  </w:r>
                  <w:r w:rsidR="00172F19" w:rsidRPr="00CB222A">
                    <w:t>13</w:t>
                  </w:r>
                </w:p>
              </w:tc>
              <w:tc>
                <w:tcPr>
                  <w:tcW w:w="484" w:type="pct"/>
                  <w:vAlign w:val="center"/>
                </w:tcPr>
                <w:p w:rsidR="00172F19" w:rsidRPr="00CB222A" w:rsidRDefault="002D438E" w:rsidP="00CB222A">
                  <w:pPr>
                    <w:pStyle w:val="TableBodyText"/>
                  </w:pPr>
                  <w:r>
                    <w:t xml:space="preserve"> </w:t>
                  </w:r>
                  <w:r w:rsidR="00172F19" w:rsidRPr="00CB222A">
                    <w:t>909</w:t>
                  </w:r>
                </w:p>
              </w:tc>
              <w:tc>
                <w:tcPr>
                  <w:tcW w:w="404" w:type="pct"/>
                  <w:vAlign w:val="center"/>
                </w:tcPr>
                <w:p w:rsidR="00172F19" w:rsidRPr="00CB222A" w:rsidRDefault="002D438E" w:rsidP="00CB222A">
                  <w:pPr>
                    <w:pStyle w:val="TableBodyText"/>
                  </w:pPr>
                  <w:r>
                    <w:t xml:space="preserve"> </w:t>
                  </w:r>
                  <w:r w:rsidR="00172F19" w:rsidRPr="00CB222A">
                    <w:t>3</w:t>
                  </w:r>
                </w:p>
              </w:tc>
              <w:tc>
                <w:tcPr>
                  <w:tcW w:w="484" w:type="pct"/>
                  <w:vAlign w:val="center"/>
                </w:tcPr>
                <w:p w:rsidR="00172F19" w:rsidRPr="00CB222A" w:rsidRDefault="002D438E" w:rsidP="00CB222A">
                  <w:pPr>
                    <w:pStyle w:val="TableBodyText"/>
                  </w:pPr>
                  <w:r>
                    <w:t xml:space="preserve"> </w:t>
                  </w:r>
                  <w:r w:rsidR="00172F19" w:rsidRPr="00CB222A">
                    <w:t>215</w:t>
                  </w:r>
                </w:p>
              </w:tc>
              <w:tc>
                <w:tcPr>
                  <w:tcW w:w="484" w:type="pct"/>
                  <w:vAlign w:val="center"/>
                </w:tcPr>
                <w:p w:rsidR="00172F19" w:rsidRPr="006B1681" w:rsidRDefault="00172F19" w:rsidP="0028258A">
                  <w:pPr>
                    <w:pStyle w:val="TableBodyText"/>
                  </w:pPr>
                  <w:r w:rsidRPr="006B1681">
                    <w:t>–</w:t>
                  </w:r>
                </w:p>
              </w:tc>
              <w:tc>
                <w:tcPr>
                  <w:tcW w:w="402" w:type="pct"/>
                  <w:vAlign w:val="center"/>
                </w:tcPr>
                <w:p w:rsidR="00172F19" w:rsidRPr="006B1681" w:rsidRDefault="00B63E04" w:rsidP="00CB222A">
                  <w:pPr>
                    <w:pStyle w:val="TableBodyText"/>
                  </w:pPr>
                  <w:r w:rsidRPr="006B1681">
                    <w:t>..</w:t>
                  </w:r>
                </w:p>
              </w:tc>
              <w:tc>
                <w:tcPr>
                  <w:tcW w:w="484" w:type="pct"/>
                  <w:vAlign w:val="center"/>
                </w:tcPr>
                <w:p w:rsidR="00172F19" w:rsidRPr="006B1681" w:rsidRDefault="005B5728" w:rsidP="00CB222A">
                  <w:pPr>
                    <w:pStyle w:val="TableBodyText"/>
                  </w:pPr>
                  <w:r w:rsidRPr="006B1681">
                    <w:t xml:space="preserve"> 1 142</w:t>
                  </w:r>
                </w:p>
              </w:tc>
            </w:tr>
            <w:tr w:rsidR="00172F19" w:rsidTr="001A1DDB">
              <w:tc>
                <w:tcPr>
                  <w:tcW w:w="877" w:type="pct"/>
                  <w:vAlign w:val="bottom"/>
                </w:tcPr>
                <w:p w:rsidR="00172F19" w:rsidRPr="004F1997" w:rsidRDefault="00172F19" w:rsidP="00F70955">
                  <w:pPr>
                    <w:pStyle w:val="TableBodyText"/>
                    <w:jc w:val="left"/>
                    <w:rPr>
                      <w:b/>
                    </w:rPr>
                  </w:pPr>
                  <w:r>
                    <w:rPr>
                      <w:b/>
                    </w:rPr>
                    <w:t>Sum of service types</w:t>
                  </w:r>
                </w:p>
              </w:tc>
              <w:tc>
                <w:tcPr>
                  <w:tcW w:w="414" w:type="pct"/>
                  <w:vAlign w:val="center"/>
                </w:tcPr>
                <w:p w:rsidR="00172F19" w:rsidRPr="00CB222A" w:rsidRDefault="002D438E" w:rsidP="00CB222A">
                  <w:pPr>
                    <w:pStyle w:val="TableBodyText"/>
                    <w:rPr>
                      <w:b/>
                    </w:rPr>
                  </w:pPr>
                  <w:r>
                    <w:rPr>
                      <w:b/>
                    </w:rPr>
                    <w:t xml:space="preserve"> </w:t>
                  </w:r>
                  <w:r w:rsidR="00172F19" w:rsidRPr="00CB222A">
                    <w:rPr>
                      <w:b/>
                    </w:rPr>
                    <w:t>156</w:t>
                  </w:r>
                </w:p>
              </w:tc>
              <w:tc>
                <w:tcPr>
                  <w:tcW w:w="484" w:type="pct"/>
                  <w:vAlign w:val="center"/>
                </w:tcPr>
                <w:p w:rsidR="00172F19" w:rsidRPr="00CB222A" w:rsidRDefault="002D438E" w:rsidP="00CB222A">
                  <w:pPr>
                    <w:pStyle w:val="TableBodyText"/>
                    <w:rPr>
                      <w:b/>
                    </w:rPr>
                  </w:pPr>
                  <w:r>
                    <w:rPr>
                      <w:b/>
                    </w:rPr>
                    <w:t xml:space="preserve"> </w:t>
                  </w:r>
                  <w:r w:rsidR="00172F19" w:rsidRPr="00CB222A">
                    <w:rPr>
                      <w:b/>
                    </w:rPr>
                    <w:t>434</w:t>
                  </w:r>
                </w:p>
              </w:tc>
              <w:tc>
                <w:tcPr>
                  <w:tcW w:w="483" w:type="pct"/>
                  <w:vAlign w:val="center"/>
                </w:tcPr>
                <w:p w:rsidR="00172F19" w:rsidRPr="00CB222A" w:rsidRDefault="002D438E" w:rsidP="00CB222A">
                  <w:pPr>
                    <w:pStyle w:val="TableBodyText"/>
                    <w:rPr>
                      <w:b/>
                    </w:rPr>
                  </w:pPr>
                  <w:r>
                    <w:rPr>
                      <w:b/>
                    </w:rPr>
                    <w:t xml:space="preserve"> </w:t>
                  </w:r>
                  <w:r w:rsidR="00172F19" w:rsidRPr="00CB222A">
                    <w:rPr>
                      <w:b/>
                    </w:rPr>
                    <w:t>96</w:t>
                  </w:r>
                </w:p>
              </w:tc>
              <w:tc>
                <w:tcPr>
                  <w:tcW w:w="484" w:type="pct"/>
                  <w:vAlign w:val="center"/>
                </w:tcPr>
                <w:p w:rsidR="00172F19" w:rsidRPr="00CB222A" w:rsidRDefault="002D438E" w:rsidP="00CB222A">
                  <w:pPr>
                    <w:pStyle w:val="TableBodyText"/>
                    <w:rPr>
                      <w:b/>
                    </w:rPr>
                  </w:pPr>
                  <w:r>
                    <w:rPr>
                      <w:b/>
                    </w:rPr>
                    <w:t xml:space="preserve"> </w:t>
                  </w:r>
                  <w:r w:rsidR="00172F19" w:rsidRPr="00CB222A">
                    <w:rPr>
                      <w:b/>
                    </w:rPr>
                    <w:t>922</w:t>
                  </w:r>
                </w:p>
              </w:tc>
              <w:tc>
                <w:tcPr>
                  <w:tcW w:w="404" w:type="pct"/>
                  <w:vAlign w:val="center"/>
                </w:tcPr>
                <w:p w:rsidR="00172F19" w:rsidRPr="00CB222A" w:rsidRDefault="002D438E" w:rsidP="00CB222A">
                  <w:pPr>
                    <w:pStyle w:val="TableBodyText"/>
                    <w:rPr>
                      <w:b/>
                    </w:rPr>
                  </w:pPr>
                  <w:r>
                    <w:rPr>
                      <w:b/>
                    </w:rPr>
                    <w:t xml:space="preserve"> </w:t>
                  </w:r>
                  <w:r w:rsidR="00172F19" w:rsidRPr="00CB222A">
                    <w:rPr>
                      <w:b/>
                    </w:rPr>
                    <w:t>118</w:t>
                  </w:r>
                </w:p>
              </w:tc>
              <w:tc>
                <w:tcPr>
                  <w:tcW w:w="484" w:type="pct"/>
                  <w:vAlign w:val="center"/>
                </w:tcPr>
                <w:p w:rsidR="00172F19" w:rsidRPr="00CB222A" w:rsidRDefault="002D438E" w:rsidP="00CB222A">
                  <w:pPr>
                    <w:pStyle w:val="TableBodyText"/>
                    <w:rPr>
                      <w:b/>
                    </w:rPr>
                  </w:pPr>
                  <w:r>
                    <w:rPr>
                      <w:b/>
                    </w:rPr>
                    <w:t xml:space="preserve"> </w:t>
                  </w:r>
                  <w:r w:rsidR="00172F19" w:rsidRPr="00CB222A">
                    <w:rPr>
                      <w:b/>
                    </w:rPr>
                    <w:t>256</w:t>
                  </w:r>
                </w:p>
              </w:tc>
              <w:tc>
                <w:tcPr>
                  <w:tcW w:w="484" w:type="pct"/>
                  <w:vAlign w:val="center"/>
                </w:tcPr>
                <w:p w:rsidR="00172F19" w:rsidRPr="006B1681" w:rsidRDefault="00172F19" w:rsidP="0028258A">
                  <w:pPr>
                    <w:pStyle w:val="TableBodyText"/>
                    <w:rPr>
                      <w:b/>
                    </w:rPr>
                  </w:pPr>
                  <w:r w:rsidRPr="006B1681">
                    <w:rPr>
                      <w:b/>
                    </w:rPr>
                    <w:t>–</w:t>
                  </w:r>
                </w:p>
              </w:tc>
              <w:tc>
                <w:tcPr>
                  <w:tcW w:w="402" w:type="pct"/>
                  <w:vAlign w:val="center"/>
                </w:tcPr>
                <w:p w:rsidR="00172F19" w:rsidRPr="006B1681" w:rsidRDefault="00B63E04" w:rsidP="00CB222A">
                  <w:pPr>
                    <w:pStyle w:val="TableBodyText"/>
                    <w:rPr>
                      <w:b/>
                    </w:rPr>
                  </w:pPr>
                  <w:r w:rsidRPr="006B1681">
                    <w:rPr>
                      <w:b/>
                    </w:rPr>
                    <w:t>..</w:t>
                  </w:r>
                </w:p>
              </w:tc>
              <w:tc>
                <w:tcPr>
                  <w:tcW w:w="484" w:type="pct"/>
                  <w:vAlign w:val="center"/>
                </w:tcPr>
                <w:p w:rsidR="00172F19" w:rsidRPr="006B1681" w:rsidRDefault="005B5728" w:rsidP="00CB222A">
                  <w:pPr>
                    <w:pStyle w:val="TableBodyText"/>
                    <w:rPr>
                      <w:b/>
                    </w:rPr>
                  </w:pPr>
                  <w:r w:rsidRPr="006B1681">
                    <w:rPr>
                      <w:b/>
                    </w:rPr>
                    <w:t xml:space="preserve"> 1 982</w:t>
                  </w:r>
                </w:p>
              </w:tc>
            </w:tr>
            <w:tr w:rsidR="00172F19" w:rsidTr="001A1DDB">
              <w:tc>
                <w:tcPr>
                  <w:tcW w:w="877" w:type="pct"/>
                  <w:tcBorders>
                    <w:bottom w:val="single" w:sz="6" w:space="0" w:color="BFBFBF"/>
                  </w:tcBorders>
                  <w:vAlign w:val="bottom"/>
                </w:tcPr>
                <w:p w:rsidR="00172F19" w:rsidRPr="004F1997" w:rsidRDefault="00172F19" w:rsidP="00F70955">
                  <w:pPr>
                    <w:pStyle w:val="TableBodyText"/>
                    <w:jc w:val="left"/>
                    <w:rPr>
                      <w:b/>
                    </w:rPr>
                  </w:pPr>
                  <w:r w:rsidRPr="004F1997">
                    <w:rPr>
                      <w:b/>
                    </w:rPr>
                    <w:t xml:space="preserve">Total </w:t>
                  </w:r>
                  <w:r>
                    <w:rPr>
                      <w:b/>
                    </w:rPr>
                    <w:t xml:space="preserve">individual </w:t>
                  </w:r>
                  <w:proofErr w:type="spellStart"/>
                  <w:r>
                    <w:rPr>
                      <w:b/>
                    </w:rPr>
                    <w:t>ECEC</w:t>
                  </w:r>
                  <w:proofErr w:type="spellEnd"/>
                  <w:r>
                    <w:rPr>
                      <w:b/>
                    </w:rPr>
                    <w:t xml:space="preserve"> services</w:t>
                  </w:r>
                </w:p>
              </w:tc>
              <w:tc>
                <w:tcPr>
                  <w:tcW w:w="414" w:type="pct"/>
                  <w:tcBorders>
                    <w:bottom w:val="single" w:sz="6" w:space="0" w:color="BFBFBF"/>
                  </w:tcBorders>
                  <w:vAlign w:val="center"/>
                </w:tcPr>
                <w:p w:rsidR="00172F19" w:rsidRPr="00CB222A" w:rsidRDefault="002D438E" w:rsidP="00CB222A">
                  <w:pPr>
                    <w:pStyle w:val="TableBodyText"/>
                    <w:rPr>
                      <w:b/>
                    </w:rPr>
                  </w:pPr>
                  <w:r>
                    <w:rPr>
                      <w:b/>
                    </w:rPr>
                    <w:t xml:space="preserve"> </w:t>
                  </w:r>
                  <w:r w:rsidR="00172F19" w:rsidRPr="00CB222A">
                    <w:rPr>
                      <w:b/>
                    </w:rPr>
                    <w:t>156</w:t>
                  </w:r>
                </w:p>
              </w:tc>
              <w:tc>
                <w:tcPr>
                  <w:tcW w:w="484" w:type="pct"/>
                  <w:tcBorders>
                    <w:bottom w:val="single" w:sz="6" w:space="0" w:color="BFBFBF"/>
                  </w:tcBorders>
                  <w:vAlign w:val="center"/>
                </w:tcPr>
                <w:p w:rsidR="00172F19" w:rsidRPr="00CB222A" w:rsidRDefault="002D438E" w:rsidP="00CB222A">
                  <w:pPr>
                    <w:pStyle w:val="TableBodyText"/>
                    <w:rPr>
                      <w:b/>
                    </w:rPr>
                  </w:pPr>
                  <w:r>
                    <w:rPr>
                      <w:b/>
                    </w:rPr>
                    <w:t xml:space="preserve"> </w:t>
                  </w:r>
                  <w:r w:rsidR="00172F19" w:rsidRPr="00CB222A">
                    <w:rPr>
                      <w:b/>
                    </w:rPr>
                    <w:t>434</w:t>
                  </w:r>
                </w:p>
              </w:tc>
              <w:tc>
                <w:tcPr>
                  <w:tcW w:w="483" w:type="pct"/>
                  <w:tcBorders>
                    <w:bottom w:val="single" w:sz="6" w:space="0" w:color="BFBFBF"/>
                  </w:tcBorders>
                  <w:vAlign w:val="center"/>
                </w:tcPr>
                <w:p w:rsidR="00172F19" w:rsidRPr="00CB222A" w:rsidRDefault="002D438E" w:rsidP="00CB222A">
                  <w:pPr>
                    <w:pStyle w:val="TableBodyText"/>
                    <w:rPr>
                      <w:b/>
                    </w:rPr>
                  </w:pPr>
                  <w:r>
                    <w:rPr>
                      <w:b/>
                    </w:rPr>
                    <w:t xml:space="preserve"> </w:t>
                  </w:r>
                  <w:r w:rsidR="00172F19" w:rsidRPr="00CB222A">
                    <w:rPr>
                      <w:b/>
                    </w:rPr>
                    <w:t>66</w:t>
                  </w:r>
                </w:p>
              </w:tc>
              <w:tc>
                <w:tcPr>
                  <w:tcW w:w="484" w:type="pct"/>
                  <w:tcBorders>
                    <w:bottom w:val="single" w:sz="6" w:space="0" w:color="BFBFBF"/>
                  </w:tcBorders>
                  <w:vAlign w:val="center"/>
                </w:tcPr>
                <w:p w:rsidR="00172F19" w:rsidRPr="00CB222A" w:rsidRDefault="002D438E" w:rsidP="00CB222A">
                  <w:pPr>
                    <w:pStyle w:val="TableBodyText"/>
                    <w:rPr>
                      <w:b/>
                    </w:rPr>
                  </w:pPr>
                  <w:r>
                    <w:rPr>
                      <w:b/>
                    </w:rPr>
                    <w:t xml:space="preserve"> </w:t>
                  </w:r>
                  <w:r w:rsidR="00172F19" w:rsidRPr="00CB222A">
                    <w:rPr>
                      <w:b/>
                    </w:rPr>
                    <w:t>922</w:t>
                  </w:r>
                </w:p>
              </w:tc>
              <w:tc>
                <w:tcPr>
                  <w:tcW w:w="404" w:type="pct"/>
                  <w:tcBorders>
                    <w:bottom w:val="single" w:sz="6" w:space="0" w:color="BFBFBF"/>
                  </w:tcBorders>
                  <w:vAlign w:val="center"/>
                </w:tcPr>
                <w:p w:rsidR="00172F19" w:rsidRPr="00CB222A" w:rsidRDefault="002D438E" w:rsidP="00CB222A">
                  <w:pPr>
                    <w:pStyle w:val="TableBodyText"/>
                    <w:rPr>
                      <w:b/>
                    </w:rPr>
                  </w:pPr>
                  <w:r>
                    <w:rPr>
                      <w:b/>
                    </w:rPr>
                    <w:t xml:space="preserve"> </w:t>
                  </w:r>
                  <w:r w:rsidR="00172F19" w:rsidRPr="00CB222A">
                    <w:rPr>
                      <w:b/>
                    </w:rPr>
                    <w:t>118</w:t>
                  </w:r>
                </w:p>
              </w:tc>
              <w:tc>
                <w:tcPr>
                  <w:tcW w:w="484" w:type="pct"/>
                  <w:tcBorders>
                    <w:bottom w:val="single" w:sz="6" w:space="0" w:color="BFBFBF"/>
                  </w:tcBorders>
                  <w:vAlign w:val="center"/>
                </w:tcPr>
                <w:p w:rsidR="00172F19" w:rsidRPr="00CB222A" w:rsidRDefault="002D438E" w:rsidP="00CB222A">
                  <w:pPr>
                    <w:pStyle w:val="TableBodyText"/>
                    <w:rPr>
                      <w:b/>
                    </w:rPr>
                  </w:pPr>
                  <w:r>
                    <w:rPr>
                      <w:b/>
                    </w:rPr>
                    <w:t xml:space="preserve"> </w:t>
                  </w:r>
                  <w:r w:rsidR="00172F19">
                    <w:rPr>
                      <w:b/>
                    </w:rPr>
                    <w:t>250</w:t>
                  </w:r>
                </w:p>
              </w:tc>
              <w:tc>
                <w:tcPr>
                  <w:tcW w:w="484" w:type="pct"/>
                  <w:tcBorders>
                    <w:bottom w:val="single" w:sz="6" w:space="0" w:color="BFBFBF"/>
                  </w:tcBorders>
                  <w:vAlign w:val="center"/>
                </w:tcPr>
                <w:p w:rsidR="00172F19" w:rsidRPr="006B1681" w:rsidRDefault="00172F19" w:rsidP="0028258A">
                  <w:pPr>
                    <w:pStyle w:val="TableBodyText"/>
                    <w:rPr>
                      <w:b/>
                    </w:rPr>
                  </w:pPr>
                  <w:r w:rsidRPr="006B1681">
                    <w:rPr>
                      <w:b/>
                    </w:rPr>
                    <w:t>–</w:t>
                  </w:r>
                </w:p>
              </w:tc>
              <w:tc>
                <w:tcPr>
                  <w:tcW w:w="402" w:type="pct"/>
                  <w:tcBorders>
                    <w:bottom w:val="single" w:sz="6" w:space="0" w:color="BFBFBF"/>
                  </w:tcBorders>
                  <w:vAlign w:val="center"/>
                </w:tcPr>
                <w:p w:rsidR="00172F19" w:rsidRPr="006B1681" w:rsidRDefault="00B63E04" w:rsidP="00CB222A">
                  <w:pPr>
                    <w:pStyle w:val="TableBodyText"/>
                    <w:rPr>
                      <w:b/>
                    </w:rPr>
                  </w:pPr>
                  <w:r w:rsidRPr="006B1681">
                    <w:rPr>
                      <w:b/>
                    </w:rPr>
                    <w:t>..</w:t>
                  </w:r>
                </w:p>
              </w:tc>
              <w:tc>
                <w:tcPr>
                  <w:tcW w:w="484" w:type="pct"/>
                  <w:tcBorders>
                    <w:bottom w:val="single" w:sz="6" w:space="0" w:color="BFBFBF"/>
                  </w:tcBorders>
                  <w:vAlign w:val="center"/>
                </w:tcPr>
                <w:p w:rsidR="00172F19" w:rsidRPr="006B1681" w:rsidRDefault="005B5728" w:rsidP="00CB222A">
                  <w:pPr>
                    <w:pStyle w:val="TableBodyText"/>
                    <w:rPr>
                      <w:b/>
                    </w:rPr>
                  </w:pPr>
                  <w:r w:rsidRPr="006B1681">
                    <w:rPr>
                      <w:b/>
                    </w:rPr>
                    <w:t xml:space="preserve"> 1 946</w:t>
                  </w:r>
                </w:p>
              </w:tc>
            </w:tr>
          </w:tbl>
          <w:p w:rsidR="00F70955" w:rsidRDefault="00F70955" w:rsidP="00F70955">
            <w:pPr>
              <w:pStyle w:val="Box"/>
            </w:pPr>
          </w:p>
        </w:tc>
      </w:tr>
      <w:tr w:rsidR="00F70955" w:rsidRPr="00141CC1" w:rsidTr="00F70955">
        <w:trPr>
          <w:cantSplit/>
        </w:trPr>
        <w:tc>
          <w:tcPr>
            <w:tcW w:w="8771" w:type="dxa"/>
            <w:tcBorders>
              <w:top w:val="nil"/>
              <w:left w:val="nil"/>
              <w:bottom w:val="nil"/>
              <w:right w:val="nil"/>
            </w:tcBorders>
            <w:shd w:val="clear" w:color="auto" w:fill="auto"/>
          </w:tcPr>
          <w:p w:rsidR="00F70955" w:rsidRPr="00141CC1" w:rsidRDefault="00F70955" w:rsidP="005D4683">
            <w:pPr>
              <w:pStyle w:val="Note"/>
            </w:pPr>
            <w:r>
              <w:rPr>
                <w:rStyle w:val="NoteLabel"/>
              </w:rPr>
              <w:t>a</w:t>
            </w:r>
            <w:r w:rsidR="006853DC">
              <w:t xml:space="preserve"> See table</w:t>
            </w:r>
            <w:r w:rsidR="00697D43">
              <w:t> </w:t>
            </w:r>
            <w:proofErr w:type="spellStart"/>
            <w:r w:rsidR="006853DC">
              <w:t>3A.11</w:t>
            </w:r>
            <w:proofErr w:type="spellEnd"/>
            <w:r w:rsidR="006853DC" w:rsidRPr="006853DC">
              <w:t xml:space="preserve"> for detailed </w:t>
            </w:r>
            <w:r w:rsidR="00485709">
              <w:t xml:space="preserve">footnotes and </w:t>
            </w:r>
            <w:r w:rsidR="006853DC" w:rsidRPr="006853DC">
              <w:t>caveats</w:t>
            </w:r>
            <w:r w:rsidR="00725E42">
              <w:t>.</w:t>
            </w:r>
            <w:r>
              <w:t xml:space="preserve"> .. Not applicable.  </w:t>
            </w:r>
            <w:r w:rsidRPr="00490A9E">
              <w:t>– Nil or rounded to zero.</w:t>
            </w:r>
          </w:p>
        </w:tc>
      </w:tr>
      <w:tr w:rsidR="00F70955" w:rsidTr="00F70955">
        <w:trPr>
          <w:cantSplit/>
        </w:trPr>
        <w:tc>
          <w:tcPr>
            <w:tcW w:w="8771" w:type="dxa"/>
            <w:tcBorders>
              <w:top w:val="nil"/>
              <w:left w:val="nil"/>
              <w:bottom w:val="nil"/>
              <w:right w:val="nil"/>
            </w:tcBorders>
            <w:shd w:val="clear" w:color="auto" w:fill="auto"/>
          </w:tcPr>
          <w:p w:rsidR="00F70955" w:rsidRDefault="00F70955" w:rsidP="00F70955">
            <w:pPr>
              <w:pStyle w:val="Source"/>
            </w:pPr>
            <w:r w:rsidRPr="0055030A">
              <w:rPr>
                <w:i/>
              </w:rPr>
              <w:t>Source</w:t>
            </w:r>
            <w:r w:rsidRPr="0055030A">
              <w:t xml:space="preserve">: </w:t>
            </w:r>
            <w:r>
              <w:t>State and Territory governments</w:t>
            </w:r>
            <w:r w:rsidRPr="0055030A">
              <w:t xml:space="preserve"> (unpublished</w:t>
            </w:r>
            <w:r w:rsidR="002B57D2">
              <w:t>); table</w:t>
            </w:r>
            <w:r w:rsidR="00697D43">
              <w:t> </w:t>
            </w:r>
            <w:proofErr w:type="spellStart"/>
            <w:r w:rsidR="002B57D2">
              <w:t>3A.11</w:t>
            </w:r>
            <w:proofErr w:type="spellEnd"/>
            <w:r>
              <w:t>.</w:t>
            </w:r>
          </w:p>
        </w:tc>
      </w:tr>
      <w:tr w:rsidR="00F70955" w:rsidTr="00F70955">
        <w:trPr>
          <w:cantSplit/>
        </w:trPr>
        <w:tc>
          <w:tcPr>
            <w:tcW w:w="8771" w:type="dxa"/>
            <w:tcBorders>
              <w:top w:val="nil"/>
              <w:left w:val="nil"/>
              <w:bottom w:val="single" w:sz="6" w:space="0" w:color="78A22F"/>
              <w:right w:val="nil"/>
            </w:tcBorders>
            <w:shd w:val="clear" w:color="auto" w:fill="auto"/>
          </w:tcPr>
          <w:p w:rsidR="00F70955" w:rsidRDefault="00F70955" w:rsidP="00F70955">
            <w:pPr>
              <w:pStyle w:val="Box"/>
              <w:spacing w:before="0" w:line="120" w:lineRule="exact"/>
            </w:pPr>
          </w:p>
        </w:tc>
      </w:tr>
      <w:tr w:rsidR="00F70955" w:rsidRPr="00626D32" w:rsidTr="00F70955">
        <w:tc>
          <w:tcPr>
            <w:tcW w:w="8771" w:type="dxa"/>
            <w:tcBorders>
              <w:top w:val="single" w:sz="6" w:space="0" w:color="78A22F"/>
              <w:left w:val="nil"/>
              <w:bottom w:val="nil"/>
              <w:right w:val="nil"/>
            </w:tcBorders>
          </w:tcPr>
          <w:p w:rsidR="00F70955" w:rsidRPr="00626D32" w:rsidRDefault="00F70955" w:rsidP="00F70955">
            <w:pPr>
              <w:pStyle w:val="BoxSpaceBelow"/>
            </w:pPr>
          </w:p>
        </w:tc>
      </w:tr>
    </w:tbl>
    <w:p w:rsidR="000F5463" w:rsidRDefault="00004BAB" w:rsidP="000F5463">
      <w:pPr>
        <w:pStyle w:val="Heading4"/>
      </w:pPr>
      <w:proofErr w:type="spellStart"/>
      <w:r>
        <w:t>NQF</w:t>
      </w:r>
      <w:proofErr w:type="spellEnd"/>
      <w:r>
        <w:t xml:space="preserve"> approved </w:t>
      </w:r>
      <w:proofErr w:type="spellStart"/>
      <w:r>
        <w:t>ECEC</w:t>
      </w:r>
      <w:proofErr w:type="spellEnd"/>
      <w:r>
        <w:t xml:space="preserve"> services by management type</w:t>
      </w:r>
    </w:p>
    <w:p w:rsidR="00004BAB" w:rsidRPr="001C66BC" w:rsidRDefault="00004BAB" w:rsidP="00004BAB">
      <w:pPr>
        <w:pStyle w:val="BodyText"/>
      </w:pPr>
      <w:proofErr w:type="spellStart"/>
      <w:r>
        <w:t>ECEC</w:t>
      </w:r>
      <w:proofErr w:type="spellEnd"/>
      <w:r w:rsidRPr="001C66BC">
        <w:t xml:space="preserve"> services </w:t>
      </w:r>
      <w:r w:rsidR="004C29BF">
        <w:t>may be managed by governments (state, t</w:t>
      </w:r>
      <w:r w:rsidRPr="001C66BC">
        <w:t>erritory and local), the community sector, the private sector and non</w:t>
      </w:r>
      <w:r w:rsidRPr="001C66BC">
        <w:noBreakHyphen/>
        <w:t xml:space="preserve">government schools. Data on the management type of </w:t>
      </w:r>
      <w:proofErr w:type="spellStart"/>
      <w:r>
        <w:t>NQF</w:t>
      </w:r>
      <w:proofErr w:type="spellEnd"/>
      <w:r>
        <w:t xml:space="preserve"> approved </w:t>
      </w:r>
      <w:proofErr w:type="spellStart"/>
      <w:r>
        <w:t>ECEC</w:t>
      </w:r>
      <w:proofErr w:type="spellEnd"/>
      <w:r>
        <w:t xml:space="preserve"> services </w:t>
      </w:r>
      <w:r w:rsidRPr="002D2677">
        <w:t xml:space="preserve">are </w:t>
      </w:r>
      <w:r w:rsidR="00BF4CE7">
        <w:t>presented in table</w:t>
      </w:r>
      <w:r w:rsidR="00697D43">
        <w:t> </w:t>
      </w:r>
      <w:r w:rsidR="00BF4CE7">
        <w:t>3.7</w:t>
      </w:r>
      <w:r w:rsidRPr="002D2677">
        <w:t xml:space="preserve">. </w:t>
      </w:r>
    </w:p>
    <w:p w:rsidR="00753A34" w:rsidRDefault="00753A34" w:rsidP="00B50E7D">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8771"/>
      </w:tblGrid>
      <w:tr w:rsidR="00753A34" w:rsidTr="00B50E7D">
        <w:tc>
          <w:tcPr>
            <w:tcW w:w="8771" w:type="dxa"/>
            <w:tcBorders>
              <w:top w:val="single" w:sz="6" w:space="0" w:color="78A22F"/>
              <w:left w:val="nil"/>
              <w:bottom w:val="nil"/>
              <w:right w:val="nil"/>
            </w:tcBorders>
            <w:shd w:val="clear" w:color="auto" w:fill="auto"/>
          </w:tcPr>
          <w:p w:rsidR="00753A34" w:rsidRPr="00784A05" w:rsidRDefault="00753A34" w:rsidP="000D2B2E">
            <w:pPr>
              <w:pStyle w:val="TableTitle"/>
            </w:pPr>
            <w:r>
              <w:rPr>
                <w:b w:val="0"/>
              </w:rPr>
              <w:t>Table 3.</w:t>
            </w:r>
            <w:r w:rsidR="00BF4CE7">
              <w:rPr>
                <w:b w:val="0"/>
              </w:rPr>
              <w:t>7</w:t>
            </w:r>
            <w:r>
              <w:tab/>
              <w:t xml:space="preserve">Proportion of </w:t>
            </w:r>
            <w:proofErr w:type="spellStart"/>
            <w:r>
              <w:t>NQF</w:t>
            </w:r>
            <w:proofErr w:type="spellEnd"/>
            <w:r>
              <w:t xml:space="preserve"> approved </w:t>
            </w:r>
            <w:proofErr w:type="spellStart"/>
            <w:r>
              <w:t>ECEC</w:t>
            </w:r>
            <w:proofErr w:type="spellEnd"/>
            <w:r w:rsidRPr="007F7141">
              <w:t xml:space="preserve"> servi</w:t>
            </w:r>
            <w:r>
              <w:t>ces, by management type, 30</w:t>
            </w:r>
            <w:r w:rsidR="002D438E">
              <w:t> </w:t>
            </w:r>
            <w:r>
              <w:t>June 2015 (per cent)</w:t>
            </w:r>
            <w:r w:rsidR="00485709">
              <w:rPr>
                <w:rStyle w:val="NoteLabel"/>
                <w:b/>
              </w:rPr>
              <w:t>a</w:t>
            </w:r>
          </w:p>
        </w:tc>
      </w:tr>
      <w:tr w:rsidR="00753A34" w:rsidTr="00B50E7D">
        <w:trPr>
          <w:cantSplit/>
        </w:trPr>
        <w:tc>
          <w:tcPr>
            <w:tcW w:w="8771" w:type="dxa"/>
            <w:tcBorders>
              <w:top w:val="nil"/>
              <w:left w:val="nil"/>
              <w:bottom w:val="nil"/>
              <w:right w:val="nil"/>
            </w:tcBorders>
            <w:shd w:val="clear" w:color="auto" w:fill="auto"/>
          </w:tcPr>
          <w:tbl>
            <w:tblPr>
              <w:tblW w:w="5000" w:type="pct"/>
              <w:tblCellMar>
                <w:top w:w="28" w:type="dxa"/>
                <w:left w:w="0" w:type="dxa"/>
                <w:right w:w="0" w:type="dxa"/>
              </w:tblCellMar>
              <w:tblLook w:val="0000" w:firstRow="0" w:lastRow="0" w:firstColumn="0" w:lastColumn="0" w:noHBand="0" w:noVBand="0"/>
            </w:tblPr>
            <w:tblGrid>
              <w:gridCol w:w="1647"/>
              <w:gridCol w:w="761"/>
              <w:gridCol w:w="761"/>
              <w:gridCol w:w="761"/>
              <w:gridCol w:w="760"/>
              <w:gridCol w:w="760"/>
              <w:gridCol w:w="760"/>
              <w:gridCol w:w="760"/>
              <w:gridCol w:w="760"/>
              <w:gridCol w:w="757"/>
            </w:tblGrid>
            <w:tr w:rsidR="00753A34" w:rsidTr="00382074">
              <w:tc>
                <w:tcPr>
                  <w:tcW w:w="970" w:type="pct"/>
                  <w:tcBorders>
                    <w:top w:val="single" w:sz="6" w:space="0" w:color="BFBFBF"/>
                    <w:bottom w:val="single" w:sz="6" w:space="0" w:color="BFBFBF"/>
                  </w:tcBorders>
                  <w:shd w:val="clear" w:color="auto" w:fill="auto"/>
                  <w:tcMar>
                    <w:top w:w="28" w:type="dxa"/>
                  </w:tcMar>
                </w:tcPr>
                <w:p w:rsidR="00753A34" w:rsidRDefault="00753A34" w:rsidP="00753A34">
                  <w:pPr>
                    <w:pStyle w:val="TableColumnHeading"/>
                  </w:pPr>
                </w:p>
              </w:tc>
              <w:tc>
                <w:tcPr>
                  <w:tcW w:w="448" w:type="pct"/>
                  <w:tcBorders>
                    <w:top w:val="single" w:sz="6" w:space="0" w:color="BFBFBF"/>
                    <w:bottom w:val="single" w:sz="6" w:space="0" w:color="BFBFBF"/>
                  </w:tcBorders>
                  <w:shd w:val="clear" w:color="auto" w:fill="auto"/>
                  <w:tcMar>
                    <w:top w:w="28" w:type="dxa"/>
                  </w:tcMar>
                </w:tcPr>
                <w:p w:rsidR="00753A34" w:rsidRDefault="00753A34" w:rsidP="00753A34">
                  <w:pPr>
                    <w:pStyle w:val="TableColumnHeading"/>
                  </w:pPr>
                  <w:r>
                    <w:t>NSW</w:t>
                  </w:r>
                </w:p>
              </w:tc>
              <w:tc>
                <w:tcPr>
                  <w:tcW w:w="448" w:type="pct"/>
                  <w:tcBorders>
                    <w:top w:val="single" w:sz="6" w:space="0" w:color="BFBFBF"/>
                    <w:bottom w:val="single" w:sz="6" w:space="0" w:color="BFBFBF"/>
                  </w:tcBorders>
                </w:tcPr>
                <w:p w:rsidR="00753A34" w:rsidRDefault="00753A34" w:rsidP="00753A34">
                  <w:pPr>
                    <w:pStyle w:val="TableColumnHeading"/>
                  </w:pPr>
                  <w:r>
                    <w:t>Vic</w:t>
                  </w:r>
                </w:p>
              </w:tc>
              <w:tc>
                <w:tcPr>
                  <w:tcW w:w="448" w:type="pct"/>
                  <w:tcBorders>
                    <w:top w:val="single" w:sz="6" w:space="0" w:color="BFBFBF"/>
                    <w:bottom w:val="single" w:sz="6" w:space="0" w:color="BFBFBF"/>
                  </w:tcBorders>
                </w:tcPr>
                <w:p w:rsidR="00753A34" w:rsidRDefault="00753A34" w:rsidP="00753A34">
                  <w:pPr>
                    <w:pStyle w:val="TableColumnHeading"/>
                  </w:pPr>
                  <w:r>
                    <w:t>Qld</w:t>
                  </w:r>
                </w:p>
              </w:tc>
              <w:tc>
                <w:tcPr>
                  <w:tcW w:w="448" w:type="pct"/>
                  <w:tcBorders>
                    <w:top w:val="single" w:sz="6" w:space="0" w:color="BFBFBF"/>
                    <w:bottom w:val="single" w:sz="6" w:space="0" w:color="BFBFBF"/>
                  </w:tcBorders>
                </w:tcPr>
                <w:p w:rsidR="00753A34" w:rsidRDefault="00753A34" w:rsidP="00753A34">
                  <w:pPr>
                    <w:pStyle w:val="TableColumnHeading"/>
                  </w:pPr>
                  <w:r>
                    <w:t>WA</w:t>
                  </w:r>
                </w:p>
              </w:tc>
              <w:tc>
                <w:tcPr>
                  <w:tcW w:w="448" w:type="pct"/>
                  <w:tcBorders>
                    <w:top w:val="single" w:sz="6" w:space="0" w:color="BFBFBF"/>
                    <w:bottom w:val="single" w:sz="6" w:space="0" w:color="BFBFBF"/>
                  </w:tcBorders>
                </w:tcPr>
                <w:p w:rsidR="00753A34" w:rsidRDefault="00753A34" w:rsidP="00753A34">
                  <w:pPr>
                    <w:pStyle w:val="TableColumnHeading"/>
                  </w:pPr>
                  <w:r>
                    <w:t>SA</w:t>
                  </w:r>
                </w:p>
              </w:tc>
              <w:tc>
                <w:tcPr>
                  <w:tcW w:w="448" w:type="pct"/>
                  <w:tcBorders>
                    <w:top w:val="single" w:sz="6" w:space="0" w:color="BFBFBF"/>
                    <w:bottom w:val="single" w:sz="6" w:space="0" w:color="BFBFBF"/>
                  </w:tcBorders>
                </w:tcPr>
                <w:p w:rsidR="00753A34" w:rsidRDefault="00753A34" w:rsidP="00753A34">
                  <w:pPr>
                    <w:pStyle w:val="TableColumnHeading"/>
                  </w:pPr>
                  <w:proofErr w:type="spellStart"/>
                  <w:r>
                    <w:t>Tas</w:t>
                  </w:r>
                  <w:proofErr w:type="spellEnd"/>
                </w:p>
              </w:tc>
              <w:tc>
                <w:tcPr>
                  <w:tcW w:w="448" w:type="pct"/>
                  <w:tcBorders>
                    <w:top w:val="single" w:sz="6" w:space="0" w:color="BFBFBF"/>
                    <w:bottom w:val="single" w:sz="6" w:space="0" w:color="BFBFBF"/>
                  </w:tcBorders>
                </w:tcPr>
                <w:p w:rsidR="00753A34" w:rsidRDefault="00753A34" w:rsidP="00753A34">
                  <w:pPr>
                    <w:pStyle w:val="TableColumnHeading"/>
                  </w:pPr>
                  <w:r>
                    <w:t>ACT</w:t>
                  </w:r>
                </w:p>
              </w:tc>
              <w:tc>
                <w:tcPr>
                  <w:tcW w:w="448" w:type="pct"/>
                  <w:tcBorders>
                    <w:top w:val="single" w:sz="6" w:space="0" w:color="BFBFBF"/>
                    <w:bottom w:val="single" w:sz="6" w:space="0" w:color="BFBFBF"/>
                  </w:tcBorders>
                </w:tcPr>
                <w:p w:rsidR="00753A34" w:rsidRDefault="00753A34" w:rsidP="00753A34">
                  <w:pPr>
                    <w:pStyle w:val="TableColumnHeading"/>
                  </w:pPr>
                  <w:r>
                    <w:t>NT</w:t>
                  </w:r>
                </w:p>
              </w:tc>
              <w:tc>
                <w:tcPr>
                  <w:tcW w:w="446" w:type="pct"/>
                  <w:tcBorders>
                    <w:top w:val="single" w:sz="6" w:space="0" w:color="BFBFBF"/>
                    <w:bottom w:val="single" w:sz="6" w:space="0" w:color="BFBFBF"/>
                  </w:tcBorders>
                  <w:shd w:val="clear" w:color="auto" w:fill="auto"/>
                  <w:tcMar>
                    <w:top w:w="28" w:type="dxa"/>
                  </w:tcMar>
                </w:tcPr>
                <w:p w:rsidR="00753A34" w:rsidRDefault="00753A34" w:rsidP="00753A34">
                  <w:pPr>
                    <w:pStyle w:val="TableColumnHeading"/>
                  </w:pPr>
                  <w:proofErr w:type="spellStart"/>
                  <w:r>
                    <w:t>Aust</w:t>
                  </w:r>
                  <w:proofErr w:type="spellEnd"/>
                </w:p>
              </w:tc>
            </w:tr>
            <w:tr w:rsidR="00753A34" w:rsidTr="00382074">
              <w:tc>
                <w:tcPr>
                  <w:tcW w:w="970" w:type="pct"/>
                </w:tcPr>
                <w:p w:rsidR="00753A34" w:rsidRPr="002D2677" w:rsidRDefault="00753A34" w:rsidP="00382074">
                  <w:pPr>
                    <w:pStyle w:val="TableBodyText"/>
                    <w:jc w:val="left"/>
                  </w:pPr>
                  <w:r w:rsidRPr="002D2677">
                    <w:t>Community</w:t>
                  </w:r>
                </w:p>
              </w:tc>
              <w:tc>
                <w:tcPr>
                  <w:tcW w:w="448" w:type="pct"/>
                  <w:vAlign w:val="bottom"/>
                </w:tcPr>
                <w:p w:rsidR="00753A34" w:rsidRPr="00753A34" w:rsidRDefault="00753A34" w:rsidP="00753A34">
                  <w:pPr>
                    <w:pStyle w:val="TableBodyText"/>
                  </w:pPr>
                  <w:r w:rsidRPr="00753A34">
                    <w:t>28.3</w:t>
                  </w:r>
                </w:p>
              </w:tc>
              <w:tc>
                <w:tcPr>
                  <w:tcW w:w="448" w:type="pct"/>
                  <w:vAlign w:val="bottom"/>
                </w:tcPr>
                <w:p w:rsidR="00753A34" w:rsidRPr="00753A34" w:rsidRDefault="00753A34" w:rsidP="00753A34">
                  <w:pPr>
                    <w:pStyle w:val="TableBodyText"/>
                  </w:pPr>
                  <w:r w:rsidRPr="00753A34">
                    <w:t>35.6</w:t>
                  </w:r>
                </w:p>
              </w:tc>
              <w:tc>
                <w:tcPr>
                  <w:tcW w:w="448" w:type="pct"/>
                  <w:vAlign w:val="bottom"/>
                </w:tcPr>
                <w:p w:rsidR="00753A34" w:rsidRPr="00753A34" w:rsidRDefault="00753A34" w:rsidP="00753A34">
                  <w:pPr>
                    <w:pStyle w:val="TableBodyText"/>
                  </w:pPr>
                  <w:r w:rsidRPr="00753A34">
                    <w:t>54.6</w:t>
                  </w:r>
                </w:p>
              </w:tc>
              <w:tc>
                <w:tcPr>
                  <w:tcW w:w="448" w:type="pct"/>
                  <w:vAlign w:val="bottom"/>
                </w:tcPr>
                <w:p w:rsidR="00753A34" w:rsidRPr="00753A34" w:rsidRDefault="00753A34" w:rsidP="00753A34">
                  <w:pPr>
                    <w:pStyle w:val="TableBodyText"/>
                  </w:pPr>
                  <w:r w:rsidRPr="00753A34">
                    <w:t>7.1</w:t>
                  </w:r>
                </w:p>
              </w:tc>
              <w:tc>
                <w:tcPr>
                  <w:tcW w:w="448" w:type="pct"/>
                  <w:vAlign w:val="bottom"/>
                </w:tcPr>
                <w:p w:rsidR="00753A34" w:rsidRPr="00753A34" w:rsidRDefault="00753A34" w:rsidP="00753A34">
                  <w:pPr>
                    <w:pStyle w:val="TableBodyText"/>
                  </w:pPr>
                  <w:r w:rsidRPr="00753A34">
                    <w:t>16.0</w:t>
                  </w:r>
                </w:p>
              </w:tc>
              <w:tc>
                <w:tcPr>
                  <w:tcW w:w="448" w:type="pct"/>
                  <w:vAlign w:val="bottom"/>
                </w:tcPr>
                <w:p w:rsidR="00753A34" w:rsidRPr="00753A34" w:rsidRDefault="00753A34" w:rsidP="00753A34">
                  <w:pPr>
                    <w:pStyle w:val="TableBodyText"/>
                  </w:pPr>
                  <w:r w:rsidRPr="00753A34">
                    <w:t>53.6</w:t>
                  </w:r>
                </w:p>
              </w:tc>
              <w:tc>
                <w:tcPr>
                  <w:tcW w:w="448" w:type="pct"/>
                  <w:vAlign w:val="bottom"/>
                </w:tcPr>
                <w:p w:rsidR="00753A34" w:rsidRPr="00753A34" w:rsidRDefault="00753A34" w:rsidP="00753A34">
                  <w:pPr>
                    <w:pStyle w:val="TableBodyText"/>
                  </w:pPr>
                  <w:r w:rsidRPr="00753A34">
                    <w:t>46.9</w:t>
                  </w:r>
                </w:p>
              </w:tc>
              <w:tc>
                <w:tcPr>
                  <w:tcW w:w="448" w:type="pct"/>
                  <w:vAlign w:val="bottom"/>
                </w:tcPr>
                <w:p w:rsidR="00753A34" w:rsidRPr="00753A34" w:rsidRDefault="00753A34" w:rsidP="00753A34">
                  <w:pPr>
                    <w:pStyle w:val="TableBodyText"/>
                  </w:pPr>
                  <w:r w:rsidRPr="00753A34">
                    <w:t>35.2</w:t>
                  </w:r>
                </w:p>
              </w:tc>
              <w:tc>
                <w:tcPr>
                  <w:tcW w:w="446" w:type="pct"/>
                  <w:vAlign w:val="bottom"/>
                </w:tcPr>
                <w:p w:rsidR="00753A34" w:rsidRPr="00753A34" w:rsidRDefault="00753A34" w:rsidP="00753A34">
                  <w:pPr>
                    <w:pStyle w:val="TableBodyText"/>
                  </w:pPr>
                  <w:r w:rsidRPr="00753A34">
                    <w:t>33.5</w:t>
                  </w:r>
                </w:p>
              </w:tc>
            </w:tr>
            <w:tr w:rsidR="00753A34" w:rsidTr="00382074">
              <w:tc>
                <w:tcPr>
                  <w:tcW w:w="970" w:type="pct"/>
                </w:tcPr>
                <w:p w:rsidR="00753A34" w:rsidRPr="002D2677" w:rsidRDefault="00753A34" w:rsidP="00382074">
                  <w:pPr>
                    <w:pStyle w:val="TableBodyText"/>
                    <w:jc w:val="left"/>
                  </w:pPr>
                  <w:r w:rsidRPr="002D2677">
                    <w:t>Private</w:t>
                  </w:r>
                </w:p>
              </w:tc>
              <w:tc>
                <w:tcPr>
                  <w:tcW w:w="448" w:type="pct"/>
                  <w:vAlign w:val="bottom"/>
                </w:tcPr>
                <w:p w:rsidR="00753A34" w:rsidRPr="00753A34" w:rsidRDefault="00753A34" w:rsidP="00753A34">
                  <w:pPr>
                    <w:pStyle w:val="TableBodyText"/>
                  </w:pPr>
                  <w:r w:rsidRPr="00753A34">
                    <w:t>38.9</w:t>
                  </w:r>
                </w:p>
              </w:tc>
              <w:tc>
                <w:tcPr>
                  <w:tcW w:w="448" w:type="pct"/>
                  <w:vAlign w:val="bottom"/>
                </w:tcPr>
                <w:p w:rsidR="00753A34" w:rsidRPr="00753A34" w:rsidRDefault="00753A34" w:rsidP="00753A34">
                  <w:pPr>
                    <w:pStyle w:val="TableBodyText"/>
                  </w:pPr>
                  <w:r w:rsidRPr="00753A34">
                    <w:t>41.2</w:t>
                  </w:r>
                </w:p>
              </w:tc>
              <w:tc>
                <w:tcPr>
                  <w:tcW w:w="448" w:type="pct"/>
                  <w:vAlign w:val="bottom"/>
                </w:tcPr>
                <w:p w:rsidR="00753A34" w:rsidRPr="00753A34" w:rsidRDefault="00753A34" w:rsidP="00753A34">
                  <w:pPr>
                    <w:pStyle w:val="TableBodyText"/>
                  </w:pPr>
                  <w:r w:rsidRPr="00753A34">
                    <w:t>38.5</w:t>
                  </w:r>
                </w:p>
              </w:tc>
              <w:tc>
                <w:tcPr>
                  <w:tcW w:w="448" w:type="pct"/>
                  <w:vAlign w:val="bottom"/>
                </w:tcPr>
                <w:p w:rsidR="00753A34" w:rsidRPr="00753A34" w:rsidRDefault="00753A34" w:rsidP="00753A34">
                  <w:pPr>
                    <w:pStyle w:val="TableBodyText"/>
                  </w:pPr>
                  <w:r w:rsidRPr="00753A34">
                    <w:t>64.4</w:t>
                  </w:r>
                </w:p>
              </w:tc>
              <w:tc>
                <w:tcPr>
                  <w:tcW w:w="448" w:type="pct"/>
                  <w:vAlign w:val="bottom"/>
                </w:tcPr>
                <w:p w:rsidR="00753A34" w:rsidRPr="00753A34" w:rsidRDefault="00753A34" w:rsidP="00753A34">
                  <w:pPr>
                    <w:pStyle w:val="TableBodyText"/>
                  </w:pPr>
                  <w:r w:rsidRPr="00753A34">
                    <w:t>20.3</w:t>
                  </w:r>
                </w:p>
              </w:tc>
              <w:tc>
                <w:tcPr>
                  <w:tcW w:w="448" w:type="pct"/>
                  <w:vAlign w:val="bottom"/>
                </w:tcPr>
                <w:p w:rsidR="00753A34" w:rsidRPr="00753A34" w:rsidRDefault="00753A34" w:rsidP="00753A34">
                  <w:pPr>
                    <w:pStyle w:val="TableBodyText"/>
                  </w:pPr>
                  <w:r w:rsidRPr="00753A34">
                    <w:t>28.4</w:t>
                  </w:r>
                </w:p>
              </w:tc>
              <w:tc>
                <w:tcPr>
                  <w:tcW w:w="448" w:type="pct"/>
                  <w:vAlign w:val="bottom"/>
                </w:tcPr>
                <w:p w:rsidR="00753A34" w:rsidRPr="00753A34" w:rsidRDefault="00753A34" w:rsidP="00753A34">
                  <w:pPr>
                    <w:pStyle w:val="TableBodyText"/>
                  </w:pPr>
                  <w:r w:rsidRPr="00753A34">
                    <w:t>21.1</w:t>
                  </w:r>
                </w:p>
              </w:tc>
              <w:tc>
                <w:tcPr>
                  <w:tcW w:w="448" w:type="pct"/>
                  <w:vAlign w:val="bottom"/>
                </w:tcPr>
                <w:p w:rsidR="00753A34" w:rsidRPr="00753A34" w:rsidRDefault="00753A34" w:rsidP="00753A34">
                  <w:pPr>
                    <w:pStyle w:val="TableBodyText"/>
                  </w:pPr>
                  <w:r w:rsidRPr="00753A34">
                    <w:t>16.9</w:t>
                  </w:r>
                </w:p>
              </w:tc>
              <w:tc>
                <w:tcPr>
                  <w:tcW w:w="446" w:type="pct"/>
                  <w:vAlign w:val="bottom"/>
                </w:tcPr>
                <w:p w:rsidR="00753A34" w:rsidRPr="00753A34" w:rsidRDefault="00753A34" w:rsidP="00753A34">
                  <w:pPr>
                    <w:pStyle w:val="TableBodyText"/>
                  </w:pPr>
                  <w:r w:rsidRPr="00753A34">
                    <w:t>39.0</w:t>
                  </w:r>
                </w:p>
              </w:tc>
            </w:tr>
            <w:tr w:rsidR="00753A34" w:rsidTr="00382074">
              <w:tc>
                <w:tcPr>
                  <w:tcW w:w="970" w:type="pct"/>
                </w:tcPr>
                <w:p w:rsidR="00753A34" w:rsidRPr="002D2677" w:rsidRDefault="00753A34" w:rsidP="00382074">
                  <w:pPr>
                    <w:pStyle w:val="TableBodyText"/>
                    <w:jc w:val="left"/>
                  </w:pPr>
                  <w:r w:rsidRPr="002D2677">
                    <w:t>Non</w:t>
                  </w:r>
                  <w:r>
                    <w:noBreakHyphen/>
                  </w:r>
                  <w:r w:rsidRPr="002D2677">
                    <w:t>government school</w:t>
                  </w:r>
                </w:p>
              </w:tc>
              <w:tc>
                <w:tcPr>
                  <w:tcW w:w="448" w:type="pct"/>
                  <w:vAlign w:val="bottom"/>
                </w:tcPr>
                <w:p w:rsidR="00753A34" w:rsidRPr="00753A34" w:rsidRDefault="00753A34" w:rsidP="00753A34">
                  <w:pPr>
                    <w:pStyle w:val="TableBodyText"/>
                  </w:pPr>
                  <w:r w:rsidRPr="00753A34">
                    <w:t>1.6</w:t>
                  </w:r>
                </w:p>
              </w:tc>
              <w:tc>
                <w:tcPr>
                  <w:tcW w:w="448" w:type="pct"/>
                  <w:vAlign w:val="bottom"/>
                </w:tcPr>
                <w:p w:rsidR="00753A34" w:rsidRPr="00753A34" w:rsidRDefault="00753A34" w:rsidP="00753A34">
                  <w:pPr>
                    <w:pStyle w:val="TableBodyText"/>
                  </w:pPr>
                  <w:r w:rsidRPr="00753A34">
                    <w:t>4.2</w:t>
                  </w:r>
                </w:p>
              </w:tc>
              <w:tc>
                <w:tcPr>
                  <w:tcW w:w="448" w:type="pct"/>
                  <w:vAlign w:val="bottom"/>
                </w:tcPr>
                <w:p w:rsidR="00753A34" w:rsidRPr="00753A34" w:rsidRDefault="00753A34" w:rsidP="00753A34">
                  <w:pPr>
                    <w:pStyle w:val="TableBodyText"/>
                  </w:pPr>
                  <w:r w:rsidRPr="00753A34">
                    <w:t>4.4</w:t>
                  </w:r>
                </w:p>
              </w:tc>
              <w:tc>
                <w:tcPr>
                  <w:tcW w:w="448" w:type="pct"/>
                  <w:vAlign w:val="bottom"/>
                </w:tcPr>
                <w:p w:rsidR="00753A34" w:rsidRPr="00753A34" w:rsidRDefault="00753A34" w:rsidP="00753A34">
                  <w:pPr>
                    <w:pStyle w:val="TableBodyText"/>
                  </w:pPr>
                  <w:r w:rsidRPr="00753A34">
                    <w:t>0.1</w:t>
                  </w:r>
                </w:p>
              </w:tc>
              <w:tc>
                <w:tcPr>
                  <w:tcW w:w="448" w:type="pct"/>
                  <w:vAlign w:val="bottom"/>
                </w:tcPr>
                <w:p w:rsidR="00753A34" w:rsidRPr="00753A34" w:rsidRDefault="00753A34" w:rsidP="00753A34">
                  <w:pPr>
                    <w:pStyle w:val="TableBodyText"/>
                  </w:pPr>
                  <w:r w:rsidRPr="00753A34">
                    <w:t>11.2</w:t>
                  </w:r>
                </w:p>
              </w:tc>
              <w:tc>
                <w:tcPr>
                  <w:tcW w:w="448" w:type="pct"/>
                  <w:vAlign w:val="bottom"/>
                </w:tcPr>
                <w:p w:rsidR="00753A34" w:rsidRPr="00753A34" w:rsidRDefault="00753A34" w:rsidP="00753A34">
                  <w:pPr>
                    <w:pStyle w:val="TableBodyText"/>
                  </w:pPr>
                  <w:r w:rsidRPr="00753A34">
                    <w:t>4.5</w:t>
                  </w:r>
                </w:p>
              </w:tc>
              <w:tc>
                <w:tcPr>
                  <w:tcW w:w="448" w:type="pct"/>
                  <w:vAlign w:val="bottom"/>
                </w:tcPr>
                <w:p w:rsidR="00753A34" w:rsidRPr="00753A34" w:rsidRDefault="00753A34" w:rsidP="00753A34">
                  <w:pPr>
                    <w:pStyle w:val="TableBodyText"/>
                  </w:pPr>
                  <w:r w:rsidRPr="00753A34">
                    <w:t>9.1</w:t>
                  </w:r>
                </w:p>
              </w:tc>
              <w:tc>
                <w:tcPr>
                  <w:tcW w:w="448" w:type="pct"/>
                  <w:vAlign w:val="bottom"/>
                </w:tcPr>
                <w:p w:rsidR="00753A34" w:rsidRPr="00753A34" w:rsidRDefault="00753A34" w:rsidP="00753A34">
                  <w:pPr>
                    <w:pStyle w:val="TableBodyText"/>
                  </w:pPr>
                  <w:r w:rsidRPr="00753A34">
                    <w:t>12.3</w:t>
                  </w:r>
                </w:p>
              </w:tc>
              <w:tc>
                <w:tcPr>
                  <w:tcW w:w="446" w:type="pct"/>
                  <w:vAlign w:val="bottom"/>
                </w:tcPr>
                <w:p w:rsidR="00753A34" w:rsidRPr="00753A34" w:rsidRDefault="00753A34" w:rsidP="00753A34">
                  <w:pPr>
                    <w:pStyle w:val="TableBodyText"/>
                  </w:pPr>
                  <w:r w:rsidRPr="00753A34">
                    <w:t>3.8</w:t>
                  </w:r>
                </w:p>
              </w:tc>
            </w:tr>
            <w:tr w:rsidR="00753A34" w:rsidTr="00382074">
              <w:tc>
                <w:tcPr>
                  <w:tcW w:w="970" w:type="pct"/>
                </w:tcPr>
                <w:p w:rsidR="00753A34" w:rsidRPr="009C2B59" w:rsidRDefault="00753A34" w:rsidP="00382074">
                  <w:pPr>
                    <w:pStyle w:val="TableBodyText"/>
                    <w:jc w:val="left"/>
                    <w:rPr>
                      <w:b/>
                    </w:rPr>
                  </w:pPr>
                  <w:r w:rsidRPr="009C2B59">
                    <w:rPr>
                      <w:b/>
                    </w:rPr>
                    <w:t>Total non</w:t>
                  </w:r>
                  <w:r>
                    <w:rPr>
                      <w:b/>
                    </w:rPr>
                    <w:noBreakHyphen/>
                  </w:r>
                  <w:r w:rsidRPr="009C2B59">
                    <w:rPr>
                      <w:b/>
                    </w:rPr>
                    <w:t>government</w:t>
                  </w:r>
                </w:p>
              </w:tc>
              <w:tc>
                <w:tcPr>
                  <w:tcW w:w="448" w:type="pct"/>
                  <w:vAlign w:val="bottom"/>
                </w:tcPr>
                <w:p w:rsidR="00753A34" w:rsidRPr="00753A34" w:rsidRDefault="00753A34" w:rsidP="00753A34">
                  <w:pPr>
                    <w:pStyle w:val="TableBodyText"/>
                    <w:rPr>
                      <w:b/>
                    </w:rPr>
                  </w:pPr>
                  <w:r w:rsidRPr="00753A34">
                    <w:rPr>
                      <w:b/>
                    </w:rPr>
                    <w:t>68.7</w:t>
                  </w:r>
                </w:p>
              </w:tc>
              <w:tc>
                <w:tcPr>
                  <w:tcW w:w="448" w:type="pct"/>
                  <w:vAlign w:val="bottom"/>
                </w:tcPr>
                <w:p w:rsidR="00753A34" w:rsidRPr="00753A34" w:rsidRDefault="00753A34" w:rsidP="00753A34">
                  <w:pPr>
                    <w:pStyle w:val="TableBodyText"/>
                    <w:rPr>
                      <w:b/>
                    </w:rPr>
                  </w:pPr>
                  <w:r w:rsidRPr="00753A34">
                    <w:rPr>
                      <w:b/>
                    </w:rPr>
                    <w:t>81.0</w:t>
                  </w:r>
                </w:p>
              </w:tc>
              <w:tc>
                <w:tcPr>
                  <w:tcW w:w="448" w:type="pct"/>
                  <w:vAlign w:val="bottom"/>
                </w:tcPr>
                <w:p w:rsidR="00753A34" w:rsidRPr="00753A34" w:rsidRDefault="00753A34" w:rsidP="00753A34">
                  <w:pPr>
                    <w:pStyle w:val="TableBodyText"/>
                    <w:rPr>
                      <w:b/>
                    </w:rPr>
                  </w:pPr>
                  <w:r w:rsidRPr="00753A34">
                    <w:rPr>
                      <w:b/>
                    </w:rPr>
                    <w:t>97.4</w:t>
                  </w:r>
                </w:p>
              </w:tc>
              <w:tc>
                <w:tcPr>
                  <w:tcW w:w="448" w:type="pct"/>
                  <w:vAlign w:val="bottom"/>
                </w:tcPr>
                <w:p w:rsidR="00753A34" w:rsidRPr="00753A34" w:rsidRDefault="00753A34" w:rsidP="00753A34">
                  <w:pPr>
                    <w:pStyle w:val="TableBodyText"/>
                    <w:rPr>
                      <w:b/>
                    </w:rPr>
                  </w:pPr>
                  <w:r w:rsidRPr="00753A34">
                    <w:rPr>
                      <w:b/>
                    </w:rPr>
                    <w:t>71.6</w:t>
                  </w:r>
                </w:p>
              </w:tc>
              <w:tc>
                <w:tcPr>
                  <w:tcW w:w="448" w:type="pct"/>
                  <w:vAlign w:val="bottom"/>
                </w:tcPr>
                <w:p w:rsidR="00753A34" w:rsidRPr="00753A34" w:rsidRDefault="00753A34" w:rsidP="00753A34">
                  <w:pPr>
                    <w:pStyle w:val="TableBodyText"/>
                    <w:rPr>
                      <w:b/>
                    </w:rPr>
                  </w:pPr>
                  <w:r w:rsidRPr="00753A34">
                    <w:rPr>
                      <w:b/>
                    </w:rPr>
                    <w:t>47.5</w:t>
                  </w:r>
                </w:p>
              </w:tc>
              <w:tc>
                <w:tcPr>
                  <w:tcW w:w="448" w:type="pct"/>
                  <w:vAlign w:val="bottom"/>
                </w:tcPr>
                <w:p w:rsidR="00753A34" w:rsidRPr="00753A34" w:rsidRDefault="00753A34" w:rsidP="00753A34">
                  <w:pPr>
                    <w:pStyle w:val="TableBodyText"/>
                    <w:rPr>
                      <w:b/>
                    </w:rPr>
                  </w:pPr>
                  <w:r w:rsidRPr="00753A34">
                    <w:rPr>
                      <w:b/>
                    </w:rPr>
                    <w:t>86.5</w:t>
                  </w:r>
                </w:p>
              </w:tc>
              <w:tc>
                <w:tcPr>
                  <w:tcW w:w="448" w:type="pct"/>
                  <w:vAlign w:val="bottom"/>
                </w:tcPr>
                <w:p w:rsidR="00753A34" w:rsidRPr="00753A34" w:rsidRDefault="00753A34" w:rsidP="00753A34">
                  <w:pPr>
                    <w:pStyle w:val="TableBodyText"/>
                    <w:rPr>
                      <w:b/>
                    </w:rPr>
                  </w:pPr>
                  <w:r w:rsidRPr="00753A34">
                    <w:rPr>
                      <w:b/>
                    </w:rPr>
                    <w:t>77.1</w:t>
                  </w:r>
                </w:p>
              </w:tc>
              <w:tc>
                <w:tcPr>
                  <w:tcW w:w="448" w:type="pct"/>
                  <w:vAlign w:val="bottom"/>
                </w:tcPr>
                <w:p w:rsidR="00753A34" w:rsidRPr="00753A34" w:rsidRDefault="00753A34" w:rsidP="00753A34">
                  <w:pPr>
                    <w:pStyle w:val="TableBodyText"/>
                    <w:rPr>
                      <w:b/>
                    </w:rPr>
                  </w:pPr>
                  <w:r w:rsidRPr="00753A34">
                    <w:rPr>
                      <w:b/>
                    </w:rPr>
                    <w:t>64.4</w:t>
                  </w:r>
                </w:p>
              </w:tc>
              <w:tc>
                <w:tcPr>
                  <w:tcW w:w="446" w:type="pct"/>
                  <w:vAlign w:val="bottom"/>
                </w:tcPr>
                <w:p w:rsidR="00753A34" w:rsidRPr="00753A34" w:rsidRDefault="00753A34" w:rsidP="00753A34">
                  <w:pPr>
                    <w:pStyle w:val="TableBodyText"/>
                    <w:rPr>
                      <w:b/>
                    </w:rPr>
                  </w:pPr>
                  <w:r w:rsidRPr="00753A34">
                    <w:rPr>
                      <w:b/>
                    </w:rPr>
                    <w:t>76.3</w:t>
                  </w:r>
                </w:p>
              </w:tc>
            </w:tr>
            <w:tr w:rsidR="00753A34" w:rsidTr="00382074">
              <w:tc>
                <w:tcPr>
                  <w:tcW w:w="970" w:type="pct"/>
                </w:tcPr>
                <w:p w:rsidR="00753A34" w:rsidRPr="002D2677" w:rsidRDefault="00753A34" w:rsidP="00382074">
                  <w:pPr>
                    <w:pStyle w:val="TableBodyText"/>
                    <w:jc w:val="left"/>
                  </w:pPr>
                  <w:r w:rsidRPr="002D2677">
                    <w:t>Government</w:t>
                  </w:r>
                </w:p>
              </w:tc>
              <w:tc>
                <w:tcPr>
                  <w:tcW w:w="448" w:type="pct"/>
                  <w:vAlign w:val="bottom"/>
                </w:tcPr>
                <w:p w:rsidR="00753A34" w:rsidRPr="00753A34" w:rsidRDefault="00753A34" w:rsidP="00753A34">
                  <w:pPr>
                    <w:pStyle w:val="TableBodyText"/>
                  </w:pPr>
                  <w:r w:rsidRPr="00753A34">
                    <w:t>8.8</w:t>
                  </w:r>
                </w:p>
              </w:tc>
              <w:tc>
                <w:tcPr>
                  <w:tcW w:w="448" w:type="pct"/>
                  <w:vAlign w:val="bottom"/>
                </w:tcPr>
                <w:p w:rsidR="00753A34" w:rsidRPr="00753A34" w:rsidRDefault="00753A34" w:rsidP="00753A34">
                  <w:pPr>
                    <w:pStyle w:val="TableBodyText"/>
                  </w:pPr>
                  <w:r w:rsidRPr="00753A34">
                    <w:t>18.9</w:t>
                  </w:r>
                </w:p>
              </w:tc>
              <w:tc>
                <w:tcPr>
                  <w:tcW w:w="448" w:type="pct"/>
                  <w:vAlign w:val="bottom"/>
                </w:tcPr>
                <w:p w:rsidR="00753A34" w:rsidRPr="00753A34" w:rsidRDefault="00753A34" w:rsidP="00753A34">
                  <w:pPr>
                    <w:pStyle w:val="TableBodyText"/>
                  </w:pPr>
                  <w:r w:rsidRPr="00753A34">
                    <w:t>2.2</w:t>
                  </w:r>
                </w:p>
              </w:tc>
              <w:tc>
                <w:tcPr>
                  <w:tcW w:w="448" w:type="pct"/>
                  <w:vAlign w:val="bottom"/>
                </w:tcPr>
                <w:p w:rsidR="00753A34" w:rsidRPr="00753A34" w:rsidRDefault="00753A34" w:rsidP="00753A34">
                  <w:pPr>
                    <w:pStyle w:val="TableBodyText"/>
                  </w:pPr>
                  <w:r w:rsidRPr="00753A34">
                    <w:t>4.0</w:t>
                  </w:r>
                </w:p>
              </w:tc>
              <w:tc>
                <w:tcPr>
                  <w:tcW w:w="448" w:type="pct"/>
                  <w:vAlign w:val="bottom"/>
                </w:tcPr>
                <w:p w:rsidR="00753A34" w:rsidRPr="00753A34" w:rsidRDefault="00753A34" w:rsidP="00753A34">
                  <w:pPr>
                    <w:pStyle w:val="TableBodyText"/>
                  </w:pPr>
                  <w:r w:rsidRPr="00753A34">
                    <w:t>51.9</w:t>
                  </w:r>
                </w:p>
              </w:tc>
              <w:tc>
                <w:tcPr>
                  <w:tcW w:w="448" w:type="pct"/>
                  <w:vAlign w:val="bottom"/>
                </w:tcPr>
                <w:p w:rsidR="00753A34" w:rsidRPr="00753A34" w:rsidRDefault="00753A34" w:rsidP="00753A34">
                  <w:pPr>
                    <w:pStyle w:val="TableBodyText"/>
                  </w:pPr>
                  <w:r w:rsidRPr="00753A34">
                    <w:t>13.5</w:t>
                  </w:r>
                </w:p>
              </w:tc>
              <w:tc>
                <w:tcPr>
                  <w:tcW w:w="448" w:type="pct"/>
                  <w:vAlign w:val="bottom"/>
                </w:tcPr>
                <w:p w:rsidR="00753A34" w:rsidRPr="00753A34" w:rsidRDefault="00753A34" w:rsidP="00753A34">
                  <w:pPr>
                    <w:pStyle w:val="TableBodyText"/>
                  </w:pPr>
                  <w:r w:rsidRPr="00753A34">
                    <w:t>22.6</w:t>
                  </w:r>
                </w:p>
              </w:tc>
              <w:tc>
                <w:tcPr>
                  <w:tcW w:w="448" w:type="pct"/>
                  <w:vAlign w:val="bottom"/>
                </w:tcPr>
                <w:p w:rsidR="00753A34" w:rsidRPr="00753A34" w:rsidRDefault="00753A34" w:rsidP="00753A34">
                  <w:pPr>
                    <w:pStyle w:val="TableBodyText"/>
                  </w:pPr>
                  <w:r w:rsidRPr="00753A34">
                    <w:t>35.6</w:t>
                  </w:r>
                </w:p>
              </w:tc>
              <w:tc>
                <w:tcPr>
                  <w:tcW w:w="446" w:type="pct"/>
                  <w:vAlign w:val="bottom"/>
                </w:tcPr>
                <w:p w:rsidR="00753A34" w:rsidRPr="00753A34" w:rsidRDefault="00753A34" w:rsidP="00753A34">
                  <w:pPr>
                    <w:pStyle w:val="TableBodyText"/>
                  </w:pPr>
                  <w:r w:rsidRPr="00753A34">
                    <w:t>14.0</w:t>
                  </w:r>
                </w:p>
              </w:tc>
            </w:tr>
            <w:tr w:rsidR="00753A34" w:rsidTr="00382074">
              <w:tc>
                <w:tcPr>
                  <w:tcW w:w="970" w:type="pct"/>
                </w:tcPr>
                <w:p w:rsidR="00753A34" w:rsidRPr="000F5463" w:rsidRDefault="00753A34" w:rsidP="00382074">
                  <w:pPr>
                    <w:pStyle w:val="TableBodyText"/>
                    <w:jc w:val="left"/>
                  </w:pPr>
                  <w:r w:rsidRPr="000F5463">
                    <w:t xml:space="preserve">Unknown management type </w:t>
                  </w:r>
                </w:p>
              </w:tc>
              <w:tc>
                <w:tcPr>
                  <w:tcW w:w="448" w:type="pct"/>
                  <w:vAlign w:val="bottom"/>
                </w:tcPr>
                <w:p w:rsidR="00753A34" w:rsidRPr="00753A34" w:rsidRDefault="00753A34" w:rsidP="00753A34">
                  <w:pPr>
                    <w:pStyle w:val="TableBodyText"/>
                  </w:pPr>
                  <w:r w:rsidRPr="00753A34">
                    <w:t>22.5</w:t>
                  </w:r>
                </w:p>
              </w:tc>
              <w:tc>
                <w:tcPr>
                  <w:tcW w:w="448" w:type="pct"/>
                  <w:vAlign w:val="bottom"/>
                </w:tcPr>
                <w:p w:rsidR="00753A34" w:rsidRPr="00753A34" w:rsidRDefault="00753A34" w:rsidP="00753A34">
                  <w:pPr>
                    <w:pStyle w:val="TableBodyText"/>
                  </w:pPr>
                  <w:r w:rsidRPr="00753A34">
                    <w:t>0.1</w:t>
                  </w:r>
                </w:p>
              </w:tc>
              <w:tc>
                <w:tcPr>
                  <w:tcW w:w="448" w:type="pct"/>
                  <w:vAlign w:val="bottom"/>
                </w:tcPr>
                <w:p w:rsidR="00753A34" w:rsidRPr="00753A34" w:rsidRDefault="00753A34" w:rsidP="00753A34">
                  <w:pPr>
                    <w:pStyle w:val="TableBodyText"/>
                  </w:pPr>
                  <w:r w:rsidRPr="00753A34">
                    <w:t>0.4</w:t>
                  </w:r>
                </w:p>
              </w:tc>
              <w:tc>
                <w:tcPr>
                  <w:tcW w:w="448" w:type="pct"/>
                  <w:vAlign w:val="bottom"/>
                </w:tcPr>
                <w:p w:rsidR="00753A34" w:rsidRPr="00753A34" w:rsidRDefault="00753A34" w:rsidP="00753A34">
                  <w:pPr>
                    <w:pStyle w:val="TableBodyText"/>
                  </w:pPr>
                  <w:r w:rsidRPr="00753A34">
                    <w:t>24.5</w:t>
                  </w:r>
                </w:p>
              </w:tc>
              <w:tc>
                <w:tcPr>
                  <w:tcW w:w="448" w:type="pct"/>
                  <w:vAlign w:val="bottom"/>
                </w:tcPr>
                <w:p w:rsidR="00753A34" w:rsidRPr="00753A34" w:rsidRDefault="00753A34" w:rsidP="00753A34">
                  <w:pPr>
                    <w:pStyle w:val="TableBodyText"/>
                  </w:pPr>
                  <w:r w:rsidRPr="00753A34">
                    <w:t>0.6</w:t>
                  </w:r>
                </w:p>
              </w:tc>
              <w:tc>
                <w:tcPr>
                  <w:tcW w:w="448" w:type="pct"/>
                  <w:vAlign w:val="bottom"/>
                </w:tcPr>
                <w:p w:rsidR="00753A34" w:rsidRPr="00753A34" w:rsidRDefault="00753A34" w:rsidP="00753A34">
                  <w:pPr>
                    <w:pStyle w:val="TableBodyText"/>
                  </w:pPr>
                  <w:r>
                    <w:t>–</w:t>
                  </w:r>
                </w:p>
              </w:tc>
              <w:tc>
                <w:tcPr>
                  <w:tcW w:w="448" w:type="pct"/>
                  <w:vAlign w:val="bottom"/>
                </w:tcPr>
                <w:p w:rsidR="00753A34" w:rsidRPr="00753A34" w:rsidRDefault="00753A34" w:rsidP="00753A34">
                  <w:pPr>
                    <w:pStyle w:val="TableBodyText"/>
                  </w:pPr>
                  <w:r w:rsidRPr="00753A34">
                    <w:t>0.3</w:t>
                  </w:r>
                </w:p>
              </w:tc>
              <w:tc>
                <w:tcPr>
                  <w:tcW w:w="448" w:type="pct"/>
                  <w:vAlign w:val="bottom"/>
                </w:tcPr>
                <w:p w:rsidR="00753A34" w:rsidRPr="00753A34" w:rsidRDefault="00753A34" w:rsidP="00753A34">
                  <w:pPr>
                    <w:pStyle w:val="TableBodyText"/>
                  </w:pPr>
                  <w:r>
                    <w:t>–</w:t>
                  </w:r>
                </w:p>
              </w:tc>
              <w:tc>
                <w:tcPr>
                  <w:tcW w:w="446" w:type="pct"/>
                  <w:vAlign w:val="bottom"/>
                </w:tcPr>
                <w:p w:rsidR="00753A34" w:rsidRPr="00753A34" w:rsidRDefault="00753A34" w:rsidP="00753A34">
                  <w:pPr>
                    <w:pStyle w:val="TableBodyText"/>
                  </w:pPr>
                  <w:r w:rsidRPr="00753A34">
                    <w:t>9.7</w:t>
                  </w:r>
                </w:p>
              </w:tc>
            </w:tr>
            <w:tr w:rsidR="00753A34" w:rsidTr="00382074">
              <w:tc>
                <w:tcPr>
                  <w:tcW w:w="970" w:type="pct"/>
                  <w:tcBorders>
                    <w:bottom w:val="single" w:sz="6" w:space="0" w:color="BFBFBF"/>
                  </w:tcBorders>
                </w:tcPr>
                <w:p w:rsidR="00753A34" w:rsidRPr="002D2677" w:rsidRDefault="00753A34" w:rsidP="00382074">
                  <w:pPr>
                    <w:pStyle w:val="TableBodyText"/>
                    <w:jc w:val="left"/>
                    <w:rPr>
                      <w:b/>
                    </w:rPr>
                  </w:pPr>
                  <w:r>
                    <w:rPr>
                      <w:b/>
                    </w:rPr>
                    <w:t xml:space="preserve">Total </w:t>
                  </w:r>
                  <w:proofErr w:type="spellStart"/>
                  <w:r>
                    <w:rPr>
                      <w:b/>
                    </w:rPr>
                    <w:t>NQF</w:t>
                  </w:r>
                  <w:proofErr w:type="spellEnd"/>
                  <w:r>
                    <w:rPr>
                      <w:b/>
                    </w:rPr>
                    <w:t xml:space="preserve"> approved </w:t>
                  </w:r>
                  <w:proofErr w:type="spellStart"/>
                  <w:r>
                    <w:rPr>
                      <w:b/>
                    </w:rPr>
                    <w:t>ECEC</w:t>
                  </w:r>
                  <w:proofErr w:type="spellEnd"/>
                  <w:r>
                    <w:rPr>
                      <w:b/>
                    </w:rPr>
                    <w:t xml:space="preserve"> services</w:t>
                  </w:r>
                </w:p>
              </w:tc>
              <w:tc>
                <w:tcPr>
                  <w:tcW w:w="448" w:type="pct"/>
                  <w:tcBorders>
                    <w:bottom w:val="single" w:sz="6" w:space="0" w:color="BFBFBF"/>
                  </w:tcBorders>
                  <w:vAlign w:val="bottom"/>
                </w:tcPr>
                <w:p w:rsidR="00753A34" w:rsidRPr="00753A34" w:rsidRDefault="00753A34" w:rsidP="00753A34">
                  <w:pPr>
                    <w:pStyle w:val="TableBodyText"/>
                    <w:rPr>
                      <w:b/>
                    </w:rPr>
                  </w:pPr>
                  <w:r w:rsidRPr="00753A34">
                    <w:rPr>
                      <w:b/>
                    </w:rPr>
                    <w:t>100.0</w:t>
                  </w:r>
                </w:p>
              </w:tc>
              <w:tc>
                <w:tcPr>
                  <w:tcW w:w="448" w:type="pct"/>
                  <w:tcBorders>
                    <w:bottom w:val="single" w:sz="6" w:space="0" w:color="BFBFBF"/>
                  </w:tcBorders>
                  <w:vAlign w:val="bottom"/>
                </w:tcPr>
                <w:p w:rsidR="00753A34" w:rsidRPr="00753A34" w:rsidRDefault="00753A34" w:rsidP="00753A34">
                  <w:pPr>
                    <w:pStyle w:val="TableBodyText"/>
                    <w:rPr>
                      <w:b/>
                    </w:rPr>
                  </w:pPr>
                  <w:r w:rsidRPr="00753A34">
                    <w:rPr>
                      <w:b/>
                    </w:rPr>
                    <w:t>100.0</w:t>
                  </w:r>
                </w:p>
              </w:tc>
              <w:tc>
                <w:tcPr>
                  <w:tcW w:w="448" w:type="pct"/>
                  <w:tcBorders>
                    <w:bottom w:val="single" w:sz="6" w:space="0" w:color="BFBFBF"/>
                  </w:tcBorders>
                  <w:vAlign w:val="bottom"/>
                </w:tcPr>
                <w:p w:rsidR="00753A34" w:rsidRPr="00753A34" w:rsidRDefault="00753A34" w:rsidP="00753A34">
                  <w:pPr>
                    <w:pStyle w:val="TableBodyText"/>
                    <w:rPr>
                      <w:b/>
                    </w:rPr>
                  </w:pPr>
                  <w:r w:rsidRPr="00753A34">
                    <w:rPr>
                      <w:b/>
                    </w:rPr>
                    <w:t>100.0</w:t>
                  </w:r>
                </w:p>
              </w:tc>
              <w:tc>
                <w:tcPr>
                  <w:tcW w:w="448" w:type="pct"/>
                  <w:tcBorders>
                    <w:bottom w:val="single" w:sz="6" w:space="0" w:color="BFBFBF"/>
                  </w:tcBorders>
                  <w:vAlign w:val="bottom"/>
                </w:tcPr>
                <w:p w:rsidR="00753A34" w:rsidRPr="00753A34" w:rsidRDefault="00753A34" w:rsidP="00753A34">
                  <w:pPr>
                    <w:pStyle w:val="TableBodyText"/>
                    <w:rPr>
                      <w:b/>
                    </w:rPr>
                  </w:pPr>
                  <w:r w:rsidRPr="00753A34">
                    <w:rPr>
                      <w:b/>
                    </w:rPr>
                    <w:t>100.0</w:t>
                  </w:r>
                </w:p>
              </w:tc>
              <w:tc>
                <w:tcPr>
                  <w:tcW w:w="448" w:type="pct"/>
                  <w:tcBorders>
                    <w:bottom w:val="single" w:sz="6" w:space="0" w:color="BFBFBF"/>
                  </w:tcBorders>
                  <w:vAlign w:val="bottom"/>
                </w:tcPr>
                <w:p w:rsidR="00753A34" w:rsidRPr="00753A34" w:rsidRDefault="00753A34" w:rsidP="00753A34">
                  <w:pPr>
                    <w:pStyle w:val="TableBodyText"/>
                    <w:rPr>
                      <w:b/>
                    </w:rPr>
                  </w:pPr>
                  <w:r w:rsidRPr="00753A34">
                    <w:rPr>
                      <w:b/>
                    </w:rPr>
                    <w:t>100.0</w:t>
                  </w:r>
                </w:p>
              </w:tc>
              <w:tc>
                <w:tcPr>
                  <w:tcW w:w="448" w:type="pct"/>
                  <w:tcBorders>
                    <w:bottom w:val="single" w:sz="6" w:space="0" w:color="BFBFBF"/>
                  </w:tcBorders>
                  <w:vAlign w:val="bottom"/>
                </w:tcPr>
                <w:p w:rsidR="00753A34" w:rsidRPr="00753A34" w:rsidRDefault="00753A34" w:rsidP="00753A34">
                  <w:pPr>
                    <w:pStyle w:val="TableBodyText"/>
                    <w:rPr>
                      <w:b/>
                    </w:rPr>
                  </w:pPr>
                  <w:r w:rsidRPr="00753A34">
                    <w:rPr>
                      <w:b/>
                    </w:rPr>
                    <w:t>100.0</w:t>
                  </w:r>
                </w:p>
              </w:tc>
              <w:tc>
                <w:tcPr>
                  <w:tcW w:w="448" w:type="pct"/>
                  <w:tcBorders>
                    <w:bottom w:val="single" w:sz="6" w:space="0" w:color="BFBFBF"/>
                  </w:tcBorders>
                  <w:vAlign w:val="bottom"/>
                </w:tcPr>
                <w:p w:rsidR="00753A34" w:rsidRPr="00753A34" w:rsidRDefault="00753A34" w:rsidP="00753A34">
                  <w:pPr>
                    <w:pStyle w:val="TableBodyText"/>
                    <w:rPr>
                      <w:b/>
                    </w:rPr>
                  </w:pPr>
                  <w:r w:rsidRPr="00753A34">
                    <w:rPr>
                      <w:b/>
                    </w:rPr>
                    <w:t>100.0</w:t>
                  </w:r>
                </w:p>
              </w:tc>
              <w:tc>
                <w:tcPr>
                  <w:tcW w:w="448" w:type="pct"/>
                  <w:tcBorders>
                    <w:bottom w:val="single" w:sz="6" w:space="0" w:color="BFBFBF"/>
                  </w:tcBorders>
                  <w:vAlign w:val="bottom"/>
                </w:tcPr>
                <w:p w:rsidR="00753A34" w:rsidRPr="00753A34" w:rsidRDefault="00753A34" w:rsidP="00753A34">
                  <w:pPr>
                    <w:pStyle w:val="TableBodyText"/>
                    <w:rPr>
                      <w:b/>
                    </w:rPr>
                  </w:pPr>
                  <w:r w:rsidRPr="00753A34">
                    <w:rPr>
                      <w:b/>
                    </w:rPr>
                    <w:t>100.0</w:t>
                  </w:r>
                </w:p>
              </w:tc>
              <w:tc>
                <w:tcPr>
                  <w:tcW w:w="446" w:type="pct"/>
                  <w:tcBorders>
                    <w:bottom w:val="single" w:sz="6" w:space="0" w:color="BFBFBF"/>
                  </w:tcBorders>
                  <w:vAlign w:val="bottom"/>
                </w:tcPr>
                <w:p w:rsidR="00753A34" w:rsidRPr="00753A34" w:rsidRDefault="00753A34" w:rsidP="00753A34">
                  <w:pPr>
                    <w:pStyle w:val="TableBodyText"/>
                    <w:rPr>
                      <w:b/>
                    </w:rPr>
                  </w:pPr>
                  <w:r w:rsidRPr="00753A34">
                    <w:rPr>
                      <w:b/>
                    </w:rPr>
                    <w:t>100.0</w:t>
                  </w:r>
                </w:p>
              </w:tc>
            </w:tr>
          </w:tbl>
          <w:p w:rsidR="00753A34" w:rsidRDefault="00753A34" w:rsidP="00B50E7D">
            <w:pPr>
              <w:pStyle w:val="Box"/>
            </w:pPr>
          </w:p>
        </w:tc>
      </w:tr>
      <w:tr w:rsidR="00753A34" w:rsidTr="00B50E7D">
        <w:trPr>
          <w:cantSplit/>
        </w:trPr>
        <w:tc>
          <w:tcPr>
            <w:tcW w:w="8771" w:type="dxa"/>
            <w:tcBorders>
              <w:top w:val="nil"/>
              <w:left w:val="nil"/>
              <w:bottom w:val="nil"/>
              <w:right w:val="nil"/>
            </w:tcBorders>
            <w:shd w:val="clear" w:color="auto" w:fill="auto"/>
          </w:tcPr>
          <w:p w:rsidR="00753A34" w:rsidRDefault="00753A34" w:rsidP="00485709">
            <w:pPr>
              <w:pStyle w:val="Note"/>
              <w:rPr>
                <w:i/>
              </w:rPr>
            </w:pPr>
            <w:r w:rsidRPr="008E77FE">
              <w:rPr>
                <w:rStyle w:val="NoteLabel"/>
              </w:rPr>
              <w:t>a</w:t>
            </w:r>
            <w:r w:rsidR="00485709">
              <w:t xml:space="preserve"> </w:t>
            </w:r>
            <w:r w:rsidR="006853DC">
              <w:t>See table</w:t>
            </w:r>
            <w:r w:rsidR="00697D43">
              <w:t> </w:t>
            </w:r>
            <w:proofErr w:type="spellStart"/>
            <w:r w:rsidR="006853DC">
              <w:t>3A.10</w:t>
            </w:r>
            <w:proofErr w:type="spellEnd"/>
            <w:r w:rsidR="006853DC" w:rsidRPr="006853DC">
              <w:t xml:space="preserve"> for detailed </w:t>
            </w:r>
            <w:r w:rsidR="00485709">
              <w:t xml:space="preserve">footnotes and </w:t>
            </w:r>
            <w:r w:rsidR="006853DC" w:rsidRPr="006853DC">
              <w:t>caveats</w:t>
            </w:r>
            <w:r w:rsidR="006853DC">
              <w:t>.</w:t>
            </w:r>
            <w:r w:rsidR="00146917" w:rsidRPr="00136A1E">
              <w:rPr>
                <w:color w:val="FF0000"/>
              </w:rPr>
              <w:t xml:space="preserve"> </w:t>
            </w:r>
            <w:r w:rsidR="00146917" w:rsidRPr="00146917">
              <w:t>– Nil or rounded to zero.</w:t>
            </w:r>
          </w:p>
        </w:tc>
      </w:tr>
      <w:tr w:rsidR="00753A34" w:rsidTr="00B50E7D">
        <w:trPr>
          <w:cantSplit/>
        </w:trPr>
        <w:tc>
          <w:tcPr>
            <w:tcW w:w="8771" w:type="dxa"/>
            <w:tcBorders>
              <w:top w:val="nil"/>
              <w:left w:val="nil"/>
              <w:bottom w:val="nil"/>
              <w:right w:val="nil"/>
            </w:tcBorders>
            <w:shd w:val="clear" w:color="auto" w:fill="auto"/>
          </w:tcPr>
          <w:p w:rsidR="00753A34" w:rsidRDefault="00753A34" w:rsidP="00B50E7D">
            <w:pPr>
              <w:pStyle w:val="Source"/>
            </w:pPr>
            <w:r>
              <w:rPr>
                <w:i/>
              </w:rPr>
              <w:t>Source</w:t>
            </w:r>
            <w:r>
              <w:t xml:space="preserve">: </w:t>
            </w:r>
            <w:proofErr w:type="spellStart"/>
            <w:r>
              <w:t>ACECQA</w:t>
            </w:r>
            <w:proofErr w:type="spellEnd"/>
            <w:r>
              <w:t xml:space="preserve"> </w:t>
            </w:r>
            <w:proofErr w:type="spellStart"/>
            <w:r>
              <w:t>N</w:t>
            </w:r>
            <w:r w:rsidR="002B57D2">
              <w:t>QAITS</w:t>
            </w:r>
            <w:proofErr w:type="spellEnd"/>
            <w:r w:rsidR="002B57D2">
              <w:t xml:space="preserve"> (unpublished); table</w:t>
            </w:r>
            <w:r w:rsidR="00697D43">
              <w:t> </w:t>
            </w:r>
            <w:proofErr w:type="spellStart"/>
            <w:r w:rsidR="002B57D2">
              <w:t>3A.10</w:t>
            </w:r>
            <w:proofErr w:type="spellEnd"/>
            <w:r>
              <w:t>.</w:t>
            </w:r>
          </w:p>
        </w:tc>
      </w:tr>
      <w:tr w:rsidR="00753A34" w:rsidTr="00B50E7D">
        <w:trPr>
          <w:cantSplit/>
        </w:trPr>
        <w:tc>
          <w:tcPr>
            <w:tcW w:w="8771" w:type="dxa"/>
            <w:tcBorders>
              <w:top w:val="nil"/>
              <w:left w:val="nil"/>
              <w:bottom w:val="single" w:sz="6" w:space="0" w:color="78A22F"/>
              <w:right w:val="nil"/>
            </w:tcBorders>
            <w:shd w:val="clear" w:color="auto" w:fill="auto"/>
          </w:tcPr>
          <w:p w:rsidR="00753A34" w:rsidRDefault="00753A34" w:rsidP="00B50E7D">
            <w:pPr>
              <w:pStyle w:val="Box"/>
              <w:spacing w:before="0" w:line="120" w:lineRule="exact"/>
            </w:pPr>
          </w:p>
        </w:tc>
      </w:tr>
      <w:tr w:rsidR="00753A34" w:rsidRPr="000863A5" w:rsidTr="00B50E7D">
        <w:tc>
          <w:tcPr>
            <w:tcW w:w="8771" w:type="dxa"/>
            <w:tcBorders>
              <w:top w:val="single" w:sz="6" w:space="0" w:color="78A22F"/>
              <w:left w:val="nil"/>
              <w:bottom w:val="nil"/>
              <w:right w:val="nil"/>
            </w:tcBorders>
          </w:tcPr>
          <w:p w:rsidR="00753A34" w:rsidRPr="00626D32" w:rsidRDefault="00753A34" w:rsidP="00B50E7D">
            <w:pPr>
              <w:pStyle w:val="BoxSpaceBelow"/>
            </w:pPr>
          </w:p>
        </w:tc>
      </w:tr>
    </w:tbl>
    <w:p w:rsidR="00004BAB" w:rsidRDefault="00353D41" w:rsidP="00004BAB">
      <w:pPr>
        <w:pStyle w:val="Heading4"/>
      </w:pPr>
      <w:r>
        <w:t>S</w:t>
      </w:r>
      <w:r w:rsidR="00004BAB">
        <w:t>ervices delivering a preschool program</w:t>
      </w:r>
    </w:p>
    <w:p w:rsidR="00004BAB" w:rsidRDefault="00004BAB" w:rsidP="00004BAB">
      <w:pPr>
        <w:pStyle w:val="BodyText"/>
      </w:pPr>
      <w:r>
        <w:t xml:space="preserve">The </w:t>
      </w:r>
      <w:proofErr w:type="spellStart"/>
      <w:r w:rsidR="004C29BF">
        <w:t>NECECC</w:t>
      </w:r>
      <w:proofErr w:type="spellEnd"/>
      <w:r>
        <w:t xml:space="preserve"> provides information on service numbers and usage of preschool programs. </w:t>
      </w:r>
      <w:proofErr w:type="spellStart"/>
      <w:r w:rsidR="009C51AA">
        <w:t>NECECC</w:t>
      </w:r>
      <w:proofErr w:type="spellEnd"/>
      <w:r w:rsidR="009C51AA">
        <w:t xml:space="preserve"> data are not directly comparable to data in earlier sections of this </w:t>
      </w:r>
      <w:r w:rsidR="00A14144">
        <w:t>R</w:t>
      </w:r>
      <w:r w:rsidR="009C51AA">
        <w:t xml:space="preserve">eport. </w:t>
      </w:r>
      <w:r w:rsidR="00353D41">
        <w:t>Box </w:t>
      </w:r>
      <w:r>
        <w:t xml:space="preserve">3.3 contains more information on the </w:t>
      </w:r>
      <w:proofErr w:type="spellStart"/>
      <w:r>
        <w:t>NECECC</w:t>
      </w:r>
      <w:proofErr w:type="spellEnd"/>
      <w:r>
        <w:t xml:space="preserve">. </w:t>
      </w: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004BAB" w:rsidTr="000B047F">
        <w:tc>
          <w:tcPr>
            <w:tcW w:w="8771" w:type="dxa"/>
            <w:tcBorders>
              <w:top w:val="single" w:sz="6" w:space="0" w:color="78A22F"/>
              <w:left w:val="nil"/>
              <w:bottom w:val="nil"/>
              <w:right w:val="nil"/>
            </w:tcBorders>
            <w:shd w:val="clear" w:color="auto" w:fill="F2F2F2"/>
          </w:tcPr>
          <w:p w:rsidR="00004BAB" w:rsidRDefault="00004BAB" w:rsidP="004C29BF">
            <w:pPr>
              <w:pStyle w:val="BoxTitle"/>
            </w:pPr>
            <w:r>
              <w:rPr>
                <w:b w:val="0"/>
              </w:rPr>
              <w:lastRenderedPageBreak/>
              <w:t>Box 3.3</w:t>
            </w:r>
            <w:r>
              <w:tab/>
            </w:r>
            <w:proofErr w:type="spellStart"/>
            <w:r w:rsidR="004C29BF">
              <w:t>NECECC</w:t>
            </w:r>
            <w:proofErr w:type="spellEnd"/>
          </w:p>
        </w:tc>
      </w:tr>
      <w:tr w:rsidR="00004BAB" w:rsidTr="000B047F">
        <w:trPr>
          <w:cantSplit/>
        </w:trPr>
        <w:tc>
          <w:tcPr>
            <w:tcW w:w="8771" w:type="dxa"/>
            <w:tcBorders>
              <w:top w:val="nil"/>
              <w:left w:val="nil"/>
              <w:bottom w:val="nil"/>
              <w:right w:val="nil"/>
            </w:tcBorders>
            <w:shd w:val="clear" w:color="auto" w:fill="F2F2F2"/>
          </w:tcPr>
          <w:p w:rsidR="00004BAB" w:rsidRDefault="00004BAB" w:rsidP="000B047F">
            <w:pPr>
              <w:pStyle w:val="Box"/>
            </w:pPr>
            <w:r w:rsidRPr="008725A8">
              <w:t xml:space="preserve">The </w:t>
            </w:r>
            <w:proofErr w:type="spellStart"/>
            <w:r w:rsidR="004C29BF">
              <w:t>NECECC</w:t>
            </w:r>
            <w:proofErr w:type="spellEnd"/>
            <w:r>
              <w:t xml:space="preserve"> </w:t>
            </w:r>
            <w:r w:rsidR="009C51AA">
              <w:t>is conducted annually</w:t>
            </w:r>
            <w:r>
              <w:t>.</w:t>
            </w:r>
            <w:r w:rsidRPr="00CE21C3">
              <w:rPr>
                <w:color w:val="FF0000"/>
              </w:rPr>
              <w:t xml:space="preserve"> </w:t>
            </w:r>
            <w:r w:rsidRPr="008725A8">
              <w:t>The collection date is the first Friday in August each year</w:t>
            </w:r>
            <w:r>
              <w:t>.</w:t>
            </w:r>
          </w:p>
          <w:p w:rsidR="00004BAB" w:rsidRPr="008725A8" w:rsidRDefault="00004BAB" w:rsidP="000B047F">
            <w:pPr>
              <w:pStyle w:val="Box"/>
            </w:pPr>
            <w:r w:rsidRPr="008725A8">
              <w:t>The aim</w:t>
            </w:r>
            <w:r>
              <w:t xml:space="preserve"> of the </w:t>
            </w:r>
            <w:proofErr w:type="spellStart"/>
            <w:r>
              <w:t>NECECC</w:t>
            </w:r>
            <w:proofErr w:type="spellEnd"/>
            <w:r>
              <w:t xml:space="preserve"> is to provide comparable state and t</w:t>
            </w:r>
            <w:r w:rsidRPr="008725A8">
              <w:t xml:space="preserve">erritory </w:t>
            </w:r>
            <w:r w:rsidR="009C51AA">
              <w:t>data</w:t>
            </w:r>
            <w:r w:rsidR="009C51AA" w:rsidRPr="008725A8">
              <w:t xml:space="preserve"> </w:t>
            </w:r>
            <w:r w:rsidRPr="008725A8">
              <w:t>on early childhood education. Data have been compiled according to the national standards outlined in the Early Childhood Education and Care National Minimu</w:t>
            </w:r>
            <w:r w:rsidR="00AB6799">
              <w:t>m Data Set</w:t>
            </w:r>
            <w:r>
              <w:t xml:space="preserve">. </w:t>
            </w:r>
            <w:r w:rsidR="009C51AA">
              <w:t>H</w:t>
            </w:r>
            <w:r>
              <w:t>owever, a</w:t>
            </w:r>
            <w:r w:rsidRPr="008725A8">
              <w:t xml:space="preserve">lignment with these standards has not </w:t>
            </w:r>
            <w:r>
              <w:t xml:space="preserve">yet </w:t>
            </w:r>
            <w:r w:rsidRPr="008725A8">
              <w:t>been completely achiev</w:t>
            </w:r>
            <w:r w:rsidR="00175D09">
              <w:t>ed by some</w:t>
            </w:r>
            <w:r>
              <w:t xml:space="preserve"> jurisdictions</w:t>
            </w:r>
            <w:r w:rsidRPr="008725A8">
              <w:t xml:space="preserve">, and care should be taken when </w:t>
            </w:r>
            <w:r>
              <w:t xml:space="preserve">making </w:t>
            </w:r>
            <w:r w:rsidRPr="008725A8">
              <w:t>comparison</w:t>
            </w:r>
            <w:r>
              <w:t>s across jurisdictions</w:t>
            </w:r>
            <w:r w:rsidRPr="008725A8">
              <w:t>.</w:t>
            </w:r>
          </w:p>
          <w:p w:rsidR="00004BAB" w:rsidRPr="008725A8" w:rsidRDefault="00004BAB" w:rsidP="000B047F">
            <w:pPr>
              <w:pStyle w:val="Box"/>
            </w:pPr>
            <w:r w:rsidRPr="008725A8">
              <w:t xml:space="preserve">The </w:t>
            </w:r>
            <w:proofErr w:type="spellStart"/>
            <w:r>
              <w:t>NECECC</w:t>
            </w:r>
            <w:proofErr w:type="spellEnd"/>
            <w:r>
              <w:t xml:space="preserve"> is derived from data provided by the Australian Government and S</w:t>
            </w:r>
            <w:r w:rsidRPr="008725A8">
              <w:t>tat</w:t>
            </w:r>
            <w:r>
              <w:t>e and Territory g</w:t>
            </w:r>
            <w:r w:rsidRPr="008725A8">
              <w:t>overnment depa</w:t>
            </w:r>
            <w:r>
              <w:t>rtments with responsibility for early childhood education.</w:t>
            </w:r>
            <w:r w:rsidRPr="008725A8">
              <w:t xml:space="preserve"> </w:t>
            </w:r>
          </w:p>
          <w:p w:rsidR="00004BAB" w:rsidRPr="008725A8" w:rsidRDefault="00004BAB" w:rsidP="000B047F">
            <w:pPr>
              <w:pStyle w:val="Box"/>
            </w:pPr>
            <w:r w:rsidRPr="008725A8">
              <w:t>The scope o</w:t>
            </w:r>
            <w:r w:rsidR="00EB3C51">
              <w:t xml:space="preserve">f the </w:t>
            </w:r>
            <w:proofErr w:type="spellStart"/>
            <w:r w:rsidR="00EB3C51">
              <w:t>NECECC</w:t>
            </w:r>
            <w:proofErr w:type="spellEnd"/>
            <w:r w:rsidRPr="008725A8">
              <w:t xml:space="preserve"> consists of all service providers delivering a preschool program. A preschool program i</w:t>
            </w:r>
            <w:r>
              <w:t>s defined as a structured, play</w:t>
            </w:r>
            <w:r>
              <w:noBreakHyphen/>
            </w:r>
            <w:r w:rsidRPr="008725A8">
              <w:t>based learning program, delivered by a degr</w:t>
            </w:r>
            <w:r>
              <w:t xml:space="preserve">ee qualified teacher, </w:t>
            </w:r>
            <w:r w:rsidRPr="008725A8">
              <w:t xml:space="preserve">aimed at children in the year </w:t>
            </w:r>
            <w:r w:rsidRPr="001E1784">
              <w:t>or two</w:t>
            </w:r>
            <w:r>
              <w:t xml:space="preserve"> </w:t>
            </w:r>
            <w:r w:rsidRPr="008725A8">
              <w:t>before they comme</w:t>
            </w:r>
            <w:r>
              <w:t>nce full time schooling,</w:t>
            </w:r>
            <w:r w:rsidRPr="008725A8">
              <w:t xml:space="preserve"> irrespective of the type</w:t>
            </w:r>
            <w:r>
              <w:t xml:space="preserve"> of institution that provides the program</w:t>
            </w:r>
            <w:r w:rsidRPr="008725A8">
              <w:t xml:space="preserve">, or whether it is government funded or privately provided. </w:t>
            </w:r>
          </w:p>
          <w:p w:rsidR="00004BAB" w:rsidRDefault="00004BAB" w:rsidP="000B047F">
            <w:pPr>
              <w:pStyle w:val="Box"/>
            </w:pPr>
            <w:r w:rsidRPr="005675FA">
              <w:t>Programs may be delivered in a variety of ser</w:t>
            </w:r>
            <w:r w:rsidR="00175D09">
              <w:t>vice settings including stand</w:t>
            </w:r>
            <w:r w:rsidR="002D438E">
              <w:noBreakHyphen/>
            </w:r>
            <w:r w:rsidR="00175D09">
              <w:t>alone</w:t>
            </w:r>
            <w:r w:rsidRPr="005675FA">
              <w:t xml:space="preserve"> preschools or kindergartens, long day care centres or in association with a school. Long day care centres that do not operate a preschool program are not included.</w:t>
            </w:r>
            <w:r w:rsidRPr="008725A8">
              <w:t xml:space="preserve"> </w:t>
            </w:r>
            <w:r>
              <w:t>T</w:t>
            </w:r>
            <w:r w:rsidRPr="001E1784">
              <w:t>here is still an unknown level of under</w:t>
            </w:r>
            <w:r>
              <w:noBreakHyphen/>
            </w:r>
            <w:r w:rsidRPr="001E1784">
              <w:t>coverage o</w:t>
            </w:r>
            <w:r>
              <w:t>f long day care services</w:t>
            </w:r>
            <w:r w:rsidRPr="001E1784">
              <w:t xml:space="preserve"> which are delivering a preschool program and are not currently captured in </w:t>
            </w:r>
            <w:r w:rsidR="0007091C">
              <w:t xml:space="preserve">the Child Care Management System </w:t>
            </w:r>
            <w:r w:rsidRPr="001E1784">
              <w:t xml:space="preserve">or state and territory </w:t>
            </w:r>
            <w:proofErr w:type="spellStart"/>
            <w:r w:rsidRPr="001E1784">
              <w:t>ECEC</w:t>
            </w:r>
            <w:proofErr w:type="spellEnd"/>
            <w:r w:rsidRPr="001E1784">
              <w:t xml:space="preserve"> collections.</w:t>
            </w:r>
            <w:r w:rsidR="004615CF">
              <w:t xml:space="preserve"> </w:t>
            </w:r>
            <w:r w:rsidR="004615CF" w:rsidRPr="004615CF">
              <w:t xml:space="preserve">Continuous improvements to the methodology and coverage of the </w:t>
            </w:r>
            <w:proofErr w:type="spellStart"/>
            <w:r w:rsidR="004615CF" w:rsidRPr="004615CF">
              <w:t>NECECC</w:t>
            </w:r>
            <w:proofErr w:type="spellEnd"/>
            <w:r w:rsidR="004615CF" w:rsidRPr="004615CF">
              <w:t xml:space="preserve"> are being made to capture the full range of preschool services.</w:t>
            </w:r>
          </w:p>
          <w:p w:rsidR="00004BAB" w:rsidRDefault="00004BAB" w:rsidP="002638B2">
            <w:pPr>
              <w:pStyle w:val="Box"/>
            </w:pPr>
            <w:r w:rsidRPr="008725A8">
              <w:t xml:space="preserve">All children who were </w:t>
            </w:r>
            <w:r>
              <w:t xml:space="preserve">aged between 3 and 6 years (inclusive) on </w:t>
            </w:r>
            <w:r w:rsidRPr="008725A8">
              <w:t xml:space="preserve">1 July in the collection year </w:t>
            </w:r>
            <w:r>
              <w:t xml:space="preserve">are included in </w:t>
            </w:r>
            <w:r w:rsidR="00EB3C51">
              <w:t xml:space="preserve">the </w:t>
            </w:r>
            <w:proofErr w:type="spellStart"/>
            <w:r w:rsidR="00EB3C51">
              <w:t>NECECC</w:t>
            </w:r>
            <w:proofErr w:type="spellEnd"/>
            <w:r w:rsidR="00EB3C51">
              <w:t xml:space="preserve"> </w:t>
            </w:r>
            <w:r w:rsidRPr="008725A8">
              <w:t xml:space="preserve">if they were enrolled </w:t>
            </w:r>
            <w:r>
              <w:t xml:space="preserve">in a preschool program </w:t>
            </w:r>
            <w:r w:rsidRPr="008725A8">
              <w:t>during the referen</w:t>
            </w:r>
            <w:r>
              <w:t>ce period</w:t>
            </w:r>
            <w:r w:rsidRPr="008725A8">
              <w:t>. To be considered as enrolled, the child must have attended the preschool program for at least one hour during the reference period, or be absent due to illness or extended holiday leave and expected to return.</w:t>
            </w:r>
            <w:r w:rsidR="004615CF">
              <w:t xml:space="preserve"> </w:t>
            </w:r>
            <w:r w:rsidRPr="008725A8">
              <w:t xml:space="preserve">All paid employees </w:t>
            </w:r>
            <w:r w:rsidRPr="001E1784">
              <w:t>delivering a preschool program</w:t>
            </w:r>
            <w:r>
              <w:t xml:space="preserve"> </w:t>
            </w:r>
            <w:r w:rsidRPr="008725A8">
              <w:t>at an in</w:t>
            </w:r>
            <w:r>
              <w:noBreakHyphen/>
            </w:r>
            <w:r w:rsidRPr="008725A8">
              <w:t>scope service provider during th</w:t>
            </w:r>
            <w:r>
              <w:t xml:space="preserve">e reference period are included in </w:t>
            </w:r>
            <w:r w:rsidRPr="008725A8">
              <w:t xml:space="preserve">the collection. </w:t>
            </w:r>
          </w:p>
        </w:tc>
      </w:tr>
      <w:tr w:rsidR="00004BAB" w:rsidTr="000B047F">
        <w:trPr>
          <w:cantSplit/>
        </w:trPr>
        <w:tc>
          <w:tcPr>
            <w:tcW w:w="8771" w:type="dxa"/>
            <w:tcBorders>
              <w:top w:val="nil"/>
              <w:left w:val="nil"/>
              <w:bottom w:val="nil"/>
              <w:right w:val="nil"/>
            </w:tcBorders>
            <w:shd w:val="clear" w:color="auto" w:fill="F2F2F2"/>
          </w:tcPr>
          <w:p w:rsidR="00004BAB" w:rsidRDefault="00004BAB" w:rsidP="000B047F">
            <w:pPr>
              <w:pStyle w:val="BoxSource"/>
            </w:pPr>
            <w:r w:rsidRPr="008725A8">
              <w:rPr>
                <w:i/>
              </w:rPr>
              <w:t>Source</w:t>
            </w:r>
            <w:r>
              <w:t>: ABS (</w:t>
            </w:r>
            <w:proofErr w:type="spellStart"/>
            <w:r>
              <w:t>2015</w:t>
            </w:r>
            <w:r w:rsidR="00FA69D3">
              <w:t>a</w:t>
            </w:r>
            <w:proofErr w:type="spellEnd"/>
            <w:r w:rsidRPr="008725A8">
              <w:t>).</w:t>
            </w:r>
          </w:p>
        </w:tc>
      </w:tr>
      <w:tr w:rsidR="00004BAB" w:rsidTr="000B047F">
        <w:trPr>
          <w:cantSplit/>
        </w:trPr>
        <w:tc>
          <w:tcPr>
            <w:tcW w:w="8771" w:type="dxa"/>
            <w:tcBorders>
              <w:top w:val="nil"/>
              <w:left w:val="nil"/>
              <w:bottom w:val="single" w:sz="6" w:space="0" w:color="78A22F"/>
              <w:right w:val="nil"/>
            </w:tcBorders>
            <w:shd w:val="clear" w:color="auto" w:fill="F2F2F2"/>
          </w:tcPr>
          <w:p w:rsidR="00004BAB" w:rsidRDefault="00004BAB" w:rsidP="000B047F">
            <w:pPr>
              <w:pStyle w:val="Box"/>
              <w:spacing w:before="0" w:line="120" w:lineRule="exact"/>
            </w:pPr>
          </w:p>
        </w:tc>
      </w:tr>
      <w:tr w:rsidR="00004BAB" w:rsidRPr="00626D32" w:rsidTr="000B047F">
        <w:tc>
          <w:tcPr>
            <w:tcW w:w="8771" w:type="dxa"/>
            <w:tcBorders>
              <w:top w:val="single" w:sz="6" w:space="0" w:color="78A22F"/>
              <w:left w:val="nil"/>
              <w:bottom w:val="nil"/>
              <w:right w:val="nil"/>
            </w:tcBorders>
          </w:tcPr>
          <w:p w:rsidR="00004BAB" w:rsidRPr="00626D32" w:rsidRDefault="00004BAB" w:rsidP="000B047F">
            <w:pPr>
              <w:pStyle w:val="BoxSpaceBelow"/>
            </w:pPr>
          </w:p>
        </w:tc>
      </w:tr>
    </w:tbl>
    <w:p w:rsidR="00004BAB" w:rsidRDefault="00004BAB" w:rsidP="00004BAB">
      <w:pPr>
        <w:pStyle w:val="BodyText"/>
      </w:pPr>
      <w:r>
        <w:t>Nationally in 2014</w:t>
      </w:r>
      <w:r w:rsidRPr="007A3CDF">
        <w:t xml:space="preserve"> </w:t>
      </w:r>
      <w:r>
        <w:t xml:space="preserve">according to the </w:t>
      </w:r>
      <w:proofErr w:type="spellStart"/>
      <w:r>
        <w:t>NECECC</w:t>
      </w:r>
      <w:proofErr w:type="spellEnd"/>
      <w:r>
        <w:t xml:space="preserve"> </w:t>
      </w:r>
      <w:r w:rsidRPr="007A3CDF">
        <w:t xml:space="preserve">there were </w:t>
      </w:r>
      <w:r>
        <w:t xml:space="preserve">8989 services in Australia delivering preschool programs to children from 3 years of age. Of these services, </w:t>
      </w:r>
      <w:r w:rsidR="00F40E75">
        <w:t>4709</w:t>
      </w:r>
      <w:r w:rsidR="004833D8">
        <w:t xml:space="preserve"> were</w:t>
      </w:r>
      <w:r w:rsidR="004833D8" w:rsidRPr="007A3CDF">
        <w:t xml:space="preserve"> </w:t>
      </w:r>
      <w:r w:rsidR="004833D8">
        <w:t xml:space="preserve">delivered from long day care centres and </w:t>
      </w:r>
      <w:r>
        <w:t>4280</w:t>
      </w:r>
      <w:r w:rsidR="004833D8">
        <w:t xml:space="preserve"> were delivered from stand</w:t>
      </w:r>
      <w:r w:rsidR="002D438E">
        <w:noBreakHyphen/>
      </w:r>
      <w:r w:rsidR="004833D8">
        <w:t xml:space="preserve">alone </w:t>
      </w:r>
      <w:r>
        <w:t xml:space="preserve">preschools </w:t>
      </w:r>
      <w:r w:rsidR="004833D8">
        <w:t xml:space="preserve">or preschools attached to a school. </w:t>
      </w:r>
      <w:r>
        <w:t xml:space="preserve">While the proportion varied across jurisdictions, over half of all preschool services in Australia were delivered by </w:t>
      </w:r>
      <w:r w:rsidR="00BF4CE7">
        <w:t>long day care centres (table</w:t>
      </w:r>
      <w:r w:rsidR="00697D43">
        <w:t> </w:t>
      </w:r>
      <w:r w:rsidR="00BF4CE7">
        <w:t>3.8</w:t>
      </w:r>
      <w:r w:rsidRPr="007A3CDF">
        <w:t>).</w:t>
      </w:r>
    </w:p>
    <w:p w:rsidR="008E62DE" w:rsidRDefault="008E62DE" w:rsidP="00004BAB">
      <w:pPr>
        <w:pStyle w:val="BodyText"/>
      </w:pPr>
    </w:p>
    <w:tbl>
      <w:tblPr>
        <w:tblW w:w="0" w:type="auto"/>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8771"/>
      </w:tblGrid>
      <w:tr w:rsidR="00A1300E" w:rsidRPr="00784A05" w:rsidTr="00E97924">
        <w:tc>
          <w:tcPr>
            <w:tcW w:w="8771" w:type="dxa"/>
            <w:tcBorders>
              <w:top w:val="single" w:sz="6" w:space="0" w:color="78A22F"/>
              <w:left w:val="nil"/>
              <w:bottom w:val="nil"/>
              <w:right w:val="nil"/>
            </w:tcBorders>
            <w:shd w:val="clear" w:color="auto" w:fill="auto"/>
          </w:tcPr>
          <w:p w:rsidR="00A1300E" w:rsidRPr="00784A05" w:rsidRDefault="00A1300E" w:rsidP="004615CF">
            <w:pPr>
              <w:pStyle w:val="TableTitle"/>
            </w:pPr>
            <w:r>
              <w:rPr>
                <w:b w:val="0"/>
              </w:rPr>
              <w:lastRenderedPageBreak/>
              <w:t>Table 3.</w:t>
            </w:r>
            <w:r w:rsidR="00BF4CE7">
              <w:rPr>
                <w:b w:val="0"/>
              </w:rPr>
              <w:t>8</w:t>
            </w:r>
            <w:r>
              <w:tab/>
            </w:r>
            <w:r w:rsidRPr="007F27A5">
              <w:t>Number and proportion of preschool services, by service delivery setting and management type</w:t>
            </w:r>
            <w:r w:rsidR="006B4E8B">
              <w:t xml:space="preserve">, </w:t>
            </w:r>
            <w:r>
              <w:t>2014</w:t>
            </w:r>
            <w:r w:rsidRPr="006D4B25">
              <w:rPr>
                <w:rStyle w:val="NoteLabel"/>
                <w:b/>
              </w:rPr>
              <w:t>a</w:t>
            </w:r>
          </w:p>
        </w:tc>
      </w:tr>
      <w:tr w:rsidR="00A1300E" w:rsidTr="00E97924">
        <w:trPr>
          <w:cantSplit/>
        </w:trPr>
        <w:tc>
          <w:tcPr>
            <w:tcW w:w="8771" w:type="dxa"/>
            <w:tcBorders>
              <w:top w:val="nil"/>
              <w:left w:val="nil"/>
              <w:bottom w:val="nil"/>
              <w:right w:val="nil"/>
            </w:tcBorders>
            <w:shd w:val="clear" w:color="auto" w:fill="auto"/>
          </w:tcPr>
          <w:tbl>
            <w:tblPr>
              <w:tblW w:w="5000" w:type="pct"/>
              <w:jc w:val="center"/>
              <w:tblCellMar>
                <w:left w:w="0" w:type="dxa"/>
                <w:right w:w="0" w:type="dxa"/>
              </w:tblCellMar>
              <w:tblLook w:val="0000" w:firstRow="0" w:lastRow="0" w:firstColumn="0" w:lastColumn="0" w:noHBand="0" w:noVBand="0"/>
            </w:tblPr>
            <w:tblGrid>
              <w:gridCol w:w="1031"/>
              <w:gridCol w:w="996"/>
              <w:gridCol w:w="752"/>
              <w:gridCol w:w="623"/>
              <w:gridCol w:w="760"/>
              <w:gridCol w:w="752"/>
              <w:gridCol w:w="757"/>
              <w:gridCol w:w="755"/>
              <w:gridCol w:w="701"/>
              <w:gridCol w:w="681"/>
              <w:gridCol w:w="679"/>
            </w:tblGrid>
            <w:tr w:rsidR="00A1300E" w:rsidRPr="00F36FC4" w:rsidTr="00E97924">
              <w:trPr>
                <w:jc w:val="center"/>
              </w:trPr>
              <w:tc>
                <w:tcPr>
                  <w:tcW w:w="607" w:type="pct"/>
                  <w:tcBorders>
                    <w:top w:val="single" w:sz="6" w:space="0" w:color="BFBFBF"/>
                    <w:bottom w:val="single" w:sz="6" w:space="0" w:color="BFBFBF"/>
                  </w:tcBorders>
                  <w:shd w:val="clear" w:color="auto" w:fill="auto"/>
                </w:tcPr>
                <w:p w:rsidR="00A1300E" w:rsidRPr="00F36FC4" w:rsidRDefault="00A1300E" w:rsidP="00E97924">
                  <w:pPr>
                    <w:pStyle w:val="TableColumnHeading"/>
                    <w:jc w:val="left"/>
                  </w:pPr>
                </w:p>
              </w:tc>
              <w:tc>
                <w:tcPr>
                  <w:tcW w:w="587" w:type="pct"/>
                  <w:tcBorders>
                    <w:top w:val="single" w:sz="6" w:space="0" w:color="BFBFBF"/>
                    <w:bottom w:val="single" w:sz="6" w:space="0" w:color="BFBFBF"/>
                  </w:tcBorders>
                  <w:shd w:val="clear" w:color="auto" w:fill="auto"/>
                </w:tcPr>
                <w:p w:rsidR="00A1300E" w:rsidRPr="00F36FC4" w:rsidRDefault="00A1300E" w:rsidP="00E97924">
                  <w:pPr>
                    <w:pStyle w:val="TableColumnHeading"/>
                  </w:pPr>
                </w:p>
              </w:tc>
              <w:tc>
                <w:tcPr>
                  <w:tcW w:w="443" w:type="pct"/>
                  <w:tcBorders>
                    <w:top w:val="single" w:sz="6" w:space="0" w:color="BFBFBF"/>
                    <w:bottom w:val="single" w:sz="6" w:space="0" w:color="BFBFBF"/>
                  </w:tcBorders>
                  <w:shd w:val="clear" w:color="auto" w:fill="auto"/>
                  <w:vAlign w:val="center"/>
                </w:tcPr>
                <w:p w:rsidR="00A1300E" w:rsidRPr="00F36FC4" w:rsidRDefault="00A1300E" w:rsidP="00E97924">
                  <w:pPr>
                    <w:pStyle w:val="TableColumnHeading"/>
                  </w:pPr>
                  <w:r w:rsidRPr="00F36FC4">
                    <w:t>NSW</w:t>
                  </w:r>
                </w:p>
              </w:tc>
              <w:tc>
                <w:tcPr>
                  <w:tcW w:w="367" w:type="pct"/>
                  <w:tcBorders>
                    <w:top w:val="single" w:sz="6" w:space="0" w:color="BFBFBF"/>
                    <w:bottom w:val="single" w:sz="6" w:space="0" w:color="BFBFBF"/>
                  </w:tcBorders>
                  <w:shd w:val="clear" w:color="auto" w:fill="auto"/>
                  <w:vAlign w:val="center"/>
                </w:tcPr>
                <w:p w:rsidR="00A1300E" w:rsidRPr="00F36FC4" w:rsidRDefault="00A1300E" w:rsidP="00E97924">
                  <w:pPr>
                    <w:pStyle w:val="TableColumnHeading"/>
                  </w:pPr>
                  <w:r w:rsidRPr="00F36FC4">
                    <w:t>Vic</w:t>
                  </w:r>
                </w:p>
              </w:tc>
              <w:tc>
                <w:tcPr>
                  <w:tcW w:w="448" w:type="pct"/>
                  <w:tcBorders>
                    <w:top w:val="single" w:sz="6" w:space="0" w:color="BFBFBF"/>
                    <w:bottom w:val="single" w:sz="6" w:space="0" w:color="BFBFBF"/>
                  </w:tcBorders>
                  <w:shd w:val="clear" w:color="auto" w:fill="auto"/>
                  <w:vAlign w:val="center"/>
                </w:tcPr>
                <w:p w:rsidR="00A1300E" w:rsidRPr="00F36FC4" w:rsidRDefault="00A1300E" w:rsidP="00E97924">
                  <w:pPr>
                    <w:pStyle w:val="TableColumnHeading"/>
                  </w:pPr>
                  <w:r w:rsidRPr="00F36FC4">
                    <w:t>Qld</w:t>
                  </w:r>
                </w:p>
              </w:tc>
              <w:tc>
                <w:tcPr>
                  <w:tcW w:w="443" w:type="pct"/>
                  <w:tcBorders>
                    <w:top w:val="single" w:sz="6" w:space="0" w:color="BFBFBF"/>
                    <w:bottom w:val="single" w:sz="6" w:space="0" w:color="BFBFBF"/>
                  </w:tcBorders>
                  <w:shd w:val="clear" w:color="auto" w:fill="auto"/>
                  <w:vAlign w:val="center"/>
                </w:tcPr>
                <w:p w:rsidR="00A1300E" w:rsidRPr="00F36FC4" w:rsidRDefault="00A1300E" w:rsidP="00E97924">
                  <w:pPr>
                    <w:pStyle w:val="TableColumnHeading"/>
                  </w:pPr>
                  <w:r w:rsidRPr="00F36FC4">
                    <w:t>WA</w:t>
                  </w:r>
                </w:p>
              </w:tc>
              <w:tc>
                <w:tcPr>
                  <w:tcW w:w="446" w:type="pct"/>
                  <w:tcBorders>
                    <w:top w:val="single" w:sz="6" w:space="0" w:color="BFBFBF"/>
                    <w:bottom w:val="single" w:sz="6" w:space="0" w:color="BFBFBF"/>
                  </w:tcBorders>
                  <w:shd w:val="clear" w:color="auto" w:fill="auto"/>
                  <w:vAlign w:val="center"/>
                </w:tcPr>
                <w:p w:rsidR="00A1300E" w:rsidRPr="00F36FC4" w:rsidRDefault="00A1300E" w:rsidP="00E97924">
                  <w:pPr>
                    <w:pStyle w:val="TableColumnHeading"/>
                  </w:pPr>
                  <w:r w:rsidRPr="00F36FC4">
                    <w:t>SA</w:t>
                  </w:r>
                </w:p>
              </w:tc>
              <w:tc>
                <w:tcPr>
                  <w:tcW w:w="445" w:type="pct"/>
                  <w:tcBorders>
                    <w:top w:val="single" w:sz="6" w:space="0" w:color="BFBFBF"/>
                    <w:bottom w:val="single" w:sz="6" w:space="0" w:color="BFBFBF"/>
                  </w:tcBorders>
                  <w:shd w:val="clear" w:color="auto" w:fill="auto"/>
                  <w:vAlign w:val="center"/>
                </w:tcPr>
                <w:p w:rsidR="00A1300E" w:rsidRPr="00F36FC4" w:rsidRDefault="00A1300E" w:rsidP="00E97924">
                  <w:pPr>
                    <w:pStyle w:val="TableColumnHeading"/>
                  </w:pPr>
                  <w:proofErr w:type="spellStart"/>
                  <w:r w:rsidRPr="00F36FC4">
                    <w:t>Tas</w:t>
                  </w:r>
                  <w:proofErr w:type="spellEnd"/>
                </w:p>
              </w:tc>
              <w:tc>
                <w:tcPr>
                  <w:tcW w:w="413" w:type="pct"/>
                  <w:tcBorders>
                    <w:top w:val="single" w:sz="6" w:space="0" w:color="BFBFBF"/>
                    <w:bottom w:val="single" w:sz="6" w:space="0" w:color="BFBFBF"/>
                  </w:tcBorders>
                  <w:shd w:val="clear" w:color="auto" w:fill="auto"/>
                  <w:vAlign w:val="center"/>
                </w:tcPr>
                <w:p w:rsidR="00A1300E" w:rsidRPr="00F36FC4" w:rsidRDefault="00A1300E" w:rsidP="00E97924">
                  <w:pPr>
                    <w:pStyle w:val="TableColumnHeading"/>
                  </w:pPr>
                  <w:r w:rsidRPr="00F36FC4">
                    <w:t>ACT</w:t>
                  </w:r>
                </w:p>
              </w:tc>
              <w:tc>
                <w:tcPr>
                  <w:tcW w:w="401" w:type="pct"/>
                  <w:tcBorders>
                    <w:top w:val="single" w:sz="6" w:space="0" w:color="BFBFBF"/>
                    <w:bottom w:val="single" w:sz="6" w:space="0" w:color="BFBFBF"/>
                  </w:tcBorders>
                  <w:shd w:val="clear" w:color="auto" w:fill="auto"/>
                  <w:vAlign w:val="center"/>
                </w:tcPr>
                <w:p w:rsidR="00A1300E" w:rsidRPr="00F36FC4" w:rsidRDefault="00A1300E" w:rsidP="00E97924">
                  <w:pPr>
                    <w:pStyle w:val="TableColumnHeading"/>
                  </w:pPr>
                  <w:r w:rsidRPr="00F36FC4">
                    <w:t>N</w:t>
                  </w:r>
                  <w:r w:rsidRPr="00E953D9">
                    <w:t>T</w:t>
                  </w:r>
                </w:p>
              </w:tc>
              <w:tc>
                <w:tcPr>
                  <w:tcW w:w="400" w:type="pct"/>
                  <w:tcBorders>
                    <w:top w:val="single" w:sz="6" w:space="0" w:color="BFBFBF"/>
                    <w:bottom w:val="single" w:sz="6" w:space="0" w:color="BFBFBF"/>
                  </w:tcBorders>
                  <w:vAlign w:val="center"/>
                </w:tcPr>
                <w:p w:rsidR="00A1300E" w:rsidRPr="00F36FC4" w:rsidRDefault="00A1300E" w:rsidP="00E97924">
                  <w:pPr>
                    <w:pStyle w:val="TableColumnHeading"/>
                  </w:pPr>
                  <w:proofErr w:type="spellStart"/>
                  <w:r w:rsidRPr="00F36FC4">
                    <w:t>Aust</w:t>
                  </w:r>
                  <w:proofErr w:type="spellEnd"/>
                </w:p>
              </w:tc>
            </w:tr>
            <w:tr w:rsidR="00A1300E" w:rsidRPr="00F36FC4" w:rsidTr="00E97924">
              <w:trPr>
                <w:jc w:val="center"/>
              </w:trPr>
              <w:tc>
                <w:tcPr>
                  <w:tcW w:w="4600" w:type="pct"/>
                  <w:gridSpan w:val="10"/>
                  <w:tcBorders>
                    <w:top w:val="single" w:sz="6" w:space="0" w:color="BFBFBF"/>
                  </w:tcBorders>
                </w:tcPr>
                <w:p w:rsidR="00A1300E" w:rsidRPr="00F36FC4" w:rsidRDefault="00A1300E" w:rsidP="00E97924">
                  <w:pPr>
                    <w:pStyle w:val="TableUnitsRow"/>
                    <w:ind w:right="28"/>
                    <w:jc w:val="left"/>
                  </w:pPr>
                  <w:r>
                    <w:t>Preschool services (no.)</w:t>
                  </w:r>
                </w:p>
              </w:tc>
              <w:tc>
                <w:tcPr>
                  <w:tcW w:w="400" w:type="pct"/>
                  <w:tcBorders>
                    <w:top w:val="single" w:sz="6" w:space="0" w:color="BFBFBF"/>
                  </w:tcBorders>
                </w:tcPr>
                <w:p w:rsidR="00A1300E" w:rsidRPr="00F36FC4" w:rsidRDefault="00A1300E" w:rsidP="00E97924">
                  <w:pPr>
                    <w:pStyle w:val="TableUnitsRow"/>
                    <w:ind w:right="28"/>
                    <w:jc w:val="left"/>
                  </w:pPr>
                </w:p>
              </w:tc>
            </w:tr>
            <w:tr w:rsidR="00A1300E" w:rsidRPr="00F36FC4" w:rsidTr="00E97924">
              <w:trPr>
                <w:jc w:val="center"/>
              </w:trPr>
              <w:tc>
                <w:tcPr>
                  <w:tcW w:w="1194" w:type="pct"/>
                  <w:gridSpan w:val="2"/>
                  <w:vAlign w:val="center"/>
                </w:tcPr>
                <w:p w:rsidR="00A1300E" w:rsidRPr="00F36FC4" w:rsidRDefault="00A1300E" w:rsidP="00E97924">
                  <w:pPr>
                    <w:pStyle w:val="TableBodyText"/>
                    <w:ind w:left="113"/>
                    <w:jc w:val="left"/>
                  </w:pPr>
                  <w:proofErr w:type="spellStart"/>
                  <w:r>
                    <w:t>LDC</w:t>
                  </w:r>
                  <w:proofErr w:type="spellEnd"/>
                  <w:r>
                    <w:t xml:space="preserve"> with preschool</w:t>
                  </w:r>
                </w:p>
              </w:tc>
              <w:tc>
                <w:tcPr>
                  <w:tcW w:w="443" w:type="pct"/>
                  <w:vAlign w:val="center"/>
                </w:tcPr>
                <w:p w:rsidR="00A1300E" w:rsidRPr="00F36FC4" w:rsidRDefault="00A1300E" w:rsidP="00E97924">
                  <w:pPr>
                    <w:pStyle w:val="TableBodyText"/>
                  </w:pPr>
                </w:p>
              </w:tc>
              <w:tc>
                <w:tcPr>
                  <w:tcW w:w="367" w:type="pct"/>
                  <w:vAlign w:val="center"/>
                </w:tcPr>
                <w:p w:rsidR="00A1300E" w:rsidRPr="00F36FC4" w:rsidRDefault="00A1300E" w:rsidP="00E97924">
                  <w:pPr>
                    <w:pStyle w:val="TableBodyText"/>
                  </w:pPr>
                </w:p>
              </w:tc>
              <w:tc>
                <w:tcPr>
                  <w:tcW w:w="448" w:type="pct"/>
                  <w:vAlign w:val="center"/>
                </w:tcPr>
                <w:p w:rsidR="00A1300E" w:rsidRPr="00F36FC4" w:rsidRDefault="00A1300E" w:rsidP="00E97924">
                  <w:pPr>
                    <w:pStyle w:val="TableBodyText"/>
                  </w:pPr>
                </w:p>
              </w:tc>
              <w:tc>
                <w:tcPr>
                  <w:tcW w:w="443" w:type="pct"/>
                  <w:vAlign w:val="center"/>
                </w:tcPr>
                <w:p w:rsidR="00A1300E" w:rsidRPr="00F36FC4" w:rsidRDefault="00A1300E" w:rsidP="00E97924">
                  <w:pPr>
                    <w:pStyle w:val="TableBodyText"/>
                  </w:pPr>
                </w:p>
              </w:tc>
              <w:tc>
                <w:tcPr>
                  <w:tcW w:w="446" w:type="pct"/>
                  <w:vAlign w:val="center"/>
                </w:tcPr>
                <w:p w:rsidR="00A1300E" w:rsidRPr="00F36FC4" w:rsidRDefault="00A1300E" w:rsidP="00E97924">
                  <w:pPr>
                    <w:pStyle w:val="TableBodyText"/>
                  </w:pPr>
                </w:p>
              </w:tc>
              <w:tc>
                <w:tcPr>
                  <w:tcW w:w="445" w:type="pct"/>
                  <w:vAlign w:val="center"/>
                </w:tcPr>
                <w:p w:rsidR="00A1300E" w:rsidRPr="00F36FC4" w:rsidRDefault="00A1300E" w:rsidP="00E97924">
                  <w:pPr>
                    <w:pStyle w:val="TableBodyText"/>
                  </w:pPr>
                </w:p>
              </w:tc>
              <w:tc>
                <w:tcPr>
                  <w:tcW w:w="413" w:type="pct"/>
                  <w:vAlign w:val="center"/>
                </w:tcPr>
                <w:p w:rsidR="00A1300E" w:rsidRPr="00F36FC4" w:rsidRDefault="00A1300E" w:rsidP="00E97924">
                  <w:pPr>
                    <w:pStyle w:val="TableBodyText"/>
                  </w:pPr>
                </w:p>
              </w:tc>
              <w:tc>
                <w:tcPr>
                  <w:tcW w:w="401" w:type="pct"/>
                  <w:vAlign w:val="center"/>
                </w:tcPr>
                <w:p w:rsidR="00A1300E" w:rsidRPr="00F36FC4" w:rsidRDefault="00A1300E" w:rsidP="00E97924">
                  <w:pPr>
                    <w:pStyle w:val="TableBodyText"/>
                  </w:pPr>
                </w:p>
              </w:tc>
              <w:tc>
                <w:tcPr>
                  <w:tcW w:w="400" w:type="pct"/>
                  <w:vAlign w:val="center"/>
                </w:tcPr>
                <w:p w:rsidR="00A1300E" w:rsidRPr="00F36FC4" w:rsidRDefault="00A1300E" w:rsidP="00E97924">
                  <w:pPr>
                    <w:pStyle w:val="TableBodyText"/>
                  </w:pPr>
                </w:p>
              </w:tc>
            </w:tr>
            <w:tr w:rsidR="00A1300E" w:rsidRPr="00F36FC4" w:rsidTr="00E97924">
              <w:trPr>
                <w:jc w:val="center"/>
              </w:trPr>
              <w:tc>
                <w:tcPr>
                  <w:tcW w:w="1194" w:type="pct"/>
                  <w:gridSpan w:val="2"/>
                </w:tcPr>
                <w:p w:rsidR="00A1300E" w:rsidRPr="007F27A5" w:rsidRDefault="002D438E" w:rsidP="00E97924">
                  <w:pPr>
                    <w:pStyle w:val="TableBodyText"/>
                    <w:ind w:left="113"/>
                    <w:jc w:val="left"/>
                  </w:pPr>
                  <w:r>
                    <w:t xml:space="preserve"> </w:t>
                  </w:r>
                  <w:r w:rsidR="00A1300E" w:rsidRPr="007F27A5">
                    <w:t>Government</w:t>
                  </w:r>
                </w:p>
              </w:tc>
              <w:tc>
                <w:tcPr>
                  <w:tcW w:w="443" w:type="pct"/>
                  <w:vAlign w:val="center"/>
                </w:tcPr>
                <w:p w:rsidR="00A1300E" w:rsidRPr="00141EC5" w:rsidRDefault="002D438E" w:rsidP="00E97924">
                  <w:pPr>
                    <w:pStyle w:val="TableBodyText"/>
                  </w:pPr>
                  <w:r>
                    <w:t xml:space="preserve"> </w:t>
                  </w:r>
                  <w:r w:rsidR="00A1300E" w:rsidRPr="00141EC5">
                    <w:t>214</w:t>
                  </w:r>
                </w:p>
              </w:tc>
              <w:tc>
                <w:tcPr>
                  <w:tcW w:w="367" w:type="pct"/>
                  <w:vAlign w:val="center"/>
                </w:tcPr>
                <w:p w:rsidR="00A1300E" w:rsidRPr="00141EC5" w:rsidRDefault="002D438E" w:rsidP="00E97924">
                  <w:pPr>
                    <w:pStyle w:val="TableBodyText"/>
                  </w:pPr>
                  <w:r>
                    <w:t xml:space="preserve"> </w:t>
                  </w:r>
                  <w:r w:rsidR="00A1300E" w:rsidRPr="00141EC5">
                    <w:t>74</w:t>
                  </w:r>
                </w:p>
              </w:tc>
              <w:tc>
                <w:tcPr>
                  <w:tcW w:w="448" w:type="pct"/>
                  <w:vAlign w:val="center"/>
                </w:tcPr>
                <w:p w:rsidR="00A1300E" w:rsidRPr="00141EC5" w:rsidRDefault="002D438E" w:rsidP="00E97924">
                  <w:pPr>
                    <w:pStyle w:val="TableBodyText"/>
                  </w:pPr>
                  <w:r>
                    <w:t xml:space="preserve"> </w:t>
                  </w:r>
                  <w:r w:rsidR="00A1300E" w:rsidRPr="00141EC5">
                    <w:t>9</w:t>
                  </w:r>
                </w:p>
              </w:tc>
              <w:tc>
                <w:tcPr>
                  <w:tcW w:w="443" w:type="pct"/>
                  <w:vAlign w:val="center"/>
                </w:tcPr>
                <w:p w:rsidR="00A1300E" w:rsidRPr="00141EC5" w:rsidRDefault="002D438E" w:rsidP="00E97924">
                  <w:pPr>
                    <w:pStyle w:val="TableBodyText"/>
                  </w:pPr>
                  <w:r>
                    <w:t xml:space="preserve"> </w:t>
                  </w:r>
                  <w:r w:rsidR="00A1300E" w:rsidRPr="00141EC5">
                    <w:t>15</w:t>
                  </w:r>
                </w:p>
              </w:tc>
              <w:tc>
                <w:tcPr>
                  <w:tcW w:w="446" w:type="pct"/>
                  <w:vAlign w:val="center"/>
                </w:tcPr>
                <w:p w:rsidR="00A1300E" w:rsidRPr="00141EC5" w:rsidRDefault="002D438E" w:rsidP="00E97924">
                  <w:pPr>
                    <w:pStyle w:val="TableBodyText"/>
                  </w:pPr>
                  <w:r>
                    <w:t xml:space="preserve"> </w:t>
                  </w:r>
                  <w:r w:rsidR="00A1300E" w:rsidRPr="00141EC5">
                    <w:t>47</w:t>
                  </w:r>
                </w:p>
              </w:tc>
              <w:tc>
                <w:tcPr>
                  <w:tcW w:w="445" w:type="pct"/>
                  <w:vAlign w:val="center"/>
                </w:tcPr>
                <w:p w:rsidR="00A1300E" w:rsidRPr="00141EC5" w:rsidRDefault="00A1300E" w:rsidP="00E97924">
                  <w:pPr>
                    <w:pStyle w:val="TableBodyText"/>
                  </w:pPr>
                  <w:r w:rsidRPr="00141EC5">
                    <w:t>–</w:t>
                  </w:r>
                </w:p>
              </w:tc>
              <w:tc>
                <w:tcPr>
                  <w:tcW w:w="413" w:type="pct"/>
                  <w:vAlign w:val="center"/>
                </w:tcPr>
                <w:p w:rsidR="00A1300E" w:rsidRPr="00141EC5" w:rsidRDefault="002D438E" w:rsidP="00E97924">
                  <w:pPr>
                    <w:pStyle w:val="TableBodyText"/>
                  </w:pPr>
                  <w:r>
                    <w:t xml:space="preserve"> </w:t>
                  </w:r>
                  <w:r w:rsidR="00A1300E" w:rsidRPr="00141EC5">
                    <w:t>6</w:t>
                  </w:r>
                </w:p>
              </w:tc>
              <w:tc>
                <w:tcPr>
                  <w:tcW w:w="401" w:type="pct"/>
                  <w:vAlign w:val="center"/>
                </w:tcPr>
                <w:p w:rsidR="00A1300E" w:rsidRPr="00141EC5" w:rsidRDefault="00A1300E" w:rsidP="00E97924">
                  <w:pPr>
                    <w:pStyle w:val="TableBodyText"/>
                  </w:pPr>
                  <w:r w:rsidRPr="00141EC5">
                    <w:t>–</w:t>
                  </w:r>
                </w:p>
              </w:tc>
              <w:tc>
                <w:tcPr>
                  <w:tcW w:w="400" w:type="pct"/>
                  <w:vAlign w:val="center"/>
                </w:tcPr>
                <w:p w:rsidR="00A1300E" w:rsidRPr="00141EC5" w:rsidRDefault="002D438E" w:rsidP="00E97924">
                  <w:pPr>
                    <w:pStyle w:val="TableBodyText"/>
                  </w:pPr>
                  <w:r>
                    <w:t xml:space="preserve"> </w:t>
                  </w:r>
                  <w:r w:rsidR="00A1300E" w:rsidRPr="00141EC5">
                    <w:t>365</w:t>
                  </w:r>
                </w:p>
              </w:tc>
            </w:tr>
            <w:tr w:rsidR="00A1300E" w:rsidRPr="00F36FC4" w:rsidTr="00E97924">
              <w:trPr>
                <w:jc w:val="center"/>
              </w:trPr>
              <w:tc>
                <w:tcPr>
                  <w:tcW w:w="1194" w:type="pct"/>
                  <w:gridSpan w:val="2"/>
                </w:tcPr>
                <w:p w:rsidR="00A1300E" w:rsidRPr="007F27A5" w:rsidRDefault="002D438E" w:rsidP="00E97924">
                  <w:pPr>
                    <w:pStyle w:val="TableBodyText"/>
                    <w:ind w:left="113"/>
                    <w:jc w:val="left"/>
                  </w:pPr>
                  <w:r>
                    <w:t xml:space="preserve"> </w:t>
                  </w:r>
                  <w:r w:rsidR="00A1300E" w:rsidRPr="007F27A5">
                    <w:t>Non</w:t>
                  </w:r>
                  <w:r>
                    <w:noBreakHyphen/>
                  </w:r>
                  <w:r w:rsidR="00A1300E" w:rsidRPr="007F27A5">
                    <w:t>government</w:t>
                  </w:r>
                </w:p>
              </w:tc>
              <w:tc>
                <w:tcPr>
                  <w:tcW w:w="443" w:type="pct"/>
                  <w:vAlign w:val="center"/>
                </w:tcPr>
                <w:p w:rsidR="00A1300E" w:rsidRPr="00141EC5" w:rsidRDefault="00A1300E" w:rsidP="00E97924">
                  <w:pPr>
                    <w:pStyle w:val="TableBodyText"/>
                  </w:pPr>
                  <w:r w:rsidRPr="00141EC5">
                    <w:t xml:space="preserve"> 1 518</w:t>
                  </w:r>
                </w:p>
              </w:tc>
              <w:tc>
                <w:tcPr>
                  <w:tcW w:w="367" w:type="pct"/>
                  <w:vAlign w:val="center"/>
                </w:tcPr>
                <w:p w:rsidR="00A1300E" w:rsidRPr="00141EC5" w:rsidRDefault="002D438E" w:rsidP="00E97924">
                  <w:pPr>
                    <w:pStyle w:val="TableBodyText"/>
                  </w:pPr>
                  <w:r>
                    <w:t xml:space="preserve"> </w:t>
                  </w:r>
                  <w:r w:rsidR="00A1300E" w:rsidRPr="00141EC5">
                    <w:t>988</w:t>
                  </w:r>
                </w:p>
              </w:tc>
              <w:tc>
                <w:tcPr>
                  <w:tcW w:w="448" w:type="pct"/>
                  <w:vAlign w:val="center"/>
                </w:tcPr>
                <w:p w:rsidR="00A1300E" w:rsidRPr="00141EC5" w:rsidRDefault="00A1300E" w:rsidP="00E97924">
                  <w:pPr>
                    <w:pStyle w:val="TableBodyText"/>
                  </w:pPr>
                  <w:r w:rsidRPr="00141EC5">
                    <w:t xml:space="preserve"> 1 308</w:t>
                  </w:r>
                </w:p>
              </w:tc>
              <w:tc>
                <w:tcPr>
                  <w:tcW w:w="443" w:type="pct"/>
                  <w:vAlign w:val="center"/>
                </w:tcPr>
                <w:p w:rsidR="00A1300E" w:rsidRPr="00141EC5" w:rsidRDefault="002D438E" w:rsidP="00E97924">
                  <w:pPr>
                    <w:pStyle w:val="TableBodyText"/>
                  </w:pPr>
                  <w:r>
                    <w:t xml:space="preserve"> </w:t>
                  </w:r>
                  <w:r w:rsidR="00A1300E" w:rsidRPr="00141EC5">
                    <w:t>229</w:t>
                  </w:r>
                </w:p>
              </w:tc>
              <w:tc>
                <w:tcPr>
                  <w:tcW w:w="446" w:type="pct"/>
                  <w:vAlign w:val="center"/>
                </w:tcPr>
                <w:p w:rsidR="00A1300E" w:rsidRPr="00141EC5" w:rsidRDefault="002D438E" w:rsidP="00E97924">
                  <w:pPr>
                    <w:pStyle w:val="TableBodyText"/>
                  </w:pPr>
                  <w:r>
                    <w:t xml:space="preserve"> </w:t>
                  </w:r>
                  <w:r w:rsidR="00A1300E" w:rsidRPr="00141EC5">
                    <w:t>168</w:t>
                  </w:r>
                </w:p>
              </w:tc>
              <w:tc>
                <w:tcPr>
                  <w:tcW w:w="445" w:type="pct"/>
                  <w:vAlign w:val="center"/>
                </w:tcPr>
                <w:p w:rsidR="00A1300E" w:rsidRPr="00141EC5" w:rsidRDefault="002D438E" w:rsidP="00E97924">
                  <w:pPr>
                    <w:pStyle w:val="TableBodyText"/>
                  </w:pPr>
                  <w:r>
                    <w:t xml:space="preserve"> </w:t>
                  </w:r>
                  <w:r w:rsidR="00A1300E" w:rsidRPr="00141EC5">
                    <w:t>15</w:t>
                  </w:r>
                </w:p>
              </w:tc>
              <w:tc>
                <w:tcPr>
                  <w:tcW w:w="413" w:type="pct"/>
                  <w:vAlign w:val="center"/>
                </w:tcPr>
                <w:p w:rsidR="00A1300E" w:rsidRPr="00141EC5" w:rsidRDefault="002D438E" w:rsidP="00E97924">
                  <w:pPr>
                    <w:pStyle w:val="TableBodyText"/>
                  </w:pPr>
                  <w:r>
                    <w:t xml:space="preserve"> </w:t>
                  </w:r>
                  <w:r w:rsidR="00A1300E" w:rsidRPr="00141EC5">
                    <w:t>76</w:t>
                  </w:r>
                </w:p>
              </w:tc>
              <w:tc>
                <w:tcPr>
                  <w:tcW w:w="401" w:type="pct"/>
                  <w:vAlign w:val="center"/>
                </w:tcPr>
                <w:p w:rsidR="00A1300E" w:rsidRPr="00141EC5" w:rsidRDefault="002D438E" w:rsidP="00E97924">
                  <w:pPr>
                    <w:pStyle w:val="TableBodyText"/>
                  </w:pPr>
                  <w:r>
                    <w:t xml:space="preserve"> </w:t>
                  </w:r>
                  <w:r w:rsidR="00A1300E" w:rsidRPr="00141EC5">
                    <w:t>42</w:t>
                  </w:r>
                </w:p>
              </w:tc>
              <w:tc>
                <w:tcPr>
                  <w:tcW w:w="400" w:type="pct"/>
                  <w:vAlign w:val="center"/>
                </w:tcPr>
                <w:p w:rsidR="00A1300E" w:rsidRPr="00141EC5" w:rsidRDefault="00A1300E" w:rsidP="00E97924">
                  <w:pPr>
                    <w:pStyle w:val="TableBodyText"/>
                  </w:pPr>
                  <w:r w:rsidRPr="00141EC5">
                    <w:t xml:space="preserve"> 4 344</w:t>
                  </w:r>
                </w:p>
              </w:tc>
            </w:tr>
            <w:tr w:rsidR="00A1300E" w:rsidRPr="00F36FC4" w:rsidTr="00E97924">
              <w:trPr>
                <w:jc w:val="center"/>
              </w:trPr>
              <w:tc>
                <w:tcPr>
                  <w:tcW w:w="1194" w:type="pct"/>
                  <w:gridSpan w:val="2"/>
                </w:tcPr>
                <w:p w:rsidR="00A1300E" w:rsidRPr="00C74B4C" w:rsidRDefault="00A1300E" w:rsidP="00E97924">
                  <w:pPr>
                    <w:pStyle w:val="TableBodyText"/>
                    <w:ind w:left="113"/>
                    <w:jc w:val="left"/>
                    <w:rPr>
                      <w:b/>
                    </w:rPr>
                  </w:pPr>
                  <w:r>
                    <w:rPr>
                      <w:b/>
                    </w:rPr>
                    <w:t xml:space="preserve">Total </w:t>
                  </w:r>
                  <w:proofErr w:type="spellStart"/>
                  <w:r>
                    <w:rPr>
                      <w:b/>
                    </w:rPr>
                    <w:t>LDC</w:t>
                  </w:r>
                  <w:proofErr w:type="spellEnd"/>
                  <w:r>
                    <w:rPr>
                      <w:b/>
                    </w:rPr>
                    <w:t xml:space="preserve"> with preschool</w:t>
                  </w:r>
                </w:p>
              </w:tc>
              <w:tc>
                <w:tcPr>
                  <w:tcW w:w="443" w:type="pct"/>
                  <w:vAlign w:val="center"/>
                </w:tcPr>
                <w:p w:rsidR="00A1300E" w:rsidRPr="00141EC5" w:rsidRDefault="00A1300E" w:rsidP="00E97924">
                  <w:pPr>
                    <w:pStyle w:val="TableBodyText"/>
                    <w:rPr>
                      <w:b/>
                    </w:rPr>
                  </w:pPr>
                  <w:r w:rsidRPr="00141EC5">
                    <w:rPr>
                      <w:b/>
                    </w:rPr>
                    <w:t xml:space="preserve"> 1 732</w:t>
                  </w:r>
                </w:p>
              </w:tc>
              <w:tc>
                <w:tcPr>
                  <w:tcW w:w="367" w:type="pct"/>
                  <w:vAlign w:val="center"/>
                </w:tcPr>
                <w:p w:rsidR="00A1300E" w:rsidRPr="00141EC5" w:rsidRDefault="00A1300E" w:rsidP="00E97924">
                  <w:pPr>
                    <w:pStyle w:val="TableBodyText"/>
                    <w:rPr>
                      <w:b/>
                    </w:rPr>
                  </w:pPr>
                  <w:r w:rsidRPr="00141EC5">
                    <w:rPr>
                      <w:b/>
                    </w:rPr>
                    <w:t xml:space="preserve"> 1 062</w:t>
                  </w:r>
                </w:p>
              </w:tc>
              <w:tc>
                <w:tcPr>
                  <w:tcW w:w="448" w:type="pct"/>
                  <w:vAlign w:val="center"/>
                </w:tcPr>
                <w:p w:rsidR="00A1300E" w:rsidRPr="00141EC5" w:rsidRDefault="00A1300E" w:rsidP="00E97924">
                  <w:pPr>
                    <w:pStyle w:val="TableBodyText"/>
                    <w:rPr>
                      <w:b/>
                    </w:rPr>
                  </w:pPr>
                  <w:r w:rsidRPr="00141EC5">
                    <w:rPr>
                      <w:b/>
                    </w:rPr>
                    <w:t xml:space="preserve"> 1 317</w:t>
                  </w:r>
                </w:p>
              </w:tc>
              <w:tc>
                <w:tcPr>
                  <w:tcW w:w="443" w:type="pct"/>
                  <w:vAlign w:val="center"/>
                </w:tcPr>
                <w:p w:rsidR="00A1300E" w:rsidRPr="00141EC5" w:rsidRDefault="002D438E" w:rsidP="00E97924">
                  <w:pPr>
                    <w:pStyle w:val="TableBodyText"/>
                    <w:rPr>
                      <w:b/>
                    </w:rPr>
                  </w:pPr>
                  <w:r>
                    <w:rPr>
                      <w:b/>
                    </w:rPr>
                    <w:t xml:space="preserve"> </w:t>
                  </w:r>
                  <w:r w:rsidR="00A1300E" w:rsidRPr="00141EC5">
                    <w:rPr>
                      <w:b/>
                    </w:rPr>
                    <w:t>244</w:t>
                  </w:r>
                </w:p>
              </w:tc>
              <w:tc>
                <w:tcPr>
                  <w:tcW w:w="446" w:type="pct"/>
                  <w:vAlign w:val="center"/>
                </w:tcPr>
                <w:p w:rsidR="00A1300E" w:rsidRPr="00141EC5" w:rsidRDefault="002D438E" w:rsidP="00E97924">
                  <w:pPr>
                    <w:pStyle w:val="TableBodyText"/>
                    <w:rPr>
                      <w:b/>
                    </w:rPr>
                  </w:pPr>
                  <w:r>
                    <w:rPr>
                      <w:b/>
                    </w:rPr>
                    <w:t xml:space="preserve"> </w:t>
                  </w:r>
                  <w:r w:rsidR="00A1300E" w:rsidRPr="00141EC5">
                    <w:rPr>
                      <w:b/>
                    </w:rPr>
                    <w:t>215</w:t>
                  </w:r>
                </w:p>
              </w:tc>
              <w:tc>
                <w:tcPr>
                  <w:tcW w:w="445" w:type="pct"/>
                  <w:vAlign w:val="center"/>
                </w:tcPr>
                <w:p w:rsidR="00A1300E" w:rsidRPr="00141EC5" w:rsidRDefault="002D438E" w:rsidP="00E97924">
                  <w:pPr>
                    <w:pStyle w:val="TableBodyText"/>
                    <w:rPr>
                      <w:b/>
                    </w:rPr>
                  </w:pPr>
                  <w:r>
                    <w:rPr>
                      <w:b/>
                    </w:rPr>
                    <w:t xml:space="preserve"> </w:t>
                  </w:r>
                  <w:r w:rsidR="00A1300E" w:rsidRPr="00141EC5">
                    <w:rPr>
                      <w:b/>
                    </w:rPr>
                    <w:t>15</w:t>
                  </w:r>
                </w:p>
              </w:tc>
              <w:tc>
                <w:tcPr>
                  <w:tcW w:w="413" w:type="pct"/>
                  <w:vAlign w:val="center"/>
                </w:tcPr>
                <w:p w:rsidR="00A1300E" w:rsidRPr="00141EC5" w:rsidRDefault="002D438E" w:rsidP="00E97924">
                  <w:pPr>
                    <w:pStyle w:val="TableBodyText"/>
                    <w:rPr>
                      <w:b/>
                    </w:rPr>
                  </w:pPr>
                  <w:r>
                    <w:rPr>
                      <w:b/>
                    </w:rPr>
                    <w:t xml:space="preserve"> </w:t>
                  </w:r>
                  <w:r w:rsidR="00A1300E" w:rsidRPr="00141EC5">
                    <w:rPr>
                      <w:b/>
                    </w:rPr>
                    <w:t>82</w:t>
                  </w:r>
                </w:p>
              </w:tc>
              <w:tc>
                <w:tcPr>
                  <w:tcW w:w="401" w:type="pct"/>
                  <w:vAlign w:val="center"/>
                </w:tcPr>
                <w:p w:rsidR="00A1300E" w:rsidRPr="00141EC5" w:rsidRDefault="002D438E" w:rsidP="00E97924">
                  <w:pPr>
                    <w:pStyle w:val="TableBodyText"/>
                    <w:rPr>
                      <w:b/>
                    </w:rPr>
                  </w:pPr>
                  <w:r>
                    <w:rPr>
                      <w:b/>
                    </w:rPr>
                    <w:t xml:space="preserve"> </w:t>
                  </w:r>
                  <w:r w:rsidR="00A1300E" w:rsidRPr="00141EC5">
                    <w:rPr>
                      <w:b/>
                    </w:rPr>
                    <w:t>42</w:t>
                  </w:r>
                </w:p>
              </w:tc>
              <w:tc>
                <w:tcPr>
                  <w:tcW w:w="400" w:type="pct"/>
                  <w:vAlign w:val="center"/>
                </w:tcPr>
                <w:p w:rsidR="00A1300E" w:rsidRPr="00141EC5" w:rsidRDefault="00A1300E" w:rsidP="00E97924">
                  <w:pPr>
                    <w:pStyle w:val="TableBodyText"/>
                    <w:rPr>
                      <w:b/>
                    </w:rPr>
                  </w:pPr>
                  <w:r w:rsidRPr="00141EC5">
                    <w:rPr>
                      <w:b/>
                    </w:rPr>
                    <w:t xml:space="preserve"> 4 709</w:t>
                  </w:r>
                </w:p>
              </w:tc>
            </w:tr>
            <w:tr w:rsidR="009C51AA" w:rsidRPr="00F36FC4" w:rsidTr="009C51AA">
              <w:trPr>
                <w:jc w:val="center"/>
              </w:trPr>
              <w:tc>
                <w:tcPr>
                  <w:tcW w:w="2004" w:type="pct"/>
                  <w:gridSpan w:val="4"/>
                  <w:vAlign w:val="center"/>
                </w:tcPr>
                <w:p w:rsidR="009C51AA" w:rsidRPr="00964678" w:rsidRDefault="002D438E" w:rsidP="00A14144">
                  <w:pPr>
                    <w:pStyle w:val="TableBodyText"/>
                    <w:jc w:val="left"/>
                    <w:rPr>
                      <w:szCs w:val="26"/>
                      <w:lang w:eastAsia="en-US"/>
                    </w:rPr>
                  </w:pPr>
                  <w:r>
                    <w:t xml:space="preserve"> </w:t>
                  </w:r>
                  <w:r w:rsidR="009C51AA">
                    <w:t xml:space="preserve">Preschool not delivered in </w:t>
                  </w:r>
                  <w:proofErr w:type="spellStart"/>
                  <w:r w:rsidR="009C51AA">
                    <w:t>LDC</w:t>
                  </w:r>
                  <w:proofErr w:type="spellEnd"/>
                </w:p>
              </w:tc>
              <w:tc>
                <w:tcPr>
                  <w:tcW w:w="448" w:type="pct"/>
                  <w:vAlign w:val="center"/>
                </w:tcPr>
                <w:p w:rsidR="009C51AA" w:rsidRPr="00964678" w:rsidRDefault="009C51AA" w:rsidP="00E97924">
                  <w:pPr>
                    <w:pStyle w:val="TableBodyText"/>
                  </w:pPr>
                </w:p>
              </w:tc>
              <w:tc>
                <w:tcPr>
                  <w:tcW w:w="443" w:type="pct"/>
                  <w:vAlign w:val="center"/>
                </w:tcPr>
                <w:p w:rsidR="009C51AA" w:rsidRPr="00964678" w:rsidRDefault="009C51AA" w:rsidP="00E97924">
                  <w:pPr>
                    <w:pStyle w:val="TableBodyText"/>
                  </w:pPr>
                </w:p>
              </w:tc>
              <w:tc>
                <w:tcPr>
                  <w:tcW w:w="446" w:type="pct"/>
                  <w:vAlign w:val="center"/>
                </w:tcPr>
                <w:p w:rsidR="009C51AA" w:rsidRPr="00964678" w:rsidRDefault="009C51AA" w:rsidP="00E97924">
                  <w:pPr>
                    <w:pStyle w:val="TableBodyText"/>
                  </w:pPr>
                </w:p>
              </w:tc>
              <w:tc>
                <w:tcPr>
                  <w:tcW w:w="445" w:type="pct"/>
                  <w:vAlign w:val="center"/>
                </w:tcPr>
                <w:p w:rsidR="009C51AA" w:rsidRPr="00964678" w:rsidRDefault="009C51AA" w:rsidP="00E97924">
                  <w:pPr>
                    <w:pStyle w:val="TableBodyText"/>
                  </w:pPr>
                </w:p>
              </w:tc>
              <w:tc>
                <w:tcPr>
                  <w:tcW w:w="413" w:type="pct"/>
                  <w:vAlign w:val="center"/>
                </w:tcPr>
                <w:p w:rsidR="009C51AA" w:rsidRPr="00964678" w:rsidRDefault="009C51AA" w:rsidP="00E97924">
                  <w:pPr>
                    <w:pStyle w:val="TableBodyText"/>
                  </w:pPr>
                </w:p>
              </w:tc>
              <w:tc>
                <w:tcPr>
                  <w:tcW w:w="401" w:type="pct"/>
                  <w:vAlign w:val="center"/>
                </w:tcPr>
                <w:p w:rsidR="009C51AA" w:rsidRPr="00964678" w:rsidRDefault="009C51AA" w:rsidP="00E97924">
                  <w:pPr>
                    <w:pStyle w:val="TableBodyText"/>
                  </w:pPr>
                </w:p>
              </w:tc>
              <w:tc>
                <w:tcPr>
                  <w:tcW w:w="400" w:type="pct"/>
                  <w:vAlign w:val="center"/>
                </w:tcPr>
                <w:p w:rsidR="009C51AA" w:rsidRPr="00964678" w:rsidRDefault="009C51AA" w:rsidP="00E97924">
                  <w:pPr>
                    <w:pStyle w:val="TableBodyText"/>
                  </w:pPr>
                </w:p>
              </w:tc>
            </w:tr>
            <w:tr w:rsidR="00A1300E" w:rsidRPr="00F36FC4" w:rsidTr="00E97924">
              <w:trPr>
                <w:jc w:val="center"/>
              </w:trPr>
              <w:tc>
                <w:tcPr>
                  <w:tcW w:w="1194" w:type="pct"/>
                  <w:gridSpan w:val="2"/>
                  <w:vAlign w:val="center"/>
                </w:tcPr>
                <w:p w:rsidR="00A1300E" w:rsidRPr="00F36FC4" w:rsidRDefault="002D438E" w:rsidP="00E97924">
                  <w:pPr>
                    <w:pStyle w:val="TableBodyText"/>
                    <w:ind w:left="113"/>
                    <w:jc w:val="left"/>
                  </w:pPr>
                  <w:r>
                    <w:t xml:space="preserve"> </w:t>
                  </w:r>
                  <w:r w:rsidR="00A1300E">
                    <w:t>Government</w:t>
                  </w:r>
                </w:p>
              </w:tc>
              <w:tc>
                <w:tcPr>
                  <w:tcW w:w="443" w:type="pct"/>
                  <w:vAlign w:val="center"/>
                </w:tcPr>
                <w:p w:rsidR="00A1300E" w:rsidRPr="00964678" w:rsidRDefault="002D438E" w:rsidP="00E97924">
                  <w:pPr>
                    <w:pStyle w:val="TableBodyText"/>
                  </w:pPr>
                  <w:r>
                    <w:t xml:space="preserve"> </w:t>
                  </w:r>
                  <w:r w:rsidR="00A1300E" w:rsidRPr="00964678">
                    <w:t>161</w:t>
                  </w:r>
                </w:p>
              </w:tc>
              <w:tc>
                <w:tcPr>
                  <w:tcW w:w="367" w:type="pct"/>
                  <w:vAlign w:val="center"/>
                </w:tcPr>
                <w:p w:rsidR="00A1300E" w:rsidRPr="00964678" w:rsidRDefault="002D438E" w:rsidP="00E97924">
                  <w:pPr>
                    <w:pStyle w:val="TableBodyText"/>
                  </w:pPr>
                  <w:r>
                    <w:t xml:space="preserve"> </w:t>
                  </w:r>
                  <w:r w:rsidR="00A1300E" w:rsidRPr="00964678">
                    <w:t>231</w:t>
                  </w:r>
                </w:p>
              </w:tc>
              <w:tc>
                <w:tcPr>
                  <w:tcW w:w="448" w:type="pct"/>
                  <w:vAlign w:val="center"/>
                </w:tcPr>
                <w:p w:rsidR="00A1300E" w:rsidRPr="00964678" w:rsidRDefault="002D438E" w:rsidP="00E97924">
                  <w:pPr>
                    <w:pStyle w:val="TableBodyText"/>
                  </w:pPr>
                  <w:r>
                    <w:t xml:space="preserve"> </w:t>
                  </w:r>
                  <w:r w:rsidR="00A1300E" w:rsidRPr="00964678">
                    <w:t>114</w:t>
                  </w:r>
                </w:p>
              </w:tc>
              <w:tc>
                <w:tcPr>
                  <w:tcW w:w="443" w:type="pct"/>
                  <w:vAlign w:val="center"/>
                </w:tcPr>
                <w:p w:rsidR="00A1300E" w:rsidRPr="00964678" w:rsidRDefault="002D438E" w:rsidP="00E97924">
                  <w:pPr>
                    <w:pStyle w:val="TableBodyText"/>
                  </w:pPr>
                  <w:r>
                    <w:t xml:space="preserve"> </w:t>
                  </w:r>
                  <w:r w:rsidR="00A1300E" w:rsidRPr="00964678">
                    <w:t>649</w:t>
                  </w:r>
                </w:p>
              </w:tc>
              <w:tc>
                <w:tcPr>
                  <w:tcW w:w="446" w:type="pct"/>
                  <w:vAlign w:val="center"/>
                </w:tcPr>
                <w:p w:rsidR="00A1300E" w:rsidRPr="00964678" w:rsidRDefault="002D438E" w:rsidP="00E97924">
                  <w:pPr>
                    <w:pStyle w:val="TableBodyText"/>
                  </w:pPr>
                  <w:r>
                    <w:t xml:space="preserve"> </w:t>
                  </w:r>
                  <w:r w:rsidR="00A1300E" w:rsidRPr="00964678">
                    <w:t>350</w:t>
                  </w:r>
                </w:p>
              </w:tc>
              <w:tc>
                <w:tcPr>
                  <w:tcW w:w="445" w:type="pct"/>
                  <w:vAlign w:val="center"/>
                </w:tcPr>
                <w:p w:rsidR="00A1300E" w:rsidRPr="00964678" w:rsidRDefault="002D438E" w:rsidP="00E97924">
                  <w:pPr>
                    <w:pStyle w:val="TableBodyText"/>
                  </w:pPr>
                  <w:r>
                    <w:t xml:space="preserve"> </w:t>
                  </w:r>
                  <w:r w:rsidR="00A1300E" w:rsidRPr="00964678">
                    <w:t>155</w:t>
                  </w:r>
                </w:p>
              </w:tc>
              <w:tc>
                <w:tcPr>
                  <w:tcW w:w="413" w:type="pct"/>
                  <w:vAlign w:val="center"/>
                </w:tcPr>
                <w:p w:rsidR="00A1300E" w:rsidRPr="00964678" w:rsidRDefault="002D438E" w:rsidP="00E97924">
                  <w:pPr>
                    <w:pStyle w:val="TableBodyText"/>
                  </w:pPr>
                  <w:r>
                    <w:t xml:space="preserve"> </w:t>
                  </w:r>
                  <w:r w:rsidR="00A1300E" w:rsidRPr="00964678">
                    <w:t>80</w:t>
                  </w:r>
                </w:p>
              </w:tc>
              <w:tc>
                <w:tcPr>
                  <w:tcW w:w="401" w:type="pct"/>
                  <w:vAlign w:val="center"/>
                </w:tcPr>
                <w:p w:rsidR="00A1300E" w:rsidRPr="00964678" w:rsidRDefault="002D438E" w:rsidP="00E97924">
                  <w:pPr>
                    <w:pStyle w:val="TableBodyText"/>
                  </w:pPr>
                  <w:r>
                    <w:t xml:space="preserve"> </w:t>
                  </w:r>
                  <w:r w:rsidR="00A1300E" w:rsidRPr="00964678">
                    <w:t>126</w:t>
                  </w:r>
                </w:p>
              </w:tc>
              <w:tc>
                <w:tcPr>
                  <w:tcW w:w="400" w:type="pct"/>
                  <w:vAlign w:val="center"/>
                </w:tcPr>
                <w:p w:rsidR="00A1300E" w:rsidRPr="00964678" w:rsidRDefault="00A1300E" w:rsidP="00E97924">
                  <w:pPr>
                    <w:pStyle w:val="TableBodyText"/>
                  </w:pPr>
                  <w:r w:rsidRPr="00964678">
                    <w:t xml:space="preserve"> 1 866</w:t>
                  </w:r>
                </w:p>
              </w:tc>
            </w:tr>
            <w:tr w:rsidR="00A1300E" w:rsidRPr="00F36FC4" w:rsidTr="00E97924">
              <w:trPr>
                <w:jc w:val="center"/>
              </w:trPr>
              <w:tc>
                <w:tcPr>
                  <w:tcW w:w="1194" w:type="pct"/>
                  <w:gridSpan w:val="2"/>
                  <w:vAlign w:val="center"/>
                </w:tcPr>
                <w:p w:rsidR="00A1300E" w:rsidRPr="00F36FC4" w:rsidRDefault="002D438E" w:rsidP="00E97924">
                  <w:pPr>
                    <w:pStyle w:val="TableBodyText"/>
                    <w:ind w:left="113"/>
                    <w:jc w:val="left"/>
                  </w:pPr>
                  <w:r>
                    <w:t xml:space="preserve"> </w:t>
                  </w:r>
                  <w:r w:rsidR="00A1300E">
                    <w:t>Non</w:t>
                  </w:r>
                  <w:r>
                    <w:noBreakHyphen/>
                  </w:r>
                  <w:r w:rsidR="00A1300E">
                    <w:t>government</w:t>
                  </w:r>
                </w:p>
              </w:tc>
              <w:tc>
                <w:tcPr>
                  <w:tcW w:w="443" w:type="pct"/>
                  <w:vAlign w:val="center"/>
                </w:tcPr>
                <w:p w:rsidR="00A1300E" w:rsidRPr="00964678" w:rsidRDefault="002D438E" w:rsidP="00E97924">
                  <w:pPr>
                    <w:pStyle w:val="TableBodyText"/>
                  </w:pPr>
                  <w:r>
                    <w:t xml:space="preserve"> </w:t>
                  </w:r>
                  <w:r w:rsidR="00A1300E" w:rsidRPr="00964678">
                    <w:t>692</w:t>
                  </w:r>
                </w:p>
              </w:tc>
              <w:tc>
                <w:tcPr>
                  <w:tcW w:w="367" w:type="pct"/>
                  <w:vAlign w:val="center"/>
                </w:tcPr>
                <w:p w:rsidR="00A1300E" w:rsidRPr="00964678" w:rsidRDefault="002D438E" w:rsidP="00E97924">
                  <w:pPr>
                    <w:pStyle w:val="TableBodyText"/>
                  </w:pPr>
                  <w:r>
                    <w:t xml:space="preserve"> </w:t>
                  </w:r>
                  <w:r w:rsidR="00A1300E" w:rsidRPr="00964678">
                    <w:t>916</w:t>
                  </w:r>
                </w:p>
              </w:tc>
              <w:tc>
                <w:tcPr>
                  <w:tcW w:w="448" w:type="pct"/>
                  <w:vAlign w:val="center"/>
                </w:tcPr>
                <w:p w:rsidR="00A1300E" w:rsidRPr="00964678" w:rsidRDefault="002D438E" w:rsidP="00E97924">
                  <w:pPr>
                    <w:pStyle w:val="TableBodyText"/>
                  </w:pPr>
                  <w:r>
                    <w:t xml:space="preserve"> </w:t>
                  </w:r>
                  <w:r w:rsidR="00A1300E" w:rsidRPr="00964678">
                    <w:t>453</w:t>
                  </w:r>
                </w:p>
              </w:tc>
              <w:tc>
                <w:tcPr>
                  <w:tcW w:w="443" w:type="pct"/>
                  <w:vAlign w:val="center"/>
                </w:tcPr>
                <w:p w:rsidR="00A1300E" w:rsidRPr="00964678" w:rsidRDefault="002D438E" w:rsidP="00E97924">
                  <w:pPr>
                    <w:pStyle w:val="TableBodyText"/>
                  </w:pPr>
                  <w:r>
                    <w:t xml:space="preserve"> </w:t>
                  </w:r>
                  <w:r w:rsidR="00A1300E" w:rsidRPr="00964678">
                    <w:t>251</w:t>
                  </w:r>
                </w:p>
              </w:tc>
              <w:tc>
                <w:tcPr>
                  <w:tcW w:w="446" w:type="pct"/>
                  <w:vAlign w:val="center"/>
                </w:tcPr>
                <w:p w:rsidR="00A1300E" w:rsidRPr="00964678" w:rsidRDefault="002D438E" w:rsidP="00E97924">
                  <w:pPr>
                    <w:pStyle w:val="TableBodyText"/>
                  </w:pPr>
                  <w:r>
                    <w:t xml:space="preserve"> </w:t>
                  </w:r>
                  <w:r w:rsidR="00A1300E" w:rsidRPr="00964678">
                    <w:t>30</w:t>
                  </w:r>
                </w:p>
              </w:tc>
              <w:tc>
                <w:tcPr>
                  <w:tcW w:w="445" w:type="pct"/>
                  <w:vAlign w:val="center"/>
                </w:tcPr>
                <w:p w:rsidR="00A1300E" w:rsidRPr="00964678" w:rsidRDefault="002D438E" w:rsidP="00E97924">
                  <w:pPr>
                    <w:pStyle w:val="TableBodyText"/>
                  </w:pPr>
                  <w:r>
                    <w:t xml:space="preserve"> </w:t>
                  </w:r>
                  <w:r w:rsidR="00A1300E" w:rsidRPr="00964678">
                    <w:t>58</w:t>
                  </w:r>
                </w:p>
              </w:tc>
              <w:tc>
                <w:tcPr>
                  <w:tcW w:w="413" w:type="pct"/>
                  <w:vAlign w:val="center"/>
                </w:tcPr>
                <w:p w:rsidR="00A1300E" w:rsidRPr="00964678" w:rsidRDefault="002D438E" w:rsidP="00E97924">
                  <w:pPr>
                    <w:pStyle w:val="TableBodyText"/>
                  </w:pPr>
                  <w:r>
                    <w:t xml:space="preserve"> </w:t>
                  </w:r>
                  <w:r w:rsidR="00A1300E" w:rsidRPr="00964678">
                    <w:t>5</w:t>
                  </w:r>
                </w:p>
              </w:tc>
              <w:tc>
                <w:tcPr>
                  <w:tcW w:w="401" w:type="pct"/>
                  <w:vAlign w:val="center"/>
                </w:tcPr>
                <w:p w:rsidR="00A1300E" w:rsidRPr="00964678" w:rsidRDefault="002D438E" w:rsidP="00E97924">
                  <w:pPr>
                    <w:pStyle w:val="TableBodyText"/>
                  </w:pPr>
                  <w:r>
                    <w:t xml:space="preserve"> </w:t>
                  </w:r>
                  <w:r w:rsidR="00A1300E" w:rsidRPr="00964678">
                    <w:t>9</w:t>
                  </w:r>
                </w:p>
              </w:tc>
              <w:tc>
                <w:tcPr>
                  <w:tcW w:w="400" w:type="pct"/>
                  <w:vAlign w:val="center"/>
                </w:tcPr>
                <w:p w:rsidR="00A1300E" w:rsidRPr="00964678" w:rsidRDefault="00A1300E" w:rsidP="00E97924">
                  <w:pPr>
                    <w:pStyle w:val="TableBodyText"/>
                  </w:pPr>
                  <w:r w:rsidRPr="00964678">
                    <w:t xml:space="preserve"> 2 414</w:t>
                  </w:r>
                </w:p>
              </w:tc>
            </w:tr>
            <w:tr w:rsidR="00A1300E" w:rsidRPr="00F36FC4" w:rsidTr="00E97924">
              <w:trPr>
                <w:jc w:val="center"/>
              </w:trPr>
              <w:tc>
                <w:tcPr>
                  <w:tcW w:w="1194" w:type="pct"/>
                  <w:gridSpan w:val="2"/>
                  <w:vAlign w:val="center"/>
                </w:tcPr>
                <w:p w:rsidR="00A1300E" w:rsidRPr="00F36FC4" w:rsidRDefault="002D438E" w:rsidP="00F60A23">
                  <w:pPr>
                    <w:pStyle w:val="TableBodyText"/>
                    <w:ind w:left="227"/>
                    <w:jc w:val="left"/>
                  </w:pPr>
                  <w:r>
                    <w:t xml:space="preserve"> </w:t>
                  </w:r>
                  <w:r w:rsidR="00F60A23">
                    <w:t xml:space="preserve">  </w:t>
                  </w:r>
                  <w:r w:rsidR="00A1300E">
                    <w:t>Community</w:t>
                  </w:r>
                </w:p>
              </w:tc>
              <w:tc>
                <w:tcPr>
                  <w:tcW w:w="443" w:type="pct"/>
                  <w:vAlign w:val="center"/>
                </w:tcPr>
                <w:p w:rsidR="00A1300E" w:rsidRPr="00964678" w:rsidRDefault="002D438E" w:rsidP="00E97924">
                  <w:pPr>
                    <w:pStyle w:val="TableBodyText"/>
                  </w:pPr>
                  <w:r>
                    <w:t xml:space="preserve"> </w:t>
                  </w:r>
                  <w:r w:rsidR="00A1300E" w:rsidRPr="00964678">
                    <w:t>671</w:t>
                  </w:r>
                </w:p>
              </w:tc>
              <w:tc>
                <w:tcPr>
                  <w:tcW w:w="367" w:type="pct"/>
                  <w:vAlign w:val="center"/>
                </w:tcPr>
                <w:p w:rsidR="00A1300E" w:rsidRPr="00964678" w:rsidRDefault="002D438E" w:rsidP="00E97924">
                  <w:pPr>
                    <w:pStyle w:val="TableBodyText"/>
                  </w:pPr>
                  <w:r>
                    <w:t xml:space="preserve"> </w:t>
                  </w:r>
                  <w:r w:rsidR="00A1300E" w:rsidRPr="00964678">
                    <w:t>840</w:t>
                  </w:r>
                </w:p>
              </w:tc>
              <w:tc>
                <w:tcPr>
                  <w:tcW w:w="448" w:type="pct"/>
                  <w:vAlign w:val="center"/>
                </w:tcPr>
                <w:p w:rsidR="00A1300E" w:rsidRPr="00964678" w:rsidRDefault="002D438E" w:rsidP="00E97924">
                  <w:pPr>
                    <w:pStyle w:val="TableBodyText"/>
                  </w:pPr>
                  <w:r>
                    <w:t xml:space="preserve"> </w:t>
                  </w:r>
                  <w:r w:rsidR="00A1300E" w:rsidRPr="00964678">
                    <w:t>406</w:t>
                  </w:r>
                </w:p>
              </w:tc>
              <w:tc>
                <w:tcPr>
                  <w:tcW w:w="443" w:type="pct"/>
                  <w:vAlign w:val="center"/>
                </w:tcPr>
                <w:p w:rsidR="00A1300E" w:rsidRPr="00964678" w:rsidRDefault="00A1300E" w:rsidP="00E97924">
                  <w:pPr>
                    <w:pStyle w:val="TableBodyText"/>
                  </w:pPr>
                  <w:r w:rsidRPr="00964678">
                    <w:t>–</w:t>
                  </w:r>
                </w:p>
              </w:tc>
              <w:tc>
                <w:tcPr>
                  <w:tcW w:w="446" w:type="pct"/>
                  <w:vAlign w:val="center"/>
                </w:tcPr>
                <w:p w:rsidR="00A1300E" w:rsidRPr="00964678" w:rsidRDefault="002D438E" w:rsidP="00E97924">
                  <w:pPr>
                    <w:pStyle w:val="TableBodyText"/>
                  </w:pPr>
                  <w:r>
                    <w:t xml:space="preserve"> </w:t>
                  </w:r>
                  <w:r w:rsidR="00A1300E" w:rsidRPr="00964678">
                    <w:t>3</w:t>
                  </w:r>
                </w:p>
              </w:tc>
              <w:tc>
                <w:tcPr>
                  <w:tcW w:w="445" w:type="pct"/>
                  <w:vAlign w:val="center"/>
                </w:tcPr>
                <w:p w:rsidR="00A1300E" w:rsidRPr="00964678" w:rsidRDefault="00A1300E" w:rsidP="00E97924">
                  <w:pPr>
                    <w:pStyle w:val="TableBodyText"/>
                  </w:pPr>
                  <w:r w:rsidRPr="00964678">
                    <w:t>–</w:t>
                  </w:r>
                </w:p>
              </w:tc>
              <w:tc>
                <w:tcPr>
                  <w:tcW w:w="413" w:type="pct"/>
                  <w:vAlign w:val="center"/>
                </w:tcPr>
                <w:p w:rsidR="00A1300E" w:rsidRPr="00964678" w:rsidRDefault="00A1300E" w:rsidP="00E97924">
                  <w:pPr>
                    <w:pStyle w:val="TableBodyText"/>
                  </w:pPr>
                  <w:r w:rsidRPr="00964678">
                    <w:t>–</w:t>
                  </w:r>
                </w:p>
              </w:tc>
              <w:tc>
                <w:tcPr>
                  <w:tcW w:w="401" w:type="pct"/>
                  <w:vAlign w:val="center"/>
                </w:tcPr>
                <w:p w:rsidR="00A1300E" w:rsidRPr="00964678" w:rsidRDefault="00A1300E" w:rsidP="00E97924">
                  <w:pPr>
                    <w:pStyle w:val="TableBodyText"/>
                  </w:pPr>
                  <w:r w:rsidRPr="00964678">
                    <w:t>–</w:t>
                  </w:r>
                </w:p>
              </w:tc>
              <w:tc>
                <w:tcPr>
                  <w:tcW w:w="400" w:type="pct"/>
                  <w:vAlign w:val="center"/>
                </w:tcPr>
                <w:p w:rsidR="00A1300E" w:rsidRPr="00964678" w:rsidRDefault="00A1300E" w:rsidP="00E97924">
                  <w:pPr>
                    <w:pStyle w:val="TableBodyText"/>
                  </w:pPr>
                  <w:r w:rsidRPr="00964678">
                    <w:t xml:space="preserve"> 1 920</w:t>
                  </w:r>
                </w:p>
              </w:tc>
            </w:tr>
            <w:tr w:rsidR="00A1300E" w:rsidRPr="00F36FC4" w:rsidTr="00E97924">
              <w:trPr>
                <w:jc w:val="center"/>
              </w:trPr>
              <w:tc>
                <w:tcPr>
                  <w:tcW w:w="1194" w:type="pct"/>
                  <w:gridSpan w:val="2"/>
                  <w:vAlign w:val="center"/>
                </w:tcPr>
                <w:p w:rsidR="00A1300E" w:rsidRPr="00F36FC4" w:rsidRDefault="002D438E" w:rsidP="00F60A23">
                  <w:pPr>
                    <w:pStyle w:val="TableBodyText"/>
                    <w:ind w:left="227"/>
                    <w:jc w:val="left"/>
                  </w:pPr>
                  <w:r>
                    <w:t xml:space="preserve"> </w:t>
                  </w:r>
                  <w:r w:rsidR="00F60A23">
                    <w:t xml:space="preserve">  </w:t>
                  </w:r>
                  <w:r w:rsidR="00A1300E">
                    <w:t>Private for profit</w:t>
                  </w:r>
                </w:p>
              </w:tc>
              <w:tc>
                <w:tcPr>
                  <w:tcW w:w="443" w:type="pct"/>
                  <w:vAlign w:val="center"/>
                </w:tcPr>
                <w:p w:rsidR="00A1300E" w:rsidRPr="00964678" w:rsidRDefault="002D438E" w:rsidP="00E97924">
                  <w:pPr>
                    <w:pStyle w:val="TableBodyText"/>
                  </w:pPr>
                  <w:r>
                    <w:t xml:space="preserve"> </w:t>
                  </w:r>
                  <w:r w:rsidR="00A1300E" w:rsidRPr="00964678">
                    <w:t>3</w:t>
                  </w:r>
                </w:p>
              </w:tc>
              <w:tc>
                <w:tcPr>
                  <w:tcW w:w="367" w:type="pct"/>
                  <w:vAlign w:val="center"/>
                </w:tcPr>
                <w:p w:rsidR="00A1300E" w:rsidRPr="00964678" w:rsidRDefault="002D438E" w:rsidP="00E97924">
                  <w:pPr>
                    <w:pStyle w:val="TableBodyText"/>
                  </w:pPr>
                  <w:r>
                    <w:t xml:space="preserve"> </w:t>
                  </w:r>
                  <w:r w:rsidR="00A1300E" w:rsidRPr="00964678">
                    <w:t>10</w:t>
                  </w:r>
                </w:p>
              </w:tc>
              <w:tc>
                <w:tcPr>
                  <w:tcW w:w="448" w:type="pct"/>
                  <w:vAlign w:val="center"/>
                </w:tcPr>
                <w:p w:rsidR="00A1300E" w:rsidRPr="00964678" w:rsidRDefault="00A1300E" w:rsidP="00E97924">
                  <w:pPr>
                    <w:pStyle w:val="TableBodyText"/>
                  </w:pPr>
                  <w:r w:rsidRPr="00964678">
                    <w:t>–</w:t>
                  </w:r>
                </w:p>
              </w:tc>
              <w:tc>
                <w:tcPr>
                  <w:tcW w:w="443" w:type="pct"/>
                  <w:vAlign w:val="center"/>
                </w:tcPr>
                <w:p w:rsidR="00A1300E" w:rsidRPr="00964678" w:rsidRDefault="00A1300E" w:rsidP="00E97924">
                  <w:pPr>
                    <w:pStyle w:val="TableBodyText"/>
                  </w:pPr>
                  <w:r w:rsidRPr="00964678">
                    <w:t>–</w:t>
                  </w:r>
                </w:p>
              </w:tc>
              <w:tc>
                <w:tcPr>
                  <w:tcW w:w="446" w:type="pct"/>
                  <w:vAlign w:val="center"/>
                </w:tcPr>
                <w:p w:rsidR="00A1300E" w:rsidRPr="00964678" w:rsidRDefault="00A1300E" w:rsidP="00E97924">
                  <w:pPr>
                    <w:pStyle w:val="TableBodyText"/>
                  </w:pPr>
                  <w:r w:rsidRPr="00964678">
                    <w:t>–</w:t>
                  </w:r>
                </w:p>
              </w:tc>
              <w:tc>
                <w:tcPr>
                  <w:tcW w:w="445" w:type="pct"/>
                  <w:vAlign w:val="center"/>
                </w:tcPr>
                <w:p w:rsidR="00A1300E" w:rsidRPr="00964678" w:rsidRDefault="00A1300E" w:rsidP="00E97924">
                  <w:pPr>
                    <w:pStyle w:val="TableBodyText"/>
                  </w:pPr>
                  <w:r w:rsidRPr="00964678">
                    <w:t>–</w:t>
                  </w:r>
                </w:p>
              </w:tc>
              <w:tc>
                <w:tcPr>
                  <w:tcW w:w="413" w:type="pct"/>
                  <w:vAlign w:val="center"/>
                </w:tcPr>
                <w:p w:rsidR="00A1300E" w:rsidRPr="00964678" w:rsidRDefault="00A1300E" w:rsidP="00E97924">
                  <w:pPr>
                    <w:pStyle w:val="TableBodyText"/>
                  </w:pPr>
                  <w:r w:rsidRPr="00964678">
                    <w:t>–</w:t>
                  </w:r>
                </w:p>
              </w:tc>
              <w:tc>
                <w:tcPr>
                  <w:tcW w:w="401" w:type="pct"/>
                  <w:vAlign w:val="center"/>
                </w:tcPr>
                <w:p w:rsidR="00A1300E" w:rsidRPr="00964678" w:rsidRDefault="00A1300E" w:rsidP="00E97924">
                  <w:pPr>
                    <w:pStyle w:val="TableBodyText"/>
                  </w:pPr>
                  <w:r w:rsidRPr="00964678">
                    <w:t>–</w:t>
                  </w:r>
                </w:p>
              </w:tc>
              <w:tc>
                <w:tcPr>
                  <w:tcW w:w="400" w:type="pct"/>
                  <w:vAlign w:val="center"/>
                </w:tcPr>
                <w:p w:rsidR="00A1300E" w:rsidRPr="00964678" w:rsidRDefault="002D438E" w:rsidP="00E97924">
                  <w:pPr>
                    <w:pStyle w:val="TableBodyText"/>
                  </w:pPr>
                  <w:r>
                    <w:t xml:space="preserve"> </w:t>
                  </w:r>
                  <w:r w:rsidR="00A1300E" w:rsidRPr="00964678">
                    <w:t>13</w:t>
                  </w:r>
                </w:p>
              </w:tc>
            </w:tr>
            <w:tr w:rsidR="00A1300E" w:rsidRPr="00F36FC4" w:rsidTr="00E97924">
              <w:trPr>
                <w:jc w:val="center"/>
              </w:trPr>
              <w:tc>
                <w:tcPr>
                  <w:tcW w:w="1194" w:type="pct"/>
                  <w:gridSpan w:val="2"/>
                  <w:vAlign w:val="center"/>
                </w:tcPr>
                <w:p w:rsidR="00A1300E" w:rsidRPr="00F36FC4" w:rsidRDefault="002D438E" w:rsidP="00F60A23">
                  <w:pPr>
                    <w:pStyle w:val="TableBodyText"/>
                    <w:ind w:left="227"/>
                    <w:jc w:val="left"/>
                  </w:pPr>
                  <w:r>
                    <w:t xml:space="preserve"> </w:t>
                  </w:r>
                  <w:r w:rsidR="00F60A23">
                    <w:t xml:space="preserve">  </w:t>
                  </w:r>
                  <w:r w:rsidR="00A1300E">
                    <w:t>Non</w:t>
                  </w:r>
                  <w:r>
                    <w:noBreakHyphen/>
                  </w:r>
                  <w:r w:rsidR="00A1300E">
                    <w:t xml:space="preserve">government              </w:t>
                  </w:r>
                  <w:r w:rsidR="00FA69D3">
                    <w:t xml:space="preserve">  </w:t>
                  </w:r>
                  <w:r w:rsidR="00F60A23">
                    <w:t xml:space="preserve">     </w:t>
                  </w:r>
                  <w:r w:rsidR="00A1300E">
                    <w:t>school</w:t>
                  </w:r>
                </w:p>
              </w:tc>
              <w:tc>
                <w:tcPr>
                  <w:tcW w:w="443" w:type="pct"/>
                  <w:vAlign w:val="center"/>
                </w:tcPr>
                <w:p w:rsidR="00A1300E" w:rsidRPr="00964678" w:rsidRDefault="00A1300E" w:rsidP="00E97924">
                  <w:pPr>
                    <w:pStyle w:val="TableBodyText"/>
                  </w:pPr>
                  <w:r w:rsidRPr="00964678">
                    <w:t xml:space="preserve">  18</w:t>
                  </w:r>
                </w:p>
              </w:tc>
              <w:tc>
                <w:tcPr>
                  <w:tcW w:w="367" w:type="pct"/>
                  <w:vAlign w:val="center"/>
                </w:tcPr>
                <w:p w:rsidR="00A1300E" w:rsidRPr="00964678" w:rsidRDefault="00A1300E" w:rsidP="00E97924">
                  <w:pPr>
                    <w:pStyle w:val="TableBodyText"/>
                  </w:pPr>
                  <w:r w:rsidRPr="00964678">
                    <w:t xml:space="preserve">  66</w:t>
                  </w:r>
                </w:p>
              </w:tc>
              <w:tc>
                <w:tcPr>
                  <w:tcW w:w="448" w:type="pct"/>
                  <w:vAlign w:val="center"/>
                </w:tcPr>
                <w:p w:rsidR="00A1300E" w:rsidRPr="00964678" w:rsidRDefault="00A1300E" w:rsidP="00E97924">
                  <w:pPr>
                    <w:pStyle w:val="TableBodyText"/>
                  </w:pPr>
                  <w:r w:rsidRPr="00964678">
                    <w:t xml:space="preserve">  47</w:t>
                  </w:r>
                </w:p>
              </w:tc>
              <w:tc>
                <w:tcPr>
                  <w:tcW w:w="443" w:type="pct"/>
                  <w:vAlign w:val="center"/>
                </w:tcPr>
                <w:p w:rsidR="00A1300E" w:rsidRPr="00964678" w:rsidRDefault="002D438E" w:rsidP="00E97924">
                  <w:pPr>
                    <w:pStyle w:val="TableBodyText"/>
                  </w:pPr>
                  <w:r>
                    <w:t xml:space="preserve"> </w:t>
                  </w:r>
                  <w:r w:rsidR="00A1300E" w:rsidRPr="00964678">
                    <w:t>251</w:t>
                  </w:r>
                </w:p>
              </w:tc>
              <w:tc>
                <w:tcPr>
                  <w:tcW w:w="446" w:type="pct"/>
                  <w:vAlign w:val="center"/>
                </w:tcPr>
                <w:p w:rsidR="00A1300E" w:rsidRPr="00964678" w:rsidRDefault="002D438E" w:rsidP="00E97924">
                  <w:pPr>
                    <w:pStyle w:val="TableBodyText"/>
                  </w:pPr>
                  <w:r>
                    <w:t xml:space="preserve"> </w:t>
                  </w:r>
                  <w:r w:rsidR="00A1300E" w:rsidRPr="00964678">
                    <w:t>27</w:t>
                  </w:r>
                </w:p>
              </w:tc>
              <w:tc>
                <w:tcPr>
                  <w:tcW w:w="445" w:type="pct"/>
                  <w:vAlign w:val="center"/>
                </w:tcPr>
                <w:p w:rsidR="00A1300E" w:rsidRPr="00964678" w:rsidRDefault="002D438E" w:rsidP="00E97924">
                  <w:pPr>
                    <w:pStyle w:val="TableBodyText"/>
                  </w:pPr>
                  <w:r>
                    <w:t xml:space="preserve"> </w:t>
                  </w:r>
                  <w:r w:rsidR="00A1300E" w:rsidRPr="00964678">
                    <w:t>58</w:t>
                  </w:r>
                </w:p>
              </w:tc>
              <w:tc>
                <w:tcPr>
                  <w:tcW w:w="413" w:type="pct"/>
                  <w:vAlign w:val="center"/>
                </w:tcPr>
                <w:p w:rsidR="00A1300E" w:rsidRPr="00964678" w:rsidRDefault="002D438E" w:rsidP="00E97924">
                  <w:pPr>
                    <w:pStyle w:val="TableBodyText"/>
                  </w:pPr>
                  <w:r>
                    <w:t xml:space="preserve"> </w:t>
                  </w:r>
                  <w:r w:rsidR="00A1300E" w:rsidRPr="00964678">
                    <w:t>5</w:t>
                  </w:r>
                </w:p>
              </w:tc>
              <w:tc>
                <w:tcPr>
                  <w:tcW w:w="401" w:type="pct"/>
                  <w:vAlign w:val="center"/>
                </w:tcPr>
                <w:p w:rsidR="00A1300E" w:rsidRPr="00964678" w:rsidRDefault="002D438E" w:rsidP="00E97924">
                  <w:pPr>
                    <w:pStyle w:val="TableBodyText"/>
                  </w:pPr>
                  <w:r>
                    <w:t xml:space="preserve"> </w:t>
                  </w:r>
                  <w:r w:rsidR="00A1300E" w:rsidRPr="00964678">
                    <w:t>9</w:t>
                  </w:r>
                </w:p>
              </w:tc>
              <w:tc>
                <w:tcPr>
                  <w:tcW w:w="400" w:type="pct"/>
                  <w:vAlign w:val="center"/>
                </w:tcPr>
                <w:p w:rsidR="00A1300E" w:rsidRPr="00964678" w:rsidRDefault="002D438E" w:rsidP="00E97924">
                  <w:pPr>
                    <w:pStyle w:val="TableBodyText"/>
                  </w:pPr>
                  <w:r>
                    <w:t xml:space="preserve"> </w:t>
                  </w:r>
                  <w:r w:rsidR="00A1300E" w:rsidRPr="00964678">
                    <w:t>481</w:t>
                  </w:r>
                </w:p>
              </w:tc>
            </w:tr>
            <w:tr w:rsidR="00A1300E" w:rsidRPr="00F36FC4" w:rsidTr="00E97924">
              <w:trPr>
                <w:jc w:val="center"/>
              </w:trPr>
              <w:tc>
                <w:tcPr>
                  <w:tcW w:w="1194" w:type="pct"/>
                  <w:gridSpan w:val="2"/>
                  <w:vAlign w:val="center"/>
                </w:tcPr>
                <w:p w:rsidR="00A1300E" w:rsidRPr="007F27A5" w:rsidRDefault="00A1300E" w:rsidP="00A1300E">
                  <w:pPr>
                    <w:pStyle w:val="TableBodyText"/>
                    <w:ind w:left="113"/>
                    <w:jc w:val="left"/>
                    <w:rPr>
                      <w:b/>
                    </w:rPr>
                  </w:pPr>
                  <w:r>
                    <w:rPr>
                      <w:b/>
                    </w:rPr>
                    <w:t>P</w:t>
                  </w:r>
                  <w:r w:rsidRPr="007F27A5">
                    <w:rPr>
                      <w:b/>
                    </w:rPr>
                    <w:t>reschool</w:t>
                  </w:r>
                  <w:r>
                    <w:rPr>
                      <w:b/>
                    </w:rPr>
                    <w:t xml:space="preserve"> not delivered in </w:t>
                  </w:r>
                  <w:proofErr w:type="spellStart"/>
                  <w:r>
                    <w:rPr>
                      <w:b/>
                    </w:rPr>
                    <w:t>LDC</w:t>
                  </w:r>
                  <w:proofErr w:type="spellEnd"/>
                </w:p>
              </w:tc>
              <w:tc>
                <w:tcPr>
                  <w:tcW w:w="443" w:type="pct"/>
                  <w:vAlign w:val="center"/>
                </w:tcPr>
                <w:p w:rsidR="00A1300E" w:rsidRPr="00964678" w:rsidRDefault="002D438E" w:rsidP="00E97924">
                  <w:pPr>
                    <w:pStyle w:val="TableBodyText"/>
                    <w:rPr>
                      <w:b/>
                    </w:rPr>
                  </w:pPr>
                  <w:r>
                    <w:rPr>
                      <w:b/>
                    </w:rPr>
                    <w:t xml:space="preserve"> </w:t>
                  </w:r>
                  <w:r w:rsidR="00A1300E" w:rsidRPr="00964678">
                    <w:rPr>
                      <w:b/>
                    </w:rPr>
                    <w:t>853</w:t>
                  </w:r>
                </w:p>
              </w:tc>
              <w:tc>
                <w:tcPr>
                  <w:tcW w:w="367" w:type="pct"/>
                  <w:vAlign w:val="center"/>
                </w:tcPr>
                <w:p w:rsidR="00A1300E" w:rsidRPr="00964678" w:rsidRDefault="00A1300E" w:rsidP="00E97924">
                  <w:pPr>
                    <w:pStyle w:val="TableBodyText"/>
                    <w:rPr>
                      <w:b/>
                    </w:rPr>
                  </w:pPr>
                  <w:r w:rsidRPr="00964678">
                    <w:rPr>
                      <w:b/>
                    </w:rPr>
                    <w:t xml:space="preserve"> 1 147</w:t>
                  </w:r>
                </w:p>
              </w:tc>
              <w:tc>
                <w:tcPr>
                  <w:tcW w:w="448" w:type="pct"/>
                  <w:vAlign w:val="center"/>
                </w:tcPr>
                <w:p w:rsidR="00A1300E" w:rsidRPr="00964678" w:rsidRDefault="002D438E" w:rsidP="00E97924">
                  <w:pPr>
                    <w:pStyle w:val="TableBodyText"/>
                    <w:rPr>
                      <w:b/>
                    </w:rPr>
                  </w:pPr>
                  <w:r>
                    <w:rPr>
                      <w:b/>
                    </w:rPr>
                    <w:t xml:space="preserve"> </w:t>
                  </w:r>
                  <w:r w:rsidR="00A1300E" w:rsidRPr="00964678">
                    <w:rPr>
                      <w:b/>
                    </w:rPr>
                    <w:t>567</w:t>
                  </w:r>
                </w:p>
              </w:tc>
              <w:tc>
                <w:tcPr>
                  <w:tcW w:w="443" w:type="pct"/>
                  <w:vAlign w:val="center"/>
                </w:tcPr>
                <w:p w:rsidR="00A1300E" w:rsidRPr="00964678" w:rsidRDefault="002D438E" w:rsidP="00E97924">
                  <w:pPr>
                    <w:pStyle w:val="TableBodyText"/>
                    <w:rPr>
                      <w:b/>
                    </w:rPr>
                  </w:pPr>
                  <w:r>
                    <w:rPr>
                      <w:b/>
                    </w:rPr>
                    <w:t xml:space="preserve"> </w:t>
                  </w:r>
                  <w:r w:rsidR="00A1300E" w:rsidRPr="00964678">
                    <w:rPr>
                      <w:b/>
                    </w:rPr>
                    <w:t>900</w:t>
                  </w:r>
                </w:p>
              </w:tc>
              <w:tc>
                <w:tcPr>
                  <w:tcW w:w="446" w:type="pct"/>
                  <w:vAlign w:val="center"/>
                </w:tcPr>
                <w:p w:rsidR="00A1300E" w:rsidRPr="00964678" w:rsidRDefault="002D438E" w:rsidP="00E97924">
                  <w:pPr>
                    <w:pStyle w:val="TableBodyText"/>
                    <w:rPr>
                      <w:b/>
                    </w:rPr>
                  </w:pPr>
                  <w:r>
                    <w:rPr>
                      <w:b/>
                    </w:rPr>
                    <w:t xml:space="preserve"> </w:t>
                  </w:r>
                  <w:r w:rsidR="00A1300E" w:rsidRPr="00964678">
                    <w:rPr>
                      <w:b/>
                    </w:rPr>
                    <w:t>380</w:t>
                  </w:r>
                </w:p>
              </w:tc>
              <w:tc>
                <w:tcPr>
                  <w:tcW w:w="445" w:type="pct"/>
                  <w:vAlign w:val="center"/>
                </w:tcPr>
                <w:p w:rsidR="00A1300E" w:rsidRPr="00964678" w:rsidRDefault="002D438E" w:rsidP="00E97924">
                  <w:pPr>
                    <w:pStyle w:val="TableBodyText"/>
                    <w:rPr>
                      <w:b/>
                    </w:rPr>
                  </w:pPr>
                  <w:r>
                    <w:rPr>
                      <w:b/>
                    </w:rPr>
                    <w:t xml:space="preserve"> </w:t>
                  </w:r>
                  <w:r w:rsidR="00A1300E" w:rsidRPr="00964678">
                    <w:rPr>
                      <w:b/>
                    </w:rPr>
                    <w:t>213</w:t>
                  </w:r>
                </w:p>
              </w:tc>
              <w:tc>
                <w:tcPr>
                  <w:tcW w:w="413" w:type="pct"/>
                  <w:vAlign w:val="center"/>
                </w:tcPr>
                <w:p w:rsidR="00A1300E" w:rsidRPr="00964678" w:rsidRDefault="002D438E" w:rsidP="00E97924">
                  <w:pPr>
                    <w:pStyle w:val="TableBodyText"/>
                    <w:rPr>
                      <w:b/>
                    </w:rPr>
                  </w:pPr>
                  <w:r>
                    <w:rPr>
                      <w:b/>
                    </w:rPr>
                    <w:t xml:space="preserve"> </w:t>
                  </w:r>
                  <w:r w:rsidR="00A1300E" w:rsidRPr="00964678">
                    <w:rPr>
                      <w:b/>
                    </w:rPr>
                    <w:t>85</w:t>
                  </w:r>
                </w:p>
              </w:tc>
              <w:tc>
                <w:tcPr>
                  <w:tcW w:w="401" w:type="pct"/>
                  <w:vAlign w:val="center"/>
                </w:tcPr>
                <w:p w:rsidR="00A1300E" w:rsidRPr="00964678" w:rsidRDefault="002D438E" w:rsidP="00E97924">
                  <w:pPr>
                    <w:pStyle w:val="TableBodyText"/>
                    <w:rPr>
                      <w:b/>
                    </w:rPr>
                  </w:pPr>
                  <w:r>
                    <w:rPr>
                      <w:b/>
                    </w:rPr>
                    <w:t xml:space="preserve"> </w:t>
                  </w:r>
                  <w:r w:rsidR="00A1300E" w:rsidRPr="00964678">
                    <w:rPr>
                      <w:b/>
                    </w:rPr>
                    <w:t>135</w:t>
                  </w:r>
                </w:p>
              </w:tc>
              <w:tc>
                <w:tcPr>
                  <w:tcW w:w="400" w:type="pct"/>
                  <w:vAlign w:val="center"/>
                </w:tcPr>
                <w:p w:rsidR="00A1300E" w:rsidRPr="00964678" w:rsidRDefault="00A1300E" w:rsidP="00E97924">
                  <w:pPr>
                    <w:pStyle w:val="TableBodyText"/>
                    <w:rPr>
                      <w:b/>
                    </w:rPr>
                  </w:pPr>
                  <w:r w:rsidRPr="00964678">
                    <w:rPr>
                      <w:b/>
                    </w:rPr>
                    <w:t xml:space="preserve"> 4 280</w:t>
                  </w:r>
                </w:p>
              </w:tc>
            </w:tr>
            <w:tr w:rsidR="00A1300E" w:rsidRPr="00F36FC4" w:rsidTr="00E97924">
              <w:trPr>
                <w:jc w:val="center"/>
              </w:trPr>
              <w:tc>
                <w:tcPr>
                  <w:tcW w:w="1194" w:type="pct"/>
                  <w:gridSpan w:val="2"/>
                </w:tcPr>
                <w:p w:rsidR="00A1300E" w:rsidRPr="00C74B4C" w:rsidRDefault="00A1300E" w:rsidP="00E97924">
                  <w:pPr>
                    <w:pStyle w:val="TableBodyText"/>
                    <w:ind w:left="113"/>
                    <w:jc w:val="left"/>
                    <w:rPr>
                      <w:b/>
                    </w:rPr>
                  </w:pPr>
                  <w:r w:rsidRPr="00C74B4C">
                    <w:rPr>
                      <w:b/>
                    </w:rPr>
                    <w:t>Total preschool services</w:t>
                  </w:r>
                </w:p>
              </w:tc>
              <w:tc>
                <w:tcPr>
                  <w:tcW w:w="443" w:type="pct"/>
                  <w:vAlign w:val="center"/>
                </w:tcPr>
                <w:p w:rsidR="00A1300E" w:rsidRPr="00141EC5" w:rsidRDefault="00A1300E" w:rsidP="00E97924">
                  <w:pPr>
                    <w:pStyle w:val="TableBodyText"/>
                    <w:rPr>
                      <w:b/>
                    </w:rPr>
                  </w:pPr>
                  <w:r w:rsidRPr="00141EC5">
                    <w:rPr>
                      <w:b/>
                    </w:rPr>
                    <w:t xml:space="preserve"> 2 585</w:t>
                  </w:r>
                </w:p>
              </w:tc>
              <w:tc>
                <w:tcPr>
                  <w:tcW w:w="367" w:type="pct"/>
                  <w:vAlign w:val="center"/>
                </w:tcPr>
                <w:p w:rsidR="00A1300E" w:rsidRPr="00141EC5" w:rsidRDefault="00A1300E" w:rsidP="00E97924">
                  <w:pPr>
                    <w:pStyle w:val="TableBodyText"/>
                    <w:rPr>
                      <w:b/>
                    </w:rPr>
                  </w:pPr>
                  <w:r w:rsidRPr="00141EC5">
                    <w:rPr>
                      <w:b/>
                    </w:rPr>
                    <w:t xml:space="preserve"> 2 209</w:t>
                  </w:r>
                </w:p>
              </w:tc>
              <w:tc>
                <w:tcPr>
                  <w:tcW w:w="448" w:type="pct"/>
                  <w:vAlign w:val="center"/>
                </w:tcPr>
                <w:p w:rsidR="00A1300E" w:rsidRPr="00141EC5" w:rsidRDefault="00A1300E" w:rsidP="00E97924">
                  <w:pPr>
                    <w:pStyle w:val="TableBodyText"/>
                    <w:rPr>
                      <w:b/>
                    </w:rPr>
                  </w:pPr>
                  <w:r w:rsidRPr="00141EC5">
                    <w:rPr>
                      <w:b/>
                    </w:rPr>
                    <w:t xml:space="preserve"> 1 884</w:t>
                  </w:r>
                </w:p>
              </w:tc>
              <w:tc>
                <w:tcPr>
                  <w:tcW w:w="443" w:type="pct"/>
                  <w:vAlign w:val="center"/>
                </w:tcPr>
                <w:p w:rsidR="00A1300E" w:rsidRPr="00141EC5" w:rsidRDefault="00A1300E" w:rsidP="00E97924">
                  <w:pPr>
                    <w:pStyle w:val="TableBodyText"/>
                    <w:rPr>
                      <w:b/>
                    </w:rPr>
                  </w:pPr>
                  <w:r w:rsidRPr="00141EC5">
                    <w:rPr>
                      <w:b/>
                    </w:rPr>
                    <w:t xml:space="preserve"> 1 144</w:t>
                  </w:r>
                </w:p>
              </w:tc>
              <w:tc>
                <w:tcPr>
                  <w:tcW w:w="446" w:type="pct"/>
                  <w:vAlign w:val="center"/>
                </w:tcPr>
                <w:p w:rsidR="00A1300E" w:rsidRPr="00141EC5" w:rsidRDefault="002D438E" w:rsidP="00E97924">
                  <w:pPr>
                    <w:pStyle w:val="TableBodyText"/>
                    <w:rPr>
                      <w:b/>
                    </w:rPr>
                  </w:pPr>
                  <w:r>
                    <w:rPr>
                      <w:b/>
                    </w:rPr>
                    <w:t xml:space="preserve"> </w:t>
                  </w:r>
                  <w:r w:rsidR="00A1300E" w:rsidRPr="00141EC5">
                    <w:rPr>
                      <w:b/>
                    </w:rPr>
                    <w:t>595</w:t>
                  </w:r>
                </w:p>
              </w:tc>
              <w:tc>
                <w:tcPr>
                  <w:tcW w:w="445" w:type="pct"/>
                  <w:vAlign w:val="center"/>
                </w:tcPr>
                <w:p w:rsidR="00A1300E" w:rsidRPr="00141EC5" w:rsidRDefault="002D438E" w:rsidP="00E97924">
                  <w:pPr>
                    <w:pStyle w:val="TableBodyText"/>
                    <w:rPr>
                      <w:b/>
                    </w:rPr>
                  </w:pPr>
                  <w:r>
                    <w:rPr>
                      <w:b/>
                    </w:rPr>
                    <w:t xml:space="preserve"> </w:t>
                  </w:r>
                  <w:r w:rsidR="00A1300E" w:rsidRPr="00141EC5">
                    <w:rPr>
                      <w:b/>
                    </w:rPr>
                    <w:t>228</w:t>
                  </w:r>
                </w:p>
              </w:tc>
              <w:tc>
                <w:tcPr>
                  <w:tcW w:w="413" w:type="pct"/>
                  <w:vAlign w:val="center"/>
                </w:tcPr>
                <w:p w:rsidR="00A1300E" w:rsidRPr="00141EC5" w:rsidRDefault="002D438E" w:rsidP="00E97924">
                  <w:pPr>
                    <w:pStyle w:val="TableBodyText"/>
                    <w:rPr>
                      <w:b/>
                    </w:rPr>
                  </w:pPr>
                  <w:r>
                    <w:rPr>
                      <w:b/>
                    </w:rPr>
                    <w:t xml:space="preserve"> </w:t>
                  </w:r>
                  <w:r w:rsidR="00A1300E" w:rsidRPr="00141EC5">
                    <w:rPr>
                      <w:b/>
                    </w:rPr>
                    <w:t>167</w:t>
                  </w:r>
                </w:p>
              </w:tc>
              <w:tc>
                <w:tcPr>
                  <w:tcW w:w="401" w:type="pct"/>
                  <w:vAlign w:val="center"/>
                </w:tcPr>
                <w:p w:rsidR="00A1300E" w:rsidRPr="00141EC5" w:rsidRDefault="002D438E" w:rsidP="00E97924">
                  <w:pPr>
                    <w:pStyle w:val="TableBodyText"/>
                    <w:rPr>
                      <w:b/>
                    </w:rPr>
                  </w:pPr>
                  <w:r>
                    <w:rPr>
                      <w:b/>
                    </w:rPr>
                    <w:t xml:space="preserve"> </w:t>
                  </w:r>
                  <w:r w:rsidR="00A1300E" w:rsidRPr="00141EC5">
                    <w:rPr>
                      <w:b/>
                    </w:rPr>
                    <w:t>177</w:t>
                  </w:r>
                </w:p>
              </w:tc>
              <w:tc>
                <w:tcPr>
                  <w:tcW w:w="400" w:type="pct"/>
                  <w:vAlign w:val="center"/>
                </w:tcPr>
                <w:p w:rsidR="00A1300E" w:rsidRPr="00141EC5" w:rsidRDefault="00A1300E" w:rsidP="00E97924">
                  <w:pPr>
                    <w:pStyle w:val="TableBodyText"/>
                    <w:rPr>
                      <w:b/>
                    </w:rPr>
                  </w:pPr>
                  <w:r w:rsidRPr="00141EC5">
                    <w:rPr>
                      <w:b/>
                    </w:rPr>
                    <w:t xml:space="preserve"> 8 989</w:t>
                  </w:r>
                </w:p>
              </w:tc>
            </w:tr>
            <w:tr w:rsidR="00A1300E" w:rsidRPr="00F36FC4" w:rsidTr="00E97924">
              <w:trPr>
                <w:jc w:val="center"/>
              </w:trPr>
              <w:tc>
                <w:tcPr>
                  <w:tcW w:w="4600" w:type="pct"/>
                  <w:gridSpan w:val="10"/>
                </w:tcPr>
                <w:p w:rsidR="00A1300E" w:rsidRPr="00F36FC4" w:rsidRDefault="00A1300E" w:rsidP="00E97924">
                  <w:pPr>
                    <w:pStyle w:val="TableBodyText"/>
                    <w:ind w:right="28"/>
                    <w:jc w:val="left"/>
                  </w:pPr>
                  <w:r>
                    <w:t>Preschool services</w:t>
                  </w:r>
                  <w:r w:rsidRPr="00F36FC4">
                    <w:t xml:space="preserve"> (proportion)</w:t>
                  </w:r>
                </w:p>
              </w:tc>
              <w:tc>
                <w:tcPr>
                  <w:tcW w:w="400" w:type="pct"/>
                </w:tcPr>
                <w:p w:rsidR="00A1300E" w:rsidRPr="00F36FC4" w:rsidRDefault="00A1300E" w:rsidP="00E97924">
                  <w:pPr>
                    <w:pStyle w:val="TableBodyText"/>
                    <w:ind w:right="28"/>
                    <w:jc w:val="left"/>
                  </w:pPr>
                </w:p>
              </w:tc>
            </w:tr>
            <w:tr w:rsidR="00790EAE" w:rsidRPr="00F36FC4" w:rsidTr="00E97924">
              <w:trPr>
                <w:jc w:val="center"/>
              </w:trPr>
              <w:tc>
                <w:tcPr>
                  <w:tcW w:w="1194" w:type="pct"/>
                  <w:gridSpan w:val="2"/>
                  <w:vAlign w:val="center"/>
                </w:tcPr>
                <w:p w:rsidR="00790EAE" w:rsidRPr="00F36FC4" w:rsidRDefault="00790EAE" w:rsidP="00E97924">
                  <w:pPr>
                    <w:pStyle w:val="TableBodyText"/>
                    <w:ind w:left="113"/>
                    <w:jc w:val="left"/>
                  </w:pPr>
                  <w:proofErr w:type="spellStart"/>
                  <w:r>
                    <w:t>LDC</w:t>
                  </w:r>
                  <w:proofErr w:type="spellEnd"/>
                  <w:r>
                    <w:t xml:space="preserve"> with preschool</w:t>
                  </w:r>
                </w:p>
              </w:tc>
              <w:tc>
                <w:tcPr>
                  <w:tcW w:w="443" w:type="pct"/>
                  <w:vAlign w:val="center"/>
                </w:tcPr>
                <w:p w:rsidR="00790EAE" w:rsidRPr="00F4490F" w:rsidRDefault="00790EAE" w:rsidP="00E97924">
                  <w:pPr>
                    <w:pStyle w:val="TableBodyText"/>
                  </w:pPr>
                </w:p>
              </w:tc>
              <w:tc>
                <w:tcPr>
                  <w:tcW w:w="367" w:type="pct"/>
                  <w:vAlign w:val="center"/>
                </w:tcPr>
                <w:p w:rsidR="00790EAE" w:rsidRPr="00F36FC4" w:rsidRDefault="00790EAE" w:rsidP="00E97924">
                  <w:pPr>
                    <w:pStyle w:val="TableBodyText"/>
                  </w:pPr>
                </w:p>
              </w:tc>
              <w:tc>
                <w:tcPr>
                  <w:tcW w:w="448" w:type="pct"/>
                  <w:vAlign w:val="center"/>
                </w:tcPr>
                <w:p w:rsidR="00790EAE" w:rsidRPr="00F36FC4" w:rsidRDefault="00790EAE" w:rsidP="00E97924">
                  <w:pPr>
                    <w:pStyle w:val="TableBodyText"/>
                  </w:pPr>
                </w:p>
              </w:tc>
              <w:tc>
                <w:tcPr>
                  <w:tcW w:w="443" w:type="pct"/>
                  <w:vAlign w:val="center"/>
                </w:tcPr>
                <w:p w:rsidR="00790EAE" w:rsidRPr="00F36FC4" w:rsidRDefault="00790EAE" w:rsidP="00E97924">
                  <w:pPr>
                    <w:pStyle w:val="TableBodyText"/>
                  </w:pPr>
                </w:p>
              </w:tc>
              <w:tc>
                <w:tcPr>
                  <w:tcW w:w="446" w:type="pct"/>
                  <w:vAlign w:val="center"/>
                </w:tcPr>
                <w:p w:rsidR="00790EAE" w:rsidRPr="00F36FC4" w:rsidRDefault="00790EAE" w:rsidP="00E97924">
                  <w:pPr>
                    <w:pStyle w:val="TableBodyText"/>
                  </w:pPr>
                </w:p>
              </w:tc>
              <w:tc>
                <w:tcPr>
                  <w:tcW w:w="445" w:type="pct"/>
                  <w:vAlign w:val="center"/>
                </w:tcPr>
                <w:p w:rsidR="00790EAE" w:rsidRPr="00F36FC4" w:rsidRDefault="00790EAE" w:rsidP="00E97924">
                  <w:pPr>
                    <w:pStyle w:val="TableBodyText"/>
                  </w:pPr>
                </w:p>
              </w:tc>
              <w:tc>
                <w:tcPr>
                  <w:tcW w:w="413" w:type="pct"/>
                  <w:vAlign w:val="center"/>
                </w:tcPr>
                <w:p w:rsidR="00790EAE" w:rsidRPr="00F36FC4" w:rsidRDefault="00790EAE" w:rsidP="00E97924">
                  <w:pPr>
                    <w:pStyle w:val="TableBodyText"/>
                  </w:pPr>
                </w:p>
              </w:tc>
              <w:tc>
                <w:tcPr>
                  <w:tcW w:w="401" w:type="pct"/>
                  <w:vAlign w:val="center"/>
                </w:tcPr>
                <w:p w:rsidR="00790EAE" w:rsidRPr="00F36FC4" w:rsidRDefault="00790EAE" w:rsidP="00E97924">
                  <w:pPr>
                    <w:pStyle w:val="TableBodyText"/>
                  </w:pPr>
                </w:p>
              </w:tc>
              <w:tc>
                <w:tcPr>
                  <w:tcW w:w="400" w:type="pct"/>
                  <w:vAlign w:val="center"/>
                </w:tcPr>
                <w:p w:rsidR="00790EAE" w:rsidRPr="00F36FC4" w:rsidRDefault="00790EAE" w:rsidP="00E97924">
                  <w:pPr>
                    <w:pStyle w:val="TableBodyText"/>
                  </w:pPr>
                </w:p>
              </w:tc>
            </w:tr>
            <w:tr w:rsidR="00790EAE" w:rsidRPr="00F36FC4" w:rsidTr="00E97924">
              <w:trPr>
                <w:jc w:val="center"/>
              </w:trPr>
              <w:tc>
                <w:tcPr>
                  <w:tcW w:w="1194" w:type="pct"/>
                  <w:gridSpan w:val="2"/>
                </w:tcPr>
                <w:p w:rsidR="00790EAE" w:rsidRPr="007F27A5" w:rsidRDefault="002D438E" w:rsidP="00E97924">
                  <w:pPr>
                    <w:pStyle w:val="TableBodyText"/>
                    <w:ind w:left="113"/>
                    <w:jc w:val="left"/>
                  </w:pPr>
                  <w:r>
                    <w:t xml:space="preserve"> </w:t>
                  </w:r>
                  <w:r w:rsidR="00790EAE" w:rsidRPr="007F27A5">
                    <w:t>Government</w:t>
                  </w:r>
                </w:p>
              </w:tc>
              <w:tc>
                <w:tcPr>
                  <w:tcW w:w="443" w:type="pct"/>
                  <w:vAlign w:val="center"/>
                </w:tcPr>
                <w:p w:rsidR="00790EAE" w:rsidRPr="00206B80" w:rsidRDefault="002D438E" w:rsidP="00E97924">
                  <w:pPr>
                    <w:pStyle w:val="TableBodyText"/>
                  </w:pPr>
                  <w:r>
                    <w:t xml:space="preserve"> </w:t>
                  </w:r>
                  <w:r w:rsidR="00790EAE" w:rsidRPr="00206B80">
                    <w:t>8.3</w:t>
                  </w:r>
                </w:p>
              </w:tc>
              <w:tc>
                <w:tcPr>
                  <w:tcW w:w="367" w:type="pct"/>
                  <w:vAlign w:val="center"/>
                </w:tcPr>
                <w:p w:rsidR="00790EAE" w:rsidRPr="00206B80" w:rsidRDefault="002D438E" w:rsidP="00E97924">
                  <w:pPr>
                    <w:pStyle w:val="TableBodyText"/>
                  </w:pPr>
                  <w:r>
                    <w:t xml:space="preserve"> </w:t>
                  </w:r>
                  <w:r w:rsidR="00790EAE" w:rsidRPr="00206B80">
                    <w:t>3.3</w:t>
                  </w:r>
                </w:p>
              </w:tc>
              <w:tc>
                <w:tcPr>
                  <w:tcW w:w="448" w:type="pct"/>
                  <w:vAlign w:val="center"/>
                </w:tcPr>
                <w:p w:rsidR="00790EAE" w:rsidRPr="00206B80" w:rsidRDefault="002D438E" w:rsidP="00E97924">
                  <w:pPr>
                    <w:pStyle w:val="TableBodyText"/>
                  </w:pPr>
                  <w:r>
                    <w:t xml:space="preserve"> </w:t>
                  </w:r>
                  <w:r w:rsidR="00790EAE" w:rsidRPr="00206B80">
                    <w:t>0.5</w:t>
                  </w:r>
                </w:p>
              </w:tc>
              <w:tc>
                <w:tcPr>
                  <w:tcW w:w="443" w:type="pct"/>
                  <w:vAlign w:val="center"/>
                </w:tcPr>
                <w:p w:rsidR="00790EAE" w:rsidRPr="00206B80" w:rsidRDefault="002D438E" w:rsidP="00E97924">
                  <w:pPr>
                    <w:pStyle w:val="TableBodyText"/>
                  </w:pPr>
                  <w:r>
                    <w:t xml:space="preserve"> </w:t>
                  </w:r>
                  <w:r w:rsidR="00790EAE" w:rsidRPr="00206B80">
                    <w:t>1.3</w:t>
                  </w:r>
                </w:p>
              </w:tc>
              <w:tc>
                <w:tcPr>
                  <w:tcW w:w="446" w:type="pct"/>
                  <w:vAlign w:val="center"/>
                </w:tcPr>
                <w:p w:rsidR="00790EAE" w:rsidRPr="00206B80" w:rsidRDefault="002D438E" w:rsidP="00E97924">
                  <w:pPr>
                    <w:pStyle w:val="TableBodyText"/>
                  </w:pPr>
                  <w:r>
                    <w:t xml:space="preserve"> </w:t>
                  </w:r>
                  <w:r w:rsidR="00790EAE" w:rsidRPr="00206B80">
                    <w:t>7.9</w:t>
                  </w:r>
                </w:p>
              </w:tc>
              <w:tc>
                <w:tcPr>
                  <w:tcW w:w="445" w:type="pct"/>
                  <w:vAlign w:val="center"/>
                </w:tcPr>
                <w:p w:rsidR="00790EAE" w:rsidRPr="00206B80" w:rsidRDefault="00790EAE" w:rsidP="00E97924">
                  <w:pPr>
                    <w:pStyle w:val="TableBodyText"/>
                  </w:pPr>
                  <w:r w:rsidRPr="00206B80">
                    <w:t>–</w:t>
                  </w:r>
                </w:p>
              </w:tc>
              <w:tc>
                <w:tcPr>
                  <w:tcW w:w="413" w:type="pct"/>
                  <w:vAlign w:val="center"/>
                </w:tcPr>
                <w:p w:rsidR="00790EAE" w:rsidRPr="00206B80" w:rsidRDefault="002D438E" w:rsidP="00E97924">
                  <w:pPr>
                    <w:pStyle w:val="TableBodyText"/>
                  </w:pPr>
                  <w:r>
                    <w:t xml:space="preserve"> </w:t>
                  </w:r>
                  <w:r w:rsidR="00790EAE" w:rsidRPr="00206B80">
                    <w:t>3.6</w:t>
                  </w:r>
                </w:p>
              </w:tc>
              <w:tc>
                <w:tcPr>
                  <w:tcW w:w="401" w:type="pct"/>
                  <w:vAlign w:val="center"/>
                </w:tcPr>
                <w:p w:rsidR="00790EAE" w:rsidRPr="00206B80" w:rsidRDefault="00790EAE" w:rsidP="00E97924">
                  <w:pPr>
                    <w:pStyle w:val="TableBodyText"/>
                  </w:pPr>
                  <w:r w:rsidRPr="00206B80">
                    <w:t>–</w:t>
                  </w:r>
                </w:p>
              </w:tc>
              <w:tc>
                <w:tcPr>
                  <w:tcW w:w="400" w:type="pct"/>
                  <w:vAlign w:val="center"/>
                </w:tcPr>
                <w:p w:rsidR="00790EAE" w:rsidRPr="00206B80" w:rsidRDefault="002D438E" w:rsidP="00E97924">
                  <w:pPr>
                    <w:pStyle w:val="TableBodyText"/>
                  </w:pPr>
                  <w:r>
                    <w:t xml:space="preserve"> </w:t>
                  </w:r>
                  <w:r w:rsidR="00790EAE" w:rsidRPr="00206B80">
                    <w:t>4.1</w:t>
                  </w:r>
                </w:p>
              </w:tc>
            </w:tr>
            <w:tr w:rsidR="00790EAE" w:rsidRPr="00F36FC4" w:rsidTr="00E97924">
              <w:trPr>
                <w:jc w:val="center"/>
              </w:trPr>
              <w:tc>
                <w:tcPr>
                  <w:tcW w:w="1194" w:type="pct"/>
                  <w:gridSpan w:val="2"/>
                </w:tcPr>
                <w:p w:rsidR="00790EAE" w:rsidRPr="007F27A5" w:rsidRDefault="00790EAE" w:rsidP="00E97924">
                  <w:pPr>
                    <w:pStyle w:val="TableBodyText"/>
                    <w:ind w:left="113"/>
                    <w:jc w:val="left"/>
                  </w:pPr>
                  <w:r w:rsidRPr="007F27A5">
                    <w:t xml:space="preserve">  Non</w:t>
                  </w:r>
                  <w:r w:rsidR="002D438E">
                    <w:noBreakHyphen/>
                  </w:r>
                  <w:r w:rsidRPr="007F27A5">
                    <w:t>government</w:t>
                  </w:r>
                </w:p>
              </w:tc>
              <w:tc>
                <w:tcPr>
                  <w:tcW w:w="443" w:type="pct"/>
                  <w:vAlign w:val="center"/>
                </w:tcPr>
                <w:p w:rsidR="00790EAE" w:rsidRPr="00206B80" w:rsidRDefault="002D438E" w:rsidP="00E97924">
                  <w:pPr>
                    <w:pStyle w:val="TableBodyText"/>
                  </w:pPr>
                  <w:r>
                    <w:t xml:space="preserve"> </w:t>
                  </w:r>
                  <w:r w:rsidR="00790EAE" w:rsidRPr="00206B80">
                    <w:t>58.7</w:t>
                  </w:r>
                </w:p>
              </w:tc>
              <w:tc>
                <w:tcPr>
                  <w:tcW w:w="367" w:type="pct"/>
                  <w:vAlign w:val="center"/>
                </w:tcPr>
                <w:p w:rsidR="00790EAE" w:rsidRPr="00206B80" w:rsidRDefault="002D438E" w:rsidP="00E97924">
                  <w:pPr>
                    <w:pStyle w:val="TableBodyText"/>
                  </w:pPr>
                  <w:r>
                    <w:t xml:space="preserve"> </w:t>
                  </w:r>
                  <w:r w:rsidR="00790EAE" w:rsidRPr="00206B80">
                    <w:t>44.7</w:t>
                  </w:r>
                </w:p>
              </w:tc>
              <w:tc>
                <w:tcPr>
                  <w:tcW w:w="448" w:type="pct"/>
                  <w:vAlign w:val="center"/>
                </w:tcPr>
                <w:p w:rsidR="00790EAE" w:rsidRPr="00206B80" w:rsidRDefault="002D438E" w:rsidP="00E97924">
                  <w:pPr>
                    <w:pStyle w:val="TableBodyText"/>
                  </w:pPr>
                  <w:r>
                    <w:t xml:space="preserve"> </w:t>
                  </w:r>
                  <w:r w:rsidR="00790EAE" w:rsidRPr="00206B80">
                    <w:t>69.4</w:t>
                  </w:r>
                </w:p>
              </w:tc>
              <w:tc>
                <w:tcPr>
                  <w:tcW w:w="443" w:type="pct"/>
                  <w:vAlign w:val="center"/>
                </w:tcPr>
                <w:p w:rsidR="00790EAE" w:rsidRPr="00206B80" w:rsidRDefault="002D438E" w:rsidP="00E97924">
                  <w:pPr>
                    <w:pStyle w:val="TableBodyText"/>
                  </w:pPr>
                  <w:r>
                    <w:t xml:space="preserve"> </w:t>
                  </w:r>
                  <w:r w:rsidR="00790EAE" w:rsidRPr="00206B80">
                    <w:t>20.0</w:t>
                  </w:r>
                </w:p>
              </w:tc>
              <w:tc>
                <w:tcPr>
                  <w:tcW w:w="446" w:type="pct"/>
                  <w:vAlign w:val="center"/>
                </w:tcPr>
                <w:p w:rsidR="00790EAE" w:rsidRPr="00206B80" w:rsidRDefault="002D438E" w:rsidP="00E97924">
                  <w:pPr>
                    <w:pStyle w:val="TableBodyText"/>
                  </w:pPr>
                  <w:r>
                    <w:t xml:space="preserve"> </w:t>
                  </w:r>
                  <w:r w:rsidR="00790EAE" w:rsidRPr="00206B80">
                    <w:t>28.2</w:t>
                  </w:r>
                </w:p>
              </w:tc>
              <w:tc>
                <w:tcPr>
                  <w:tcW w:w="445" w:type="pct"/>
                  <w:vAlign w:val="center"/>
                </w:tcPr>
                <w:p w:rsidR="00790EAE" w:rsidRPr="00206B80" w:rsidRDefault="002D438E" w:rsidP="00E97924">
                  <w:pPr>
                    <w:pStyle w:val="TableBodyText"/>
                  </w:pPr>
                  <w:r>
                    <w:t xml:space="preserve"> </w:t>
                  </w:r>
                  <w:r w:rsidR="00790EAE" w:rsidRPr="00206B80">
                    <w:t>6.6</w:t>
                  </w:r>
                </w:p>
              </w:tc>
              <w:tc>
                <w:tcPr>
                  <w:tcW w:w="413" w:type="pct"/>
                  <w:vAlign w:val="center"/>
                </w:tcPr>
                <w:p w:rsidR="00790EAE" w:rsidRPr="00206B80" w:rsidRDefault="002D438E" w:rsidP="00E97924">
                  <w:pPr>
                    <w:pStyle w:val="TableBodyText"/>
                  </w:pPr>
                  <w:r>
                    <w:t xml:space="preserve"> </w:t>
                  </w:r>
                  <w:r w:rsidR="00790EAE" w:rsidRPr="00206B80">
                    <w:t>45.5</w:t>
                  </w:r>
                </w:p>
              </w:tc>
              <w:tc>
                <w:tcPr>
                  <w:tcW w:w="401" w:type="pct"/>
                  <w:vAlign w:val="center"/>
                </w:tcPr>
                <w:p w:rsidR="00790EAE" w:rsidRPr="00206B80" w:rsidRDefault="002D438E" w:rsidP="00E97924">
                  <w:pPr>
                    <w:pStyle w:val="TableBodyText"/>
                  </w:pPr>
                  <w:r>
                    <w:t xml:space="preserve"> </w:t>
                  </w:r>
                  <w:r w:rsidR="00790EAE" w:rsidRPr="00206B80">
                    <w:t>23.7</w:t>
                  </w:r>
                </w:p>
              </w:tc>
              <w:tc>
                <w:tcPr>
                  <w:tcW w:w="400" w:type="pct"/>
                  <w:vAlign w:val="center"/>
                </w:tcPr>
                <w:p w:rsidR="00790EAE" w:rsidRPr="00206B80" w:rsidRDefault="002D438E" w:rsidP="00E97924">
                  <w:pPr>
                    <w:pStyle w:val="TableBodyText"/>
                  </w:pPr>
                  <w:r>
                    <w:t xml:space="preserve"> </w:t>
                  </w:r>
                  <w:r w:rsidR="00790EAE" w:rsidRPr="00206B80">
                    <w:t>48.3</w:t>
                  </w:r>
                </w:p>
              </w:tc>
            </w:tr>
            <w:tr w:rsidR="00790EAE" w:rsidRPr="00F36FC4" w:rsidTr="00E97924">
              <w:trPr>
                <w:jc w:val="center"/>
              </w:trPr>
              <w:tc>
                <w:tcPr>
                  <w:tcW w:w="1194" w:type="pct"/>
                  <w:gridSpan w:val="2"/>
                </w:tcPr>
                <w:p w:rsidR="00790EAE" w:rsidRPr="00C74B4C" w:rsidRDefault="00790EAE" w:rsidP="00E97924">
                  <w:pPr>
                    <w:pStyle w:val="TableBodyText"/>
                    <w:ind w:left="113"/>
                    <w:jc w:val="left"/>
                    <w:rPr>
                      <w:b/>
                    </w:rPr>
                  </w:pPr>
                  <w:r>
                    <w:rPr>
                      <w:b/>
                    </w:rPr>
                    <w:t xml:space="preserve">Total </w:t>
                  </w:r>
                  <w:proofErr w:type="spellStart"/>
                  <w:r>
                    <w:rPr>
                      <w:b/>
                    </w:rPr>
                    <w:t>LDC</w:t>
                  </w:r>
                  <w:proofErr w:type="spellEnd"/>
                  <w:r>
                    <w:rPr>
                      <w:b/>
                    </w:rPr>
                    <w:t xml:space="preserve"> with preschool</w:t>
                  </w:r>
                </w:p>
              </w:tc>
              <w:tc>
                <w:tcPr>
                  <w:tcW w:w="443" w:type="pct"/>
                  <w:vAlign w:val="center"/>
                </w:tcPr>
                <w:p w:rsidR="00790EAE" w:rsidRPr="00206B80" w:rsidRDefault="002D438E" w:rsidP="00E97924">
                  <w:pPr>
                    <w:pStyle w:val="TableBodyText"/>
                    <w:rPr>
                      <w:b/>
                    </w:rPr>
                  </w:pPr>
                  <w:r>
                    <w:rPr>
                      <w:b/>
                    </w:rPr>
                    <w:t xml:space="preserve"> </w:t>
                  </w:r>
                  <w:r w:rsidR="00790EAE" w:rsidRPr="00206B80">
                    <w:rPr>
                      <w:b/>
                    </w:rPr>
                    <w:t>67.0</w:t>
                  </w:r>
                </w:p>
              </w:tc>
              <w:tc>
                <w:tcPr>
                  <w:tcW w:w="367" w:type="pct"/>
                  <w:vAlign w:val="center"/>
                </w:tcPr>
                <w:p w:rsidR="00790EAE" w:rsidRPr="00206B80" w:rsidRDefault="002D438E" w:rsidP="00E97924">
                  <w:pPr>
                    <w:pStyle w:val="TableBodyText"/>
                    <w:rPr>
                      <w:b/>
                    </w:rPr>
                  </w:pPr>
                  <w:r>
                    <w:rPr>
                      <w:b/>
                    </w:rPr>
                    <w:t xml:space="preserve"> </w:t>
                  </w:r>
                  <w:r w:rsidR="00790EAE" w:rsidRPr="00206B80">
                    <w:rPr>
                      <w:b/>
                    </w:rPr>
                    <w:t>48.1</w:t>
                  </w:r>
                </w:p>
              </w:tc>
              <w:tc>
                <w:tcPr>
                  <w:tcW w:w="448" w:type="pct"/>
                  <w:vAlign w:val="center"/>
                </w:tcPr>
                <w:p w:rsidR="00790EAE" w:rsidRPr="00206B80" w:rsidRDefault="002D438E" w:rsidP="00E97924">
                  <w:pPr>
                    <w:pStyle w:val="TableBodyText"/>
                    <w:rPr>
                      <w:b/>
                    </w:rPr>
                  </w:pPr>
                  <w:r>
                    <w:rPr>
                      <w:b/>
                    </w:rPr>
                    <w:t xml:space="preserve"> </w:t>
                  </w:r>
                  <w:r w:rsidR="00790EAE" w:rsidRPr="00206B80">
                    <w:rPr>
                      <w:b/>
                    </w:rPr>
                    <w:t>69.9</w:t>
                  </w:r>
                </w:p>
              </w:tc>
              <w:tc>
                <w:tcPr>
                  <w:tcW w:w="443" w:type="pct"/>
                  <w:vAlign w:val="center"/>
                </w:tcPr>
                <w:p w:rsidR="00790EAE" w:rsidRPr="00206B80" w:rsidRDefault="002D438E" w:rsidP="00E97924">
                  <w:pPr>
                    <w:pStyle w:val="TableBodyText"/>
                    <w:rPr>
                      <w:b/>
                    </w:rPr>
                  </w:pPr>
                  <w:r>
                    <w:rPr>
                      <w:b/>
                    </w:rPr>
                    <w:t xml:space="preserve"> </w:t>
                  </w:r>
                  <w:r w:rsidR="00790EAE" w:rsidRPr="00206B80">
                    <w:rPr>
                      <w:b/>
                    </w:rPr>
                    <w:t>21.3</w:t>
                  </w:r>
                </w:p>
              </w:tc>
              <w:tc>
                <w:tcPr>
                  <w:tcW w:w="446" w:type="pct"/>
                  <w:vAlign w:val="center"/>
                </w:tcPr>
                <w:p w:rsidR="00790EAE" w:rsidRPr="00206B80" w:rsidRDefault="002D438E" w:rsidP="00E97924">
                  <w:pPr>
                    <w:pStyle w:val="TableBodyText"/>
                    <w:rPr>
                      <w:b/>
                    </w:rPr>
                  </w:pPr>
                  <w:r>
                    <w:rPr>
                      <w:b/>
                    </w:rPr>
                    <w:t xml:space="preserve"> </w:t>
                  </w:r>
                  <w:r w:rsidR="00790EAE" w:rsidRPr="00206B80">
                    <w:rPr>
                      <w:b/>
                    </w:rPr>
                    <w:t>36.1</w:t>
                  </w:r>
                </w:p>
              </w:tc>
              <w:tc>
                <w:tcPr>
                  <w:tcW w:w="445" w:type="pct"/>
                  <w:vAlign w:val="center"/>
                </w:tcPr>
                <w:p w:rsidR="00790EAE" w:rsidRPr="00206B80" w:rsidRDefault="002D438E" w:rsidP="00E97924">
                  <w:pPr>
                    <w:pStyle w:val="TableBodyText"/>
                    <w:rPr>
                      <w:b/>
                    </w:rPr>
                  </w:pPr>
                  <w:r>
                    <w:rPr>
                      <w:b/>
                    </w:rPr>
                    <w:t xml:space="preserve"> </w:t>
                  </w:r>
                  <w:r w:rsidR="00790EAE" w:rsidRPr="00206B80">
                    <w:rPr>
                      <w:b/>
                    </w:rPr>
                    <w:t>6.6</w:t>
                  </w:r>
                </w:p>
              </w:tc>
              <w:tc>
                <w:tcPr>
                  <w:tcW w:w="413" w:type="pct"/>
                  <w:vAlign w:val="center"/>
                </w:tcPr>
                <w:p w:rsidR="00790EAE" w:rsidRPr="00206B80" w:rsidRDefault="002D438E" w:rsidP="00E97924">
                  <w:pPr>
                    <w:pStyle w:val="TableBodyText"/>
                    <w:rPr>
                      <w:b/>
                    </w:rPr>
                  </w:pPr>
                  <w:r>
                    <w:rPr>
                      <w:b/>
                    </w:rPr>
                    <w:t xml:space="preserve"> </w:t>
                  </w:r>
                  <w:r w:rsidR="00790EAE" w:rsidRPr="00206B80">
                    <w:rPr>
                      <w:b/>
                    </w:rPr>
                    <w:t>49.1</w:t>
                  </w:r>
                </w:p>
              </w:tc>
              <w:tc>
                <w:tcPr>
                  <w:tcW w:w="401" w:type="pct"/>
                  <w:vAlign w:val="center"/>
                </w:tcPr>
                <w:p w:rsidR="00790EAE" w:rsidRPr="00206B80" w:rsidRDefault="002D438E" w:rsidP="00E97924">
                  <w:pPr>
                    <w:pStyle w:val="TableBodyText"/>
                    <w:rPr>
                      <w:b/>
                    </w:rPr>
                  </w:pPr>
                  <w:r>
                    <w:rPr>
                      <w:b/>
                    </w:rPr>
                    <w:t xml:space="preserve"> </w:t>
                  </w:r>
                  <w:r w:rsidR="00790EAE" w:rsidRPr="00206B80">
                    <w:rPr>
                      <w:b/>
                    </w:rPr>
                    <w:t>23.7</w:t>
                  </w:r>
                </w:p>
              </w:tc>
              <w:tc>
                <w:tcPr>
                  <w:tcW w:w="400" w:type="pct"/>
                  <w:vAlign w:val="center"/>
                </w:tcPr>
                <w:p w:rsidR="00790EAE" w:rsidRPr="00206B80" w:rsidRDefault="002D438E" w:rsidP="00E97924">
                  <w:pPr>
                    <w:pStyle w:val="TableBodyText"/>
                    <w:rPr>
                      <w:b/>
                    </w:rPr>
                  </w:pPr>
                  <w:r>
                    <w:rPr>
                      <w:b/>
                    </w:rPr>
                    <w:t xml:space="preserve"> </w:t>
                  </w:r>
                  <w:r w:rsidR="00790EAE" w:rsidRPr="00206B80">
                    <w:rPr>
                      <w:b/>
                    </w:rPr>
                    <w:t>52.4</w:t>
                  </w:r>
                </w:p>
              </w:tc>
            </w:tr>
            <w:tr w:rsidR="009C51AA" w:rsidRPr="00F36FC4" w:rsidTr="009C51AA">
              <w:trPr>
                <w:jc w:val="center"/>
              </w:trPr>
              <w:tc>
                <w:tcPr>
                  <w:tcW w:w="2004" w:type="pct"/>
                  <w:gridSpan w:val="4"/>
                  <w:vAlign w:val="center"/>
                </w:tcPr>
                <w:p w:rsidR="009C51AA" w:rsidRPr="00F36FC4" w:rsidRDefault="009C51AA" w:rsidP="00A14144">
                  <w:pPr>
                    <w:pStyle w:val="TableBodyText"/>
                    <w:jc w:val="left"/>
                    <w:rPr>
                      <w:szCs w:val="26"/>
                      <w:lang w:eastAsia="en-US"/>
                    </w:rPr>
                  </w:pPr>
                  <w:r>
                    <w:t xml:space="preserve">  Preschool not delivered in </w:t>
                  </w:r>
                  <w:proofErr w:type="spellStart"/>
                  <w:r>
                    <w:t>LDC</w:t>
                  </w:r>
                  <w:proofErr w:type="spellEnd"/>
                </w:p>
              </w:tc>
              <w:tc>
                <w:tcPr>
                  <w:tcW w:w="448" w:type="pct"/>
                  <w:vAlign w:val="center"/>
                </w:tcPr>
                <w:p w:rsidR="009C51AA" w:rsidRPr="00F36FC4" w:rsidRDefault="009C51AA" w:rsidP="00E97924">
                  <w:pPr>
                    <w:pStyle w:val="TableBodyText"/>
                  </w:pPr>
                </w:p>
              </w:tc>
              <w:tc>
                <w:tcPr>
                  <w:tcW w:w="443" w:type="pct"/>
                  <w:vAlign w:val="center"/>
                </w:tcPr>
                <w:p w:rsidR="009C51AA" w:rsidRPr="00F36FC4" w:rsidRDefault="009C51AA" w:rsidP="00E97924">
                  <w:pPr>
                    <w:pStyle w:val="TableBodyText"/>
                  </w:pPr>
                </w:p>
              </w:tc>
              <w:tc>
                <w:tcPr>
                  <w:tcW w:w="446" w:type="pct"/>
                  <w:vAlign w:val="center"/>
                </w:tcPr>
                <w:p w:rsidR="009C51AA" w:rsidRPr="00F36FC4" w:rsidRDefault="009C51AA" w:rsidP="00E97924">
                  <w:pPr>
                    <w:pStyle w:val="TableBodyText"/>
                  </w:pPr>
                </w:p>
              </w:tc>
              <w:tc>
                <w:tcPr>
                  <w:tcW w:w="445" w:type="pct"/>
                  <w:vAlign w:val="center"/>
                </w:tcPr>
                <w:p w:rsidR="009C51AA" w:rsidRPr="00F36FC4" w:rsidRDefault="009C51AA" w:rsidP="00E97924">
                  <w:pPr>
                    <w:pStyle w:val="TableBodyText"/>
                  </w:pPr>
                </w:p>
              </w:tc>
              <w:tc>
                <w:tcPr>
                  <w:tcW w:w="413" w:type="pct"/>
                  <w:vAlign w:val="center"/>
                </w:tcPr>
                <w:p w:rsidR="009C51AA" w:rsidRPr="00F36FC4" w:rsidRDefault="009C51AA" w:rsidP="00E97924">
                  <w:pPr>
                    <w:pStyle w:val="TableBodyText"/>
                  </w:pPr>
                </w:p>
              </w:tc>
              <w:tc>
                <w:tcPr>
                  <w:tcW w:w="401" w:type="pct"/>
                  <w:vAlign w:val="center"/>
                </w:tcPr>
                <w:p w:rsidR="009C51AA" w:rsidRPr="00F36FC4" w:rsidRDefault="009C51AA" w:rsidP="00E97924">
                  <w:pPr>
                    <w:pStyle w:val="TableBodyText"/>
                  </w:pPr>
                </w:p>
              </w:tc>
              <w:tc>
                <w:tcPr>
                  <w:tcW w:w="400" w:type="pct"/>
                  <w:vAlign w:val="center"/>
                </w:tcPr>
                <w:p w:rsidR="009C51AA" w:rsidRPr="00F36FC4" w:rsidRDefault="009C51AA" w:rsidP="00E97924">
                  <w:pPr>
                    <w:pStyle w:val="TableBodyText"/>
                  </w:pPr>
                </w:p>
              </w:tc>
            </w:tr>
            <w:tr w:rsidR="00790EAE" w:rsidRPr="00F36FC4" w:rsidTr="00E97924">
              <w:trPr>
                <w:jc w:val="center"/>
              </w:trPr>
              <w:tc>
                <w:tcPr>
                  <w:tcW w:w="1194" w:type="pct"/>
                  <w:gridSpan w:val="2"/>
                  <w:vAlign w:val="center"/>
                </w:tcPr>
                <w:p w:rsidR="00790EAE" w:rsidRPr="00F36FC4" w:rsidRDefault="00790EAE" w:rsidP="00E97924">
                  <w:pPr>
                    <w:pStyle w:val="TableBodyText"/>
                    <w:ind w:left="113"/>
                    <w:jc w:val="left"/>
                  </w:pPr>
                  <w:r>
                    <w:t xml:space="preserve">  Government</w:t>
                  </w:r>
                </w:p>
              </w:tc>
              <w:tc>
                <w:tcPr>
                  <w:tcW w:w="443" w:type="pct"/>
                  <w:vAlign w:val="center"/>
                </w:tcPr>
                <w:p w:rsidR="00790EAE" w:rsidRPr="00206B80" w:rsidRDefault="002D438E" w:rsidP="00E97924">
                  <w:pPr>
                    <w:pStyle w:val="TableBodyText"/>
                  </w:pPr>
                  <w:r>
                    <w:t xml:space="preserve"> </w:t>
                  </w:r>
                  <w:r w:rsidR="00790EAE" w:rsidRPr="00206B80">
                    <w:t>6.2</w:t>
                  </w:r>
                </w:p>
              </w:tc>
              <w:tc>
                <w:tcPr>
                  <w:tcW w:w="367" w:type="pct"/>
                  <w:vAlign w:val="center"/>
                </w:tcPr>
                <w:p w:rsidR="00790EAE" w:rsidRPr="00206B80" w:rsidRDefault="002D438E" w:rsidP="00E97924">
                  <w:pPr>
                    <w:pStyle w:val="TableBodyText"/>
                  </w:pPr>
                  <w:r>
                    <w:t xml:space="preserve"> </w:t>
                  </w:r>
                  <w:r w:rsidR="00790EAE" w:rsidRPr="00206B80">
                    <w:t>10.5</w:t>
                  </w:r>
                </w:p>
              </w:tc>
              <w:tc>
                <w:tcPr>
                  <w:tcW w:w="448" w:type="pct"/>
                  <w:vAlign w:val="center"/>
                </w:tcPr>
                <w:p w:rsidR="00790EAE" w:rsidRPr="00206B80" w:rsidRDefault="002D438E" w:rsidP="00E97924">
                  <w:pPr>
                    <w:pStyle w:val="TableBodyText"/>
                  </w:pPr>
                  <w:r>
                    <w:t xml:space="preserve"> </w:t>
                  </w:r>
                  <w:r w:rsidR="00790EAE" w:rsidRPr="00206B80">
                    <w:t>6.1</w:t>
                  </w:r>
                </w:p>
              </w:tc>
              <w:tc>
                <w:tcPr>
                  <w:tcW w:w="443" w:type="pct"/>
                  <w:vAlign w:val="center"/>
                </w:tcPr>
                <w:p w:rsidR="00790EAE" w:rsidRPr="00206B80" w:rsidRDefault="002D438E" w:rsidP="00E97924">
                  <w:pPr>
                    <w:pStyle w:val="TableBodyText"/>
                  </w:pPr>
                  <w:r>
                    <w:t xml:space="preserve"> </w:t>
                  </w:r>
                  <w:r w:rsidR="00790EAE" w:rsidRPr="00206B80">
                    <w:t>56.7</w:t>
                  </w:r>
                </w:p>
              </w:tc>
              <w:tc>
                <w:tcPr>
                  <w:tcW w:w="446" w:type="pct"/>
                  <w:vAlign w:val="center"/>
                </w:tcPr>
                <w:p w:rsidR="00790EAE" w:rsidRPr="00206B80" w:rsidRDefault="002D438E" w:rsidP="00E97924">
                  <w:pPr>
                    <w:pStyle w:val="TableBodyText"/>
                  </w:pPr>
                  <w:r>
                    <w:t xml:space="preserve"> </w:t>
                  </w:r>
                  <w:r w:rsidR="00790EAE" w:rsidRPr="00206B80">
                    <w:t>58.8</w:t>
                  </w:r>
                </w:p>
              </w:tc>
              <w:tc>
                <w:tcPr>
                  <w:tcW w:w="445" w:type="pct"/>
                  <w:vAlign w:val="center"/>
                </w:tcPr>
                <w:p w:rsidR="00790EAE" w:rsidRPr="00206B80" w:rsidRDefault="002D438E" w:rsidP="00E97924">
                  <w:pPr>
                    <w:pStyle w:val="TableBodyText"/>
                  </w:pPr>
                  <w:r>
                    <w:t xml:space="preserve"> </w:t>
                  </w:r>
                  <w:r w:rsidR="00790EAE" w:rsidRPr="00206B80">
                    <w:t>68.0</w:t>
                  </w:r>
                </w:p>
              </w:tc>
              <w:tc>
                <w:tcPr>
                  <w:tcW w:w="413" w:type="pct"/>
                  <w:vAlign w:val="center"/>
                </w:tcPr>
                <w:p w:rsidR="00790EAE" w:rsidRPr="00206B80" w:rsidRDefault="002D438E" w:rsidP="00E97924">
                  <w:pPr>
                    <w:pStyle w:val="TableBodyText"/>
                  </w:pPr>
                  <w:r>
                    <w:t xml:space="preserve"> </w:t>
                  </w:r>
                  <w:r w:rsidR="00790EAE" w:rsidRPr="00206B80">
                    <w:t>47.9</w:t>
                  </w:r>
                </w:p>
              </w:tc>
              <w:tc>
                <w:tcPr>
                  <w:tcW w:w="401" w:type="pct"/>
                  <w:vAlign w:val="center"/>
                </w:tcPr>
                <w:p w:rsidR="00790EAE" w:rsidRPr="00206B80" w:rsidRDefault="002D438E" w:rsidP="00E97924">
                  <w:pPr>
                    <w:pStyle w:val="TableBodyText"/>
                  </w:pPr>
                  <w:r>
                    <w:t xml:space="preserve"> </w:t>
                  </w:r>
                  <w:r w:rsidR="00790EAE" w:rsidRPr="00206B80">
                    <w:t>71.2</w:t>
                  </w:r>
                </w:p>
              </w:tc>
              <w:tc>
                <w:tcPr>
                  <w:tcW w:w="400" w:type="pct"/>
                  <w:vAlign w:val="center"/>
                </w:tcPr>
                <w:p w:rsidR="00790EAE" w:rsidRPr="00206B80" w:rsidRDefault="002D438E" w:rsidP="00E97924">
                  <w:pPr>
                    <w:pStyle w:val="TableBodyText"/>
                  </w:pPr>
                  <w:r>
                    <w:t xml:space="preserve"> </w:t>
                  </w:r>
                  <w:r w:rsidR="00790EAE" w:rsidRPr="00206B80">
                    <w:t>20.8</w:t>
                  </w:r>
                </w:p>
              </w:tc>
            </w:tr>
            <w:tr w:rsidR="00790EAE" w:rsidRPr="00F36FC4" w:rsidTr="00E97924">
              <w:trPr>
                <w:jc w:val="center"/>
              </w:trPr>
              <w:tc>
                <w:tcPr>
                  <w:tcW w:w="1194" w:type="pct"/>
                  <w:gridSpan w:val="2"/>
                  <w:vAlign w:val="center"/>
                </w:tcPr>
                <w:p w:rsidR="00790EAE" w:rsidRPr="00F36FC4" w:rsidRDefault="00790EAE" w:rsidP="00E97924">
                  <w:pPr>
                    <w:pStyle w:val="TableBodyText"/>
                    <w:ind w:left="113"/>
                    <w:jc w:val="left"/>
                  </w:pPr>
                  <w:r>
                    <w:t xml:space="preserve">  Non</w:t>
                  </w:r>
                  <w:r w:rsidR="002D438E">
                    <w:noBreakHyphen/>
                  </w:r>
                  <w:r>
                    <w:t>government</w:t>
                  </w:r>
                </w:p>
              </w:tc>
              <w:tc>
                <w:tcPr>
                  <w:tcW w:w="443" w:type="pct"/>
                  <w:vAlign w:val="center"/>
                </w:tcPr>
                <w:p w:rsidR="00790EAE" w:rsidRPr="00206B80" w:rsidRDefault="002D438E" w:rsidP="00E97924">
                  <w:pPr>
                    <w:pStyle w:val="TableBodyText"/>
                  </w:pPr>
                  <w:r>
                    <w:t xml:space="preserve"> </w:t>
                  </w:r>
                  <w:r w:rsidR="00790EAE" w:rsidRPr="00206B80">
                    <w:t>26.8</w:t>
                  </w:r>
                </w:p>
              </w:tc>
              <w:tc>
                <w:tcPr>
                  <w:tcW w:w="367" w:type="pct"/>
                  <w:vAlign w:val="center"/>
                </w:tcPr>
                <w:p w:rsidR="00790EAE" w:rsidRPr="00206B80" w:rsidRDefault="002D438E" w:rsidP="00E97924">
                  <w:pPr>
                    <w:pStyle w:val="TableBodyText"/>
                  </w:pPr>
                  <w:r>
                    <w:t xml:space="preserve"> </w:t>
                  </w:r>
                  <w:r w:rsidR="00790EAE" w:rsidRPr="00206B80">
                    <w:t>41.5</w:t>
                  </w:r>
                </w:p>
              </w:tc>
              <w:tc>
                <w:tcPr>
                  <w:tcW w:w="448" w:type="pct"/>
                  <w:vAlign w:val="center"/>
                </w:tcPr>
                <w:p w:rsidR="00790EAE" w:rsidRPr="00206B80" w:rsidRDefault="002D438E" w:rsidP="00E97924">
                  <w:pPr>
                    <w:pStyle w:val="TableBodyText"/>
                  </w:pPr>
                  <w:r>
                    <w:t xml:space="preserve"> </w:t>
                  </w:r>
                  <w:r w:rsidR="00790EAE" w:rsidRPr="00206B80">
                    <w:t>24.0</w:t>
                  </w:r>
                </w:p>
              </w:tc>
              <w:tc>
                <w:tcPr>
                  <w:tcW w:w="443" w:type="pct"/>
                  <w:vAlign w:val="center"/>
                </w:tcPr>
                <w:p w:rsidR="00790EAE" w:rsidRPr="00206B80" w:rsidRDefault="002D438E" w:rsidP="00E97924">
                  <w:pPr>
                    <w:pStyle w:val="TableBodyText"/>
                  </w:pPr>
                  <w:r>
                    <w:t xml:space="preserve"> </w:t>
                  </w:r>
                  <w:r w:rsidR="00790EAE" w:rsidRPr="00206B80">
                    <w:t>21.9</w:t>
                  </w:r>
                </w:p>
              </w:tc>
              <w:tc>
                <w:tcPr>
                  <w:tcW w:w="446" w:type="pct"/>
                  <w:vAlign w:val="center"/>
                </w:tcPr>
                <w:p w:rsidR="00790EAE" w:rsidRPr="00206B80" w:rsidRDefault="002D438E" w:rsidP="00E97924">
                  <w:pPr>
                    <w:pStyle w:val="TableBodyText"/>
                  </w:pPr>
                  <w:r>
                    <w:t xml:space="preserve"> </w:t>
                  </w:r>
                  <w:r w:rsidR="00790EAE" w:rsidRPr="00206B80">
                    <w:t>5.0</w:t>
                  </w:r>
                </w:p>
              </w:tc>
              <w:tc>
                <w:tcPr>
                  <w:tcW w:w="445" w:type="pct"/>
                  <w:vAlign w:val="center"/>
                </w:tcPr>
                <w:p w:rsidR="00790EAE" w:rsidRPr="00206B80" w:rsidRDefault="002D438E" w:rsidP="00E97924">
                  <w:pPr>
                    <w:pStyle w:val="TableBodyText"/>
                  </w:pPr>
                  <w:r>
                    <w:t xml:space="preserve"> </w:t>
                  </w:r>
                  <w:r w:rsidR="00790EAE" w:rsidRPr="00206B80">
                    <w:t>25.4</w:t>
                  </w:r>
                </w:p>
              </w:tc>
              <w:tc>
                <w:tcPr>
                  <w:tcW w:w="413" w:type="pct"/>
                  <w:vAlign w:val="center"/>
                </w:tcPr>
                <w:p w:rsidR="00790EAE" w:rsidRPr="00206B80" w:rsidRDefault="002D438E" w:rsidP="00E97924">
                  <w:pPr>
                    <w:pStyle w:val="TableBodyText"/>
                  </w:pPr>
                  <w:r>
                    <w:t xml:space="preserve"> </w:t>
                  </w:r>
                  <w:r w:rsidR="00790EAE" w:rsidRPr="00206B80">
                    <w:t>3.0</w:t>
                  </w:r>
                </w:p>
              </w:tc>
              <w:tc>
                <w:tcPr>
                  <w:tcW w:w="401" w:type="pct"/>
                  <w:vAlign w:val="center"/>
                </w:tcPr>
                <w:p w:rsidR="00790EAE" w:rsidRPr="00206B80" w:rsidRDefault="002D438E" w:rsidP="00E97924">
                  <w:pPr>
                    <w:pStyle w:val="TableBodyText"/>
                  </w:pPr>
                  <w:r>
                    <w:t xml:space="preserve"> </w:t>
                  </w:r>
                  <w:r w:rsidR="00790EAE" w:rsidRPr="00206B80">
                    <w:t>5.1</w:t>
                  </w:r>
                </w:p>
              </w:tc>
              <w:tc>
                <w:tcPr>
                  <w:tcW w:w="400" w:type="pct"/>
                  <w:vAlign w:val="center"/>
                </w:tcPr>
                <w:p w:rsidR="00790EAE" w:rsidRPr="00206B80" w:rsidRDefault="002D438E" w:rsidP="00E97924">
                  <w:pPr>
                    <w:pStyle w:val="TableBodyText"/>
                  </w:pPr>
                  <w:r>
                    <w:t xml:space="preserve"> </w:t>
                  </w:r>
                  <w:r w:rsidR="00790EAE" w:rsidRPr="00206B80">
                    <w:t>26.9</w:t>
                  </w:r>
                </w:p>
              </w:tc>
            </w:tr>
            <w:tr w:rsidR="00790EAE" w:rsidRPr="00F36FC4" w:rsidTr="00E97924">
              <w:trPr>
                <w:jc w:val="center"/>
              </w:trPr>
              <w:tc>
                <w:tcPr>
                  <w:tcW w:w="1194" w:type="pct"/>
                  <w:gridSpan w:val="2"/>
                  <w:vAlign w:val="center"/>
                </w:tcPr>
                <w:p w:rsidR="00790EAE" w:rsidRPr="00F36FC4" w:rsidRDefault="00790EAE" w:rsidP="00F60A23">
                  <w:pPr>
                    <w:pStyle w:val="TableBodyText"/>
                    <w:ind w:left="227"/>
                    <w:jc w:val="left"/>
                  </w:pPr>
                  <w:r>
                    <w:t xml:space="preserve">    Community</w:t>
                  </w:r>
                </w:p>
              </w:tc>
              <w:tc>
                <w:tcPr>
                  <w:tcW w:w="443" w:type="pct"/>
                  <w:vAlign w:val="center"/>
                </w:tcPr>
                <w:p w:rsidR="00790EAE" w:rsidRPr="00206B80" w:rsidRDefault="002D438E" w:rsidP="00E97924">
                  <w:pPr>
                    <w:pStyle w:val="TableBodyText"/>
                  </w:pPr>
                  <w:r>
                    <w:t xml:space="preserve"> </w:t>
                  </w:r>
                  <w:r w:rsidR="00790EAE" w:rsidRPr="00206B80">
                    <w:t>26.0</w:t>
                  </w:r>
                </w:p>
              </w:tc>
              <w:tc>
                <w:tcPr>
                  <w:tcW w:w="367" w:type="pct"/>
                  <w:vAlign w:val="center"/>
                </w:tcPr>
                <w:p w:rsidR="00790EAE" w:rsidRPr="00206B80" w:rsidRDefault="002D438E" w:rsidP="00E97924">
                  <w:pPr>
                    <w:pStyle w:val="TableBodyText"/>
                  </w:pPr>
                  <w:r>
                    <w:t xml:space="preserve"> </w:t>
                  </w:r>
                  <w:r w:rsidR="00790EAE" w:rsidRPr="00206B80">
                    <w:t>38.0</w:t>
                  </w:r>
                </w:p>
              </w:tc>
              <w:tc>
                <w:tcPr>
                  <w:tcW w:w="448" w:type="pct"/>
                  <w:vAlign w:val="center"/>
                </w:tcPr>
                <w:p w:rsidR="00790EAE" w:rsidRPr="00206B80" w:rsidRDefault="002D438E" w:rsidP="00E97924">
                  <w:pPr>
                    <w:pStyle w:val="TableBodyText"/>
                  </w:pPr>
                  <w:r>
                    <w:t xml:space="preserve"> </w:t>
                  </w:r>
                  <w:r w:rsidR="00790EAE" w:rsidRPr="00206B80">
                    <w:t>21.5</w:t>
                  </w:r>
                </w:p>
              </w:tc>
              <w:tc>
                <w:tcPr>
                  <w:tcW w:w="443" w:type="pct"/>
                  <w:vAlign w:val="center"/>
                </w:tcPr>
                <w:p w:rsidR="00790EAE" w:rsidRPr="00206B80" w:rsidRDefault="00790EAE" w:rsidP="00E97924">
                  <w:pPr>
                    <w:pStyle w:val="TableBodyText"/>
                  </w:pPr>
                  <w:r w:rsidRPr="00206B80">
                    <w:t>–</w:t>
                  </w:r>
                </w:p>
              </w:tc>
              <w:tc>
                <w:tcPr>
                  <w:tcW w:w="446" w:type="pct"/>
                  <w:vAlign w:val="center"/>
                </w:tcPr>
                <w:p w:rsidR="00790EAE" w:rsidRPr="00206B80" w:rsidRDefault="002D438E" w:rsidP="00E97924">
                  <w:pPr>
                    <w:pStyle w:val="TableBodyText"/>
                  </w:pPr>
                  <w:r>
                    <w:t xml:space="preserve"> </w:t>
                  </w:r>
                  <w:r w:rsidR="00790EAE" w:rsidRPr="00206B80">
                    <w:t>0.5</w:t>
                  </w:r>
                </w:p>
              </w:tc>
              <w:tc>
                <w:tcPr>
                  <w:tcW w:w="445" w:type="pct"/>
                  <w:vAlign w:val="center"/>
                </w:tcPr>
                <w:p w:rsidR="00790EAE" w:rsidRPr="00206B80" w:rsidRDefault="00790EAE" w:rsidP="00E97924">
                  <w:pPr>
                    <w:pStyle w:val="TableBodyText"/>
                  </w:pPr>
                  <w:r w:rsidRPr="00206B80">
                    <w:t>–</w:t>
                  </w:r>
                </w:p>
              </w:tc>
              <w:tc>
                <w:tcPr>
                  <w:tcW w:w="413" w:type="pct"/>
                  <w:vAlign w:val="center"/>
                </w:tcPr>
                <w:p w:rsidR="00790EAE" w:rsidRPr="00206B80" w:rsidRDefault="00790EAE" w:rsidP="00E97924">
                  <w:pPr>
                    <w:pStyle w:val="TableBodyText"/>
                  </w:pPr>
                  <w:r w:rsidRPr="00206B80">
                    <w:t>–</w:t>
                  </w:r>
                </w:p>
              </w:tc>
              <w:tc>
                <w:tcPr>
                  <w:tcW w:w="401" w:type="pct"/>
                  <w:vAlign w:val="center"/>
                </w:tcPr>
                <w:p w:rsidR="00790EAE" w:rsidRPr="00206B80" w:rsidRDefault="00790EAE" w:rsidP="00E97924">
                  <w:pPr>
                    <w:pStyle w:val="TableBodyText"/>
                  </w:pPr>
                  <w:r w:rsidRPr="00206B80">
                    <w:t>–</w:t>
                  </w:r>
                </w:p>
              </w:tc>
              <w:tc>
                <w:tcPr>
                  <w:tcW w:w="400" w:type="pct"/>
                  <w:vAlign w:val="center"/>
                </w:tcPr>
                <w:p w:rsidR="00790EAE" w:rsidRPr="00206B80" w:rsidRDefault="002D438E" w:rsidP="00E97924">
                  <w:pPr>
                    <w:pStyle w:val="TableBodyText"/>
                  </w:pPr>
                  <w:r>
                    <w:t xml:space="preserve"> </w:t>
                  </w:r>
                  <w:r w:rsidR="00790EAE" w:rsidRPr="00206B80">
                    <w:t>21.4</w:t>
                  </w:r>
                </w:p>
              </w:tc>
            </w:tr>
            <w:tr w:rsidR="00790EAE" w:rsidRPr="00F36FC4" w:rsidTr="00E97924">
              <w:trPr>
                <w:jc w:val="center"/>
              </w:trPr>
              <w:tc>
                <w:tcPr>
                  <w:tcW w:w="1194" w:type="pct"/>
                  <w:gridSpan w:val="2"/>
                  <w:vAlign w:val="center"/>
                </w:tcPr>
                <w:p w:rsidR="00790EAE" w:rsidRPr="00F36FC4" w:rsidRDefault="00790EAE" w:rsidP="00F60A23">
                  <w:pPr>
                    <w:pStyle w:val="TableBodyText"/>
                    <w:ind w:left="227"/>
                    <w:jc w:val="left"/>
                  </w:pPr>
                  <w:r>
                    <w:t xml:space="preserve">    Private for profit</w:t>
                  </w:r>
                </w:p>
              </w:tc>
              <w:tc>
                <w:tcPr>
                  <w:tcW w:w="443" w:type="pct"/>
                  <w:vAlign w:val="center"/>
                </w:tcPr>
                <w:p w:rsidR="00790EAE" w:rsidRPr="00206B80" w:rsidRDefault="002D438E" w:rsidP="00E97924">
                  <w:pPr>
                    <w:pStyle w:val="TableBodyText"/>
                  </w:pPr>
                  <w:r>
                    <w:t xml:space="preserve"> </w:t>
                  </w:r>
                  <w:r w:rsidR="00790EAE" w:rsidRPr="00206B80">
                    <w:t>0.1</w:t>
                  </w:r>
                </w:p>
              </w:tc>
              <w:tc>
                <w:tcPr>
                  <w:tcW w:w="367" w:type="pct"/>
                  <w:vAlign w:val="center"/>
                </w:tcPr>
                <w:p w:rsidR="00790EAE" w:rsidRPr="00206B80" w:rsidRDefault="002D438E" w:rsidP="00E97924">
                  <w:pPr>
                    <w:pStyle w:val="TableBodyText"/>
                  </w:pPr>
                  <w:r>
                    <w:t xml:space="preserve"> </w:t>
                  </w:r>
                  <w:r w:rsidR="00790EAE" w:rsidRPr="00206B80">
                    <w:t>0.5</w:t>
                  </w:r>
                </w:p>
              </w:tc>
              <w:tc>
                <w:tcPr>
                  <w:tcW w:w="448" w:type="pct"/>
                  <w:vAlign w:val="center"/>
                </w:tcPr>
                <w:p w:rsidR="00790EAE" w:rsidRPr="00206B80" w:rsidRDefault="00790EAE" w:rsidP="00E97924">
                  <w:pPr>
                    <w:pStyle w:val="TableBodyText"/>
                  </w:pPr>
                  <w:r w:rsidRPr="00206B80">
                    <w:t>–</w:t>
                  </w:r>
                </w:p>
              </w:tc>
              <w:tc>
                <w:tcPr>
                  <w:tcW w:w="443" w:type="pct"/>
                  <w:vAlign w:val="center"/>
                </w:tcPr>
                <w:p w:rsidR="00790EAE" w:rsidRPr="00206B80" w:rsidRDefault="00790EAE" w:rsidP="00E97924">
                  <w:pPr>
                    <w:pStyle w:val="TableBodyText"/>
                  </w:pPr>
                  <w:r w:rsidRPr="00206B80">
                    <w:t>–</w:t>
                  </w:r>
                </w:p>
              </w:tc>
              <w:tc>
                <w:tcPr>
                  <w:tcW w:w="446" w:type="pct"/>
                  <w:vAlign w:val="center"/>
                </w:tcPr>
                <w:p w:rsidR="00790EAE" w:rsidRPr="00206B80" w:rsidRDefault="00790EAE" w:rsidP="00E97924">
                  <w:pPr>
                    <w:pStyle w:val="TableBodyText"/>
                  </w:pPr>
                  <w:r w:rsidRPr="00206B80">
                    <w:t>–</w:t>
                  </w:r>
                </w:p>
              </w:tc>
              <w:tc>
                <w:tcPr>
                  <w:tcW w:w="445" w:type="pct"/>
                  <w:vAlign w:val="center"/>
                </w:tcPr>
                <w:p w:rsidR="00790EAE" w:rsidRPr="00206B80" w:rsidRDefault="00790EAE" w:rsidP="00E97924">
                  <w:pPr>
                    <w:pStyle w:val="TableBodyText"/>
                  </w:pPr>
                  <w:r w:rsidRPr="00206B80">
                    <w:t>–</w:t>
                  </w:r>
                </w:p>
              </w:tc>
              <w:tc>
                <w:tcPr>
                  <w:tcW w:w="413" w:type="pct"/>
                  <w:vAlign w:val="center"/>
                </w:tcPr>
                <w:p w:rsidR="00790EAE" w:rsidRPr="00206B80" w:rsidRDefault="00790EAE" w:rsidP="00E97924">
                  <w:pPr>
                    <w:pStyle w:val="TableBodyText"/>
                  </w:pPr>
                  <w:r w:rsidRPr="00206B80">
                    <w:t>–</w:t>
                  </w:r>
                </w:p>
              </w:tc>
              <w:tc>
                <w:tcPr>
                  <w:tcW w:w="401" w:type="pct"/>
                  <w:vAlign w:val="center"/>
                </w:tcPr>
                <w:p w:rsidR="00790EAE" w:rsidRPr="00206B80" w:rsidRDefault="00790EAE" w:rsidP="00E97924">
                  <w:pPr>
                    <w:pStyle w:val="TableBodyText"/>
                  </w:pPr>
                  <w:r w:rsidRPr="00206B80">
                    <w:t>–</w:t>
                  </w:r>
                </w:p>
              </w:tc>
              <w:tc>
                <w:tcPr>
                  <w:tcW w:w="400" w:type="pct"/>
                  <w:vAlign w:val="center"/>
                </w:tcPr>
                <w:p w:rsidR="00790EAE" w:rsidRPr="00206B80" w:rsidRDefault="002D438E" w:rsidP="00E97924">
                  <w:pPr>
                    <w:pStyle w:val="TableBodyText"/>
                  </w:pPr>
                  <w:r>
                    <w:t xml:space="preserve"> </w:t>
                  </w:r>
                  <w:r w:rsidR="00790EAE" w:rsidRPr="00206B80">
                    <w:t>0.1</w:t>
                  </w:r>
                </w:p>
              </w:tc>
            </w:tr>
            <w:tr w:rsidR="00790EAE" w:rsidRPr="00F36FC4" w:rsidTr="00E97924">
              <w:trPr>
                <w:jc w:val="center"/>
              </w:trPr>
              <w:tc>
                <w:tcPr>
                  <w:tcW w:w="1194" w:type="pct"/>
                  <w:gridSpan w:val="2"/>
                  <w:vAlign w:val="center"/>
                </w:tcPr>
                <w:p w:rsidR="00790EAE" w:rsidRPr="00F36FC4" w:rsidRDefault="00790EAE" w:rsidP="00F60A23">
                  <w:pPr>
                    <w:pStyle w:val="TableBodyText"/>
                    <w:ind w:left="227"/>
                    <w:jc w:val="left"/>
                  </w:pPr>
                  <w:r>
                    <w:t xml:space="preserve">    Non</w:t>
                  </w:r>
                  <w:r w:rsidR="002D438E">
                    <w:noBreakHyphen/>
                  </w:r>
                  <w:r>
                    <w:t>government</w:t>
                  </w:r>
                  <w:r w:rsidR="002D438E">
                    <w:t xml:space="preserve"> </w:t>
                  </w:r>
                  <w:r>
                    <w:t>school</w:t>
                  </w:r>
                </w:p>
              </w:tc>
              <w:tc>
                <w:tcPr>
                  <w:tcW w:w="443" w:type="pct"/>
                  <w:vAlign w:val="center"/>
                </w:tcPr>
                <w:p w:rsidR="00790EAE" w:rsidRPr="00206B80" w:rsidRDefault="002D438E" w:rsidP="00E97924">
                  <w:pPr>
                    <w:pStyle w:val="TableBodyText"/>
                  </w:pPr>
                  <w:r>
                    <w:t xml:space="preserve"> </w:t>
                  </w:r>
                  <w:r w:rsidR="00790EAE" w:rsidRPr="00206B80">
                    <w:t>0.7</w:t>
                  </w:r>
                </w:p>
              </w:tc>
              <w:tc>
                <w:tcPr>
                  <w:tcW w:w="367" w:type="pct"/>
                  <w:vAlign w:val="center"/>
                </w:tcPr>
                <w:p w:rsidR="00790EAE" w:rsidRPr="00206B80" w:rsidRDefault="002D438E" w:rsidP="00E97924">
                  <w:pPr>
                    <w:pStyle w:val="TableBodyText"/>
                  </w:pPr>
                  <w:r>
                    <w:t xml:space="preserve"> </w:t>
                  </w:r>
                  <w:r w:rsidR="00790EAE" w:rsidRPr="00206B80">
                    <w:t>3.0</w:t>
                  </w:r>
                </w:p>
              </w:tc>
              <w:tc>
                <w:tcPr>
                  <w:tcW w:w="448" w:type="pct"/>
                  <w:vAlign w:val="center"/>
                </w:tcPr>
                <w:p w:rsidR="00790EAE" w:rsidRPr="00206B80" w:rsidRDefault="002D438E" w:rsidP="00E97924">
                  <w:pPr>
                    <w:pStyle w:val="TableBodyText"/>
                  </w:pPr>
                  <w:r>
                    <w:t xml:space="preserve"> </w:t>
                  </w:r>
                  <w:r w:rsidR="00790EAE" w:rsidRPr="00206B80">
                    <w:t>2.5</w:t>
                  </w:r>
                </w:p>
              </w:tc>
              <w:tc>
                <w:tcPr>
                  <w:tcW w:w="443" w:type="pct"/>
                  <w:vAlign w:val="center"/>
                </w:tcPr>
                <w:p w:rsidR="00790EAE" w:rsidRPr="00206B80" w:rsidRDefault="002D438E" w:rsidP="00E97924">
                  <w:pPr>
                    <w:pStyle w:val="TableBodyText"/>
                  </w:pPr>
                  <w:r>
                    <w:t xml:space="preserve"> </w:t>
                  </w:r>
                  <w:r w:rsidR="00790EAE" w:rsidRPr="00206B80">
                    <w:t>21.9</w:t>
                  </w:r>
                </w:p>
              </w:tc>
              <w:tc>
                <w:tcPr>
                  <w:tcW w:w="446" w:type="pct"/>
                  <w:vAlign w:val="center"/>
                </w:tcPr>
                <w:p w:rsidR="00790EAE" w:rsidRPr="00206B80" w:rsidRDefault="002D438E" w:rsidP="00E97924">
                  <w:pPr>
                    <w:pStyle w:val="TableBodyText"/>
                  </w:pPr>
                  <w:r>
                    <w:t xml:space="preserve"> </w:t>
                  </w:r>
                  <w:r w:rsidR="00790EAE" w:rsidRPr="00206B80">
                    <w:t>4.5</w:t>
                  </w:r>
                </w:p>
              </w:tc>
              <w:tc>
                <w:tcPr>
                  <w:tcW w:w="445" w:type="pct"/>
                  <w:vAlign w:val="center"/>
                </w:tcPr>
                <w:p w:rsidR="00790EAE" w:rsidRPr="00206B80" w:rsidRDefault="002D438E" w:rsidP="00E97924">
                  <w:pPr>
                    <w:pStyle w:val="TableBodyText"/>
                  </w:pPr>
                  <w:r>
                    <w:t xml:space="preserve"> </w:t>
                  </w:r>
                  <w:r w:rsidR="00790EAE" w:rsidRPr="00206B80">
                    <w:t>25.4</w:t>
                  </w:r>
                </w:p>
              </w:tc>
              <w:tc>
                <w:tcPr>
                  <w:tcW w:w="413" w:type="pct"/>
                  <w:vAlign w:val="center"/>
                </w:tcPr>
                <w:p w:rsidR="00790EAE" w:rsidRPr="00206B80" w:rsidRDefault="002D438E" w:rsidP="00E97924">
                  <w:pPr>
                    <w:pStyle w:val="TableBodyText"/>
                  </w:pPr>
                  <w:r>
                    <w:t xml:space="preserve"> </w:t>
                  </w:r>
                  <w:r w:rsidR="00790EAE" w:rsidRPr="00206B80">
                    <w:t>3.0</w:t>
                  </w:r>
                </w:p>
              </w:tc>
              <w:tc>
                <w:tcPr>
                  <w:tcW w:w="401" w:type="pct"/>
                  <w:vAlign w:val="center"/>
                </w:tcPr>
                <w:p w:rsidR="00790EAE" w:rsidRPr="00206B80" w:rsidRDefault="002D438E" w:rsidP="00E97924">
                  <w:pPr>
                    <w:pStyle w:val="TableBodyText"/>
                  </w:pPr>
                  <w:r>
                    <w:t xml:space="preserve"> </w:t>
                  </w:r>
                  <w:r w:rsidR="00790EAE" w:rsidRPr="00206B80">
                    <w:t>5.1</w:t>
                  </w:r>
                </w:p>
              </w:tc>
              <w:tc>
                <w:tcPr>
                  <w:tcW w:w="400" w:type="pct"/>
                  <w:vAlign w:val="center"/>
                </w:tcPr>
                <w:p w:rsidR="00790EAE" w:rsidRPr="00206B80" w:rsidRDefault="002D438E" w:rsidP="00E97924">
                  <w:pPr>
                    <w:pStyle w:val="TableBodyText"/>
                  </w:pPr>
                  <w:r>
                    <w:t xml:space="preserve"> </w:t>
                  </w:r>
                  <w:r w:rsidR="00790EAE" w:rsidRPr="00206B80">
                    <w:t>5.4</w:t>
                  </w:r>
                </w:p>
              </w:tc>
            </w:tr>
            <w:tr w:rsidR="00790EAE" w:rsidRPr="00F36FC4" w:rsidTr="00E97924">
              <w:trPr>
                <w:jc w:val="center"/>
              </w:trPr>
              <w:tc>
                <w:tcPr>
                  <w:tcW w:w="1194" w:type="pct"/>
                  <w:gridSpan w:val="2"/>
                  <w:vAlign w:val="center"/>
                </w:tcPr>
                <w:p w:rsidR="00790EAE" w:rsidRPr="007F27A5" w:rsidRDefault="00790EAE" w:rsidP="00E97924">
                  <w:pPr>
                    <w:pStyle w:val="TableBodyText"/>
                    <w:ind w:left="113"/>
                    <w:jc w:val="left"/>
                    <w:rPr>
                      <w:b/>
                    </w:rPr>
                  </w:pPr>
                  <w:r>
                    <w:rPr>
                      <w:b/>
                    </w:rPr>
                    <w:t xml:space="preserve">Preschool not delivered in </w:t>
                  </w:r>
                  <w:proofErr w:type="spellStart"/>
                  <w:r>
                    <w:rPr>
                      <w:b/>
                    </w:rPr>
                    <w:t>LDC</w:t>
                  </w:r>
                  <w:proofErr w:type="spellEnd"/>
                </w:p>
              </w:tc>
              <w:tc>
                <w:tcPr>
                  <w:tcW w:w="443" w:type="pct"/>
                  <w:vAlign w:val="center"/>
                </w:tcPr>
                <w:p w:rsidR="00790EAE" w:rsidRPr="00206B80" w:rsidRDefault="002D438E" w:rsidP="00E97924">
                  <w:pPr>
                    <w:pStyle w:val="TableBodyText"/>
                    <w:rPr>
                      <w:b/>
                    </w:rPr>
                  </w:pPr>
                  <w:r>
                    <w:rPr>
                      <w:b/>
                    </w:rPr>
                    <w:t xml:space="preserve"> </w:t>
                  </w:r>
                  <w:r w:rsidR="00790EAE" w:rsidRPr="00206B80">
                    <w:rPr>
                      <w:b/>
                    </w:rPr>
                    <w:t>33.0</w:t>
                  </w:r>
                </w:p>
              </w:tc>
              <w:tc>
                <w:tcPr>
                  <w:tcW w:w="367" w:type="pct"/>
                  <w:vAlign w:val="center"/>
                </w:tcPr>
                <w:p w:rsidR="00790EAE" w:rsidRPr="00206B80" w:rsidRDefault="002D438E" w:rsidP="00E97924">
                  <w:pPr>
                    <w:pStyle w:val="TableBodyText"/>
                    <w:rPr>
                      <w:b/>
                    </w:rPr>
                  </w:pPr>
                  <w:r>
                    <w:rPr>
                      <w:b/>
                    </w:rPr>
                    <w:t xml:space="preserve"> </w:t>
                  </w:r>
                  <w:r w:rsidR="00790EAE" w:rsidRPr="00206B80">
                    <w:rPr>
                      <w:b/>
                    </w:rPr>
                    <w:t>51.9</w:t>
                  </w:r>
                </w:p>
              </w:tc>
              <w:tc>
                <w:tcPr>
                  <w:tcW w:w="448" w:type="pct"/>
                  <w:vAlign w:val="center"/>
                </w:tcPr>
                <w:p w:rsidR="00790EAE" w:rsidRPr="00206B80" w:rsidRDefault="002D438E" w:rsidP="00E97924">
                  <w:pPr>
                    <w:pStyle w:val="TableBodyText"/>
                    <w:rPr>
                      <w:b/>
                    </w:rPr>
                  </w:pPr>
                  <w:r>
                    <w:rPr>
                      <w:b/>
                    </w:rPr>
                    <w:t xml:space="preserve"> </w:t>
                  </w:r>
                  <w:r w:rsidR="00790EAE" w:rsidRPr="00206B80">
                    <w:rPr>
                      <w:b/>
                    </w:rPr>
                    <w:t>30.1</w:t>
                  </w:r>
                </w:p>
              </w:tc>
              <w:tc>
                <w:tcPr>
                  <w:tcW w:w="443" w:type="pct"/>
                  <w:vAlign w:val="center"/>
                </w:tcPr>
                <w:p w:rsidR="00790EAE" w:rsidRPr="00206B80" w:rsidRDefault="002D438E" w:rsidP="00E97924">
                  <w:pPr>
                    <w:pStyle w:val="TableBodyText"/>
                    <w:rPr>
                      <w:b/>
                    </w:rPr>
                  </w:pPr>
                  <w:r>
                    <w:rPr>
                      <w:b/>
                    </w:rPr>
                    <w:t xml:space="preserve"> </w:t>
                  </w:r>
                  <w:r w:rsidR="00790EAE" w:rsidRPr="00206B80">
                    <w:rPr>
                      <w:b/>
                    </w:rPr>
                    <w:t>78.7</w:t>
                  </w:r>
                </w:p>
              </w:tc>
              <w:tc>
                <w:tcPr>
                  <w:tcW w:w="446" w:type="pct"/>
                  <w:vAlign w:val="center"/>
                </w:tcPr>
                <w:p w:rsidR="00790EAE" w:rsidRPr="00206B80" w:rsidRDefault="002D438E" w:rsidP="00E97924">
                  <w:pPr>
                    <w:pStyle w:val="TableBodyText"/>
                    <w:rPr>
                      <w:b/>
                    </w:rPr>
                  </w:pPr>
                  <w:r>
                    <w:rPr>
                      <w:b/>
                    </w:rPr>
                    <w:t xml:space="preserve"> </w:t>
                  </w:r>
                  <w:r w:rsidR="00790EAE" w:rsidRPr="00206B80">
                    <w:rPr>
                      <w:b/>
                    </w:rPr>
                    <w:t>63.9</w:t>
                  </w:r>
                </w:p>
              </w:tc>
              <w:tc>
                <w:tcPr>
                  <w:tcW w:w="445" w:type="pct"/>
                  <w:vAlign w:val="center"/>
                </w:tcPr>
                <w:p w:rsidR="00790EAE" w:rsidRPr="00206B80" w:rsidRDefault="002D438E" w:rsidP="00E97924">
                  <w:pPr>
                    <w:pStyle w:val="TableBodyText"/>
                    <w:rPr>
                      <w:b/>
                    </w:rPr>
                  </w:pPr>
                  <w:r>
                    <w:rPr>
                      <w:b/>
                    </w:rPr>
                    <w:t xml:space="preserve"> </w:t>
                  </w:r>
                  <w:r w:rsidR="00790EAE" w:rsidRPr="00206B80">
                    <w:rPr>
                      <w:b/>
                    </w:rPr>
                    <w:t>93.4</w:t>
                  </w:r>
                </w:p>
              </w:tc>
              <w:tc>
                <w:tcPr>
                  <w:tcW w:w="413" w:type="pct"/>
                  <w:vAlign w:val="center"/>
                </w:tcPr>
                <w:p w:rsidR="00790EAE" w:rsidRPr="00206B80" w:rsidRDefault="002D438E" w:rsidP="00E97924">
                  <w:pPr>
                    <w:pStyle w:val="TableBodyText"/>
                    <w:rPr>
                      <w:b/>
                    </w:rPr>
                  </w:pPr>
                  <w:r>
                    <w:rPr>
                      <w:b/>
                    </w:rPr>
                    <w:t xml:space="preserve"> </w:t>
                  </w:r>
                  <w:r w:rsidR="00790EAE" w:rsidRPr="00206B80">
                    <w:rPr>
                      <w:b/>
                    </w:rPr>
                    <w:t>50.9</w:t>
                  </w:r>
                </w:p>
              </w:tc>
              <w:tc>
                <w:tcPr>
                  <w:tcW w:w="401" w:type="pct"/>
                  <w:vAlign w:val="center"/>
                </w:tcPr>
                <w:p w:rsidR="00790EAE" w:rsidRPr="00206B80" w:rsidRDefault="002D438E" w:rsidP="00E97924">
                  <w:pPr>
                    <w:pStyle w:val="TableBodyText"/>
                    <w:rPr>
                      <w:b/>
                    </w:rPr>
                  </w:pPr>
                  <w:r>
                    <w:rPr>
                      <w:b/>
                    </w:rPr>
                    <w:t xml:space="preserve"> </w:t>
                  </w:r>
                  <w:r w:rsidR="00790EAE" w:rsidRPr="00206B80">
                    <w:rPr>
                      <w:b/>
                    </w:rPr>
                    <w:t>76.3</w:t>
                  </w:r>
                </w:p>
              </w:tc>
              <w:tc>
                <w:tcPr>
                  <w:tcW w:w="400" w:type="pct"/>
                  <w:vAlign w:val="center"/>
                </w:tcPr>
                <w:p w:rsidR="00790EAE" w:rsidRPr="00206B80" w:rsidRDefault="002D438E" w:rsidP="00E97924">
                  <w:pPr>
                    <w:pStyle w:val="TableBodyText"/>
                    <w:rPr>
                      <w:b/>
                    </w:rPr>
                  </w:pPr>
                  <w:r>
                    <w:rPr>
                      <w:b/>
                    </w:rPr>
                    <w:t xml:space="preserve"> </w:t>
                  </w:r>
                  <w:r w:rsidR="00790EAE" w:rsidRPr="00206B80">
                    <w:rPr>
                      <w:b/>
                    </w:rPr>
                    <w:t>47.6</w:t>
                  </w:r>
                </w:p>
              </w:tc>
            </w:tr>
            <w:tr w:rsidR="00790EAE" w:rsidRPr="00F36FC4" w:rsidTr="00E97924">
              <w:trPr>
                <w:jc w:val="center"/>
              </w:trPr>
              <w:tc>
                <w:tcPr>
                  <w:tcW w:w="1194" w:type="pct"/>
                  <w:gridSpan w:val="2"/>
                  <w:tcBorders>
                    <w:bottom w:val="single" w:sz="6" w:space="0" w:color="BFBFBF"/>
                  </w:tcBorders>
                  <w:shd w:val="clear" w:color="auto" w:fill="auto"/>
                </w:tcPr>
                <w:p w:rsidR="00790EAE" w:rsidRPr="00F36FC4" w:rsidRDefault="00790EAE" w:rsidP="00E97924">
                  <w:pPr>
                    <w:pStyle w:val="TableBodyText"/>
                    <w:ind w:left="113"/>
                    <w:jc w:val="left"/>
                    <w:rPr>
                      <w:b/>
                    </w:rPr>
                  </w:pPr>
                  <w:r w:rsidRPr="00F36FC4">
                    <w:rPr>
                      <w:b/>
                    </w:rPr>
                    <w:t>Total</w:t>
                  </w:r>
                  <w:r>
                    <w:rPr>
                      <w:b/>
                    </w:rPr>
                    <w:t xml:space="preserve"> preschool services</w:t>
                  </w:r>
                </w:p>
              </w:tc>
              <w:tc>
                <w:tcPr>
                  <w:tcW w:w="443" w:type="pct"/>
                  <w:tcBorders>
                    <w:bottom w:val="single" w:sz="6" w:space="0" w:color="BFBFBF"/>
                  </w:tcBorders>
                  <w:shd w:val="clear" w:color="auto" w:fill="auto"/>
                  <w:vAlign w:val="bottom"/>
                </w:tcPr>
                <w:p w:rsidR="00790EAE" w:rsidRPr="00F36FC4" w:rsidRDefault="00790EAE" w:rsidP="00E97924">
                  <w:pPr>
                    <w:pStyle w:val="TableBodyText"/>
                    <w:rPr>
                      <w:b/>
                    </w:rPr>
                  </w:pPr>
                  <w:r w:rsidRPr="00F36FC4">
                    <w:rPr>
                      <w:b/>
                    </w:rPr>
                    <w:t>100.0</w:t>
                  </w:r>
                </w:p>
              </w:tc>
              <w:tc>
                <w:tcPr>
                  <w:tcW w:w="367" w:type="pct"/>
                  <w:tcBorders>
                    <w:bottom w:val="single" w:sz="6" w:space="0" w:color="BFBFBF"/>
                  </w:tcBorders>
                  <w:shd w:val="clear" w:color="auto" w:fill="auto"/>
                  <w:vAlign w:val="bottom"/>
                </w:tcPr>
                <w:p w:rsidR="00790EAE" w:rsidRPr="00F36FC4" w:rsidRDefault="00790EAE" w:rsidP="00E97924">
                  <w:pPr>
                    <w:pStyle w:val="TableBodyText"/>
                    <w:rPr>
                      <w:b/>
                    </w:rPr>
                  </w:pPr>
                  <w:r w:rsidRPr="00F36FC4">
                    <w:rPr>
                      <w:b/>
                    </w:rPr>
                    <w:t>100.0</w:t>
                  </w:r>
                </w:p>
              </w:tc>
              <w:tc>
                <w:tcPr>
                  <w:tcW w:w="448" w:type="pct"/>
                  <w:tcBorders>
                    <w:bottom w:val="single" w:sz="6" w:space="0" w:color="BFBFBF"/>
                  </w:tcBorders>
                  <w:shd w:val="clear" w:color="auto" w:fill="auto"/>
                  <w:vAlign w:val="bottom"/>
                </w:tcPr>
                <w:p w:rsidR="00790EAE" w:rsidRPr="00F36FC4" w:rsidRDefault="00790EAE" w:rsidP="00E97924">
                  <w:pPr>
                    <w:pStyle w:val="TableBodyText"/>
                    <w:rPr>
                      <w:b/>
                    </w:rPr>
                  </w:pPr>
                  <w:r w:rsidRPr="004F7766">
                    <w:rPr>
                      <w:b/>
                    </w:rPr>
                    <w:t>100.0</w:t>
                  </w:r>
                </w:p>
              </w:tc>
              <w:tc>
                <w:tcPr>
                  <w:tcW w:w="443" w:type="pct"/>
                  <w:tcBorders>
                    <w:bottom w:val="single" w:sz="6" w:space="0" w:color="BFBFBF"/>
                  </w:tcBorders>
                  <w:shd w:val="clear" w:color="auto" w:fill="auto"/>
                  <w:vAlign w:val="bottom"/>
                </w:tcPr>
                <w:p w:rsidR="00790EAE" w:rsidRPr="00F36FC4" w:rsidRDefault="00790EAE" w:rsidP="00E97924">
                  <w:pPr>
                    <w:pStyle w:val="TableBodyText"/>
                    <w:rPr>
                      <w:b/>
                    </w:rPr>
                  </w:pPr>
                  <w:r w:rsidRPr="00F36FC4">
                    <w:rPr>
                      <w:b/>
                    </w:rPr>
                    <w:t>100.0</w:t>
                  </w:r>
                </w:p>
              </w:tc>
              <w:tc>
                <w:tcPr>
                  <w:tcW w:w="446" w:type="pct"/>
                  <w:tcBorders>
                    <w:bottom w:val="single" w:sz="6" w:space="0" w:color="BFBFBF"/>
                  </w:tcBorders>
                  <w:shd w:val="clear" w:color="auto" w:fill="auto"/>
                  <w:vAlign w:val="bottom"/>
                </w:tcPr>
                <w:p w:rsidR="00790EAE" w:rsidRPr="00F36FC4" w:rsidRDefault="00790EAE" w:rsidP="00E97924">
                  <w:pPr>
                    <w:pStyle w:val="TableBodyText"/>
                    <w:rPr>
                      <w:b/>
                    </w:rPr>
                  </w:pPr>
                  <w:r w:rsidRPr="00F36FC4">
                    <w:rPr>
                      <w:b/>
                    </w:rPr>
                    <w:t>100.0</w:t>
                  </w:r>
                </w:p>
              </w:tc>
              <w:tc>
                <w:tcPr>
                  <w:tcW w:w="445" w:type="pct"/>
                  <w:tcBorders>
                    <w:bottom w:val="single" w:sz="6" w:space="0" w:color="BFBFBF"/>
                  </w:tcBorders>
                  <w:shd w:val="clear" w:color="auto" w:fill="auto"/>
                  <w:vAlign w:val="bottom"/>
                </w:tcPr>
                <w:p w:rsidR="00790EAE" w:rsidRPr="00F36FC4" w:rsidRDefault="00790EAE" w:rsidP="00E97924">
                  <w:pPr>
                    <w:pStyle w:val="TableBodyText"/>
                    <w:rPr>
                      <w:b/>
                    </w:rPr>
                  </w:pPr>
                  <w:r w:rsidRPr="00F36FC4">
                    <w:rPr>
                      <w:b/>
                    </w:rPr>
                    <w:t>100.0</w:t>
                  </w:r>
                </w:p>
              </w:tc>
              <w:tc>
                <w:tcPr>
                  <w:tcW w:w="413" w:type="pct"/>
                  <w:tcBorders>
                    <w:bottom w:val="single" w:sz="6" w:space="0" w:color="BFBFBF"/>
                  </w:tcBorders>
                  <w:shd w:val="clear" w:color="auto" w:fill="auto"/>
                  <w:vAlign w:val="bottom"/>
                </w:tcPr>
                <w:p w:rsidR="00790EAE" w:rsidRPr="00F36FC4" w:rsidRDefault="00790EAE" w:rsidP="00E97924">
                  <w:pPr>
                    <w:pStyle w:val="TableBodyText"/>
                    <w:rPr>
                      <w:b/>
                    </w:rPr>
                  </w:pPr>
                  <w:r w:rsidRPr="00F36FC4">
                    <w:rPr>
                      <w:b/>
                    </w:rPr>
                    <w:t>100.0</w:t>
                  </w:r>
                </w:p>
              </w:tc>
              <w:tc>
                <w:tcPr>
                  <w:tcW w:w="401" w:type="pct"/>
                  <w:tcBorders>
                    <w:bottom w:val="single" w:sz="6" w:space="0" w:color="BFBFBF"/>
                  </w:tcBorders>
                  <w:shd w:val="clear" w:color="auto" w:fill="auto"/>
                  <w:vAlign w:val="bottom"/>
                </w:tcPr>
                <w:p w:rsidR="00790EAE" w:rsidRPr="004F4F3D" w:rsidRDefault="00790EAE" w:rsidP="00E97924">
                  <w:pPr>
                    <w:pStyle w:val="TableBodyText"/>
                    <w:rPr>
                      <w:b/>
                    </w:rPr>
                  </w:pPr>
                  <w:r w:rsidRPr="004F4F3D">
                    <w:rPr>
                      <w:b/>
                    </w:rPr>
                    <w:t>100.0</w:t>
                  </w:r>
                </w:p>
              </w:tc>
              <w:tc>
                <w:tcPr>
                  <w:tcW w:w="400" w:type="pct"/>
                  <w:tcBorders>
                    <w:bottom w:val="single" w:sz="6" w:space="0" w:color="BFBFBF"/>
                  </w:tcBorders>
                  <w:vAlign w:val="bottom"/>
                </w:tcPr>
                <w:p w:rsidR="00790EAE" w:rsidRPr="004F4F3D" w:rsidRDefault="00790EAE" w:rsidP="00E97924">
                  <w:pPr>
                    <w:pStyle w:val="TableBodyText"/>
                    <w:rPr>
                      <w:b/>
                    </w:rPr>
                  </w:pPr>
                  <w:r w:rsidRPr="004F4F3D">
                    <w:rPr>
                      <w:b/>
                    </w:rPr>
                    <w:t>100.0</w:t>
                  </w:r>
                </w:p>
              </w:tc>
            </w:tr>
          </w:tbl>
          <w:p w:rsidR="00A1300E" w:rsidRDefault="00A1300E" w:rsidP="00E97924">
            <w:pPr>
              <w:pStyle w:val="Box"/>
            </w:pPr>
          </w:p>
        </w:tc>
      </w:tr>
      <w:tr w:rsidR="00A1300E" w:rsidRPr="00992176" w:rsidTr="00E97924">
        <w:trPr>
          <w:cantSplit/>
        </w:trPr>
        <w:tc>
          <w:tcPr>
            <w:tcW w:w="8771" w:type="dxa"/>
            <w:tcBorders>
              <w:top w:val="nil"/>
              <w:left w:val="nil"/>
              <w:bottom w:val="nil"/>
              <w:right w:val="nil"/>
            </w:tcBorders>
            <w:shd w:val="clear" w:color="auto" w:fill="auto"/>
          </w:tcPr>
          <w:p w:rsidR="00A1300E" w:rsidRPr="00992176" w:rsidRDefault="0010137D" w:rsidP="00D422B0">
            <w:pPr>
              <w:pStyle w:val="Note"/>
            </w:pPr>
            <w:proofErr w:type="spellStart"/>
            <w:r w:rsidRPr="0010137D">
              <w:t>LDC</w:t>
            </w:r>
            <w:proofErr w:type="spellEnd"/>
            <w:r w:rsidRPr="0010137D">
              <w:t xml:space="preserve"> = long day care.</w:t>
            </w:r>
            <w:r>
              <w:rPr>
                <w:rStyle w:val="NoteLabel"/>
              </w:rPr>
              <w:t xml:space="preserve"> </w:t>
            </w:r>
            <w:r w:rsidR="00D422B0">
              <w:rPr>
                <w:rStyle w:val="NoteLabel"/>
              </w:rPr>
              <w:t>a</w:t>
            </w:r>
            <w:r w:rsidR="00D422B0">
              <w:t xml:space="preserve"> </w:t>
            </w:r>
            <w:r w:rsidR="0073733D">
              <w:t>See table</w:t>
            </w:r>
            <w:r w:rsidR="00697D43">
              <w:t> </w:t>
            </w:r>
            <w:proofErr w:type="spellStart"/>
            <w:r w:rsidR="0073733D">
              <w:t>3A.1</w:t>
            </w:r>
            <w:r w:rsidR="003A5A78">
              <w:t>2</w:t>
            </w:r>
            <w:proofErr w:type="spellEnd"/>
            <w:r w:rsidR="003A5A78" w:rsidRPr="006853DC">
              <w:t xml:space="preserve"> for detailed </w:t>
            </w:r>
            <w:r w:rsidR="0073733D">
              <w:t xml:space="preserve">footnotes and </w:t>
            </w:r>
            <w:r w:rsidR="003A5A78" w:rsidRPr="006853DC">
              <w:t>caveats</w:t>
            </w:r>
            <w:r w:rsidR="003A5A78">
              <w:t>.</w:t>
            </w:r>
            <w:r w:rsidR="003A5A78" w:rsidRPr="00136A1E">
              <w:rPr>
                <w:color w:val="FF0000"/>
              </w:rPr>
              <w:t xml:space="preserve"> </w:t>
            </w:r>
            <w:r w:rsidR="00D422B0">
              <w:t xml:space="preserve"> </w:t>
            </w:r>
            <w:r w:rsidR="00FA69D3" w:rsidRPr="00146917">
              <w:t>– Nil or rounded to zero.</w:t>
            </w:r>
          </w:p>
        </w:tc>
      </w:tr>
      <w:tr w:rsidR="00A1300E" w:rsidTr="00E97924">
        <w:trPr>
          <w:cantSplit/>
        </w:trPr>
        <w:tc>
          <w:tcPr>
            <w:tcW w:w="8771" w:type="dxa"/>
            <w:tcBorders>
              <w:top w:val="nil"/>
              <w:left w:val="nil"/>
              <w:bottom w:val="nil"/>
              <w:right w:val="nil"/>
            </w:tcBorders>
            <w:shd w:val="clear" w:color="auto" w:fill="auto"/>
          </w:tcPr>
          <w:p w:rsidR="00A1300E" w:rsidRDefault="00A1300E" w:rsidP="00E97924">
            <w:pPr>
              <w:pStyle w:val="Source"/>
            </w:pPr>
            <w:r>
              <w:rPr>
                <w:i/>
              </w:rPr>
              <w:t>Source</w:t>
            </w:r>
            <w:r w:rsidRPr="00167F06">
              <w:t xml:space="preserve">: </w:t>
            </w:r>
            <w:r w:rsidRPr="00F36FC4">
              <w:t xml:space="preserve">ABS </w:t>
            </w:r>
            <w:r>
              <w:t xml:space="preserve">(2015) </w:t>
            </w:r>
            <w:r w:rsidRPr="00F36FC4">
              <w:rPr>
                <w:i/>
              </w:rPr>
              <w:t>Pres</w:t>
            </w:r>
            <w:r>
              <w:rPr>
                <w:i/>
              </w:rPr>
              <w:t>chool Education, Australia, 2014</w:t>
            </w:r>
            <w:r w:rsidR="002B57D2">
              <w:t>, Cat. no. 4240.0; table</w:t>
            </w:r>
            <w:r w:rsidR="00697D43">
              <w:t> </w:t>
            </w:r>
            <w:proofErr w:type="spellStart"/>
            <w:r w:rsidR="002B57D2">
              <w:t>3A.12</w:t>
            </w:r>
            <w:proofErr w:type="spellEnd"/>
            <w:r>
              <w:t>.</w:t>
            </w:r>
          </w:p>
        </w:tc>
      </w:tr>
      <w:tr w:rsidR="00A1300E" w:rsidTr="00E97924">
        <w:trPr>
          <w:cantSplit/>
        </w:trPr>
        <w:tc>
          <w:tcPr>
            <w:tcW w:w="8771" w:type="dxa"/>
            <w:tcBorders>
              <w:top w:val="nil"/>
              <w:left w:val="nil"/>
              <w:bottom w:val="single" w:sz="6" w:space="0" w:color="78A22F"/>
              <w:right w:val="nil"/>
            </w:tcBorders>
            <w:shd w:val="clear" w:color="auto" w:fill="auto"/>
          </w:tcPr>
          <w:p w:rsidR="00A1300E" w:rsidRDefault="00A1300E" w:rsidP="00E97924">
            <w:pPr>
              <w:pStyle w:val="Box"/>
              <w:spacing w:before="0" w:line="120" w:lineRule="exact"/>
            </w:pPr>
          </w:p>
        </w:tc>
      </w:tr>
    </w:tbl>
    <w:p w:rsidR="007230B4" w:rsidRPr="008F7094" w:rsidRDefault="007230B4" w:rsidP="004615CF">
      <w:pPr>
        <w:pStyle w:val="Heading4"/>
      </w:pPr>
      <w:r>
        <w:t>Child care service usage</w:t>
      </w:r>
    </w:p>
    <w:p w:rsidR="00F33863" w:rsidRDefault="00F33863" w:rsidP="004615CF">
      <w:pPr>
        <w:pStyle w:val="BodyText"/>
      </w:pPr>
      <w:r w:rsidRPr="00D43D80">
        <w:t xml:space="preserve">The majority of child care service usage data in this chapter are for Australian Government </w:t>
      </w:r>
      <w:proofErr w:type="spellStart"/>
      <w:r w:rsidRPr="00D43D80">
        <w:t>CCB</w:t>
      </w:r>
      <w:proofErr w:type="spellEnd"/>
      <w:r w:rsidRPr="00D43D80">
        <w:t xml:space="preserve"> approved services. </w:t>
      </w:r>
      <w:r>
        <w:t>A limited amount of data are also available on the usage of the relatively small number of services funded solely by S</w:t>
      </w:r>
      <w:r w:rsidR="00F60A86">
        <w:t>tate and Territory governments.</w:t>
      </w:r>
      <w:r>
        <w:t xml:space="preserve"> </w:t>
      </w:r>
    </w:p>
    <w:p w:rsidR="00F33863" w:rsidRPr="008F7094" w:rsidRDefault="00F33863" w:rsidP="00F33863">
      <w:pPr>
        <w:pStyle w:val="BodyText"/>
      </w:pPr>
      <w:r w:rsidRPr="008F7094">
        <w:t>It is i</w:t>
      </w:r>
      <w:r>
        <w:t xml:space="preserve">mportant to distinguish </w:t>
      </w:r>
      <w:r w:rsidRPr="008F7094">
        <w:t>the number of</w:t>
      </w:r>
      <w:r>
        <w:t xml:space="preserve"> child care places provided from </w:t>
      </w:r>
      <w:r w:rsidRPr="008F7094">
        <w:t xml:space="preserve">the number of children who attend services, because of the episodic nature of some services. For example, many children attend on a part time basis, for some sessions or on some days, so it is possible for one place to accommodate more than one child. Therefore, it is difficult to </w:t>
      </w:r>
      <w:r w:rsidRPr="008F7094">
        <w:lastRenderedPageBreak/>
        <w:t>measure accurately how many children access multiple services.</w:t>
      </w:r>
      <w:r w:rsidR="008A155E">
        <w:t xml:space="preserve"> Further, c</w:t>
      </w:r>
      <w:r w:rsidR="008A155E" w:rsidRPr="008F7094">
        <w:t>hild care usage is not consistent throughout the year as children enter and leave care at different points of the year, depending on the child’s situation. The number of children that have utilised child care across a given year is greater than the number using care at any point in time.</w:t>
      </w:r>
    </w:p>
    <w:p w:rsidR="00F33863" w:rsidRPr="008F7094" w:rsidRDefault="00F33863" w:rsidP="00F33863">
      <w:pPr>
        <w:pStyle w:val="BodyText"/>
      </w:pPr>
      <w:r w:rsidRPr="008F7094">
        <w:t xml:space="preserve">There are no restrictions on the </w:t>
      </w:r>
      <w:r>
        <w:t xml:space="preserve">number of </w:t>
      </w:r>
      <w:proofErr w:type="spellStart"/>
      <w:r>
        <w:t>CCB</w:t>
      </w:r>
      <w:proofErr w:type="spellEnd"/>
      <w:r>
        <w:t xml:space="preserve"> </w:t>
      </w:r>
      <w:r w:rsidRPr="008F7094">
        <w:t xml:space="preserve">approved child care services or places in long day care, family day care and </w:t>
      </w:r>
      <w:proofErr w:type="spellStart"/>
      <w:r>
        <w:t>OSHC</w:t>
      </w:r>
      <w:proofErr w:type="spellEnd"/>
      <w:r w:rsidRPr="008F7094">
        <w:t xml:space="preserve"> (including vacation care) that can be approved for the purposes of </w:t>
      </w:r>
      <w:proofErr w:type="spellStart"/>
      <w:r w:rsidRPr="008F7094">
        <w:t>CCB</w:t>
      </w:r>
      <w:proofErr w:type="spellEnd"/>
      <w:r w:rsidRPr="008F7094">
        <w:t>. There are also no restrictions in most State and Territory g</w:t>
      </w:r>
      <w:r>
        <w:t xml:space="preserve">overnment </w:t>
      </w:r>
      <w:r w:rsidR="00CF2AB3">
        <w:t xml:space="preserve">(only) </w:t>
      </w:r>
      <w:r w:rsidR="001A6128">
        <w:t xml:space="preserve">funded </w:t>
      </w:r>
      <w:r>
        <w:t>child care services on</w:t>
      </w:r>
      <w:r w:rsidRPr="008F7094">
        <w:t xml:space="preserve"> the number of supported places. Data on the numbe</w:t>
      </w:r>
      <w:r w:rsidR="00B02001">
        <w:t xml:space="preserve">r of child care places </w:t>
      </w:r>
      <w:r w:rsidR="001A6128">
        <w:t xml:space="preserve">available in </w:t>
      </w:r>
      <w:r w:rsidRPr="008F7094">
        <w:t>State and Territory governmen</w:t>
      </w:r>
      <w:r w:rsidR="001A6128">
        <w:t xml:space="preserve">t </w:t>
      </w:r>
      <w:r w:rsidR="00CF2AB3">
        <w:t xml:space="preserve">(only) </w:t>
      </w:r>
      <w:r w:rsidR="001A6128">
        <w:t>funded services</w:t>
      </w:r>
      <w:r w:rsidR="00CF2AB3">
        <w:t xml:space="preserve"> are presented in table</w:t>
      </w:r>
      <w:r w:rsidR="00697D43">
        <w:t> </w:t>
      </w:r>
      <w:proofErr w:type="spellStart"/>
      <w:r w:rsidR="00CF2AB3">
        <w:t>3A.24</w:t>
      </w:r>
      <w:proofErr w:type="spellEnd"/>
      <w:r>
        <w:t>.</w:t>
      </w:r>
    </w:p>
    <w:p w:rsidR="00F33863" w:rsidRPr="008F7094" w:rsidRDefault="00F33863" w:rsidP="00F33863">
      <w:pPr>
        <w:pStyle w:val="BodyText"/>
      </w:pPr>
      <w:r w:rsidRPr="008F7094">
        <w:t xml:space="preserve">In the March quarter of </w:t>
      </w:r>
      <w:r>
        <w:t>2015</w:t>
      </w:r>
      <w:r w:rsidRPr="007116F0">
        <w:t xml:space="preserve">, </w:t>
      </w:r>
      <w:r w:rsidR="005D091A" w:rsidRPr="00DD2B8B">
        <w:t>1 188 218</w:t>
      </w:r>
      <w:r w:rsidRPr="00DD2B8B">
        <w:t xml:space="preserve"> children aged 12 years or younger attended Australian Government </w:t>
      </w:r>
      <w:proofErr w:type="spellStart"/>
      <w:r w:rsidRPr="00DD2B8B">
        <w:t>CCB</w:t>
      </w:r>
      <w:proofErr w:type="spellEnd"/>
      <w:r w:rsidRPr="00DD2B8B">
        <w:t xml:space="preserve"> approved child care services, an increase of </w:t>
      </w:r>
      <w:r w:rsidRPr="00DD2B8B">
        <w:br/>
      </w:r>
      <w:r w:rsidR="00DD2B8B" w:rsidRPr="00DD2B8B">
        <w:t>6.9</w:t>
      </w:r>
      <w:r w:rsidRPr="00DD2B8B">
        <w:t xml:space="preserve"> </w:t>
      </w:r>
      <w:r w:rsidRPr="008F7094">
        <w:t>pe</w:t>
      </w:r>
      <w:r>
        <w:t>r cent from 2014 (table </w:t>
      </w:r>
      <w:proofErr w:type="spellStart"/>
      <w:r>
        <w:t>3A.</w:t>
      </w:r>
      <w:r w:rsidR="00B02001">
        <w:t>1</w:t>
      </w:r>
      <w:r w:rsidR="002B57D2">
        <w:t>8</w:t>
      </w:r>
      <w:proofErr w:type="spellEnd"/>
      <w:r>
        <w:t>).</w:t>
      </w:r>
      <w:r w:rsidRPr="00C16777">
        <w:t xml:space="preserve"> For jurisdictions who could report data on child care usage</w:t>
      </w:r>
      <w:r w:rsidR="0050182C">
        <w:t xml:space="preserve"> </w:t>
      </w:r>
      <w:r w:rsidR="00EF47A3">
        <w:t xml:space="preserve">for </w:t>
      </w:r>
      <w:r w:rsidR="00EF47A3" w:rsidRPr="00C16777">
        <w:t xml:space="preserve">State and Territory government (only) funded child care services in 2015 </w:t>
      </w:r>
      <w:r w:rsidR="00C16777">
        <w:t>t</w:t>
      </w:r>
      <w:r>
        <w:t xml:space="preserve">here were </w:t>
      </w:r>
      <w:r w:rsidR="00C16777" w:rsidRPr="00C16777">
        <w:t>5346</w:t>
      </w:r>
      <w:r w:rsidR="00EF47A3">
        <w:t xml:space="preserve"> children attending these services</w:t>
      </w:r>
      <w:r w:rsidRPr="00C16777">
        <w:t xml:space="preserve"> </w:t>
      </w:r>
      <w:r w:rsidRPr="008F7094">
        <w:t>(tab</w:t>
      </w:r>
      <w:r w:rsidR="002B57D2">
        <w:t>le </w:t>
      </w:r>
      <w:proofErr w:type="spellStart"/>
      <w:r w:rsidR="002B57D2">
        <w:t>3A.21</w:t>
      </w:r>
      <w:proofErr w:type="spellEnd"/>
      <w:r w:rsidRPr="008F7094">
        <w:t>).</w:t>
      </w:r>
      <w:r>
        <w:t xml:space="preserve"> Information on service usage in non</w:t>
      </w:r>
      <w:r>
        <w:noBreakHyphen/>
        <w:t>government funded child care services is not</w:t>
      </w:r>
      <w:r w:rsidR="00D8282F">
        <w:t xml:space="preserve"> available to be </w:t>
      </w:r>
      <w:r>
        <w:t>included in this Report.</w:t>
      </w:r>
    </w:p>
    <w:p w:rsidR="007230B4" w:rsidRPr="008F7094" w:rsidRDefault="007230B4" w:rsidP="007230B4">
      <w:pPr>
        <w:pStyle w:val="Heading4"/>
      </w:pPr>
      <w:r>
        <w:t>Preschool program usage</w:t>
      </w:r>
    </w:p>
    <w:p w:rsidR="00F33863" w:rsidRDefault="00F33863" w:rsidP="00F33863">
      <w:pPr>
        <w:pStyle w:val="BodyText"/>
      </w:pPr>
      <w:r>
        <w:t>Preschool s</w:t>
      </w:r>
      <w:r w:rsidRPr="0054541A">
        <w:t>ervices provide a range of preschool programs (generally on a sessional basis) to children in the year or two before they commence full time schooling. Data on preschool program usage in this Report include preschool programs delivered in stand</w:t>
      </w:r>
      <w:r w:rsidRPr="0054541A">
        <w:noBreakHyphen/>
        <w:t xml:space="preserve">alone preschools, preschools attached to a school and long day care centres. A child receiving both long day care and a preschool program from a long day centre is reported </w:t>
      </w:r>
      <w:r>
        <w:t xml:space="preserve">in this chapter in data for child care </w:t>
      </w:r>
      <w:r w:rsidR="0079680B">
        <w:t xml:space="preserve">service </w:t>
      </w:r>
      <w:r>
        <w:t xml:space="preserve">usage and </w:t>
      </w:r>
      <w:r w:rsidRPr="0054541A">
        <w:t xml:space="preserve">preschool </w:t>
      </w:r>
      <w:r w:rsidR="0079680B">
        <w:t xml:space="preserve">service </w:t>
      </w:r>
      <w:r w:rsidRPr="0054541A">
        <w:t>usage.</w:t>
      </w:r>
      <w:r>
        <w:t xml:space="preserve"> </w:t>
      </w:r>
    </w:p>
    <w:p w:rsidR="00F33863" w:rsidRPr="008F7094" w:rsidRDefault="00F33863" w:rsidP="00F33863">
      <w:pPr>
        <w:pStyle w:val="BodyText"/>
      </w:pPr>
      <w:r w:rsidRPr="008F7094">
        <w:t xml:space="preserve">The age from which children can or must attend full time schooling, and therefore the age from which children can attend </w:t>
      </w:r>
      <w:r w:rsidR="004712DE">
        <w:t>year before full time schooling (</w:t>
      </w:r>
      <w:proofErr w:type="spellStart"/>
      <w:r>
        <w:t>YBFS</w:t>
      </w:r>
      <w:proofErr w:type="spellEnd"/>
      <w:r w:rsidR="004712DE">
        <w:t>)</w:t>
      </w:r>
      <w:r>
        <w:t xml:space="preserve"> </w:t>
      </w:r>
      <w:r w:rsidRPr="008F7094">
        <w:t>preschool programs, varies across jurisdictions and information for each State and Territory is presented in table 3.1</w:t>
      </w:r>
      <w:r>
        <w:t xml:space="preserve">. </w:t>
      </w:r>
      <w:r w:rsidRPr="008F7094">
        <w:t>Differences in the age from which children can access preschool programs reduce</w:t>
      </w:r>
      <w:r>
        <w:t>s</w:t>
      </w:r>
      <w:r w:rsidRPr="008F7094">
        <w:t xml:space="preserve"> the comparability of data across jurisdictions. Data on the age of children enrolled in preschool programs are presented in this chapter, and to improve comparability, data are also presented for:</w:t>
      </w:r>
    </w:p>
    <w:p w:rsidR="00F33863" w:rsidRPr="008F7094" w:rsidRDefault="00F33863" w:rsidP="00F33863">
      <w:pPr>
        <w:pStyle w:val="ListBullet"/>
      </w:pPr>
      <w:r w:rsidRPr="008F7094">
        <w:t xml:space="preserve">children enrolled in preschool programs in the </w:t>
      </w:r>
      <w:proofErr w:type="spellStart"/>
      <w:r w:rsidR="00DA64FA">
        <w:t>YBFS</w:t>
      </w:r>
      <w:proofErr w:type="spellEnd"/>
    </w:p>
    <w:p w:rsidR="00F33863" w:rsidRPr="008F7094" w:rsidRDefault="001A6128" w:rsidP="00F33863">
      <w:pPr>
        <w:pStyle w:val="ListBullet"/>
      </w:pPr>
      <w:r>
        <w:t xml:space="preserve">3 year </w:t>
      </w:r>
      <w:r w:rsidR="00F33863">
        <w:t>old children</w:t>
      </w:r>
      <w:r w:rsidR="00F33863" w:rsidRPr="008F7094">
        <w:t xml:space="preserve"> enrolled in preschool programs.</w:t>
      </w:r>
    </w:p>
    <w:p w:rsidR="00F33863" w:rsidRDefault="00F33863" w:rsidP="00F33863">
      <w:pPr>
        <w:pStyle w:val="BodyText"/>
      </w:pPr>
      <w:r>
        <w:t xml:space="preserve">In 2014, </w:t>
      </w:r>
      <w:r w:rsidR="001048F8">
        <w:t>289 730</w:t>
      </w:r>
      <w:r w:rsidRPr="00F95491">
        <w:t xml:space="preserve"> </w:t>
      </w:r>
      <w:r w:rsidRPr="008F7094">
        <w:t xml:space="preserve">children </w:t>
      </w:r>
      <w:r>
        <w:t xml:space="preserve">aged 4 and 5 years </w:t>
      </w:r>
      <w:r w:rsidRPr="008F7094">
        <w:t xml:space="preserve">were enrolled in a preschool program in the </w:t>
      </w:r>
      <w:proofErr w:type="spellStart"/>
      <w:r>
        <w:t>YBFS</w:t>
      </w:r>
      <w:proofErr w:type="spellEnd"/>
      <w:r w:rsidRPr="008F7094">
        <w:t xml:space="preserve"> (excluding enrolled children aged 5 years who were also enrolled in the previous year as a 4 year old</w:t>
      </w:r>
      <w:r w:rsidR="002B57D2">
        <w:t>) (table </w:t>
      </w:r>
      <w:proofErr w:type="spellStart"/>
      <w:r w:rsidR="002B57D2">
        <w:t>3A.25</w:t>
      </w:r>
      <w:proofErr w:type="spellEnd"/>
      <w:r w:rsidRPr="008F7094">
        <w:t xml:space="preserve">). </w:t>
      </w:r>
    </w:p>
    <w:p w:rsidR="001048F8" w:rsidRDefault="008A155E" w:rsidP="000467B6">
      <w:pPr>
        <w:pStyle w:val="BodyText"/>
      </w:pPr>
      <w:r>
        <w:t xml:space="preserve">In </w:t>
      </w:r>
      <w:r w:rsidR="001048F8">
        <w:t>2014, 44 855</w:t>
      </w:r>
      <w:r w:rsidRPr="00A757C2">
        <w:t xml:space="preserve"> children </w:t>
      </w:r>
      <w:r w:rsidR="00CF2AB3">
        <w:t>aged 3</w:t>
      </w:r>
      <w:r w:rsidRPr="00F53458">
        <w:t xml:space="preserve"> years were enrolled in a preschool program. </w:t>
      </w:r>
      <w:r>
        <w:t xml:space="preserve">These data may include both 3 year old children receiving a </w:t>
      </w:r>
      <w:proofErr w:type="spellStart"/>
      <w:r>
        <w:t>YBFS</w:t>
      </w:r>
      <w:proofErr w:type="spellEnd"/>
      <w:r>
        <w:t xml:space="preserve"> preschool program and other </w:t>
      </w:r>
      <w:r>
        <w:lastRenderedPageBreak/>
        <w:t>3</w:t>
      </w:r>
      <w:r w:rsidR="00FA69D3">
        <w:t> </w:t>
      </w:r>
      <w:r>
        <w:t>year old children receiving a preschool program. Overall, data reported for 3 year olds enrolled in a preschool program may be incomplete due to different reporting arrangements in each jurisdiction.</w:t>
      </w:r>
      <w:bookmarkStart w:id="49" w:name="_Toc372899999"/>
    </w:p>
    <w:p w:rsidR="00AD7BAC" w:rsidRPr="00AD7BAC" w:rsidRDefault="00923A1C" w:rsidP="001048F8">
      <w:pPr>
        <w:pStyle w:val="Heading2"/>
      </w:pPr>
      <w:r>
        <w:t>3.</w:t>
      </w:r>
      <w:r w:rsidR="002E4BE8">
        <w:rPr>
          <w:noProof/>
        </w:rPr>
        <w:t>2</w:t>
      </w:r>
      <w:r w:rsidR="00AD7BAC">
        <w:tab/>
      </w:r>
      <w:r w:rsidR="00AD7BAC" w:rsidRPr="00AD7BAC">
        <w:t>Framework of performance indicators</w:t>
      </w:r>
      <w:bookmarkEnd w:id="49"/>
    </w:p>
    <w:p w:rsidR="00AD7BAC" w:rsidRDefault="00AD7BAC" w:rsidP="0036412B">
      <w:pPr>
        <w:pStyle w:val="BodyText"/>
      </w:pPr>
      <w:r w:rsidRPr="00AD7BAC">
        <w:t xml:space="preserve">The framework of performance indicators </w:t>
      </w:r>
      <w:r w:rsidR="00615D45">
        <w:t xml:space="preserve">for </w:t>
      </w:r>
      <w:proofErr w:type="spellStart"/>
      <w:r w:rsidR="0018407E">
        <w:t>ECEC</w:t>
      </w:r>
      <w:proofErr w:type="spellEnd"/>
      <w:r w:rsidR="00C9172A">
        <w:t xml:space="preserve"> </w:t>
      </w:r>
      <w:r w:rsidRPr="00AD7BAC">
        <w:t xml:space="preserve">is based on common objectives for </w:t>
      </w:r>
      <w:proofErr w:type="spellStart"/>
      <w:r w:rsidR="0018407E">
        <w:t>ECEC</w:t>
      </w:r>
      <w:proofErr w:type="spellEnd"/>
      <w:r w:rsidR="00C9172A">
        <w:t xml:space="preserve"> </w:t>
      </w:r>
      <w:r w:rsidRPr="00AD7BAC">
        <w:t>(box</w:t>
      </w:r>
      <w:r w:rsidR="00172534">
        <w:t> </w:t>
      </w:r>
      <w:r w:rsidR="00B1432E">
        <w:t>3.4</w:t>
      </w:r>
      <w:r w:rsidR="00D46A48">
        <w:t>).</w:t>
      </w:r>
    </w:p>
    <w:p w:rsidR="00B8749E" w:rsidRDefault="00B8749E">
      <w:pPr>
        <w:pStyle w:val="BoxSpaceAbove"/>
      </w:pPr>
    </w:p>
    <w:tbl>
      <w:tblPr>
        <w:tblW w:w="8771" w:type="dxa"/>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B8749E" w:rsidTr="0036412B">
        <w:tc>
          <w:tcPr>
            <w:tcW w:w="8771" w:type="dxa"/>
            <w:tcBorders>
              <w:top w:val="single" w:sz="6" w:space="0" w:color="78A22F"/>
              <w:left w:val="nil"/>
              <w:bottom w:val="nil"/>
              <w:right w:val="nil"/>
            </w:tcBorders>
            <w:shd w:val="clear" w:color="auto" w:fill="F2F2F2"/>
          </w:tcPr>
          <w:p w:rsidR="00B8749E" w:rsidRDefault="00B8749E" w:rsidP="00EF3099">
            <w:pPr>
              <w:pStyle w:val="BoxTitle"/>
            </w:pPr>
            <w:r>
              <w:rPr>
                <w:b w:val="0"/>
              </w:rPr>
              <w:t xml:space="preserve">Box </w:t>
            </w:r>
            <w:r w:rsidR="00EF3099">
              <w:rPr>
                <w:b w:val="0"/>
              </w:rPr>
              <w:t>3.</w:t>
            </w:r>
            <w:r w:rsidR="00B1432E">
              <w:rPr>
                <w:b w:val="0"/>
              </w:rPr>
              <w:t>4</w:t>
            </w:r>
            <w:r w:rsidR="0036412B">
              <w:tab/>
            </w:r>
            <w:r w:rsidR="0036412B" w:rsidRPr="0036412B">
              <w:t xml:space="preserve">Objectives for </w:t>
            </w:r>
            <w:proofErr w:type="spellStart"/>
            <w:r w:rsidR="0018407E">
              <w:t>ECEC</w:t>
            </w:r>
            <w:proofErr w:type="spellEnd"/>
            <w:r w:rsidR="0036412B" w:rsidRPr="0036412B">
              <w:t xml:space="preserve"> services</w:t>
            </w:r>
          </w:p>
        </w:tc>
      </w:tr>
      <w:tr w:rsidR="00B8749E" w:rsidTr="0036412B">
        <w:trPr>
          <w:cantSplit/>
        </w:trPr>
        <w:tc>
          <w:tcPr>
            <w:tcW w:w="8771" w:type="dxa"/>
            <w:tcBorders>
              <w:top w:val="nil"/>
              <w:left w:val="nil"/>
              <w:bottom w:val="nil"/>
              <w:right w:val="nil"/>
            </w:tcBorders>
            <w:shd w:val="clear" w:color="auto" w:fill="F2F2F2"/>
          </w:tcPr>
          <w:p w:rsidR="0036412B" w:rsidRPr="00D46A48" w:rsidRDefault="0018407E" w:rsidP="0036412B">
            <w:pPr>
              <w:pStyle w:val="Box"/>
            </w:pPr>
            <w:proofErr w:type="spellStart"/>
            <w:r>
              <w:t>ECEC</w:t>
            </w:r>
            <w:proofErr w:type="spellEnd"/>
            <w:r w:rsidR="0036412B" w:rsidRPr="00D46A48">
              <w:t xml:space="preserve"> services aim to:</w:t>
            </w:r>
          </w:p>
          <w:p w:rsidR="0036412B" w:rsidRPr="00D46A48" w:rsidRDefault="0036412B" w:rsidP="0036412B">
            <w:pPr>
              <w:pStyle w:val="BoxListBullet"/>
            </w:pPr>
            <w:r w:rsidRPr="00D46A48">
              <w:t>meet the education and care needs of all children in developmentally appropriate ways, in a safe and nurturing environment</w:t>
            </w:r>
          </w:p>
          <w:p w:rsidR="00B8749E" w:rsidRDefault="0036412B" w:rsidP="0036412B">
            <w:pPr>
              <w:pStyle w:val="BoxListBullet"/>
            </w:pPr>
            <w:r w:rsidRPr="00D46A48">
              <w:t>provide quality services across a range of settings delivered in an equitable and efficient manner, meeting individual need.</w:t>
            </w:r>
          </w:p>
        </w:tc>
      </w:tr>
      <w:tr w:rsidR="00B8749E" w:rsidTr="0036412B">
        <w:trPr>
          <w:cantSplit/>
        </w:trPr>
        <w:tc>
          <w:tcPr>
            <w:tcW w:w="8771" w:type="dxa"/>
            <w:tcBorders>
              <w:top w:val="nil"/>
              <w:left w:val="nil"/>
              <w:bottom w:val="single" w:sz="6" w:space="0" w:color="78A22F"/>
              <w:right w:val="nil"/>
            </w:tcBorders>
            <w:shd w:val="clear" w:color="auto" w:fill="F2F2F2"/>
          </w:tcPr>
          <w:p w:rsidR="00B8749E" w:rsidRDefault="00B8749E">
            <w:pPr>
              <w:pStyle w:val="Box"/>
              <w:spacing w:before="0" w:line="120" w:lineRule="exact"/>
            </w:pPr>
          </w:p>
        </w:tc>
      </w:tr>
      <w:tr w:rsidR="00B8749E" w:rsidRPr="000863A5" w:rsidTr="0036412B">
        <w:tc>
          <w:tcPr>
            <w:tcW w:w="8771" w:type="dxa"/>
            <w:tcBorders>
              <w:top w:val="single" w:sz="6" w:space="0" w:color="78A22F"/>
              <w:left w:val="nil"/>
              <w:bottom w:val="nil"/>
              <w:right w:val="nil"/>
            </w:tcBorders>
          </w:tcPr>
          <w:p w:rsidR="00B8749E" w:rsidRPr="00626D32" w:rsidRDefault="00B8749E" w:rsidP="000F4D37">
            <w:pPr>
              <w:pStyle w:val="BoxSpaceBelow"/>
            </w:pPr>
          </w:p>
        </w:tc>
      </w:tr>
    </w:tbl>
    <w:p w:rsidR="005B4A10" w:rsidRDefault="00AD7BAC" w:rsidP="002E0CD1">
      <w:pPr>
        <w:pStyle w:val="BodyText"/>
      </w:pPr>
      <w:r w:rsidRPr="00AD7BAC">
        <w:t xml:space="preserve">The </w:t>
      </w:r>
      <w:r w:rsidR="002374AD">
        <w:t xml:space="preserve">performance indicator framework provides information on equity, efficiency and effectiveness, and distinguishes the outputs and outcomes of </w:t>
      </w:r>
      <w:proofErr w:type="spellStart"/>
      <w:r w:rsidR="0018407E">
        <w:t>ECEC</w:t>
      </w:r>
      <w:proofErr w:type="spellEnd"/>
      <w:r w:rsidR="008C4957">
        <w:t xml:space="preserve"> services (figure</w:t>
      </w:r>
      <w:r w:rsidR="00172534">
        <w:t> </w:t>
      </w:r>
      <w:r w:rsidR="008C4957">
        <w:t>3.</w:t>
      </w:r>
      <w:r w:rsidR="003B2788">
        <w:t>2</w:t>
      </w:r>
      <w:r w:rsidR="008C4957">
        <w:t>)</w:t>
      </w:r>
      <w:r w:rsidR="002374AD">
        <w:t xml:space="preserve">. The </w:t>
      </w:r>
      <w:r w:rsidR="008C4957">
        <w:t xml:space="preserve">performance indicator </w:t>
      </w:r>
      <w:r w:rsidRPr="00AD7BAC">
        <w:t>framework sho</w:t>
      </w:r>
      <w:r w:rsidR="008C4957">
        <w:t xml:space="preserve">ws which data are </w:t>
      </w:r>
      <w:r w:rsidR="00C2453F">
        <w:t xml:space="preserve">complete and </w:t>
      </w:r>
      <w:r w:rsidR="008C4957">
        <w:t xml:space="preserve">comparable </w:t>
      </w:r>
      <w:r w:rsidRPr="00AD7BAC">
        <w:t xml:space="preserve">in the </w:t>
      </w:r>
      <w:r w:rsidR="00C10D09">
        <w:t>201</w:t>
      </w:r>
      <w:r w:rsidR="00F426E9">
        <w:t>6</w:t>
      </w:r>
      <w:r w:rsidR="00AC3123">
        <w:t xml:space="preserve"> Report</w:t>
      </w:r>
      <w:r w:rsidRPr="00AD7BAC">
        <w:t xml:space="preserve">. For data that are not </w:t>
      </w:r>
      <w:r w:rsidR="002374AD">
        <w:t>considered</w:t>
      </w:r>
      <w:r w:rsidR="008C4957">
        <w:t xml:space="preserve"> directly comparable, </w:t>
      </w:r>
      <w:r w:rsidRPr="00AD7BAC">
        <w:t xml:space="preserve">text includes relevant caveats and supporting </w:t>
      </w:r>
      <w:r w:rsidR="002374AD">
        <w:t>commentary. Chapter </w:t>
      </w:r>
      <w:r w:rsidRPr="002374AD">
        <w:t xml:space="preserve">1 discusses data comparability </w:t>
      </w:r>
      <w:r w:rsidR="000769CD" w:rsidRPr="007116F0">
        <w:t xml:space="preserve">and data completeness </w:t>
      </w:r>
      <w:r w:rsidRPr="002374AD">
        <w:t>from a Report</w:t>
      </w:r>
      <w:r w:rsidR="00172534">
        <w:noBreakHyphen/>
      </w:r>
      <w:r w:rsidR="008C4957">
        <w:t>wide perspective (</w:t>
      </w:r>
      <w:r w:rsidR="002374AD" w:rsidRPr="00FC4AE0">
        <w:t>section </w:t>
      </w:r>
      <w:r w:rsidRPr="00FC4AE0">
        <w:t>1.6</w:t>
      </w:r>
      <w:r w:rsidRPr="002374AD">
        <w:t>).</w:t>
      </w:r>
    </w:p>
    <w:p w:rsidR="005B4A10" w:rsidRDefault="008A155E" w:rsidP="00C3586E">
      <w:pPr>
        <w:pStyle w:val="BodyText"/>
      </w:pPr>
      <w:r>
        <w:t>In addition to section</w:t>
      </w:r>
      <w:r w:rsidR="00697D43">
        <w:t> </w:t>
      </w:r>
      <w:r>
        <w:t>3.1, t</w:t>
      </w:r>
      <w:r w:rsidR="0079680B">
        <w:t>he Report’s S</w:t>
      </w:r>
      <w:r w:rsidR="006301FD">
        <w:t>tatistical context chapter</w:t>
      </w:r>
      <w:r w:rsidR="005B4A10">
        <w:t xml:space="preserve"> contains data that may assist in interpreting the performance indicators presented in this chapter. These data cover a range of demographic and geographic characteristics </w:t>
      </w:r>
      <w:r w:rsidR="006301FD">
        <w:t>(chapter</w:t>
      </w:r>
      <w:r w:rsidR="00172534">
        <w:t> </w:t>
      </w:r>
      <w:r w:rsidR="006301FD">
        <w:t>2</w:t>
      </w:r>
      <w:r w:rsidR="005B4A10">
        <w:t>).</w:t>
      </w:r>
    </w:p>
    <w:p w:rsidR="0036412B" w:rsidRDefault="0036412B" w:rsidP="000F4D37">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36412B" w:rsidTr="00666A5A">
        <w:tc>
          <w:tcPr>
            <w:tcW w:w="8771" w:type="dxa"/>
            <w:tcBorders>
              <w:top w:val="single" w:sz="6" w:space="0" w:color="78A22F"/>
              <w:left w:val="nil"/>
              <w:bottom w:val="nil"/>
              <w:right w:val="nil"/>
            </w:tcBorders>
            <w:shd w:val="clear" w:color="auto" w:fill="auto"/>
          </w:tcPr>
          <w:p w:rsidR="0036412B" w:rsidRPr="00176D3F" w:rsidRDefault="0036412B" w:rsidP="00261884">
            <w:pPr>
              <w:pStyle w:val="FigureTitle"/>
            </w:pPr>
            <w:r w:rsidRPr="00784A05">
              <w:rPr>
                <w:b w:val="0"/>
              </w:rPr>
              <w:t xml:space="preserve">Figure </w:t>
            </w:r>
            <w:r w:rsidR="007F7A2A">
              <w:rPr>
                <w:b w:val="0"/>
              </w:rPr>
              <w:t>3.</w:t>
            </w:r>
            <w:r w:rsidR="000E3849">
              <w:rPr>
                <w:b w:val="0"/>
                <w:noProof/>
              </w:rPr>
              <w:t>2</w:t>
            </w:r>
            <w:r>
              <w:tab/>
            </w:r>
            <w:proofErr w:type="spellStart"/>
            <w:r w:rsidR="0018407E" w:rsidRPr="00DD28A3">
              <w:t>ECEC</w:t>
            </w:r>
            <w:proofErr w:type="spellEnd"/>
            <w:r w:rsidRPr="00DD28A3">
              <w:t xml:space="preserve"> </w:t>
            </w:r>
            <w:r>
              <w:t xml:space="preserve">performance indicator </w:t>
            </w:r>
            <w:r w:rsidRPr="00683EFF">
              <w:t>framework</w:t>
            </w:r>
          </w:p>
        </w:tc>
      </w:tr>
      <w:tr w:rsidR="0036412B" w:rsidTr="00DD28A3">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36412B" w:rsidTr="00DD28A3">
              <w:trPr>
                <w:jc w:val="center"/>
              </w:trPr>
              <w:tc>
                <w:tcPr>
                  <w:tcW w:w="5000" w:type="pct"/>
                  <w:tcBorders>
                    <w:top w:val="nil"/>
                    <w:bottom w:val="nil"/>
                  </w:tcBorders>
                  <w:shd w:val="clear" w:color="auto" w:fill="auto"/>
                </w:tcPr>
                <w:p w:rsidR="0036412B" w:rsidRDefault="008245F3" w:rsidP="000F4D37">
                  <w:pPr>
                    <w:pStyle w:val="Figure"/>
                    <w:spacing w:before="60" w:after="60"/>
                  </w:pPr>
                  <w:r>
                    <w:rPr>
                      <w:noProof/>
                    </w:rPr>
                    <w:drawing>
                      <wp:inline distT="0" distB="0" distL="0" distR="0" wp14:anchorId="507AAB77" wp14:editId="0D10DB2F">
                        <wp:extent cx="5390515" cy="7134225"/>
                        <wp:effectExtent l="0" t="0" r="635" b="9525"/>
                        <wp:docPr id="2" name="Picture 2" descr="Figure 3.2 ECEC performance indicator framework&#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390515" cy="7134225"/>
                                </a:xfrm>
                                <a:prstGeom prst="rect">
                                  <a:avLst/>
                                </a:prstGeom>
                                <a:noFill/>
                                <a:ln>
                                  <a:noFill/>
                                </a:ln>
                              </pic:spPr>
                            </pic:pic>
                          </a:graphicData>
                        </a:graphic>
                      </wp:inline>
                    </w:drawing>
                  </w:r>
                </w:p>
              </w:tc>
            </w:tr>
          </w:tbl>
          <w:p w:rsidR="0036412B" w:rsidRDefault="0036412B" w:rsidP="000F4D37">
            <w:pPr>
              <w:pStyle w:val="Figure"/>
            </w:pPr>
          </w:p>
        </w:tc>
      </w:tr>
      <w:tr w:rsidR="0036412B" w:rsidTr="000F4D37">
        <w:tc>
          <w:tcPr>
            <w:tcW w:w="8771" w:type="dxa"/>
            <w:tcBorders>
              <w:top w:val="nil"/>
              <w:left w:val="nil"/>
              <w:bottom w:val="single" w:sz="6" w:space="0" w:color="78A22F"/>
              <w:right w:val="nil"/>
            </w:tcBorders>
            <w:shd w:val="clear" w:color="auto" w:fill="auto"/>
          </w:tcPr>
          <w:p w:rsidR="0036412B" w:rsidRDefault="0036412B" w:rsidP="000F4D37">
            <w:pPr>
              <w:pStyle w:val="Figurespace"/>
            </w:pPr>
          </w:p>
        </w:tc>
      </w:tr>
      <w:tr w:rsidR="0036412B" w:rsidRPr="000863A5" w:rsidTr="000F4D37">
        <w:tc>
          <w:tcPr>
            <w:tcW w:w="8771" w:type="dxa"/>
            <w:tcBorders>
              <w:top w:val="single" w:sz="6" w:space="0" w:color="78A22F"/>
              <w:left w:val="nil"/>
              <w:bottom w:val="nil"/>
              <w:right w:val="nil"/>
            </w:tcBorders>
          </w:tcPr>
          <w:p w:rsidR="0036412B" w:rsidRPr="00626D32" w:rsidRDefault="0036412B" w:rsidP="000F4D37">
            <w:pPr>
              <w:pStyle w:val="BoxSpaceBelow"/>
            </w:pPr>
          </w:p>
        </w:tc>
      </w:tr>
    </w:tbl>
    <w:p w:rsidR="00F733E0" w:rsidRPr="00F733E0" w:rsidRDefault="00F72663" w:rsidP="00C3586E">
      <w:pPr>
        <w:pStyle w:val="Heading2"/>
        <w:spacing w:before="200"/>
      </w:pPr>
      <w:r>
        <w:br w:type="page"/>
      </w:r>
      <w:bookmarkStart w:id="50" w:name="_Toc372900000"/>
      <w:r w:rsidR="00923A1C">
        <w:lastRenderedPageBreak/>
        <w:t>3.</w:t>
      </w:r>
      <w:r w:rsidR="002E4BE8">
        <w:rPr>
          <w:noProof/>
        </w:rPr>
        <w:t>3</w:t>
      </w:r>
      <w:r w:rsidR="00F733E0">
        <w:tab/>
      </w:r>
      <w:r w:rsidR="00F733E0" w:rsidRPr="00F733E0">
        <w:t>Key performance indicator results</w:t>
      </w:r>
      <w:bookmarkEnd w:id="50"/>
    </w:p>
    <w:p w:rsidR="00AD7BAC" w:rsidRDefault="00F733E0" w:rsidP="00C3586E">
      <w:pPr>
        <w:pStyle w:val="BodyText"/>
      </w:pPr>
      <w:r w:rsidRPr="00F733E0">
        <w:t>Different delivery contexts, locations and types of client</w:t>
      </w:r>
      <w:r w:rsidR="00496A72">
        <w:t>s</w:t>
      </w:r>
      <w:r w:rsidRPr="00F733E0">
        <w:t xml:space="preserve"> </w:t>
      </w:r>
      <w:r w:rsidR="00922771">
        <w:t>can</w:t>
      </w:r>
      <w:r w:rsidRPr="00F733E0">
        <w:t xml:space="preserve"> affect the equity, effectiveness and efficiency of </w:t>
      </w:r>
      <w:proofErr w:type="spellStart"/>
      <w:r w:rsidR="0018407E">
        <w:t>ECEC</w:t>
      </w:r>
      <w:proofErr w:type="spellEnd"/>
      <w:r w:rsidRPr="00F733E0">
        <w:t xml:space="preserve">. </w:t>
      </w:r>
    </w:p>
    <w:p w:rsidR="00B30C3E" w:rsidRPr="00A944A1" w:rsidRDefault="00AD462F" w:rsidP="002B06E9">
      <w:pPr>
        <w:pStyle w:val="BodyText"/>
      </w:pPr>
      <w:r>
        <w:t>Data Quality Information (</w:t>
      </w:r>
      <w:proofErr w:type="spellStart"/>
      <w:r w:rsidR="0097637D">
        <w:t>DQI</w:t>
      </w:r>
      <w:proofErr w:type="spellEnd"/>
      <w:r>
        <w:t>)</w:t>
      </w:r>
      <w:r w:rsidR="00B30C3E">
        <w:t xml:space="preserve"> is </w:t>
      </w:r>
      <w:r w:rsidR="00865F44">
        <w:t>included</w:t>
      </w:r>
      <w:r w:rsidR="00B30C3E">
        <w:t xml:space="preserve"> </w:t>
      </w:r>
      <w:r w:rsidR="00865F44">
        <w:t xml:space="preserve">where available </w:t>
      </w:r>
      <w:r w:rsidR="00B30C3E">
        <w:t xml:space="preserve">for </w:t>
      </w:r>
      <w:r w:rsidR="00865F44">
        <w:t xml:space="preserve">performance </w:t>
      </w:r>
      <w:r w:rsidR="00B30C3E">
        <w:t>indicators in th</w:t>
      </w:r>
      <w:r w:rsidR="00865F44">
        <w:t>is</w:t>
      </w:r>
      <w:r w:rsidR="00B30C3E">
        <w:t xml:space="preserve"> </w:t>
      </w:r>
      <w:r w:rsidR="00865F44">
        <w:t>Report</w:t>
      </w:r>
      <w:r w:rsidR="00B30C3E">
        <w:t xml:space="preserve">. The purpose of </w:t>
      </w:r>
      <w:proofErr w:type="spellStart"/>
      <w:r w:rsidR="00B30C3E">
        <w:t>DQI</w:t>
      </w:r>
      <w:proofErr w:type="spellEnd"/>
      <w:r w:rsidR="00B30C3E">
        <w:t xml:space="preserve"> is to provide structured and consistent information about quality aspects of data </w:t>
      </w:r>
      <w:r w:rsidR="00FC2216">
        <w:t xml:space="preserve">used to </w:t>
      </w:r>
      <w:r w:rsidR="00B30C3E">
        <w:t>report</w:t>
      </w:r>
      <w:r w:rsidR="009F46F6">
        <w:t xml:space="preserve"> on performance indicators</w:t>
      </w:r>
      <w:r w:rsidR="00731444">
        <w:t>, in addition to material in the chapter or sector overview and attachment tables</w:t>
      </w:r>
      <w:r w:rsidR="00EC1589">
        <w:t xml:space="preserve">. All </w:t>
      </w:r>
      <w:proofErr w:type="spellStart"/>
      <w:r w:rsidR="00EC1589">
        <w:t>DQI</w:t>
      </w:r>
      <w:proofErr w:type="spellEnd"/>
      <w:r w:rsidR="00EC1589">
        <w:t xml:space="preserve"> for the 2016</w:t>
      </w:r>
      <w:r w:rsidR="00B30C3E">
        <w:t xml:space="preserve"> </w:t>
      </w:r>
      <w:r w:rsidR="00B30C3E" w:rsidRPr="00A944A1">
        <w:t xml:space="preserve">Report can be found at </w:t>
      </w:r>
      <w:proofErr w:type="spellStart"/>
      <w:r w:rsidR="00B30C3E" w:rsidRPr="00A944A1">
        <w:t>www</w:t>
      </w:r>
      <w:r w:rsidR="003F4FDF">
        <w:t>.pc.gov.au</w:t>
      </w:r>
      <w:proofErr w:type="spellEnd"/>
      <w:r w:rsidR="003F4FDF">
        <w:t>/</w:t>
      </w:r>
      <w:proofErr w:type="spellStart"/>
      <w:r w:rsidR="00EC1589">
        <w:t>rogs</w:t>
      </w:r>
      <w:proofErr w:type="spellEnd"/>
      <w:r w:rsidR="00EC1589">
        <w:t>/2016</w:t>
      </w:r>
      <w:r w:rsidR="00B30C3E" w:rsidRPr="00A944A1">
        <w:t>.</w:t>
      </w:r>
    </w:p>
    <w:p w:rsidR="00F733E0" w:rsidRDefault="00F733E0" w:rsidP="00C3586E">
      <w:pPr>
        <w:pStyle w:val="Heading3"/>
      </w:pPr>
      <w:r w:rsidRPr="00F733E0">
        <w:t>Outputs</w:t>
      </w:r>
    </w:p>
    <w:p w:rsidR="00F15F27" w:rsidRPr="00F15F27" w:rsidRDefault="00F15F27" w:rsidP="00C3586E">
      <w:pPr>
        <w:pStyle w:val="BodyText"/>
      </w:pPr>
      <w:r w:rsidRPr="00F15F27">
        <w:t>Outputs are the services delivered (while outcomes are the impact of these services on the status of an individual or group) (see chapter</w:t>
      </w:r>
      <w:r w:rsidR="00172534">
        <w:t> </w:t>
      </w:r>
      <w:r w:rsidRPr="00F15F27">
        <w:t xml:space="preserve">1, </w:t>
      </w:r>
      <w:r w:rsidRPr="00FC4AE0">
        <w:t>section</w:t>
      </w:r>
      <w:r w:rsidR="00172534" w:rsidRPr="00FC4AE0">
        <w:t> </w:t>
      </w:r>
      <w:r w:rsidRPr="00FC4AE0">
        <w:t>1.5</w:t>
      </w:r>
      <w:r w:rsidRPr="00F15F27">
        <w:t>).</w:t>
      </w:r>
      <w:r w:rsidR="00865F44">
        <w:t xml:space="preserve"> </w:t>
      </w:r>
      <w:r w:rsidR="00865F44" w:rsidRPr="006E426F">
        <w:t xml:space="preserve">Output information is also critical for </w:t>
      </w:r>
      <w:r w:rsidR="00865F44">
        <w:t xml:space="preserve">equitable, </w:t>
      </w:r>
      <w:r w:rsidR="00865F44" w:rsidRPr="006E426F">
        <w:t>efficient and effective management of government services</w:t>
      </w:r>
      <w:r w:rsidR="00865F44">
        <w:t>.</w:t>
      </w:r>
    </w:p>
    <w:p w:rsidR="00F733E0" w:rsidRDefault="00F733E0" w:rsidP="00F97852">
      <w:pPr>
        <w:pStyle w:val="Heading3"/>
      </w:pPr>
      <w:r w:rsidRPr="00F733E0">
        <w:t>Equity</w:t>
      </w:r>
    </w:p>
    <w:p w:rsidR="00F733E0" w:rsidRPr="00C41228" w:rsidRDefault="00F733E0" w:rsidP="00F97852">
      <w:pPr>
        <w:pStyle w:val="Heading4"/>
      </w:pPr>
      <w:r w:rsidRPr="00A944A1">
        <w:t>Access —</w:t>
      </w:r>
      <w:r w:rsidR="000A70FB">
        <w:t xml:space="preserve"> P</w:t>
      </w:r>
      <w:r w:rsidR="00B10472">
        <w:t>articipation rates for</w:t>
      </w:r>
      <w:r w:rsidRPr="00C41228">
        <w:t xml:space="preserve"> special needs groups</w:t>
      </w:r>
      <w:r w:rsidR="000E50ED">
        <w:t xml:space="preserve"> in child care</w:t>
      </w:r>
    </w:p>
    <w:p w:rsidR="004D540F" w:rsidRPr="008B42D1" w:rsidRDefault="00F733E0" w:rsidP="0042645F">
      <w:pPr>
        <w:pStyle w:val="BodyText"/>
        <w:rPr>
          <w:rStyle w:val="BoxChar"/>
        </w:rPr>
      </w:pPr>
      <w:r w:rsidRPr="00C41228">
        <w:t>‘Participation rates for special needs groups</w:t>
      </w:r>
      <w:r w:rsidR="000E50ED">
        <w:t xml:space="preserve"> in child care</w:t>
      </w:r>
      <w:r w:rsidRPr="00C41228">
        <w:t xml:space="preserve">’ </w:t>
      </w:r>
      <w:r w:rsidR="00953437" w:rsidRPr="00C41228">
        <w:t xml:space="preserve">is an indicator of governments’ objective to ensure that services are provided in an equitable manner to all special needs groups in the community, and that there is consideration of the needs of those groups </w:t>
      </w:r>
      <w:r w:rsidR="00566D67">
        <w:t>that</w:t>
      </w:r>
      <w:r w:rsidR="00953437" w:rsidRPr="00C41228">
        <w:t xml:space="preserve"> </w:t>
      </w:r>
      <w:r w:rsidR="00922771" w:rsidRPr="00C41228">
        <w:t xml:space="preserve">can </w:t>
      </w:r>
      <w:r w:rsidR="00953437" w:rsidRPr="00C41228">
        <w:t xml:space="preserve">have special difficulty in accessing services </w:t>
      </w:r>
      <w:r w:rsidR="00B62BB6">
        <w:t>(</w:t>
      </w:r>
      <w:r w:rsidR="00B62BB6" w:rsidRPr="00192F31">
        <w:t>box </w:t>
      </w:r>
      <w:r w:rsidR="00B1432E">
        <w:t>3.5</w:t>
      </w:r>
      <w:r w:rsidRPr="00192F31">
        <w:t>).</w:t>
      </w:r>
      <w:r w:rsidR="004D540F" w:rsidRPr="00192F31">
        <w:rPr>
          <w:rStyle w:val="BoxChar"/>
        </w:rPr>
        <w:t xml:space="preserve"> </w:t>
      </w:r>
    </w:p>
    <w:p w:rsidR="00787EEC" w:rsidRDefault="00787EEC">
      <w:pPr>
        <w:pStyle w:val="BoxSpaceAbove"/>
      </w:pPr>
    </w:p>
    <w:tbl>
      <w:tblPr>
        <w:tblW w:w="8771" w:type="dxa"/>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787EEC" w:rsidTr="00787EEC">
        <w:tc>
          <w:tcPr>
            <w:tcW w:w="8771" w:type="dxa"/>
            <w:tcBorders>
              <w:top w:val="single" w:sz="6" w:space="0" w:color="78A22F"/>
              <w:left w:val="nil"/>
              <w:bottom w:val="nil"/>
              <w:right w:val="nil"/>
            </w:tcBorders>
            <w:shd w:val="clear" w:color="auto" w:fill="F2F2F2"/>
          </w:tcPr>
          <w:p w:rsidR="00787EEC" w:rsidRDefault="00787EEC" w:rsidP="00EF3099">
            <w:pPr>
              <w:pStyle w:val="BoxTitle"/>
            </w:pPr>
            <w:r>
              <w:rPr>
                <w:b w:val="0"/>
              </w:rPr>
              <w:t xml:space="preserve">Box </w:t>
            </w:r>
            <w:r w:rsidR="00EF3099">
              <w:rPr>
                <w:b w:val="0"/>
              </w:rPr>
              <w:t>3.</w:t>
            </w:r>
            <w:r w:rsidR="00B1432E">
              <w:rPr>
                <w:b w:val="0"/>
              </w:rPr>
              <w:t>5</w:t>
            </w:r>
            <w:r>
              <w:tab/>
            </w:r>
            <w:r w:rsidRPr="00C41228">
              <w:t>Participation</w:t>
            </w:r>
            <w:r>
              <w:t xml:space="preserve"> rates for </w:t>
            </w:r>
            <w:r w:rsidRPr="00C41228">
              <w:t>special needs groups</w:t>
            </w:r>
            <w:r>
              <w:t xml:space="preserve"> in child care</w:t>
            </w:r>
          </w:p>
        </w:tc>
      </w:tr>
      <w:tr w:rsidR="00787EEC" w:rsidTr="00787EEC">
        <w:trPr>
          <w:cantSplit/>
        </w:trPr>
        <w:tc>
          <w:tcPr>
            <w:tcW w:w="8771" w:type="dxa"/>
            <w:tcBorders>
              <w:top w:val="nil"/>
              <w:left w:val="nil"/>
              <w:bottom w:val="nil"/>
              <w:right w:val="nil"/>
            </w:tcBorders>
            <w:shd w:val="clear" w:color="auto" w:fill="F2F2F2"/>
          </w:tcPr>
          <w:p w:rsidR="00787EEC" w:rsidRDefault="00787EEC" w:rsidP="00787EEC">
            <w:pPr>
              <w:pStyle w:val="Box"/>
            </w:pPr>
            <w:r w:rsidRPr="00C41228">
              <w:t xml:space="preserve">‘Participation rates </w:t>
            </w:r>
            <w:r>
              <w:t xml:space="preserve">for </w:t>
            </w:r>
            <w:r w:rsidRPr="00C41228">
              <w:t>special needs groups</w:t>
            </w:r>
            <w:r>
              <w:t xml:space="preserve"> in child care</w:t>
            </w:r>
            <w:r w:rsidRPr="00C41228">
              <w:t xml:space="preserve">’ is defined as </w:t>
            </w:r>
            <w:r w:rsidR="003D48BE">
              <w:t xml:space="preserve">the proportion of children </w:t>
            </w:r>
            <w:r w:rsidR="009E3A29">
              <w:t xml:space="preserve">aged 0–5, 6–12 and 0–12 years </w:t>
            </w:r>
            <w:r w:rsidR="003D48BE">
              <w:t xml:space="preserve">attending Australian Government </w:t>
            </w:r>
            <w:proofErr w:type="spellStart"/>
            <w:r w:rsidR="003D48BE">
              <w:t>CCB</w:t>
            </w:r>
            <w:proofErr w:type="spellEnd"/>
            <w:r w:rsidR="003D48BE">
              <w:t xml:space="preserve"> approved</w:t>
            </w:r>
            <w:r w:rsidRPr="00C41228">
              <w:t xml:space="preserve"> child care services who are from targeted special needs groups, compared with the representation of these groups in the community. </w:t>
            </w:r>
          </w:p>
          <w:p w:rsidR="00787EEC" w:rsidRPr="00C41228" w:rsidRDefault="00787EEC" w:rsidP="00787EEC">
            <w:pPr>
              <w:pStyle w:val="Box"/>
            </w:pPr>
            <w:r w:rsidRPr="00C41228">
              <w:t>Targeted special needs groups include children from</w:t>
            </w:r>
            <w:r>
              <w:t xml:space="preserve"> </w:t>
            </w:r>
            <w:r w:rsidR="0097637D">
              <w:t>non</w:t>
            </w:r>
            <w:r w:rsidR="007B063C">
              <w:noBreakHyphen/>
            </w:r>
            <w:r w:rsidR="0097637D">
              <w:t>English speaking backgrounds (</w:t>
            </w:r>
            <w:proofErr w:type="spellStart"/>
            <w:r>
              <w:t>NESB</w:t>
            </w:r>
            <w:proofErr w:type="spellEnd"/>
            <w:r w:rsidR="0097637D">
              <w:t>)</w:t>
            </w:r>
            <w:r w:rsidRPr="00C41228">
              <w:t xml:space="preserve">, </w:t>
            </w:r>
            <w:r>
              <w:t xml:space="preserve">Aboriginal and Torres Strait Islander </w:t>
            </w:r>
            <w:r w:rsidRPr="00C41228">
              <w:t xml:space="preserve">children, children from low income families, children with disability, and children </w:t>
            </w:r>
            <w:r>
              <w:t>from regional and remote areas.</w:t>
            </w:r>
          </w:p>
          <w:p w:rsidR="00787EEC" w:rsidRPr="00C41228" w:rsidRDefault="00787EEC" w:rsidP="00787EEC">
            <w:pPr>
              <w:pStyle w:val="Box"/>
            </w:pPr>
            <w:r>
              <w:t xml:space="preserve">A high or increasing </w:t>
            </w:r>
            <w:r w:rsidRPr="00C41228">
              <w:t>participation rate is desirable.</w:t>
            </w:r>
            <w:r>
              <w:t xml:space="preserve"> </w:t>
            </w:r>
            <w:r w:rsidRPr="00C41228">
              <w:t xml:space="preserve">If the representation of special needs groups among </w:t>
            </w:r>
            <w:r>
              <w:t xml:space="preserve">child care </w:t>
            </w:r>
            <w:r w:rsidR="00B67B3F">
              <w:t>service</w:t>
            </w:r>
            <w:r w:rsidRPr="00C41228">
              <w:t xml:space="preserve"> users is broadly similar to their representation in the community, this </w:t>
            </w:r>
            <w:r>
              <w:t xml:space="preserve">suggests more equitable </w:t>
            </w:r>
            <w:r w:rsidRPr="00C41228">
              <w:t>access.</w:t>
            </w:r>
          </w:p>
          <w:p w:rsidR="00787EEC" w:rsidRPr="004B6144" w:rsidRDefault="00A91405" w:rsidP="00787EEC">
            <w:pPr>
              <w:pStyle w:val="Box"/>
            </w:pPr>
            <w:r>
              <w:t>Data reported for this measure</w:t>
            </w:r>
            <w:r w:rsidR="00787EEC" w:rsidRPr="004B6144">
              <w:t xml:space="preserve"> are:</w:t>
            </w:r>
          </w:p>
          <w:p w:rsidR="00787EEC" w:rsidRPr="002E7B15" w:rsidRDefault="00787EEC" w:rsidP="002E7B15">
            <w:pPr>
              <w:pStyle w:val="BoxListBullet"/>
            </w:pPr>
            <w:r w:rsidRPr="002E7B15">
              <w:t>comparable (subject to caveats) across jurisdictions</w:t>
            </w:r>
            <w:r w:rsidR="002E7B15" w:rsidRPr="002E7B15">
              <w:t xml:space="preserve">, </w:t>
            </w:r>
            <w:r w:rsidRPr="002E7B15">
              <w:t xml:space="preserve">but a break in series means that data prior to 2010 </w:t>
            </w:r>
            <w:r w:rsidR="009C65C7">
              <w:t>are not comparable to data from</w:t>
            </w:r>
            <w:r w:rsidR="0097637D">
              <w:t xml:space="preserve"> 2010</w:t>
            </w:r>
            <w:r w:rsidRPr="002E7B15">
              <w:t xml:space="preserve"> </w:t>
            </w:r>
          </w:p>
          <w:p w:rsidR="00787EEC" w:rsidRPr="002E7B15" w:rsidRDefault="00787EEC" w:rsidP="00787EEC">
            <w:pPr>
              <w:pStyle w:val="BoxListBullet"/>
            </w:pPr>
            <w:r w:rsidRPr="002E7B15">
              <w:t xml:space="preserve">complete (subject to caveats) for the current reporting period. All required 2013 </w:t>
            </w:r>
            <w:r w:rsidR="00D44B39">
              <w:t>or 2015</w:t>
            </w:r>
            <w:r w:rsidR="002E7B15" w:rsidRPr="002E7B15">
              <w:t xml:space="preserve"> </w:t>
            </w:r>
            <w:r w:rsidRPr="002E7B15">
              <w:t>data are available for all jurisdictions.</w:t>
            </w:r>
          </w:p>
          <w:p w:rsidR="00787EEC" w:rsidRDefault="00787EEC" w:rsidP="00787EEC">
            <w:pPr>
              <w:pStyle w:val="Box"/>
            </w:pPr>
            <w:r>
              <w:rPr>
                <w:rFonts w:cs="Arial"/>
                <w:szCs w:val="26"/>
              </w:rPr>
              <w:t xml:space="preserve">Data quality information </w:t>
            </w:r>
            <w:r w:rsidRPr="00C41228">
              <w:rPr>
                <w:rFonts w:cs="Arial"/>
                <w:szCs w:val="26"/>
              </w:rPr>
              <w:t>for this</w:t>
            </w:r>
            <w:r w:rsidR="003D48BE">
              <w:rPr>
                <w:rFonts w:cs="Arial"/>
                <w:szCs w:val="26"/>
              </w:rPr>
              <w:t xml:space="preserve"> indicator </w:t>
            </w:r>
            <w:r w:rsidR="003D48BE" w:rsidRPr="00DF669E">
              <w:rPr>
                <w:rFonts w:cs="Arial"/>
                <w:szCs w:val="26"/>
              </w:rPr>
              <w:t xml:space="preserve">is at </w:t>
            </w:r>
            <w:proofErr w:type="spellStart"/>
            <w:r w:rsidR="003D48BE" w:rsidRPr="00DF669E">
              <w:rPr>
                <w:rFonts w:cs="Arial"/>
                <w:szCs w:val="26"/>
              </w:rPr>
              <w:t>www</w:t>
            </w:r>
            <w:r w:rsidR="003D48BE">
              <w:rPr>
                <w:rFonts w:cs="Arial"/>
                <w:szCs w:val="26"/>
              </w:rPr>
              <w:t>.pc.gov.au</w:t>
            </w:r>
            <w:proofErr w:type="spellEnd"/>
            <w:r w:rsidR="003D48BE">
              <w:rPr>
                <w:rFonts w:cs="Arial"/>
                <w:szCs w:val="26"/>
              </w:rPr>
              <w:t>/</w:t>
            </w:r>
            <w:proofErr w:type="spellStart"/>
            <w:r w:rsidR="003D48BE">
              <w:rPr>
                <w:rFonts w:cs="Arial"/>
                <w:szCs w:val="26"/>
              </w:rPr>
              <w:t>rogs</w:t>
            </w:r>
            <w:proofErr w:type="spellEnd"/>
            <w:r w:rsidR="003D48BE">
              <w:rPr>
                <w:rFonts w:cs="Arial"/>
                <w:szCs w:val="26"/>
              </w:rPr>
              <w:t>/2016</w:t>
            </w:r>
            <w:r w:rsidR="003D48BE" w:rsidRPr="00DF669E">
              <w:rPr>
                <w:rFonts w:cs="Arial"/>
                <w:szCs w:val="26"/>
              </w:rPr>
              <w:t>.</w:t>
            </w:r>
          </w:p>
        </w:tc>
      </w:tr>
      <w:tr w:rsidR="00787EEC" w:rsidTr="00787EEC">
        <w:trPr>
          <w:cantSplit/>
        </w:trPr>
        <w:tc>
          <w:tcPr>
            <w:tcW w:w="8771" w:type="dxa"/>
            <w:tcBorders>
              <w:top w:val="nil"/>
              <w:left w:val="nil"/>
              <w:bottom w:val="single" w:sz="6" w:space="0" w:color="78A22F"/>
              <w:right w:val="nil"/>
            </w:tcBorders>
            <w:shd w:val="clear" w:color="auto" w:fill="F2F2F2"/>
          </w:tcPr>
          <w:p w:rsidR="00787EEC" w:rsidRDefault="00787EEC">
            <w:pPr>
              <w:pStyle w:val="Box"/>
              <w:spacing w:before="0" w:line="120" w:lineRule="exact"/>
            </w:pPr>
          </w:p>
        </w:tc>
      </w:tr>
      <w:tr w:rsidR="00787EEC" w:rsidRPr="000863A5" w:rsidTr="00787EEC">
        <w:tc>
          <w:tcPr>
            <w:tcW w:w="8771" w:type="dxa"/>
            <w:tcBorders>
              <w:top w:val="single" w:sz="6" w:space="0" w:color="78A22F"/>
              <w:left w:val="nil"/>
              <w:bottom w:val="nil"/>
              <w:right w:val="nil"/>
            </w:tcBorders>
          </w:tcPr>
          <w:p w:rsidR="00787EEC" w:rsidRPr="00626D32" w:rsidRDefault="00787EEC" w:rsidP="000F4D37">
            <w:pPr>
              <w:pStyle w:val="BoxSpaceBelow"/>
            </w:pPr>
          </w:p>
        </w:tc>
      </w:tr>
    </w:tbl>
    <w:p w:rsidR="000E50ED" w:rsidRDefault="00D44B39" w:rsidP="000E50ED">
      <w:pPr>
        <w:pStyle w:val="BodyText"/>
      </w:pPr>
      <w:r>
        <w:t>The most recent d</w:t>
      </w:r>
      <w:r w:rsidR="000E50ED">
        <w:t xml:space="preserve">ata for participation </w:t>
      </w:r>
      <w:r>
        <w:t xml:space="preserve">in </w:t>
      </w:r>
      <w:r w:rsidRPr="006E32A6">
        <w:t xml:space="preserve">Australian Government </w:t>
      </w:r>
      <w:proofErr w:type="spellStart"/>
      <w:r>
        <w:t>CCB</w:t>
      </w:r>
      <w:proofErr w:type="spellEnd"/>
      <w:r>
        <w:t xml:space="preserve"> </w:t>
      </w:r>
      <w:r w:rsidRPr="006E32A6">
        <w:t>appro</w:t>
      </w:r>
      <w:r>
        <w:t xml:space="preserve">ved child care services </w:t>
      </w:r>
      <w:r w:rsidR="000E50ED" w:rsidRPr="006E32A6">
        <w:t xml:space="preserve">by </w:t>
      </w:r>
      <w:r>
        <w:t xml:space="preserve">children from </w:t>
      </w:r>
      <w:proofErr w:type="spellStart"/>
      <w:r>
        <w:t>NESB</w:t>
      </w:r>
      <w:proofErr w:type="spellEnd"/>
      <w:r>
        <w:t xml:space="preserve"> and children with disability are from the </w:t>
      </w:r>
      <w:r w:rsidRPr="00FA69D3">
        <w:rPr>
          <w:i/>
        </w:rPr>
        <w:t>N</w:t>
      </w:r>
      <w:r w:rsidR="000E50ED" w:rsidRPr="00FA69D3">
        <w:rPr>
          <w:i/>
        </w:rPr>
        <w:t>at</w:t>
      </w:r>
      <w:r w:rsidR="00B92A58" w:rsidRPr="00FA69D3">
        <w:rPr>
          <w:i/>
        </w:rPr>
        <w:t>ional Early Childhood Education and Care</w:t>
      </w:r>
      <w:r w:rsidR="000A70FB" w:rsidRPr="00FA69D3">
        <w:rPr>
          <w:i/>
        </w:rPr>
        <w:t xml:space="preserve"> Workforce Census</w:t>
      </w:r>
      <w:r w:rsidR="000A70FB" w:rsidRPr="00822B9F">
        <w:t xml:space="preserve"> </w:t>
      </w:r>
      <w:r w:rsidR="0097637D" w:rsidRPr="0097637D">
        <w:t>(</w:t>
      </w:r>
      <w:proofErr w:type="spellStart"/>
      <w:r w:rsidR="0097637D" w:rsidRPr="0097637D">
        <w:t>NECECWC</w:t>
      </w:r>
      <w:proofErr w:type="spellEnd"/>
      <w:r w:rsidR="0097637D" w:rsidRPr="0097637D">
        <w:t>)</w:t>
      </w:r>
      <w:r w:rsidR="0097637D">
        <w:rPr>
          <w:i/>
        </w:rPr>
        <w:t xml:space="preserve"> </w:t>
      </w:r>
      <w:r w:rsidR="000A70FB">
        <w:rPr>
          <w:i/>
        </w:rPr>
        <w:t>2013</w:t>
      </w:r>
      <w:r w:rsidR="0058338F">
        <w:t xml:space="preserve"> (box</w:t>
      </w:r>
      <w:r w:rsidR="00697D43">
        <w:t> </w:t>
      </w:r>
      <w:r w:rsidR="0058338F">
        <w:t>3.6)</w:t>
      </w:r>
      <w:r>
        <w:rPr>
          <w:i/>
        </w:rPr>
        <w:t xml:space="preserve">. </w:t>
      </w:r>
      <w:r w:rsidRPr="00D44B39">
        <w:t xml:space="preserve">Annual data for </w:t>
      </w:r>
      <w:r>
        <w:t xml:space="preserve">participation by </w:t>
      </w:r>
      <w:r w:rsidRPr="00D44B39">
        <w:t>Aboriginal and Torres Strait Islander children</w:t>
      </w:r>
      <w:r w:rsidR="00676B4B">
        <w:t>, children from low</w:t>
      </w:r>
      <w:r w:rsidR="0058338F">
        <w:t xml:space="preserve"> </w:t>
      </w:r>
      <w:r w:rsidR="00676B4B">
        <w:t>income families</w:t>
      </w:r>
      <w:r w:rsidRPr="00D44B39">
        <w:t xml:space="preserve"> and children </w:t>
      </w:r>
      <w:r>
        <w:t xml:space="preserve">from </w:t>
      </w:r>
      <w:r w:rsidRPr="00D44B39">
        <w:t xml:space="preserve">regional and remote areas are available from Department of </w:t>
      </w:r>
      <w:r w:rsidR="00ED4FA9">
        <w:t>Education and Training</w:t>
      </w:r>
      <w:r w:rsidRPr="00D44B39">
        <w:t xml:space="preserve"> administrative systems.</w:t>
      </w:r>
      <w:r w:rsidR="000E50ED" w:rsidRPr="006E32A6">
        <w:t xml:space="preserve"> </w:t>
      </w:r>
    </w:p>
    <w:p w:rsidR="00787EEC" w:rsidRDefault="00787EEC">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787EEC" w:rsidTr="000F4D37">
        <w:tc>
          <w:tcPr>
            <w:tcW w:w="8771" w:type="dxa"/>
            <w:tcBorders>
              <w:top w:val="single" w:sz="6" w:space="0" w:color="78A22F"/>
              <w:left w:val="nil"/>
              <w:bottom w:val="nil"/>
              <w:right w:val="nil"/>
            </w:tcBorders>
            <w:shd w:val="clear" w:color="auto" w:fill="F2F2F2"/>
          </w:tcPr>
          <w:p w:rsidR="00787EEC" w:rsidRDefault="00787EEC" w:rsidP="005F2BFF">
            <w:pPr>
              <w:pStyle w:val="BoxTitle"/>
            </w:pPr>
            <w:r>
              <w:rPr>
                <w:b w:val="0"/>
              </w:rPr>
              <w:t xml:space="preserve">Box </w:t>
            </w:r>
            <w:r w:rsidR="007F463A">
              <w:rPr>
                <w:b w:val="0"/>
              </w:rPr>
              <w:t>3.</w:t>
            </w:r>
            <w:r w:rsidR="00B1432E">
              <w:rPr>
                <w:b w:val="0"/>
              </w:rPr>
              <w:t>6</w:t>
            </w:r>
            <w:r>
              <w:tab/>
            </w:r>
            <w:r w:rsidRPr="00C41228">
              <w:t xml:space="preserve">Australian Government </w:t>
            </w:r>
            <w:proofErr w:type="spellStart"/>
            <w:r w:rsidR="005F2BFF">
              <w:t>NECECWC</w:t>
            </w:r>
            <w:proofErr w:type="spellEnd"/>
          </w:p>
        </w:tc>
      </w:tr>
      <w:tr w:rsidR="00787EEC" w:rsidTr="000F4D37">
        <w:trPr>
          <w:cantSplit/>
        </w:trPr>
        <w:tc>
          <w:tcPr>
            <w:tcW w:w="8771" w:type="dxa"/>
            <w:tcBorders>
              <w:top w:val="nil"/>
              <w:left w:val="nil"/>
              <w:bottom w:val="nil"/>
              <w:right w:val="nil"/>
            </w:tcBorders>
            <w:shd w:val="clear" w:color="auto" w:fill="F2F2F2"/>
          </w:tcPr>
          <w:p w:rsidR="00787EEC" w:rsidRPr="00787EEC" w:rsidRDefault="00787EEC" w:rsidP="00787EEC">
            <w:pPr>
              <w:pStyle w:val="Box"/>
            </w:pPr>
            <w:r w:rsidRPr="00787EEC">
              <w:t xml:space="preserve">The </w:t>
            </w:r>
            <w:proofErr w:type="spellStart"/>
            <w:r w:rsidR="005F2BFF">
              <w:t>NECECWC</w:t>
            </w:r>
            <w:proofErr w:type="spellEnd"/>
            <w:r w:rsidR="0097637D">
              <w:t xml:space="preserve"> </w:t>
            </w:r>
            <w:r w:rsidRPr="00787EEC">
              <w:t xml:space="preserve">was conducted in 2010 and 2013. The census aims to provide comprehensive and nationally consistent data on access to </w:t>
            </w:r>
            <w:proofErr w:type="spellStart"/>
            <w:r w:rsidR="0018407E">
              <w:t>ECEC</w:t>
            </w:r>
            <w:proofErr w:type="spellEnd"/>
            <w:r w:rsidRPr="00787EEC">
              <w:t xml:space="preserve"> services, and staff qualifications and experience. This chapter presen</w:t>
            </w:r>
            <w:r w:rsidR="007F7A2A">
              <w:t xml:space="preserve">ts </w:t>
            </w:r>
            <w:r w:rsidRPr="00787EEC">
              <w:t xml:space="preserve">data from the 2013 </w:t>
            </w:r>
            <w:proofErr w:type="spellStart"/>
            <w:r w:rsidR="0097637D">
              <w:t>NECECWC</w:t>
            </w:r>
            <w:proofErr w:type="spellEnd"/>
            <w:r w:rsidRPr="00787EEC">
              <w:t>, which was an initiative of the Australian Government.</w:t>
            </w:r>
            <w:r w:rsidR="00E21988">
              <w:t xml:space="preserve"> The next </w:t>
            </w:r>
            <w:proofErr w:type="spellStart"/>
            <w:r w:rsidR="00E21988">
              <w:t>NECECWC</w:t>
            </w:r>
            <w:proofErr w:type="spellEnd"/>
            <w:r w:rsidR="00E21988">
              <w:t xml:space="preserve"> is scheduled to be conducted in 2016.</w:t>
            </w:r>
          </w:p>
          <w:p w:rsidR="00787EEC" w:rsidRDefault="00787EEC" w:rsidP="00865F44">
            <w:pPr>
              <w:pStyle w:val="Box"/>
            </w:pPr>
            <w:r w:rsidRPr="00787EEC">
              <w:t xml:space="preserve">The </w:t>
            </w:r>
            <w:proofErr w:type="spellStart"/>
            <w:r w:rsidR="0097637D">
              <w:t>NECECWC</w:t>
            </w:r>
            <w:proofErr w:type="spellEnd"/>
            <w:r w:rsidR="0097637D">
              <w:t xml:space="preserve"> </w:t>
            </w:r>
            <w:r w:rsidRPr="00787EEC">
              <w:t>replaced the Australian Governm</w:t>
            </w:r>
            <w:r w:rsidR="002D4494">
              <w:t>ent Child Care Provider Survey</w:t>
            </w:r>
            <w:r w:rsidRPr="00787EEC">
              <w:t xml:space="preserve"> and the Australian Government Censu</w:t>
            </w:r>
            <w:r w:rsidR="002D4494">
              <w:t>s of Child Care Services</w:t>
            </w:r>
            <w:r w:rsidR="00865F44">
              <w:t>, both</w:t>
            </w:r>
            <w:r w:rsidRPr="00787EEC">
              <w:t xml:space="preserve"> conducted in earlier years.</w:t>
            </w:r>
            <w:r w:rsidR="00865F44">
              <w:t xml:space="preserve"> </w:t>
            </w:r>
            <w:r w:rsidRPr="00787EEC">
              <w:t xml:space="preserve">The </w:t>
            </w:r>
            <w:proofErr w:type="spellStart"/>
            <w:r w:rsidR="0097637D">
              <w:t>NECECWC</w:t>
            </w:r>
            <w:proofErr w:type="spellEnd"/>
            <w:r w:rsidR="0097637D">
              <w:t xml:space="preserve"> </w:t>
            </w:r>
            <w:r w:rsidRPr="00787EEC">
              <w:t>collected similar informa</w:t>
            </w:r>
            <w:r w:rsidR="002D4494">
              <w:t>tion to the previous collections</w:t>
            </w:r>
            <w:r w:rsidRPr="00787EEC">
              <w:t>, although variations in collection methods and different weighting methods affect the comparability of data across the collections. Therefore comparisons across time should be made with caution.</w:t>
            </w:r>
          </w:p>
        </w:tc>
      </w:tr>
      <w:tr w:rsidR="00787EEC" w:rsidTr="000F4D37">
        <w:trPr>
          <w:cantSplit/>
        </w:trPr>
        <w:tc>
          <w:tcPr>
            <w:tcW w:w="8771" w:type="dxa"/>
            <w:tcBorders>
              <w:top w:val="nil"/>
              <w:left w:val="nil"/>
              <w:bottom w:val="nil"/>
              <w:right w:val="nil"/>
            </w:tcBorders>
            <w:shd w:val="clear" w:color="auto" w:fill="F2F2F2"/>
          </w:tcPr>
          <w:p w:rsidR="00787EEC" w:rsidRDefault="00787EEC" w:rsidP="00787EEC">
            <w:pPr>
              <w:pStyle w:val="BoxSource"/>
            </w:pPr>
            <w:r w:rsidRPr="00787EEC">
              <w:rPr>
                <w:i/>
              </w:rPr>
              <w:t>Source</w:t>
            </w:r>
            <w:r w:rsidRPr="00787EEC">
              <w:t xml:space="preserve">: </w:t>
            </w:r>
            <w:r w:rsidR="007F7A2A">
              <w:t xml:space="preserve">Australian Government </w:t>
            </w:r>
            <w:r w:rsidRPr="00787EEC">
              <w:t>Department of</w:t>
            </w:r>
            <w:r w:rsidR="00D44B39">
              <w:t xml:space="preserve"> </w:t>
            </w:r>
            <w:r w:rsidR="00ED4FA9">
              <w:t>Education and Training</w:t>
            </w:r>
            <w:r w:rsidRPr="00787EEC">
              <w:t xml:space="preserve"> (unpublished).</w:t>
            </w:r>
          </w:p>
        </w:tc>
      </w:tr>
      <w:tr w:rsidR="00787EEC" w:rsidTr="000F4D37">
        <w:trPr>
          <w:cantSplit/>
        </w:trPr>
        <w:tc>
          <w:tcPr>
            <w:tcW w:w="8771" w:type="dxa"/>
            <w:tcBorders>
              <w:top w:val="nil"/>
              <w:left w:val="nil"/>
              <w:bottom w:val="single" w:sz="6" w:space="0" w:color="78A22F"/>
              <w:right w:val="nil"/>
            </w:tcBorders>
            <w:shd w:val="clear" w:color="auto" w:fill="F2F2F2"/>
          </w:tcPr>
          <w:p w:rsidR="00787EEC" w:rsidRDefault="00787EEC">
            <w:pPr>
              <w:pStyle w:val="Box"/>
              <w:spacing w:before="0" w:line="120" w:lineRule="exact"/>
            </w:pPr>
          </w:p>
        </w:tc>
      </w:tr>
      <w:tr w:rsidR="00787EEC" w:rsidRPr="000863A5" w:rsidTr="000F4D37">
        <w:tc>
          <w:tcPr>
            <w:tcW w:w="8771" w:type="dxa"/>
            <w:tcBorders>
              <w:top w:val="single" w:sz="6" w:space="0" w:color="78A22F"/>
              <w:left w:val="nil"/>
              <w:bottom w:val="nil"/>
              <w:right w:val="nil"/>
            </w:tcBorders>
          </w:tcPr>
          <w:p w:rsidR="00787EEC" w:rsidRPr="00626D32" w:rsidRDefault="00787EEC" w:rsidP="000F4D37">
            <w:pPr>
              <w:pStyle w:val="BoxSpaceBelow"/>
            </w:pPr>
          </w:p>
        </w:tc>
      </w:tr>
    </w:tbl>
    <w:p w:rsidR="00E65752" w:rsidRPr="00BC30B5" w:rsidRDefault="0058338F" w:rsidP="00C3586E">
      <w:pPr>
        <w:pStyle w:val="BodyText"/>
      </w:pPr>
      <w:r>
        <w:t>Nationally, r</w:t>
      </w:r>
      <w:r w:rsidR="00566D67" w:rsidRPr="008818BC">
        <w:t>e</w:t>
      </w:r>
      <w:r w:rsidR="00222F95" w:rsidRPr="008818BC">
        <w:t xml:space="preserve">presentation of children </w:t>
      </w:r>
      <w:r w:rsidR="00B13E59">
        <w:t xml:space="preserve">aged 0–12 years </w:t>
      </w:r>
      <w:r w:rsidR="00222F95" w:rsidRPr="008818BC">
        <w:t xml:space="preserve">from </w:t>
      </w:r>
      <w:r w:rsidR="00566D67" w:rsidRPr="008818BC">
        <w:t xml:space="preserve">special needs groups </w:t>
      </w:r>
      <w:r w:rsidR="00EE3AF2">
        <w:t>in child care services was</w:t>
      </w:r>
      <w:r w:rsidR="00566D67" w:rsidRPr="008818BC">
        <w:t xml:space="preserve"> </w:t>
      </w:r>
      <w:r w:rsidR="00566D67" w:rsidRPr="00855DF8">
        <w:t xml:space="preserve">lower </w:t>
      </w:r>
      <w:r w:rsidR="00566D67" w:rsidRPr="008818BC">
        <w:t xml:space="preserve">than their representation in the community </w:t>
      </w:r>
      <w:r>
        <w:t>for all special needs groups</w:t>
      </w:r>
      <w:r w:rsidR="00855DF8">
        <w:t xml:space="preserve"> except children from low income families</w:t>
      </w:r>
      <w:r w:rsidR="00BF4CE7">
        <w:t xml:space="preserve"> (table</w:t>
      </w:r>
      <w:r w:rsidR="00697D43">
        <w:t> </w:t>
      </w:r>
      <w:r w:rsidR="00BF4CE7">
        <w:t>3.9</w:t>
      </w:r>
      <w:r w:rsidR="00EE3AF2">
        <w:t>)</w:t>
      </w:r>
      <w:r w:rsidR="00855DF8">
        <w:t>. This</w:t>
      </w:r>
      <w:r>
        <w:t xml:space="preserve"> was </w:t>
      </w:r>
      <w:r w:rsidR="00855DF8">
        <w:t xml:space="preserve">also </w:t>
      </w:r>
      <w:r>
        <w:t>the case for children in these groups aged 0</w:t>
      </w:r>
      <w:r w:rsidR="00071088">
        <w:t>–</w:t>
      </w:r>
      <w:r>
        <w:t>5 y</w:t>
      </w:r>
      <w:r w:rsidR="002B57D2">
        <w:t>ears and 6</w:t>
      </w:r>
      <w:r w:rsidR="00071088">
        <w:t>–</w:t>
      </w:r>
      <w:r w:rsidR="002B57D2">
        <w:t>12 years (table</w:t>
      </w:r>
      <w:r w:rsidR="00697D43">
        <w:t> </w:t>
      </w:r>
      <w:proofErr w:type="spellStart"/>
      <w:r w:rsidR="002B57D2">
        <w:t>3A.13</w:t>
      </w:r>
      <w:proofErr w:type="spellEnd"/>
      <w:r>
        <w:t xml:space="preserve">). </w:t>
      </w:r>
      <w:r w:rsidRPr="003F1AB5">
        <w:t xml:space="preserve">The largest </w:t>
      </w:r>
      <w:r w:rsidRPr="003F1AB5">
        <w:lastRenderedPageBreak/>
        <w:t xml:space="preserve">difference was for </w:t>
      </w:r>
      <w:r w:rsidR="00855DF8" w:rsidRPr="003F1AB5">
        <w:t xml:space="preserve">0–12 year old </w:t>
      </w:r>
      <w:r w:rsidRPr="003F1AB5">
        <w:t xml:space="preserve">children in low income families with their representation in child care </w:t>
      </w:r>
      <w:r w:rsidR="003F1AB5" w:rsidRPr="003F1AB5">
        <w:t>around 7 percentage points higher</w:t>
      </w:r>
      <w:r w:rsidRPr="003F1AB5">
        <w:t xml:space="preserve"> than their representation in the community.</w:t>
      </w:r>
    </w:p>
    <w:p w:rsidR="00A6714D" w:rsidRDefault="00A6714D" w:rsidP="00A559CF">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8771"/>
      </w:tblGrid>
      <w:tr w:rsidR="00A6714D" w:rsidTr="00A559CF">
        <w:tc>
          <w:tcPr>
            <w:tcW w:w="8771" w:type="dxa"/>
            <w:tcBorders>
              <w:top w:val="single" w:sz="6" w:space="0" w:color="78A22F"/>
              <w:left w:val="nil"/>
              <w:bottom w:val="nil"/>
              <w:right w:val="nil"/>
            </w:tcBorders>
            <w:shd w:val="clear" w:color="auto" w:fill="auto"/>
          </w:tcPr>
          <w:p w:rsidR="00A6714D" w:rsidRPr="00784A05" w:rsidRDefault="00A6714D" w:rsidP="001209EE">
            <w:pPr>
              <w:pStyle w:val="TableTitle"/>
            </w:pPr>
            <w:r>
              <w:rPr>
                <w:b w:val="0"/>
              </w:rPr>
              <w:t>Table 3.</w:t>
            </w:r>
            <w:r w:rsidR="00BF4CE7">
              <w:rPr>
                <w:b w:val="0"/>
              </w:rPr>
              <w:t>9</w:t>
            </w:r>
            <w:r>
              <w:tab/>
            </w:r>
            <w:r w:rsidRPr="00A6714D">
              <w:t xml:space="preserve">Proportion of children aged 0–12 years attending Australian Government </w:t>
            </w:r>
            <w:proofErr w:type="spellStart"/>
            <w:r w:rsidR="00D62F97">
              <w:t>CCB</w:t>
            </w:r>
            <w:proofErr w:type="spellEnd"/>
            <w:r w:rsidR="00D62F97">
              <w:t xml:space="preserve"> </w:t>
            </w:r>
            <w:r w:rsidRPr="00A6714D">
              <w:t xml:space="preserve">approved child care services </w:t>
            </w:r>
            <w:r w:rsidR="008D3570">
              <w:t xml:space="preserve">who are </w:t>
            </w:r>
            <w:r w:rsidR="00AE399A">
              <w:t>from special needs groups</w:t>
            </w:r>
            <w:r w:rsidR="003A5E67">
              <w:t>, compared with</w:t>
            </w:r>
            <w:r w:rsidR="008D3570">
              <w:t xml:space="preserve"> their representation in the community</w:t>
            </w:r>
            <w:r w:rsidR="00AE399A">
              <w:t xml:space="preserve"> </w:t>
            </w:r>
            <w:r w:rsidRPr="00A6714D">
              <w:t>(per cent)</w:t>
            </w:r>
            <w:r w:rsidR="001209EE">
              <w:rPr>
                <w:rStyle w:val="NoteLabel"/>
                <w:b/>
              </w:rPr>
              <w:t>a</w:t>
            </w:r>
          </w:p>
        </w:tc>
      </w:tr>
      <w:tr w:rsidR="00A6714D" w:rsidRPr="00773A00" w:rsidTr="00A559CF">
        <w:trPr>
          <w:cantSplit/>
        </w:trPr>
        <w:tc>
          <w:tcPr>
            <w:tcW w:w="8771" w:type="dxa"/>
            <w:tcBorders>
              <w:top w:val="nil"/>
              <w:left w:val="nil"/>
              <w:bottom w:val="nil"/>
              <w:right w:val="nil"/>
            </w:tcBorders>
            <w:shd w:val="clear" w:color="auto" w:fill="auto"/>
          </w:tcPr>
          <w:tbl>
            <w:tblPr>
              <w:tblW w:w="5000" w:type="pct"/>
              <w:tblCellMar>
                <w:left w:w="0" w:type="dxa"/>
                <w:right w:w="0" w:type="dxa"/>
              </w:tblCellMar>
              <w:tblLook w:val="0000" w:firstRow="0" w:lastRow="0" w:firstColumn="0" w:lastColumn="0" w:noHBand="0" w:noVBand="0"/>
            </w:tblPr>
            <w:tblGrid>
              <w:gridCol w:w="2734"/>
              <w:gridCol w:w="682"/>
              <w:gridCol w:w="691"/>
              <w:gridCol w:w="22"/>
              <w:gridCol w:w="616"/>
              <w:gridCol w:w="19"/>
              <w:gridCol w:w="606"/>
              <w:gridCol w:w="14"/>
              <w:gridCol w:w="609"/>
              <w:gridCol w:w="10"/>
              <w:gridCol w:w="620"/>
              <w:gridCol w:w="625"/>
              <w:gridCol w:w="625"/>
              <w:gridCol w:w="614"/>
            </w:tblGrid>
            <w:tr w:rsidR="00A6714D" w:rsidRPr="00773A00" w:rsidTr="000B3267">
              <w:tc>
                <w:tcPr>
                  <w:tcW w:w="1611" w:type="pct"/>
                  <w:tcBorders>
                    <w:top w:val="single" w:sz="6" w:space="0" w:color="BFBFBF"/>
                    <w:bottom w:val="single" w:sz="6" w:space="0" w:color="BFBFBF"/>
                  </w:tcBorders>
                  <w:shd w:val="clear" w:color="auto" w:fill="auto"/>
                </w:tcPr>
                <w:p w:rsidR="00A6714D" w:rsidRPr="00773A00" w:rsidRDefault="00A6714D" w:rsidP="00A559CF">
                  <w:pPr>
                    <w:pStyle w:val="TableColumnHeading"/>
                    <w:jc w:val="left"/>
                  </w:pPr>
                </w:p>
              </w:tc>
              <w:tc>
                <w:tcPr>
                  <w:tcW w:w="402" w:type="pct"/>
                  <w:tcBorders>
                    <w:top w:val="single" w:sz="6" w:space="0" w:color="BFBFBF"/>
                    <w:bottom w:val="single" w:sz="6" w:space="0" w:color="BFBFBF"/>
                  </w:tcBorders>
                  <w:shd w:val="clear" w:color="auto" w:fill="auto"/>
                </w:tcPr>
                <w:p w:rsidR="00A6714D" w:rsidRPr="00773A00" w:rsidRDefault="00A6714D" w:rsidP="00A559CF">
                  <w:pPr>
                    <w:pStyle w:val="TableColumnHeading"/>
                  </w:pPr>
                  <w:r w:rsidRPr="00773A00">
                    <w:t>NSW</w:t>
                  </w:r>
                </w:p>
              </w:tc>
              <w:tc>
                <w:tcPr>
                  <w:tcW w:w="420" w:type="pct"/>
                  <w:gridSpan w:val="2"/>
                  <w:tcBorders>
                    <w:top w:val="single" w:sz="6" w:space="0" w:color="BFBFBF"/>
                    <w:bottom w:val="single" w:sz="6" w:space="0" w:color="BFBFBF"/>
                  </w:tcBorders>
                  <w:shd w:val="clear" w:color="auto" w:fill="auto"/>
                </w:tcPr>
                <w:p w:rsidR="00A6714D" w:rsidRPr="00773A00" w:rsidRDefault="00A6714D" w:rsidP="00A559CF">
                  <w:pPr>
                    <w:pStyle w:val="TableColumnHeading"/>
                  </w:pPr>
                  <w:r w:rsidRPr="00773A00">
                    <w:t>Vic</w:t>
                  </w:r>
                </w:p>
              </w:tc>
              <w:tc>
                <w:tcPr>
                  <w:tcW w:w="374" w:type="pct"/>
                  <w:gridSpan w:val="2"/>
                  <w:tcBorders>
                    <w:top w:val="single" w:sz="6" w:space="0" w:color="BFBFBF"/>
                    <w:bottom w:val="single" w:sz="6" w:space="0" w:color="BFBFBF"/>
                  </w:tcBorders>
                  <w:shd w:val="clear" w:color="auto" w:fill="auto"/>
                </w:tcPr>
                <w:p w:rsidR="00A6714D" w:rsidRPr="00773A00" w:rsidRDefault="00A6714D" w:rsidP="00A559CF">
                  <w:pPr>
                    <w:pStyle w:val="TableColumnHeading"/>
                  </w:pPr>
                  <w:r w:rsidRPr="00773A00">
                    <w:t>Qld</w:t>
                  </w:r>
                </w:p>
              </w:tc>
              <w:tc>
                <w:tcPr>
                  <w:tcW w:w="365" w:type="pct"/>
                  <w:gridSpan w:val="2"/>
                  <w:tcBorders>
                    <w:top w:val="single" w:sz="6" w:space="0" w:color="BFBFBF"/>
                    <w:bottom w:val="single" w:sz="6" w:space="0" w:color="BFBFBF"/>
                  </w:tcBorders>
                  <w:shd w:val="clear" w:color="auto" w:fill="auto"/>
                </w:tcPr>
                <w:p w:rsidR="00A6714D" w:rsidRPr="00773A00" w:rsidRDefault="00A6714D" w:rsidP="00A559CF">
                  <w:pPr>
                    <w:pStyle w:val="TableColumnHeading"/>
                  </w:pPr>
                  <w:r w:rsidRPr="00773A00">
                    <w:t>WA</w:t>
                  </w:r>
                </w:p>
              </w:tc>
              <w:tc>
                <w:tcPr>
                  <w:tcW w:w="365" w:type="pct"/>
                  <w:gridSpan w:val="2"/>
                  <w:tcBorders>
                    <w:top w:val="single" w:sz="6" w:space="0" w:color="BFBFBF"/>
                    <w:bottom w:val="single" w:sz="6" w:space="0" w:color="BFBFBF"/>
                  </w:tcBorders>
                  <w:shd w:val="clear" w:color="auto" w:fill="auto"/>
                </w:tcPr>
                <w:p w:rsidR="00A6714D" w:rsidRPr="00773A00" w:rsidRDefault="00A6714D" w:rsidP="00A559CF">
                  <w:pPr>
                    <w:pStyle w:val="TableColumnHeading"/>
                  </w:pPr>
                  <w:r w:rsidRPr="00773A00">
                    <w:t>SA</w:t>
                  </w:r>
                </w:p>
              </w:tc>
              <w:tc>
                <w:tcPr>
                  <w:tcW w:w="365" w:type="pct"/>
                  <w:tcBorders>
                    <w:top w:val="single" w:sz="6" w:space="0" w:color="BFBFBF"/>
                    <w:bottom w:val="single" w:sz="6" w:space="0" w:color="BFBFBF"/>
                  </w:tcBorders>
                  <w:shd w:val="clear" w:color="auto" w:fill="auto"/>
                </w:tcPr>
                <w:p w:rsidR="00A6714D" w:rsidRPr="00773A00" w:rsidRDefault="00A6714D" w:rsidP="00A559CF">
                  <w:pPr>
                    <w:pStyle w:val="TableColumnHeading"/>
                  </w:pPr>
                  <w:proofErr w:type="spellStart"/>
                  <w:r w:rsidRPr="00773A00">
                    <w:t>Tas</w:t>
                  </w:r>
                  <w:proofErr w:type="spellEnd"/>
                </w:p>
              </w:tc>
              <w:tc>
                <w:tcPr>
                  <w:tcW w:w="368" w:type="pct"/>
                  <w:tcBorders>
                    <w:top w:val="single" w:sz="6" w:space="0" w:color="BFBFBF"/>
                    <w:bottom w:val="single" w:sz="6" w:space="0" w:color="BFBFBF"/>
                  </w:tcBorders>
                  <w:shd w:val="clear" w:color="auto" w:fill="auto"/>
                </w:tcPr>
                <w:p w:rsidR="00A6714D" w:rsidRPr="00773A00" w:rsidRDefault="00A6714D" w:rsidP="00A559CF">
                  <w:pPr>
                    <w:pStyle w:val="TableColumnHeading"/>
                  </w:pPr>
                  <w:r w:rsidRPr="00773A00">
                    <w:t>ACT</w:t>
                  </w:r>
                </w:p>
              </w:tc>
              <w:tc>
                <w:tcPr>
                  <w:tcW w:w="368" w:type="pct"/>
                  <w:tcBorders>
                    <w:top w:val="single" w:sz="6" w:space="0" w:color="BFBFBF"/>
                    <w:bottom w:val="single" w:sz="6" w:space="0" w:color="BFBFBF"/>
                  </w:tcBorders>
                  <w:shd w:val="clear" w:color="auto" w:fill="auto"/>
                </w:tcPr>
                <w:p w:rsidR="00A6714D" w:rsidRPr="00773A00" w:rsidRDefault="00A6714D" w:rsidP="00A559CF">
                  <w:pPr>
                    <w:pStyle w:val="TableColumnHeading"/>
                  </w:pPr>
                  <w:r w:rsidRPr="00773A00">
                    <w:t>NT</w:t>
                  </w:r>
                </w:p>
              </w:tc>
              <w:tc>
                <w:tcPr>
                  <w:tcW w:w="362" w:type="pct"/>
                  <w:tcBorders>
                    <w:top w:val="single" w:sz="6" w:space="0" w:color="BFBFBF"/>
                    <w:bottom w:val="single" w:sz="6" w:space="0" w:color="BFBFBF"/>
                  </w:tcBorders>
                  <w:shd w:val="clear" w:color="auto" w:fill="auto"/>
                </w:tcPr>
                <w:p w:rsidR="00A6714D" w:rsidRPr="00773A00" w:rsidRDefault="00A6714D" w:rsidP="000B3267">
                  <w:pPr>
                    <w:pStyle w:val="TableColumnHeading"/>
                  </w:pPr>
                  <w:proofErr w:type="spellStart"/>
                  <w:r w:rsidRPr="00773A00">
                    <w:t>Aust</w:t>
                  </w:r>
                  <w:proofErr w:type="spellEnd"/>
                </w:p>
              </w:tc>
            </w:tr>
            <w:tr w:rsidR="00A6714D" w:rsidRPr="00773A00" w:rsidTr="000B3267">
              <w:tc>
                <w:tcPr>
                  <w:tcW w:w="5000" w:type="pct"/>
                  <w:gridSpan w:val="14"/>
                  <w:tcBorders>
                    <w:top w:val="single" w:sz="6" w:space="0" w:color="BFBFBF"/>
                  </w:tcBorders>
                </w:tcPr>
                <w:p w:rsidR="00A6714D" w:rsidRPr="00773A00" w:rsidRDefault="00A6714D" w:rsidP="004A7C5C">
                  <w:pPr>
                    <w:pStyle w:val="TableBodyText"/>
                    <w:spacing w:before="60"/>
                    <w:ind w:right="28"/>
                    <w:jc w:val="left"/>
                    <w:rPr>
                      <w:i/>
                    </w:rPr>
                  </w:pPr>
                  <w:r w:rsidRPr="00773A00">
                    <w:rPr>
                      <w:i/>
                    </w:rPr>
                    <w:t xml:space="preserve">Children from </w:t>
                  </w:r>
                  <w:proofErr w:type="spellStart"/>
                  <w:r w:rsidRPr="00773A00">
                    <w:rPr>
                      <w:i/>
                    </w:rPr>
                    <w:t>NESB</w:t>
                  </w:r>
                  <w:proofErr w:type="spellEnd"/>
                </w:p>
              </w:tc>
            </w:tr>
            <w:tr w:rsidR="00A6714D" w:rsidRPr="00773A00" w:rsidTr="00D62F97">
              <w:tc>
                <w:tcPr>
                  <w:tcW w:w="1611" w:type="pct"/>
                </w:tcPr>
                <w:p w:rsidR="00A6714D" w:rsidRPr="00773A00" w:rsidRDefault="00A6714D" w:rsidP="00A559CF">
                  <w:pPr>
                    <w:pStyle w:val="TableBodyText"/>
                    <w:ind w:left="0" w:firstLine="142"/>
                    <w:jc w:val="left"/>
                    <w:rPr>
                      <w:rStyle w:val="DraftingNote"/>
                      <w:color w:val="auto"/>
                      <w:sz w:val="20"/>
                    </w:rPr>
                  </w:pPr>
                  <w:r w:rsidRPr="00773A00">
                    <w:t xml:space="preserve">In child </w:t>
                  </w:r>
                  <w:r w:rsidR="00D62F97" w:rsidRPr="00773A00">
                    <w:t>care services, 2013</w:t>
                  </w:r>
                </w:p>
              </w:tc>
              <w:tc>
                <w:tcPr>
                  <w:tcW w:w="402" w:type="pct"/>
                  <w:vAlign w:val="center"/>
                </w:tcPr>
                <w:p w:rsidR="00A6714D" w:rsidRPr="00773A00" w:rsidRDefault="00A6714D" w:rsidP="00A559CF">
                  <w:pPr>
                    <w:pStyle w:val="TableBodyText"/>
                  </w:pPr>
                  <w:r w:rsidRPr="00773A00">
                    <w:t>21.3</w:t>
                  </w:r>
                </w:p>
              </w:tc>
              <w:tc>
                <w:tcPr>
                  <w:tcW w:w="407" w:type="pct"/>
                  <w:vAlign w:val="center"/>
                </w:tcPr>
                <w:p w:rsidR="00A6714D" w:rsidRPr="00773A00" w:rsidRDefault="00A6714D" w:rsidP="00A559CF">
                  <w:pPr>
                    <w:pStyle w:val="TableBodyText"/>
                  </w:pPr>
                  <w:r w:rsidRPr="00773A00">
                    <w:t>24.8</w:t>
                  </w:r>
                </w:p>
              </w:tc>
              <w:tc>
                <w:tcPr>
                  <w:tcW w:w="387" w:type="pct"/>
                  <w:gridSpan w:val="3"/>
                  <w:vAlign w:val="center"/>
                </w:tcPr>
                <w:p w:rsidR="00A6714D" w:rsidRPr="00773A00" w:rsidRDefault="00A6714D" w:rsidP="00A559CF">
                  <w:pPr>
                    <w:pStyle w:val="TableBodyText"/>
                  </w:pPr>
                  <w:r w:rsidRPr="00773A00">
                    <w:t>9.0</w:t>
                  </w:r>
                </w:p>
              </w:tc>
              <w:tc>
                <w:tcPr>
                  <w:tcW w:w="365" w:type="pct"/>
                  <w:gridSpan w:val="2"/>
                  <w:vAlign w:val="center"/>
                </w:tcPr>
                <w:p w:rsidR="00A6714D" w:rsidRPr="00773A00" w:rsidRDefault="00A6714D" w:rsidP="00A559CF">
                  <w:pPr>
                    <w:pStyle w:val="TableBodyText"/>
                  </w:pPr>
                  <w:r w:rsidRPr="00773A00">
                    <w:t>13.4</w:t>
                  </w:r>
                </w:p>
              </w:tc>
              <w:tc>
                <w:tcPr>
                  <w:tcW w:w="365" w:type="pct"/>
                  <w:gridSpan w:val="2"/>
                  <w:vAlign w:val="center"/>
                </w:tcPr>
                <w:p w:rsidR="00A6714D" w:rsidRPr="00773A00" w:rsidRDefault="00A6714D" w:rsidP="00A559CF">
                  <w:pPr>
                    <w:pStyle w:val="TableBodyText"/>
                  </w:pPr>
                  <w:r w:rsidRPr="00773A00">
                    <w:t>10.4</w:t>
                  </w:r>
                </w:p>
              </w:tc>
              <w:tc>
                <w:tcPr>
                  <w:tcW w:w="365" w:type="pct"/>
                  <w:vAlign w:val="center"/>
                </w:tcPr>
                <w:p w:rsidR="00A6714D" w:rsidRPr="00773A00" w:rsidRDefault="00A6714D" w:rsidP="00A559CF">
                  <w:pPr>
                    <w:pStyle w:val="TableBodyText"/>
                  </w:pPr>
                  <w:r w:rsidRPr="00773A00">
                    <w:t>3.5</w:t>
                  </w:r>
                </w:p>
              </w:tc>
              <w:tc>
                <w:tcPr>
                  <w:tcW w:w="368" w:type="pct"/>
                  <w:vAlign w:val="center"/>
                </w:tcPr>
                <w:p w:rsidR="00A6714D" w:rsidRPr="00773A00" w:rsidRDefault="00A6714D" w:rsidP="00A559CF">
                  <w:pPr>
                    <w:pStyle w:val="TableBodyText"/>
                  </w:pPr>
                  <w:r w:rsidRPr="00773A00">
                    <w:t>16.0</w:t>
                  </w:r>
                </w:p>
              </w:tc>
              <w:tc>
                <w:tcPr>
                  <w:tcW w:w="368" w:type="pct"/>
                  <w:vAlign w:val="center"/>
                </w:tcPr>
                <w:p w:rsidR="00A6714D" w:rsidRPr="00773A00" w:rsidRDefault="00A6714D" w:rsidP="00A559CF">
                  <w:pPr>
                    <w:pStyle w:val="TableBodyText"/>
                  </w:pPr>
                  <w:r w:rsidRPr="00773A00">
                    <w:t>10.6</w:t>
                  </w:r>
                </w:p>
              </w:tc>
              <w:tc>
                <w:tcPr>
                  <w:tcW w:w="362" w:type="pct"/>
                  <w:vAlign w:val="center"/>
                </w:tcPr>
                <w:p w:rsidR="00A6714D" w:rsidRPr="00773A00" w:rsidRDefault="00A6714D" w:rsidP="00682493">
                  <w:pPr>
                    <w:pStyle w:val="TableBodyText"/>
                  </w:pPr>
                  <w:r w:rsidRPr="00773A00">
                    <w:t>17.3</w:t>
                  </w:r>
                </w:p>
              </w:tc>
            </w:tr>
            <w:tr w:rsidR="00A6714D" w:rsidRPr="00773A00" w:rsidTr="00D62F97">
              <w:tc>
                <w:tcPr>
                  <w:tcW w:w="1611" w:type="pct"/>
                </w:tcPr>
                <w:p w:rsidR="00A6714D" w:rsidRPr="00773A00" w:rsidRDefault="00A6714D" w:rsidP="00A559CF">
                  <w:pPr>
                    <w:pStyle w:val="TableBodyText"/>
                    <w:ind w:left="0" w:firstLine="142"/>
                    <w:jc w:val="left"/>
                  </w:pPr>
                  <w:r w:rsidRPr="00773A00">
                    <w:t xml:space="preserve">In the community, 2011 </w:t>
                  </w:r>
                </w:p>
              </w:tc>
              <w:tc>
                <w:tcPr>
                  <w:tcW w:w="402" w:type="pct"/>
                  <w:vAlign w:val="center"/>
                </w:tcPr>
                <w:p w:rsidR="00A6714D" w:rsidRPr="00773A00" w:rsidRDefault="00A6714D" w:rsidP="00A559CF">
                  <w:pPr>
                    <w:pStyle w:val="TableBodyText"/>
                  </w:pPr>
                  <w:r w:rsidRPr="00773A00">
                    <w:t>23.7</w:t>
                  </w:r>
                </w:p>
              </w:tc>
              <w:tc>
                <w:tcPr>
                  <w:tcW w:w="407" w:type="pct"/>
                  <w:vAlign w:val="center"/>
                </w:tcPr>
                <w:p w:rsidR="00A6714D" w:rsidRPr="00773A00" w:rsidRDefault="00A6714D" w:rsidP="00A559CF">
                  <w:pPr>
                    <w:pStyle w:val="TableBodyText"/>
                  </w:pPr>
                  <w:r w:rsidRPr="00773A00">
                    <w:t>23.4</w:t>
                  </w:r>
                </w:p>
              </w:tc>
              <w:tc>
                <w:tcPr>
                  <w:tcW w:w="387" w:type="pct"/>
                  <w:gridSpan w:val="3"/>
                  <w:vAlign w:val="center"/>
                </w:tcPr>
                <w:p w:rsidR="00A6714D" w:rsidRPr="00773A00" w:rsidRDefault="00A6714D" w:rsidP="00A559CF">
                  <w:pPr>
                    <w:pStyle w:val="TableBodyText"/>
                  </w:pPr>
                  <w:r w:rsidRPr="00773A00">
                    <w:t>13.2</w:t>
                  </w:r>
                </w:p>
              </w:tc>
              <w:tc>
                <w:tcPr>
                  <w:tcW w:w="365" w:type="pct"/>
                  <w:gridSpan w:val="2"/>
                  <w:vAlign w:val="center"/>
                </w:tcPr>
                <w:p w:rsidR="00A6714D" w:rsidRPr="00773A00" w:rsidRDefault="00A6714D" w:rsidP="00A559CF">
                  <w:pPr>
                    <w:pStyle w:val="TableBodyText"/>
                  </w:pPr>
                  <w:r w:rsidRPr="00773A00">
                    <w:t>18.0</w:t>
                  </w:r>
                </w:p>
              </w:tc>
              <w:tc>
                <w:tcPr>
                  <w:tcW w:w="365" w:type="pct"/>
                  <w:gridSpan w:val="2"/>
                  <w:vAlign w:val="center"/>
                </w:tcPr>
                <w:p w:rsidR="00A6714D" w:rsidRPr="00773A00" w:rsidRDefault="00A6714D" w:rsidP="00A559CF">
                  <w:pPr>
                    <w:pStyle w:val="TableBodyText"/>
                  </w:pPr>
                  <w:r w:rsidRPr="00773A00">
                    <w:t>15.7</w:t>
                  </w:r>
                </w:p>
              </w:tc>
              <w:tc>
                <w:tcPr>
                  <w:tcW w:w="365" w:type="pct"/>
                  <w:vAlign w:val="center"/>
                </w:tcPr>
                <w:p w:rsidR="00A6714D" w:rsidRPr="00773A00" w:rsidRDefault="00A6714D" w:rsidP="00A559CF">
                  <w:pPr>
                    <w:pStyle w:val="TableBodyText"/>
                  </w:pPr>
                  <w:r w:rsidRPr="00773A00">
                    <w:t>7.3</w:t>
                  </w:r>
                </w:p>
              </w:tc>
              <w:tc>
                <w:tcPr>
                  <w:tcW w:w="368" w:type="pct"/>
                  <w:vAlign w:val="center"/>
                </w:tcPr>
                <w:p w:rsidR="00A6714D" w:rsidRPr="00773A00" w:rsidRDefault="00A6714D" w:rsidP="00A559CF">
                  <w:pPr>
                    <w:pStyle w:val="TableBodyText"/>
                  </w:pPr>
                  <w:r w:rsidRPr="00773A00">
                    <w:t>19.2</w:t>
                  </w:r>
                </w:p>
              </w:tc>
              <w:tc>
                <w:tcPr>
                  <w:tcW w:w="368" w:type="pct"/>
                  <w:vAlign w:val="center"/>
                </w:tcPr>
                <w:p w:rsidR="00A6714D" w:rsidRPr="00773A00" w:rsidRDefault="00A6714D" w:rsidP="00A559CF">
                  <w:pPr>
                    <w:pStyle w:val="TableBodyText"/>
                  </w:pPr>
                  <w:r w:rsidRPr="00773A00">
                    <w:t>40.0</w:t>
                  </w:r>
                </w:p>
              </w:tc>
              <w:tc>
                <w:tcPr>
                  <w:tcW w:w="362" w:type="pct"/>
                  <w:vAlign w:val="center"/>
                </w:tcPr>
                <w:p w:rsidR="00A6714D" w:rsidRPr="00773A00" w:rsidRDefault="00A6714D" w:rsidP="00682493">
                  <w:pPr>
                    <w:pStyle w:val="TableBodyText"/>
                  </w:pPr>
                  <w:r w:rsidRPr="00773A00">
                    <w:t>20.0</w:t>
                  </w:r>
                </w:p>
              </w:tc>
            </w:tr>
            <w:tr w:rsidR="00A6714D" w:rsidRPr="00773A00" w:rsidTr="00A559CF">
              <w:tc>
                <w:tcPr>
                  <w:tcW w:w="5000" w:type="pct"/>
                  <w:gridSpan w:val="14"/>
                </w:tcPr>
                <w:p w:rsidR="00A6714D" w:rsidRPr="00773A00" w:rsidRDefault="00A6714D" w:rsidP="00A559CF">
                  <w:pPr>
                    <w:pStyle w:val="TableBodyText"/>
                    <w:jc w:val="left"/>
                    <w:rPr>
                      <w:i/>
                    </w:rPr>
                  </w:pPr>
                  <w:r w:rsidRPr="00773A00">
                    <w:rPr>
                      <w:i/>
                    </w:rPr>
                    <w:t>Aboriginal and Torres Strait Islander children</w:t>
                  </w:r>
                </w:p>
              </w:tc>
            </w:tr>
            <w:tr w:rsidR="00A4736C" w:rsidRPr="00773A00" w:rsidTr="00D62F97">
              <w:tc>
                <w:tcPr>
                  <w:tcW w:w="1611" w:type="pct"/>
                </w:tcPr>
                <w:p w:rsidR="00A4736C" w:rsidRPr="00773A00" w:rsidRDefault="00A4736C" w:rsidP="00A559CF">
                  <w:pPr>
                    <w:pStyle w:val="TableBodyText"/>
                    <w:ind w:left="0" w:firstLine="142"/>
                    <w:jc w:val="left"/>
                  </w:pPr>
                  <w:r w:rsidRPr="00773A00">
                    <w:t>In child care services, 2015</w:t>
                  </w:r>
                </w:p>
              </w:tc>
              <w:tc>
                <w:tcPr>
                  <w:tcW w:w="402" w:type="pct"/>
                  <w:vAlign w:val="center"/>
                </w:tcPr>
                <w:p w:rsidR="00A4736C" w:rsidRPr="00773A00" w:rsidRDefault="002D438E" w:rsidP="00A4736C">
                  <w:pPr>
                    <w:pStyle w:val="TableBodyText"/>
                  </w:pPr>
                  <w:bookmarkStart w:id="51" w:name="RANGE!R15"/>
                  <w:r w:rsidRPr="00773A00">
                    <w:t xml:space="preserve"> </w:t>
                  </w:r>
                  <w:r w:rsidR="00A4736C" w:rsidRPr="00773A00">
                    <w:t>2.2</w:t>
                  </w:r>
                  <w:bookmarkEnd w:id="51"/>
                </w:p>
              </w:tc>
              <w:tc>
                <w:tcPr>
                  <w:tcW w:w="407" w:type="pct"/>
                  <w:vAlign w:val="center"/>
                </w:tcPr>
                <w:p w:rsidR="00A4736C" w:rsidRPr="00773A00" w:rsidRDefault="002D438E" w:rsidP="00A4736C">
                  <w:pPr>
                    <w:pStyle w:val="TableBodyText"/>
                  </w:pPr>
                  <w:bookmarkStart w:id="52" w:name="RANGE!S15"/>
                  <w:r w:rsidRPr="00773A00">
                    <w:t xml:space="preserve"> </w:t>
                  </w:r>
                  <w:r w:rsidR="00A4736C" w:rsidRPr="00773A00">
                    <w:t>0.8</w:t>
                  </w:r>
                  <w:bookmarkEnd w:id="52"/>
                </w:p>
              </w:tc>
              <w:tc>
                <w:tcPr>
                  <w:tcW w:w="387" w:type="pct"/>
                  <w:gridSpan w:val="3"/>
                  <w:vAlign w:val="center"/>
                </w:tcPr>
                <w:p w:rsidR="00A4736C" w:rsidRPr="00773A00" w:rsidRDefault="002D438E" w:rsidP="00A4736C">
                  <w:pPr>
                    <w:pStyle w:val="TableBodyText"/>
                  </w:pPr>
                  <w:bookmarkStart w:id="53" w:name="RANGE!T15"/>
                  <w:r w:rsidRPr="00773A00">
                    <w:t xml:space="preserve"> </w:t>
                  </w:r>
                  <w:r w:rsidR="00A4736C" w:rsidRPr="00773A00">
                    <w:t>3.1</w:t>
                  </w:r>
                  <w:bookmarkEnd w:id="53"/>
                </w:p>
              </w:tc>
              <w:tc>
                <w:tcPr>
                  <w:tcW w:w="365" w:type="pct"/>
                  <w:gridSpan w:val="2"/>
                  <w:vAlign w:val="center"/>
                </w:tcPr>
                <w:p w:rsidR="00A4736C" w:rsidRPr="00773A00" w:rsidRDefault="002D438E" w:rsidP="00A4736C">
                  <w:pPr>
                    <w:pStyle w:val="TableBodyText"/>
                  </w:pPr>
                  <w:bookmarkStart w:id="54" w:name="RANGE!U15"/>
                  <w:r w:rsidRPr="00773A00">
                    <w:t xml:space="preserve"> </w:t>
                  </w:r>
                  <w:r w:rsidR="00A4736C" w:rsidRPr="00773A00">
                    <w:t>2.1</w:t>
                  </w:r>
                  <w:bookmarkEnd w:id="54"/>
                </w:p>
              </w:tc>
              <w:tc>
                <w:tcPr>
                  <w:tcW w:w="365" w:type="pct"/>
                  <w:gridSpan w:val="2"/>
                  <w:vAlign w:val="center"/>
                </w:tcPr>
                <w:p w:rsidR="00A4736C" w:rsidRPr="00773A00" w:rsidRDefault="002D438E" w:rsidP="00A4736C">
                  <w:pPr>
                    <w:pStyle w:val="TableBodyText"/>
                  </w:pPr>
                  <w:bookmarkStart w:id="55" w:name="RANGE!V15"/>
                  <w:r w:rsidRPr="00773A00">
                    <w:t xml:space="preserve"> </w:t>
                  </w:r>
                  <w:r w:rsidR="00A4736C" w:rsidRPr="00773A00">
                    <w:t>1.4</w:t>
                  </w:r>
                  <w:bookmarkEnd w:id="55"/>
                </w:p>
              </w:tc>
              <w:tc>
                <w:tcPr>
                  <w:tcW w:w="365" w:type="pct"/>
                  <w:vAlign w:val="center"/>
                </w:tcPr>
                <w:p w:rsidR="00A4736C" w:rsidRPr="00773A00" w:rsidRDefault="002D438E" w:rsidP="00A4736C">
                  <w:pPr>
                    <w:pStyle w:val="TableBodyText"/>
                  </w:pPr>
                  <w:bookmarkStart w:id="56" w:name="RANGE!W15"/>
                  <w:r w:rsidRPr="00773A00">
                    <w:t xml:space="preserve"> </w:t>
                  </w:r>
                  <w:r w:rsidR="00A4736C" w:rsidRPr="00773A00">
                    <w:t>4.6</w:t>
                  </w:r>
                  <w:bookmarkEnd w:id="56"/>
                </w:p>
              </w:tc>
              <w:tc>
                <w:tcPr>
                  <w:tcW w:w="368" w:type="pct"/>
                  <w:vAlign w:val="center"/>
                </w:tcPr>
                <w:p w:rsidR="00A4736C" w:rsidRPr="00773A00" w:rsidRDefault="002D438E" w:rsidP="00A4736C">
                  <w:pPr>
                    <w:pStyle w:val="TableBodyText"/>
                  </w:pPr>
                  <w:bookmarkStart w:id="57" w:name="RANGE!X15"/>
                  <w:r w:rsidRPr="00773A00">
                    <w:t xml:space="preserve"> </w:t>
                  </w:r>
                  <w:r w:rsidR="00A4736C" w:rsidRPr="00773A00">
                    <w:t>1.1</w:t>
                  </w:r>
                  <w:bookmarkEnd w:id="57"/>
                </w:p>
              </w:tc>
              <w:tc>
                <w:tcPr>
                  <w:tcW w:w="368" w:type="pct"/>
                  <w:vAlign w:val="center"/>
                </w:tcPr>
                <w:p w:rsidR="00A4736C" w:rsidRPr="00773A00" w:rsidRDefault="002D438E" w:rsidP="00A4736C">
                  <w:pPr>
                    <w:pStyle w:val="TableBodyText"/>
                  </w:pPr>
                  <w:bookmarkStart w:id="58" w:name="RANGE!Y15"/>
                  <w:r w:rsidRPr="00773A00">
                    <w:t xml:space="preserve"> </w:t>
                  </w:r>
                  <w:r w:rsidR="00A4736C" w:rsidRPr="00773A00">
                    <w:t>7.7</w:t>
                  </w:r>
                  <w:bookmarkEnd w:id="58"/>
                </w:p>
              </w:tc>
              <w:tc>
                <w:tcPr>
                  <w:tcW w:w="362" w:type="pct"/>
                  <w:vAlign w:val="center"/>
                </w:tcPr>
                <w:p w:rsidR="00A4736C" w:rsidRPr="00773A00" w:rsidRDefault="002D438E" w:rsidP="00A4736C">
                  <w:pPr>
                    <w:pStyle w:val="TableBodyText"/>
                  </w:pPr>
                  <w:bookmarkStart w:id="59" w:name="RANGE!Z15"/>
                  <w:r w:rsidRPr="00773A00">
                    <w:t xml:space="preserve"> </w:t>
                  </w:r>
                  <w:r w:rsidR="00A4736C" w:rsidRPr="00773A00">
                    <w:t>2.1</w:t>
                  </w:r>
                  <w:bookmarkEnd w:id="59"/>
                </w:p>
              </w:tc>
            </w:tr>
            <w:tr w:rsidR="00A4736C" w:rsidRPr="00773A00" w:rsidTr="00D62F97">
              <w:tc>
                <w:tcPr>
                  <w:tcW w:w="1611" w:type="pct"/>
                </w:tcPr>
                <w:p w:rsidR="00A4736C" w:rsidRPr="00773A00" w:rsidRDefault="00A4736C" w:rsidP="00A559CF">
                  <w:pPr>
                    <w:pStyle w:val="TableBodyText"/>
                    <w:ind w:left="0" w:firstLine="142"/>
                    <w:jc w:val="left"/>
                  </w:pPr>
                  <w:r w:rsidRPr="00773A00">
                    <w:t>In the community, 2014</w:t>
                  </w:r>
                </w:p>
              </w:tc>
              <w:tc>
                <w:tcPr>
                  <w:tcW w:w="402" w:type="pct"/>
                  <w:vAlign w:val="center"/>
                </w:tcPr>
                <w:p w:rsidR="00A4736C" w:rsidRPr="00773A00" w:rsidRDefault="00A4736C" w:rsidP="00682493">
                  <w:pPr>
                    <w:pStyle w:val="TableBodyText"/>
                  </w:pPr>
                  <w:r w:rsidRPr="00773A00">
                    <w:t>5.4</w:t>
                  </w:r>
                </w:p>
              </w:tc>
              <w:tc>
                <w:tcPr>
                  <w:tcW w:w="407" w:type="pct"/>
                  <w:vAlign w:val="center"/>
                </w:tcPr>
                <w:p w:rsidR="00A4736C" w:rsidRPr="00773A00" w:rsidRDefault="00A4736C" w:rsidP="00682493">
                  <w:pPr>
                    <w:pStyle w:val="TableBodyText"/>
                  </w:pPr>
                  <w:r w:rsidRPr="00773A00">
                    <w:t>1.6</w:t>
                  </w:r>
                </w:p>
              </w:tc>
              <w:tc>
                <w:tcPr>
                  <w:tcW w:w="387" w:type="pct"/>
                  <w:gridSpan w:val="3"/>
                  <w:vAlign w:val="center"/>
                </w:tcPr>
                <w:p w:rsidR="00A4736C" w:rsidRPr="00773A00" w:rsidRDefault="00A4736C" w:rsidP="00682493">
                  <w:pPr>
                    <w:pStyle w:val="TableBodyText"/>
                  </w:pPr>
                  <w:r w:rsidRPr="00773A00">
                    <w:t>7.9</w:t>
                  </w:r>
                </w:p>
              </w:tc>
              <w:tc>
                <w:tcPr>
                  <w:tcW w:w="365" w:type="pct"/>
                  <w:gridSpan w:val="2"/>
                  <w:vAlign w:val="center"/>
                </w:tcPr>
                <w:p w:rsidR="00A4736C" w:rsidRPr="00773A00" w:rsidRDefault="00A4736C" w:rsidP="00682493">
                  <w:pPr>
                    <w:pStyle w:val="TableBodyText"/>
                  </w:pPr>
                  <w:r w:rsidRPr="00773A00">
                    <w:t>6.3</w:t>
                  </w:r>
                </w:p>
              </w:tc>
              <w:tc>
                <w:tcPr>
                  <w:tcW w:w="365" w:type="pct"/>
                  <w:gridSpan w:val="2"/>
                  <w:vAlign w:val="center"/>
                </w:tcPr>
                <w:p w:rsidR="00A4736C" w:rsidRPr="00773A00" w:rsidRDefault="00A4736C" w:rsidP="00682493">
                  <w:pPr>
                    <w:pStyle w:val="TableBodyText"/>
                  </w:pPr>
                  <w:r w:rsidRPr="00773A00">
                    <w:t>4.5</w:t>
                  </w:r>
                </w:p>
              </w:tc>
              <w:tc>
                <w:tcPr>
                  <w:tcW w:w="365" w:type="pct"/>
                  <w:vAlign w:val="center"/>
                </w:tcPr>
                <w:p w:rsidR="00A4736C" w:rsidRPr="00773A00" w:rsidRDefault="00A4736C" w:rsidP="00682493">
                  <w:pPr>
                    <w:pStyle w:val="TableBodyText"/>
                  </w:pPr>
                  <w:r w:rsidRPr="00773A00">
                    <w:t>9.4</w:t>
                  </w:r>
                </w:p>
              </w:tc>
              <w:tc>
                <w:tcPr>
                  <w:tcW w:w="368" w:type="pct"/>
                  <w:vAlign w:val="center"/>
                </w:tcPr>
                <w:p w:rsidR="00A4736C" w:rsidRPr="00773A00" w:rsidRDefault="00A4736C" w:rsidP="00682493">
                  <w:pPr>
                    <w:pStyle w:val="TableBodyText"/>
                  </w:pPr>
                  <w:r w:rsidRPr="00773A00">
                    <w:t>2.8</w:t>
                  </w:r>
                </w:p>
              </w:tc>
              <w:tc>
                <w:tcPr>
                  <w:tcW w:w="368" w:type="pct"/>
                  <w:vAlign w:val="center"/>
                </w:tcPr>
                <w:p w:rsidR="00A4736C" w:rsidRPr="00773A00" w:rsidRDefault="00A4736C" w:rsidP="00682493">
                  <w:pPr>
                    <w:pStyle w:val="TableBodyText"/>
                  </w:pPr>
                  <w:r w:rsidRPr="00773A00">
                    <w:t>41.4</w:t>
                  </w:r>
                </w:p>
              </w:tc>
              <w:tc>
                <w:tcPr>
                  <w:tcW w:w="362" w:type="pct"/>
                  <w:vAlign w:val="center"/>
                </w:tcPr>
                <w:p w:rsidR="00A4736C" w:rsidRPr="00773A00" w:rsidRDefault="00A4736C" w:rsidP="00682493">
                  <w:pPr>
                    <w:pStyle w:val="TableBodyText"/>
                  </w:pPr>
                  <w:r w:rsidRPr="00773A00">
                    <w:t>5.5</w:t>
                  </w:r>
                </w:p>
              </w:tc>
            </w:tr>
            <w:tr w:rsidR="00A4736C" w:rsidRPr="00773A00" w:rsidTr="00A559CF">
              <w:tc>
                <w:tcPr>
                  <w:tcW w:w="5000" w:type="pct"/>
                  <w:gridSpan w:val="14"/>
                </w:tcPr>
                <w:p w:rsidR="00A4736C" w:rsidRPr="00773A00" w:rsidRDefault="00A4736C" w:rsidP="00A559CF">
                  <w:pPr>
                    <w:pStyle w:val="TableBodyText"/>
                    <w:jc w:val="left"/>
                    <w:rPr>
                      <w:i/>
                    </w:rPr>
                  </w:pPr>
                  <w:r w:rsidRPr="00773A00">
                    <w:rPr>
                      <w:i/>
                    </w:rPr>
                    <w:t>Children from low income families</w:t>
                  </w:r>
                </w:p>
              </w:tc>
            </w:tr>
            <w:tr w:rsidR="00A4736C" w:rsidRPr="00773A00" w:rsidTr="00D62F97">
              <w:trPr>
                <w:trHeight w:val="246"/>
              </w:trPr>
              <w:tc>
                <w:tcPr>
                  <w:tcW w:w="1611" w:type="pct"/>
                </w:tcPr>
                <w:p w:rsidR="00A4736C" w:rsidRPr="00773A00" w:rsidRDefault="00A4736C" w:rsidP="00A559CF">
                  <w:pPr>
                    <w:pStyle w:val="TableBodyText"/>
                    <w:ind w:left="0" w:firstLine="142"/>
                    <w:jc w:val="left"/>
                  </w:pPr>
                  <w:r w:rsidRPr="00773A00">
                    <w:t>In child care services, 2015</w:t>
                  </w:r>
                </w:p>
              </w:tc>
              <w:tc>
                <w:tcPr>
                  <w:tcW w:w="402" w:type="pct"/>
                  <w:vAlign w:val="center"/>
                </w:tcPr>
                <w:p w:rsidR="00A4736C" w:rsidRPr="00773A00" w:rsidRDefault="002D438E" w:rsidP="00A4736C">
                  <w:pPr>
                    <w:pStyle w:val="TableBodyText"/>
                  </w:pPr>
                  <w:bookmarkStart w:id="60" w:name="RANGE!R23"/>
                  <w:r w:rsidRPr="00773A00">
                    <w:t xml:space="preserve"> </w:t>
                  </w:r>
                  <w:r w:rsidR="00A4736C" w:rsidRPr="00773A00">
                    <w:t>23.7</w:t>
                  </w:r>
                  <w:bookmarkEnd w:id="60"/>
                </w:p>
              </w:tc>
              <w:tc>
                <w:tcPr>
                  <w:tcW w:w="407" w:type="pct"/>
                  <w:vAlign w:val="center"/>
                </w:tcPr>
                <w:p w:rsidR="00A4736C" w:rsidRPr="00773A00" w:rsidRDefault="002D438E" w:rsidP="00A4736C">
                  <w:pPr>
                    <w:pStyle w:val="TableBodyText"/>
                  </w:pPr>
                  <w:bookmarkStart w:id="61" w:name="RANGE!S23"/>
                  <w:r w:rsidRPr="00773A00">
                    <w:t xml:space="preserve"> </w:t>
                  </w:r>
                  <w:r w:rsidR="00A4736C" w:rsidRPr="00773A00">
                    <w:t>27.0</w:t>
                  </w:r>
                  <w:bookmarkEnd w:id="61"/>
                </w:p>
              </w:tc>
              <w:tc>
                <w:tcPr>
                  <w:tcW w:w="376" w:type="pct"/>
                  <w:gridSpan w:val="2"/>
                  <w:vAlign w:val="center"/>
                </w:tcPr>
                <w:p w:rsidR="00A4736C" w:rsidRPr="00773A00" w:rsidRDefault="002D438E" w:rsidP="00A4736C">
                  <w:pPr>
                    <w:pStyle w:val="TableBodyText"/>
                  </w:pPr>
                  <w:r w:rsidRPr="00773A00">
                    <w:t xml:space="preserve"> </w:t>
                  </w:r>
                  <w:r w:rsidR="00A4736C" w:rsidRPr="00773A00">
                    <w:t>24.8</w:t>
                  </w:r>
                </w:p>
              </w:tc>
              <w:tc>
                <w:tcPr>
                  <w:tcW w:w="368" w:type="pct"/>
                  <w:gridSpan w:val="2"/>
                  <w:vAlign w:val="center"/>
                </w:tcPr>
                <w:p w:rsidR="00A4736C" w:rsidRPr="00773A00" w:rsidRDefault="002D438E" w:rsidP="00A4736C">
                  <w:pPr>
                    <w:pStyle w:val="TableBodyText"/>
                  </w:pPr>
                  <w:r w:rsidRPr="00773A00">
                    <w:t xml:space="preserve"> </w:t>
                  </w:r>
                  <w:r w:rsidR="00A4736C" w:rsidRPr="00773A00">
                    <w:t>21.2</w:t>
                  </w:r>
                </w:p>
              </w:tc>
              <w:tc>
                <w:tcPr>
                  <w:tcW w:w="367" w:type="pct"/>
                  <w:gridSpan w:val="2"/>
                  <w:vAlign w:val="center"/>
                </w:tcPr>
                <w:p w:rsidR="00A4736C" w:rsidRPr="00773A00" w:rsidRDefault="002D438E" w:rsidP="00A4736C">
                  <w:pPr>
                    <w:pStyle w:val="TableBodyText"/>
                  </w:pPr>
                  <w:r w:rsidRPr="00773A00">
                    <w:t xml:space="preserve"> </w:t>
                  </w:r>
                  <w:r w:rsidR="00A4736C" w:rsidRPr="00773A00">
                    <w:t>22.4</w:t>
                  </w:r>
                </w:p>
              </w:tc>
              <w:tc>
                <w:tcPr>
                  <w:tcW w:w="371" w:type="pct"/>
                  <w:gridSpan w:val="2"/>
                  <w:vAlign w:val="center"/>
                </w:tcPr>
                <w:p w:rsidR="00A4736C" w:rsidRPr="00773A00" w:rsidRDefault="002D438E" w:rsidP="00A4736C">
                  <w:pPr>
                    <w:pStyle w:val="TableBodyText"/>
                  </w:pPr>
                  <w:r w:rsidRPr="00773A00">
                    <w:t xml:space="preserve"> </w:t>
                  </w:r>
                  <w:r w:rsidR="00A4736C" w:rsidRPr="00773A00">
                    <w:t>25.1</w:t>
                  </w:r>
                </w:p>
              </w:tc>
              <w:tc>
                <w:tcPr>
                  <w:tcW w:w="368" w:type="pct"/>
                  <w:vAlign w:val="center"/>
                </w:tcPr>
                <w:p w:rsidR="00A4736C" w:rsidRPr="00773A00" w:rsidRDefault="002D438E" w:rsidP="00A4736C">
                  <w:pPr>
                    <w:pStyle w:val="TableBodyText"/>
                  </w:pPr>
                  <w:r w:rsidRPr="00773A00">
                    <w:t xml:space="preserve"> </w:t>
                  </w:r>
                  <w:r w:rsidR="00A4736C" w:rsidRPr="00773A00">
                    <w:t>11.2</w:t>
                  </w:r>
                </w:p>
              </w:tc>
              <w:tc>
                <w:tcPr>
                  <w:tcW w:w="368" w:type="pct"/>
                  <w:vAlign w:val="center"/>
                </w:tcPr>
                <w:p w:rsidR="00A4736C" w:rsidRPr="00773A00" w:rsidRDefault="002D438E" w:rsidP="00A4736C">
                  <w:pPr>
                    <w:pStyle w:val="TableBodyText"/>
                  </w:pPr>
                  <w:r w:rsidRPr="00773A00">
                    <w:t xml:space="preserve"> </w:t>
                  </w:r>
                  <w:r w:rsidR="00A4736C" w:rsidRPr="00773A00">
                    <w:t>13.5</w:t>
                  </w:r>
                </w:p>
              </w:tc>
              <w:tc>
                <w:tcPr>
                  <w:tcW w:w="362" w:type="pct"/>
                  <w:vAlign w:val="center"/>
                </w:tcPr>
                <w:p w:rsidR="00A4736C" w:rsidRPr="00773A00" w:rsidRDefault="002D438E" w:rsidP="00A4736C">
                  <w:pPr>
                    <w:pStyle w:val="TableBodyText"/>
                  </w:pPr>
                  <w:r w:rsidRPr="00773A00">
                    <w:t xml:space="preserve"> </w:t>
                  </w:r>
                  <w:r w:rsidR="00A4736C" w:rsidRPr="00773A00">
                    <w:t>24.0</w:t>
                  </w:r>
                </w:p>
              </w:tc>
            </w:tr>
            <w:tr w:rsidR="00A4736C" w:rsidRPr="00773A00" w:rsidTr="005D091A">
              <w:tc>
                <w:tcPr>
                  <w:tcW w:w="1611" w:type="pct"/>
                </w:tcPr>
                <w:p w:rsidR="00A4736C" w:rsidRPr="00773A00" w:rsidRDefault="00A4736C" w:rsidP="00A559CF">
                  <w:pPr>
                    <w:pStyle w:val="TableBodyText"/>
                    <w:ind w:left="0" w:firstLine="142"/>
                    <w:jc w:val="left"/>
                  </w:pPr>
                  <w:r w:rsidRPr="00773A00">
                    <w:t>In the community, 2013</w:t>
                  </w:r>
                  <w:r w:rsidRPr="00773A00">
                    <w:noBreakHyphen/>
                    <w:t>14</w:t>
                  </w:r>
                </w:p>
              </w:tc>
              <w:tc>
                <w:tcPr>
                  <w:tcW w:w="402" w:type="pct"/>
                  <w:vAlign w:val="center"/>
                </w:tcPr>
                <w:p w:rsidR="00A4736C" w:rsidRPr="00773A00" w:rsidRDefault="00A4736C" w:rsidP="00C345F8">
                  <w:pPr>
                    <w:pStyle w:val="TableBodyText"/>
                  </w:pPr>
                  <w:r w:rsidRPr="00773A00">
                    <w:t>17.8</w:t>
                  </w:r>
                </w:p>
              </w:tc>
              <w:tc>
                <w:tcPr>
                  <w:tcW w:w="407" w:type="pct"/>
                  <w:vAlign w:val="center"/>
                </w:tcPr>
                <w:p w:rsidR="00A4736C" w:rsidRPr="00773A00" w:rsidRDefault="00A4736C" w:rsidP="00C345F8">
                  <w:pPr>
                    <w:pStyle w:val="TableBodyText"/>
                  </w:pPr>
                  <w:r w:rsidRPr="00773A00">
                    <w:t>17.6</w:t>
                  </w:r>
                </w:p>
              </w:tc>
              <w:tc>
                <w:tcPr>
                  <w:tcW w:w="376" w:type="pct"/>
                  <w:gridSpan w:val="2"/>
                  <w:vAlign w:val="center"/>
                </w:tcPr>
                <w:p w:rsidR="00A4736C" w:rsidRPr="00773A00" w:rsidRDefault="00A4736C" w:rsidP="00C345F8">
                  <w:pPr>
                    <w:pStyle w:val="TableBodyText"/>
                  </w:pPr>
                  <w:r w:rsidRPr="00773A00">
                    <w:t>16.6</w:t>
                  </w:r>
                </w:p>
              </w:tc>
              <w:tc>
                <w:tcPr>
                  <w:tcW w:w="368" w:type="pct"/>
                  <w:gridSpan w:val="2"/>
                  <w:vAlign w:val="center"/>
                </w:tcPr>
                <w:p w:rsidR="00A4736C" w:rsidRPr="00773A00" w:rsidRDefault="00A4736C" w:rsidP="00C345F8">
                  <w:pPr>
                    <w:pStyle w:val="TableBodyText"/>
                  </w:pPr>
                  <w:r w:rsidRPr="00773A00">
                    <w:t>11.9</w:t>
                  </w:r>
                </w:p>
              </w:tc>
              <w:tc>
                <w:tcPr>
                  <w:tcW w:w="367" w:type="pct"/>
                  <w:gridSpan w:val="2"/>
                  <w:vAlign w:val="center"/>
                </w:tcPr>
                <w:p w:rsidR="00A4736C" w:rsidRPr="00773A00" w:rsidRDefault="00A4736C" w:rsidP="00C345F8">
                  <w:pPr>
                    <w:pStyle w:val="TableBodyText"/>
                  </w:pPr>
                  <w:r w:rsidRPr="00773A00">
                    <w:t>18.5</w:t>
                  </w:r>
                </w:p>
              </w:tc>
              <w:tc>
                <w:tcPr>
                  <w:tcW w:w="371" w:type="pct"/>
                  <w:gridSpan w:val="2"/>
                  <w:vAlign w:val="center"/>
                </w:tcPr>
                <w:p w:rsidR="00A4736C" w:rsidRPr="00773A00" w:rsidRDefault="00A4736C" w:rsidP="00C345F8">
                  <w:pPr>
                    <w:pStyle w:val="TableBodyText"/>
                  </w:pPr>
                  <w:r w:rsidRPr="00773A00">
                    <w:t>24.8</w:t>
                  </w:r>
                </w:p>
              </w:tc>
              <w:tc>
                <w:tcPr>
                  <w:tcW w:w="368" w:type="pct"/>
                  <w:vAlign w:val="center"/>
                </w:tcPr>
                <w:p w:rsidR="00A4736C" w:rsidRPr="00773A00" w:rsidRDefault="00A4736C" w:rsidP="00C345F8">
                  <w:pPr>
                    <w:pStyle w:val="TableBodyText"/>
                  </w:pPr>
                  <w:r w:rsidRPr="00773A00">
                    <w:t>6.1</w:t>
                  </w:r>
                </w:p>
              </w:tc>
              <w:tc>
                <w:tcPr>
                  <w:tcW w:w="368" w:type="pct"/>
                  <w:vAlign w:val="center"/>
                </w:tcPr>
                <w:p w:rsidR="00A4736C" w:rsidRPr="00773A00" w:rsidRDefault="00A4736C" w:rsidP="00C345F8">
                  <w:pPr>
                    <w:pStyle w:val="TableBodyText"/>
                  </w:pPr>
                  <w:r w:rsidRPr="00773A00">
                    <w:t>9.0</w:t>
                  </w:r>
                </w:p>
              </w:tc>
              <w:tc>
                <w:tcPr>
                  <w:tcW w:w="362" w:type="pct"/>
                  <w:vAlign w:val="center"/>
                </w:tcPr>
                <w:p w:rsidR="00A4736C" w:rsidRPr="00773A00" w:rsidRDefault="00A4736C" w:rsidP="00C345F8">
                  <w:pPr>
                    <w:pStyle w:val="TableBodyText"/>
                  </w:pPr>
                  <w:r w:rsidRPr="00773A00">
                    <w:t>16.8</w:t>
                  </w:r>
                </w:p>
              </w:tc>
            </w:tr>
            <w:tr w:rsidR="00A4736C" w:rsidRPr="00773A00" w:rsidTr="00A559CF">
              <w:tc>
                <w:tcPr>
                  <w:tcW w:w="5000" w:type="pct"/>
                  <w:gridSpan w:val="14"/>
                </w:tcPr>
                <w:p w:rsidR="00A4736C" w:rsidRPr="00773A00" w:rsidRDefault="00A4736C" w:rsidP="00A559CF">
                  <w:pPr>
                    <w:pStyle w:val="TableBodyText"/>
                    <w:jc w:val="left"/>
                    <w:rPr>
                      <w:i/>
                    </w:rPr>
                  </w:pPr>
                  <w:r w:rsidRPr="00773A00">
                    <w:rPr>
                      <w:i/>
                    </w:rPr>
                    <w:t>Children with disability</w:t>
                  </w:r>
                </w:p>
              </w:tc>
            </w:tr>
            <w:tr w:rsidR="00A4736C" w:rsidRPr="00773A00" w:rsidTr="00D62F97">
              <w:tc>
                <w:tcPr>
                  <w:tcW w:w="1611" w:type="pct"/>
                </w:tcPr>
                <w:p w:rsidR="00A4736C" w:rsidRPr="00773A00" w:rsidRDefault="00A4736C" w:rsidP="00A559CF">
                  <w:pPr>
                    <w:pStyle w:val="TableBodyText"/>
                    <w:ind w:left="0" w:firstLine="142"/>
                    <w:jc w:val="left"/>
                  </w:pPr>
                  <w:r w:rsidRPr="00773A00">
                    <w:t>In child care services, 2013</w:t>
                  </w:r>
                </w:p>
              </w:tc>
              <w:tc>
                <w:tcPr>
                  <w:tcW w:w="402" w:type="pct"/>
                  <w:vAlign w:val="center"/>
                </w:tcPr>
                <w:p w:rsidR="00A4736C" w:rsidRPr="00773A00" w:rsidRDefault="00A4736C" w:rsidP="00A559CF">
                  <w:pPr>
                    <w:pStyle w:val="TableBodyText"/>
                  </w:pPr>
                  <w:r w:rsidRPr="00773A00">
                    <w:t>3.8</w:t>
                  </w:r>
                </w:p>
              </w:tc>
              <w:tc>
                <w:tcPr>
                  <w:tcW w:w="407" w:type="pct"/>
                  <w:vAlign w:val="center"/>
                </w:tcPr>
                <w:p w:rsidR="00A4736C" w:rsidRPr="00773A00" w:rsidRDefault="00A4736C" w:rsidP="00A559CF">
                  <w:pPr>
                    <w:pStyle w:val="TableBodyText"/>
                  </w:pPr>
                  <w:r w:rsidRPr="00773A00">
                    <w:t>2.5</w:t>
                  </w:r>
                </w:p>
              </w:tc>
              <w:tc>
                <w:tcPr>
                  <w:tcW w:w="387" w:type="pct"/>
                  <w:gridSpan w:val="3"/>
                  <w:vAlign w:val="center"/>
                </w:tcPr>
                <w:p w:rsidR="00A4736C" w:rsidRPr="00773A00" w:rsidRDefault="00A4736C" w:rsidP="00A559CF">
                  <w:pPr>
                    <w:pStyle w:val="TableBodyText"/>
                  </w:pPr>
                  <w:r w:rsidRPr="00773A00">
                    <w:t>2.4</w:t>
                  </w:r>
                </w:p>
              </w:tc>
              <w:tc>
                <w:tcPr>
                  <w:tcW w:w="365" w:type="pct"/>
                  <w:gridSpan w:val="2"/>
                  <w:vAlign w:val="center"/>
                </w:tcPr>
                <w:p w:rsidR="00A4736C" w:rsidRPr="00773A00" w:rsidRDefault="00A4736C" w:rsidP="00A559CF">
                  <w:pPr>
                    <w:pStyle w:val="TableBodyText"/>
                  </w:pPr>
                  <w:r w:rsidRPr="00773A00">
                    <w:t>2.1</w:t>
                  </w:r>
                </w:p>
              </w:tc>
              <w:tc>
                <w:tcPr>
                  <w:tcW w:w="365" w:type="pct"/>
                  <w:gridSpan w:val="2"/>
                  <w:vAlign w:val="center"/>
                </w:tcPr>
                <w:p w:rsidR="00A4736C" w:rsidRPr="00773A00" w:rsidRDefault="00A4736C" w:rsidP="00A559CF">
                  <w:pPr>
                    <w:pStyle w:val="TableBodyText"/>
                  </w:pPr>
                  <w:r w:rsidRPr="00773A00">
                    <w:t>4.2</w:t>
                  </w:r>
                </w:p>
              </w:tc>
              <w:tc>
                <w:tcPr>
                  <w:tcW w:w="365" w:type="pct"/>
                  <w:vAlign w:val="center"/>
                </w:tcPr>
                <w:p w:rsidR="00A4736C" w:rsidRPr="00773A00" w:rsidRDefault="00A4736C" w:rsidP="00A559CF">
                  <w:pPr>
                    <w:pStyle w:val="TableBodyText"/>
                  </w:pPr>
                  <w:r w:rsidRPr="00773A00">
                    <w:t>2.4</w:t>
                  </w:r>
                </w:p>
              </w:tc>
              <w:tc>
                <w:tcPr>
                  <w:tcW w:w="368" w:type="pct"/>
                  <w:vAlign w:val="center"/>
                </w:tcPr>
                <w:p w:rsidR="00A4736C" w:rsidRPr="00773A00" w:rsidRDefault="00A4736C" w:rsidP="00A559CF">
                  <w:pPr>
                    <w:pStyle w:val="TableBodyText"/>
                  </w:pPr>
                  <w:r w:rsidRPr="00773A00">
                    <w:t>2.8</w:t>
                  </w:r>
                </w:p>
              </w:tc>
              <w:tc>
                <w:tcPr>
                  <w:tcW w:w="368" w:type="pct"/>
                  <w:vAlign w:val="center"/>
                </w:tcPr>
                <w:p w:rsidR="00A4736C" w:rsidRPr="00773A00" w:rsidRDefault="00A4736C" w:rsidP="00A559CF">
                  <w:pPr>
                    <w:pStyle w:val="TableBodyText"/>
                  </w:pPr>
                  <w:r w:rsidRPr="00773A00">
                    <w:t>4.7</w:t>
                  </w:r>
                </w:p>
              </w:tc>
              <w:tc>
                <w:tcPr>
                  <w:tcW w:w="362" w:type="pct"/>
                  <w:vAlign w:val="center"/>
                </w:tcPr>
                <w:p w:rsidR="00A4736C" w:rsidRPr="00773A00" w:rsidRDefault="00A4736C" w:rsidP="00921E71">
                  <w:pPr>
                    <w:pStyle w:val="TableBodyText"/>
                  </w:pPr>
                  <w:r w:rsidRPr="00773A00">
                    <w:t>3.0</w:t>
                  </w:r>
                </w:p>
              </w:tc>
            </w:tr>
            <w:tr w:rsidR="00A4736C" w:rsidRPr="00773A00" w:rsidTr="00D62F97">
              <w:tc>
                <w:tcPr>
                  <w:tcW w:w="1611" w:type="pct"/>
                </w:tcPr>
                <w:p w:rsidR="00A4736C" w:rsidRPr="00773A00" w:rsidRDefault="00A4736C" w:rsidP="00A559CF">
                  <w:pPr>
                    <w:pStyle w:val="TableBodyText"/>
                    <w:ind w:left="0" w:firstLine="142"/>
                    <w:jc w:val="left"/>
                  </w:pPr>
                  <w:r w:rsidRPr="00773A00">
                    <w:t>In the community, 2012</w:t>
                  </w:r>
                </w:p>
              </w:tc>
              <w:tc>
                <w:tcPr>
                  <w:tcW w:w="402" w:type="pct"/>
                  <w:vAlign w:val="center"/>
                </w:tcPr>
                <w:p w:rsidR="00A4736C" w:rsidRPr="00773A00" w:rsidRDefault="00A4736C" w:rsidP="00921E71">
                  <w:pPr>
                    <w:pStyle w:val="TableBodyText"/>
                  </w:pPr>
                  <w:r w:rsidRPr="00773A00">
                    <w:t>6.8</w:t>
                  </w:r>
                </w:p>
              </w:tc>
              <w:tc>
                <w:tcPr>
                  <w:tcW w:w="407" w:type="pct"/>
                  <w:vAlign w:val="center"/>
                </w:tcPr>
                <w:p w:rsidR="00A4736C" w:rsidRPr="00773A00" w:rsidRDefault="00A4736C" w:rsidP="00921E71">
                  <w:pPr>
                    <w:pStyle w:val="TableBodyText"/>
                  </w:pPr>
                  <w:r w:rsidRPr="00773A00">
                    <w:t>6.3</w:t>
                  </w:r>
                </w:p>
              </w:tc>
              <w:tc>
                <w:tcPr>
                  <w:tcW w:w="387" w:type="pct"/>
                  <w:gridSpan w:val="3"/>
                  <w:vAlign w:val="center"/>
                </w:tcPr>
                <w:p w:rsidR="00A4736C" w:rsidRPr="00773A00" w:rsidRDefault="00A4736C" w:rsidP="00921E71">
                  <w:pPr>
                    <w:pStyle w:val="TableBodyText"/>
                  </w:pPr>
                  <w:r w:rsidRPr="00773A00">
                    <w:t>6.4</w:t>
                  </w:r>
                </w:p>
              </w:tc>
              <w:tc>
                <w:tcPr>
                  <w:tcW w:w="365" w:type="pct"/>
                  <w:gridSpan w:val="2"/>
                  <w:vAlign w:val="center"/>
                </w:tcPr>
                <w:p w:rsidR="00A4736C" w:rsidRPr="00773A00" w:rsidRDefault="00A4736C" w:rsidP="00921E71">
                  <w:pPr>
                    <w:pStyle w:val="TableBodyText"/>
                  </w:pPr>
                  <w:r w:rsidRPr="00773A00">
                    <w:t>7.4</w:t>
                  </w:r>
                </w:p>
              </w:tc>
              <w:tc>
                <w:tcPr>
                  <w:tcW w:w="365" w:type="pct"/>
                  <w:gridSpan w:val="2"/>
                  <w:vAlign w:val="center"/>
                </w:tcPr>
                <w:p w:rsidR="00A4736C" w:rsidRPr="00773A00" w:rsidRDefault="00A4736C" w:rsidP="00921E71">
                  <w:pPr>
                    <w:pStyle w:val="TableBodyText"/>
                  </w:pPr>
                  <w:r w:rsidRPr="00773A00">
                    <w:t>6.7</w:t>
                  </w:r>
                </w:p>
              </w:tc>
              <w:tc>
                <w:tcPr>
                  <w:tcW w:w="365" w:type="pct"/>
                  <w:vAlign w:val="center"/>
                </w:tcPr>
                <w:p w:rsidR="00A4736C" w:rsidRPr="00773A00" w:rsidRDefault="00A4736C" w:rsidP="00921E71">
                  <w:pPr>
                    <w:pStyle w:val="TableBodyText"/>
                  </w:pPr>
                  <w:r w:rsidRPr="00773A00">
                    <w:t>9.3</w:t>
                  </w:r>
                </w:p>
              </w:tc>
              <w:tc>
                <w:tcPr>
                  <w:tcW w:w="368" w:type="pct"/>
                  <w:vAlign w:val="center"/>
                </w:tcPr>
                <w:p w:rsidR="00A4736C" w:rsidRPr="00773A00" w:rsidRDefault="00A4736C" w:rsidP="00921E71">
                  <w:pPr>
                    <w:pStyle w:val="TableBodyText"/>
                  </w:pPr>
                  <w:r w:rsidRPr="00773A00">
                    <w:t>7.0</w:t>
                  </w:r>
                </w:p>
              </w:tc>
              <w:tc>
                <w:tcPr>
                  <w:tcW w:w="368" w:type="pct"/>
                  <w:vAlign w:val="center"/>
                </w:tcPr>
                <w:p w:rsidR="00A4736C" w:rsidRPr="00773A00" w:rsidRDefault="00A4736C" w:rsidP="00921E71">
                  <w:pPr>
                    <w:pStyle w:val="TableBodyText"/>
                  </w:pPr>
                  <w:r w:rsidRPr="00773A00">
                    <w:t>4.0</w:t>
                  </w:r>
                </w:p>
              </w:tc>
              <w:tc>
                <w:tcPr>
                  <w:tcW w:w="362" w:type="pct"/>
                  <w:vAlign w:val="center"/>
                </w:tcPr>
                <w:p w:rsidR="00A4736C" w:rsidRPr="00773A00" w:rsidRDefault="00A4736C" w:rsidP="00921E71">
                  <w:pPr>
                    <w:pStyle w:val="TableBodyText"/>
                  </w:pPr>
                  <w:r w:rsidRPr="00773A00">
                    <w:t>6.7</w:t>
                  </w:r>
                </w:p>
              </w:tc>
            </w:tr>
            <w:tr w:rsidR="00A4736C" w:rsidRPr="00773A00" w:rsidTr="00A559CF">
              <w:tc>
                <w:tcPr>
                  <w:tcW w:w="5000" w:type="pct"/>
                  <w:gridSpan w:val="14"/>
                </w:tcPr>
                <w:p w:rsidR="00A4736C" w:rsidRPr="00773A00" w:rsidRDefault="00A4736C" w:rsidP="00A559CF">
                  <w:pPr>
                    <w:pStyle w:val="TableBodyText"/>
                    <w:jc w:val="left"/>
                    <w:rPr>
                      <w:i/>
                    </w:rPr>
                  </w:pPr>
                  <w:r w:rsidRPr="00773A00">
                    <w:rPr>
                      <w:i/>
                    </w:rPr>
                    <w:t>Children from regional areas</w:t>
                  </w:r>
                </w:p>
              </w:tc>
            </w:tr>
            <w:tr w:rsidR="00A4736C" w:rsidRPr="00773A00" w:rsidTr="00D62F97">
              <w:tc>
                <w:tcPr>
                  <w:tcW w:w="1611" w:type="pct"/>
                </w:tcPr>
                <w:p w:rsidR="00A4736C" w:rsidRPr="00773A00" w:rsidRDefault="00A4736C" w:rsidP="00A559CF">
                  <w:pPr>
                    <w:pStyle w:val="TableBodyText"/>
                    <w:ind w:left="0" w:firstLine="142"/>
                    <w:jc w:val="left"/>
                  </w:pPr>
                  <w:r w:rsidRPr="00773A00">
                    <w:t>In child care services, 2015</w:t>
                  </w:r>
                </w:p>
              </w:tc>
              <w:tc>
                <w:tcPr>
                  <w:tcW w:w="402" w:type="pct"/>
                  <w:vAlign w:val="center"/>
                </w:tcPr>
                <w:p w:rsidR="00A4736C" w:rsidRPr="00773A00" w:rsidRDefault="00A4736C" w:rsidP="00A4736C">
                  <w:pPr>
                    <w:pStyle w:val="TableBodyText"/>
                  </w:pPr>
                  <w:r w:rsidRPr="00773A00">
                    <w:t>19.6</w:t>
                  </w:r>
                </w:p>
              </w:tc>
              <w:tc>
                <w:tcPr>
                  <w:tcW w:w="407" w:type="pct"/>
                  <w:vAlign w:val="center"/>
                </w:tcPr>
                <w:p w:rsidR="00A4736C" w:rsidRPr="00773A00" w:rsidRDefault="00A4736C" w:rsidP="00A4736C">
                  <w:pPr>
                    <w:pStyle w:val="TableBodyText"/>
                  </w:pPr>
                  <w:r w:rsidRPr="00773A00">
                    <w:t>16.7</w:t>
                  </w:r>
                </w:p>
              </w:tc>
              <w:tc>
                <w:tcPr>
                  <w:tcW w:w="387" w:type="pct"/>
                  <w:gridSpan w:val="3"/>
                  <w:vAlign w:val="center"/>
                </w:tcPr>
                <w:p w:rsidR="00A4736C" w:rsidRPr="00773A00" w:rsidRDefault="00A4736C" w:rsidP="00A4736C">
                  <w:pPr>
                    <w:pStyle w:val="TableBodyText"/>
                  </w:pPr>
                  <w:r w:rsidRPr="00773A00">
                    <w:t>28.6</w:t>
                  </w:r>
                </w:p>
              </w:tc>
              <w:tc>
                <w:tcPr>
                  <w:tcW w:w="365" w:type="pct"/>
                  <w:gridSpan w:val="2"/>
                  <w:vAlign w:val="center"/>
                </w:tcPr>
                <w:p w:rsidR="00A4736C" w:rsidRPr="00773A00" w:rsidRDefault="00A4736C" w:rsidP="00A4736C">
                  <w:pPr>
                    <w:pStyle w:val="TableBodyText"/>
                  </w:pPr>
                  <w:r w:rsidRPr="00773A00">
                    <w:t>13.7</w:t>
                  </w:r>
                </w:p>
              </w:tc>
              <w:tc>
                <w:tcPr>
                  <w:tcW w:w="365" w:type="pct"/>
                  <w:gridSpan w:val="2"/>
                  <w:vAlign w:val="center"/>
                </w:tcPr>
                <w:p w:rsidR="00A4736C" w:rsidRPr="00773A00" w:rsidRDefault="00A4736C" w:rsidP="00A4736C">
                  <w:pPr>
                    <w:pStyle w:val="TableBodyText"/>
                  </w:pPr>
                  <w:r w:rsidRPr="00773A00">
                    <w:t>16.8</w:t>
                  </w:r>
                </w:p>
              </w:tc>
              <w:tc>
                <w:tcPr>
                  <w:tcW w:w="365" w:type="pct"/>
                  <w:vAlign w:val="center"/>
                </w:tcPr>
                <w:p w:rsidR="00A4736C" w:rsidRPr="00773A00" w:rsidRDefault="00A4736C" w:rsidP="00A4736C">
                  <w:pPr>
                    <w:pStyle w:val="TableBodyText"/>
                  </w:pPr>
                  <w:r w:rsidRPr="00773A00">
                    <w:t>100.5</w:t>
                  </w:r>
                </w:p>
              </w:tc>
              <w:tc>
                <w:tcPr>
                  <w:tcW w:w="368" w:type="pct"/>
                  <w:vAlign w:val="center"/>
                </w:tcPr>
                <w:p w:rsidR="00A4736C" w:rsidRPr="00773A00" w:rsidRDefault="00BA3526" w:rsidP="00A4736C">
                  <w:pPr>
                    <w:pStyle w:val="TableBodyText"/>
                  </w:pPr>
                  <w:r w:rsidRPr="00773A00">
                    <w:t>0.3</w:t>
                  </w:r>
                </w:p>
              </w:tc>
              <w:tc>
                <w:tcPr>
                  <w:tcW w:w="368" w:type="pct"/>
                  <w:vAlign w:val="center"/>
                </w:tcPr>
                <w:p w:rsidR="00A4736C" w:rsidRPr="00773A00" w:rsidRDefault="00A4736C" w:rsidP="00A4736C">
                  <w:pPr>
                    <w:pStyle w:val="TableBodyText"/>
                  </w:pPr>
                  <w:r w:rsidRPr="00773A00">
                    <w:t>81.1</w:t>
                  </w:r>
                </w:p>
              </w:tc>
              <w:tc>
                <w:tcPr>
                  <w:tcW w:w="362" w:type="pct"/>
                  <w:vAlign w:val="center"/>
                </w:tcPr>
                <w:p w:rsidR="00A4736C" w:rsidRPr="00773A00" w:rsidRDefault="00A4736C" w:rsidP="00A4736C">
                  <w:pPr>
                    <w:pStyle w:val="TableBodyText"/>
                  </w:pPr>
                  <w:r w:rsidRPr="00773A00">
                    <w:t>22.0</w:t>
                  </w:r>
                </w:p>
              </w:tc>
            </w:tr>
            <w:tr w:rsidR="00135858" w:rsidRPr="00773A00" w:rsidTr="00D62F97">
              <w:tc>
                <w:tcPr>
                  <w:tcW w:w="1611" w:type="pct"/>
                </w:tcPr>
                <w:p w:rsidR="00135858" w:rsidRPr="00773A00" w:rsidRDefault="00135858" w:rsidP="00A559CF">
                  <w:pPr>
                    <w:pStyle w:val="TableBodyText"/>
                    <w:ind w:left="0" w:firstLine="142"/>
                    <w:jc w:val="left"/>
                  </w:pPr>
                  <w:r w:rsidRPr="00773A00">
                    <w:t>In the community, 2014</w:t>
                  </w:r>
                </w:p>
              </w:tc>
              <w:tc>
                <w:tcPr>
                  <w:tcW w:w="402" w:type="pct"/>
                  <w:vAlign w:val="center"/>
                </w:tcPr>
                <w:p w:rsidR="00135858" w:rsidRPr="00773A00" w:rsidRDefault="00135858" w:rsidP="00135858">
                  <w:pPr>
                    <w:pStyle w:val="TableBodyText"/>
                  </w:pPr>
                  <w:r w:rsidRPr="00773A00">
                    <w:t>25.2</w:t>
                  </w:r>
                </w:p>
              </w:tc>
              <w:tc>
                <w:tcPr>
                  <w:tcW w:w="407" w:type="pct"/>
                  <w:tcBorders>
                    <w:left w:val="nil"/>
                  </w:tcBorders>
                  <w:vAlign w:val="center"/>
                </w:tcPr>
                <w:p w:rsidR="00135858" w:rsidRPr="00773A00" w:rsidRDefault="00135858" w:rsidP="00135858">
                  <w:pPr>
                    <w:pStyle w:val="TableBodyText"/>
                  </w:pPr>
                  <w:r w:rsidRPr="00773A00">
                    <w:t>23.7</w:t>
                  </w:r>
                </w:p>
              </w:tc>
              <w:tc>
                <w:tcPr>
                  <w:tcW w:w="387" w:type="pct"/>
                  <w:gridSpan w:val="3"/>
                  <w:tcBorders>
                    <w:left w:val="nil"/>
                  </w:tcBorders>
                  <w:vAlign w:val="center"/>
                </w:tcPr>
                <w:p w:rsidR="00135858" w:rsidRPr="00773A00" w:rsidRDefault="00135858" w:rsidP="00135858">
                  <w:pPr>
                    <w:pStyle w:val="TableBodyText"/>
                  </w:pPr>
                  <w:r w:rsidRPr="00773A00">
                    <w:t>35.9</w:t>
                  </w:r>
                </w:p>
              </w:tc>
              <w:tc>
                <w:tcPr>
                  <w:tcW w:w="365" w:type="pct"/>
                  <w:gridSpan w:val="2"/>
                  <w:tcBorders>
                    <w:left w:val="nil"/>
                  </w:tcBorders>
                  <w:vAlign w:val="center"/>
                </w:tcPr>
                <w:p w:rsidR="00135858" w:rsidRPr="00773A00" w:rsidRDefault="00135858" w:rsidP="00135858">
                  <w:pPr>
                    <w:pStyle w:val="TableBodyText"/>
                  </w:pPr>
                  <w:r w:rsidRPr="00773A00">
                    <w:t>17.6</w:t>
                  </w:r>
                </w:p>
              </w:tc>
              <w:tc>
                <w:tcPr>
                  <w:tcW w:w="365" w:type="pct"/>
                  <w:gridSpan w:val="2"/>
                  <w:tcBorders>
                    <w:left w:val="nil"/>
                  </w:tcBorders>
                  <w:vAlign w:val="center"/>
                </w:tcPr>
                <w:p w:rsidR="00135858" w:rsidRPr="00773A00" w:rsidRDefault="00135858" w:rsidP="00135858">
                  <w:pPr>
                    <w:pStyle w:val="TableBodyText"/>
                  </w:pPr>
                  <w:r w:rsidRPr="00773A00">
                    <w:t>23.8</w:t>
                  </w:r>
                </w:p>
              </w:tc>
              <w:tc>
                <w:tcPr>
                  <w:tcW w:w="365" w:type="pct"/>
                  <w:tcBorders>
                    <w:left w:val="nil"/>
                  </w:tcBorders>
                  <w:vAlign w:val="center"/>
                </w:tcPr>
                <w:p w:rsidR="00135858" w:rsidRPr="00773A00" w:rsidRDefault="00135858" w:rsidP="00135858">
                  <w:pPr>
                    <w:pStyle w:val="TableBodyText"/>
                  </w:pPr>
                  <w:r w:rsidRPr="00773A00">
                    <w:t>98.2</w:t>
                  </w:r>
                </w:p>
              </w:tc>
              <w:tc>
                <w:tcPr>
                  <w:tcW w:w="368" w:type="pct"/>
                  <w:tcBorders>
                    <w:left w:val="nil"/>
                  </w:tcBorders>
                  <w:vAlign w:val="center"/>
                </w:tcPr>
                <w:p w:rsidR="00135858" w:rsidRPr="00773A00" w:rsidRDefault="00135858" w:rsidP="00135858">
                  <w:pPr>
                    <w:pStyle w:val="TableBodyText"/>
                  </w:pPr>
                  <w:r w:rsidRPr="00773A00">
                    <w:t>0.4</w:t>
                  </w:r>
                </w:p>
              </w:tc>
              <w:tc>
                <w:tcPr>
                  <w:tcW w:w="368" w:type="pct"/>
                  <w:tcBorders>
                    <w:left w:val="nil"/>
                  </w:tcBorders>
                  <w:vAlign w:val="center"/>
                </w:tcPr>
                <w:p w:rsidR="00135858" w:rsidRPr="00773A00" w:rsidRDefault="00135858" w:rsidP="00135858">
                  <w:pPr>
                    <w:pStyle w:val="TableBodyText"/>
                  </w:pPr>
                  <w:r w:rsidRPr="00773A00">
                    <w:t>51.6</w:t>
                  </w:r>
                </w:p>
              </w:tc>
              <w:tc>
                <w:tcPr>
                  <w:tcW w:w="362" w:type="pct"/>
                  <w:tcBorders>
                    <w:left w:val="nil"/>
                  </w:tcBorders>
                  <w:vAlign w:val="center"/>
                </w:tcPr>
                <w:p w:rsidR="00135858" w:rsidRPr="00773A00" w:rsidRDefault="00135858" w:rsidP="00135858">
                  <w:pPr>
                    <w:pStyle w:val="TableBodyText"/>
                  </w:pPr>
                  <w:r w:rsidRPr="00773A00">
                    <w:t>27.6</w:t>
                  </w:r>
                </w:p>
              </w:tc>
            </w:tr>
            <w:tr w:rsidR="00135858" w:rsidRPr="00773A00" w:rsidTr="00A559CF">
              <w:tc>
                <w:tcPr>
                  <w:tcW w:w="5000" w:type="pct"/>
                  <w:gridSpan w:val="14"/>
                  <w:shd w:val="clear" w:color="auto" w:fill="auto"/>
                </w:tcPr>
                <w:p w:rsidR="00135858" w:rsidRPr="00773A00" w:rsidRDefault="00135858" w:rsidP="00D62F97">
                  <w:pPr>
                    <w:pStyle w:val="TableBodyText"/>
                    <w:jc w:val="left"/>
                  </w:pPr>
                  <w:r w:rsidRPr="00773A00">
                    <w:t>Children from remote areas</w:t>
                  </w:r>
                </w:p>
              </w:tc>
            </w:tr>
            <w:tr w:rsidR="00135858" w:rsidRPr="00773A00" w:rsidTr="000B3267">
              <w:tc>
                <w:tcPr>
                  <w:tcW w:w="1611" w:type="pct"/>
                  <w:shd w:val="clear" w:color="auto" w:fill="auto"/>
                </w:tcPr>
                <w:p w:rsidR="00135858" w:rsidRPr="00773A00" w:rsidRDefault="00135858" w:rsidP="00A559CF">
                  <w:pPr>
                    <w:pStyle w:val="TableBodyText"/>
                    <w:ind w:left="0" w:firstLine="142"/>
                    <w:jc w:val="left"/>
                  </w:pPr>
                  <w:r w:rsidRPr="00773A00">
                    <w:t>In child care services, 2015</w:t>
                  </w:r>
                </w:p>
              </w:tc>
              <w:tc>
                <w:tcPr>
                  <w:tcW w:w="402" w:type="pct"/>
                  <w:shd w:val="clear" w:color="auto" w:fill="auto"/>
                  <w:vAlign w:val="center"/>
                </w:tcPr>
                <w:p w:rsidR="00135858" w:rsidRPr="00773A00" w:rsidRDefault="00135858" w:rsidP="00A4736C">
                  <w:pPr>
                    <w:pStyle w:val="TableBodyText"/>
                  </w:pPr>
                  <w:r w:rsidRPr="00773A00">
                    <w:t>0.2</w:t>
                  </w:r>
                </w:p>
              </w:tc>
              <w:tc>
                <w:tcPr>
                  <w:tcW w:w="407" w:type="pct"/>
                  <w:shd w:val="clear" w:color="auto" w:fill="auto"/>
                  <w:vAlign w:val="center"/>
                </w:tcPr>
                <w:p w:rsidR="00135858" w:rsidRPr="00773A00" w:rsidRDefault="00135858" w:rsidP="00A4736C">
                  <w:pPr>
                    <w:pStyle w:val="TableBodyText"/>
                  </w:pPr>
                  <w:r w:rsidRPr="00773A00">
                    <w:t>–</w:t>
                  </w:r>
                </w:p>
              </w:tc>
              <w:tc>
                <w:tcPr>
                  <w:tcW w:w="387" w:type="pct"/>
                  <w:gridSpan w:val="3"/>
                  <w:shd w:val="clear" w:color="auto" w:fill="auto"/>
                  <w:vAlign w:val="center"/>
                </w:tcPr>
                <w:p w:rsidR="00135858" w:rsidRPr="00773A00" w:rsidRDefault="00135858" w:rsidP="00A4736C">
                  <w:pPr>
                    <w:pStyle w:val="TableBodyText"/>
                  </w:pPr>
                  <w:r w:rsidRPr="00773A00">
                    <w:t>1.1</w:t>
                  </w:r>
                </w:p>
              </w:tc>
              <w:tc>
                <w:tcPr>
                  <w:tcW w:w="365" w:type="pct"/>
                  <w:gridSpan w:val="2"/>
                  <w:shd w:val="clear" w:color="auto" w:fill="auto"/>
                  <w:vAlign w:val="center"/>
                </w:tcPr>
                <w:p w:rsidR="00135858" w:rsidRPr="00773A00" w:rsidRDefault="00135858" w:rsidP="00A4736C">
                  <w:pPr>
                    <w:pStyle w:val="TableBodyText"/>
                  </w:pPr>
                  <w:r w:rsidRPr="00773A00">
                    <w:t>3.7</w:t>
                  </w:r>
                </w:p>
              </w:tc>
              <w:tc>
                <w:tcPr>
                  <w:tcW w:w="365" w:type="pct"/>
                  <w:gridSpan w:val="2"/>
                  <w:shd w:val="clear" w:color="auto" w:fill="auto"/>
                  <w:vAlign w:val="center"/>
                </w:tcPr>
                <w:p w:rsidR="00135858" w:rsidRPr="00773A00" w:rsidRDefault="00135858" w:rsidP="00A4736C">
                  <w:pPr>
                    <w:pStyle w:val="TableBodyText"/>
                  </w:pPr>
                  <w:r w:rsidRPr="00773A00">
                    <w:t>2.3</w:t>
                  </w:r>
                </w:p>
              </w:tc>
              <w:tc>
                <w:tcPr>
                  <w:tcW w:w="365" w:type="pct"/>
                  <w:shd w:val="clear" w:color="auto" w:fill="auto"/>
                  <w:vAlign w:val="center"/>
                </w:tcPr>
                <w:p w:rsidR="00135858" w:rsidRPr="00773A00" w:rsidRDefault="00135858" w:rsidP="00A4736C">
                  <w:pPr>
                    <w:pStyle w:val="TableBodyText"/>
                  </w:pPr>
                  <w:r w:rsidRPr="00773A00">
                    <w:t>0.8</w:t>
                  </w:r>
                </w:p>
              </w:tc>
              <w:tc>
                <w:tcPr>
                  <w:tcW w:w="368" w:type="pct"/>
                  <w:shd w:val="clear" w:color="auto" w:fill="auto"/>
                  <w:vAlign w:val="center"/>
                </w:tcPr>
                <w:p w:rsidR="00135858" w:rsidRPr="00773A00" w:rsidRDefault="00135858" w:rsidP="00A4736C">
                  <w:pPr>
                    <w:pStyle w:val="TableBodyText"/>
                  </w:pPr>
                  <w:r w:rsidRPr="00773A00">
                    <w:t>..</w:t>
                  </w:r>
                </w:p>
              </w:tc>
              <w:tc>
                <w:tcPr>
                  <w:tcW w:w="368" w:type="pct"/>
                  <w:shd w:val="clear" w:color="auto" w:fill="auto"/>
                  <w:vAlign w:val="center"/>
                </w:tcPr>
                <w:p w:rsidR="00135858" w:rsidRPr="00773A00" w:rsidRDefault="00135858" w:rsidP="00A4736C">
                  <w:pPr>
                    <w:pStyle w:val="TableBodyText"/>
                  </w:pPr>
                  <w:r w:rsidRPr="00773A00">
                    <w:t>19.1</w:t>
                  </w:r>
                </w:p>
              </w:tc>
              <w:tc>
                <w:tcPr>
                  <w:tcW w:w="362" w:type="pct"/>
                  <w:shd w:val="clear" w:color="auto" w:fill="auto"/>
                  <w:vAlign w:val="center"/>
                </w:tcPr>
                <w:p w:rsidR="00135858" w:rsidRPr="00773A00" w:rsidRDefault="00135858" w:rsidP="00A4736C">
                  <w:pPr>
                    <w:pStyle w:val="TableBodyText"/>
                  </w:pPr>
                  <w:r w:rsidRPr="00773A00">
                    <w:t>0.9</w:t>
                  </w:r>
                </w:p>
              </w:tc>
            </w:tr>
            <w:tr w:rsidR="00135858" w:rsidRPr="00773A00" w:rsidTr="000B3267">
              <w:tc>
                <w:tcPr>
                  <w:tcW w:w="1611" w:type="pct"/>
                  <w:tcBorders>
                    <w:bottom w:val="single" w:sz="6" w:space="0" w:color="BFBFBF"/>
                  </w:tcBorders>
                  <w:shd w:val="clear" w:color="auto" w:fill="auto"/>
                </w:tcPr>
                <w:p w:rsidR="00135858" w:rsidRPr="00773A00" w:rsidRDefault="00135858" w:rsidP="00A559CF">
                  <w:pPr>
                    <w:pStyle w:val="TableBodyText"/>
                    <w:ind w:left="0" w:firstLine="142"/>
                    <w:jc w:val="left"/>
                  </w:pPr>
                  <w:r w:rsidRPr="00773A00">
                    <w:t>In the community, 2014</w:t>
                  </w:r>
                </w:p>
              </w:tc>
              <w:tc>
                <w:tcPr>
                  <w:tcW w:w="402" w:type="pct"/>
                  <w:tcBorders>
                    <w:bottom w:val="single" w:sz="6" w:space="0" w:color="BFBFBF"/>
                  </w:tcBorders>
                  <w:shd w:val="clear" w:color="auto" w:fill="auto"/>
                  <w:vAlign w:val="center"/>
                </w:tcPr>
                <w:p w:rsidR="00135858" w:rsidRPr="00773A00" w:rsidRDefault="00135858" w:rsidP="00135858">
                  <w:pPr>
                    <w:pStyle w:val="TableBodyText"/>
                  </w:pPr>
                  <w:r w:rsidRPr="00773A00">
                    <w:t>0.6</w:t>
                  </w:r>
                </w:p>
              </w:tc>
              <w:tc>
                <w:tcPr>
                  <w:tcW w:w="407" w:type="pct"/>
                  <w:tcBorders>
                    <w:bottom w:val="single" w:sz="6" w:space="0" w:color="BFBFBF"/>
                  </w:tcBorders>
                  <w:shd w:val="clear" w:color="auto" w:fill="auto"/>
                  <w:vAlign w:val="center"/>
                </w:tcPr>
                <w:p w:rsidR="00135858" w:rsidRPr="00773A00" w:rsidRDefault="00135858" w:rsidP="00135858">
                  <w:pPr>
                    <w:pStyle w:val="TableBodyText"/>
                  </w:pPr>
                  <w:r w:rsidRPr="00773A00">
                    <w:t>0.1</w:t>
                  </w:r>
                </w:p>
              </w:tc>
              <w:tc>
                <w:tcPr>
                  <w:tcW w:w="387" w:type="pct"/>
                  <w:gridSpan w:val="3"/>
                  <w:tcBorders>
                    <w:bottom w:val="single" w:sz="6" w:space="0" w:color="BFBFBF"/>
                  </w:tcBorders>
                  <w:shd w:val="clear" w:color="auto" w:fill="auto"/>
                  <w:vAlign w:val="center"/>
                </w:tcPr>
                <w:p w:rsidR="00135858" w:rsidRPr="00773A00" w:rsidRDefault="00135858" w:rsidP="00135858">
                  <w:pPr>
                    <w:pStyle w:val="TableBodyText"/>
                  </w:pPr>
                  <w:r w:rsidRPr="00773A00">
                    <w:t>3.5</w:t>
                  </w:r>
                </w:p>
              </w:tc>
              <w:tc>
                <w:tcPr>
                  <w:tcW w:w="365" w:type="pct"/>
                  <w:gridSpan w:val="2"/>
                  <w:tcBorders>
                    <w:bottom w:val="single" w:sz="6" w:space="0" w:color="BFBFBF"/>
                  </w:tcBorders>
                  <w:shd w:val="clear" w:color="auto" w:fill="auto"/>
                  <w:vAlign w:val="center"/>
                </w:tcPr>
                <w:p w:rsidR="00135858" w:rsidRPr="00773A00" w:rsidRDefault="00135858" w:rsidP="00135858">
                  <w:pPr>
                    <w:pStyle w:val="TableBodyText"/>
                  </w:pPr>
                  <w:r w:rsidRPr="00773A00">
                    <w:t>6.8</w:t>
                  </w:r>
                </w:p>
              </w:tc>
              <w:tc>
                <w:tcPr>
                  <w:tcW w:w="365" w:type="pct"/>
                  <w:gridSpan w:val="2"/>
                  <w:tcBorders>
                    <w:bottom w:val="single" w:sz="6" w:space="0" w:color="BFBFBF"/>
                  </w:tcBorders>
                  <w:shd w:val="clear" w:color="auto" w:fill="auto"/>
                  <w:vAlign w:val="center"/>
                </w:tcPr>
                <w:p w:rsidR="00135858" w:rsidRPr="00773A00" w:rsidRDefault="00135858" w:rsidP="00135858">
                  <w:pPr>
                    <w:pStyle w:val="TableBodyText"/>
                  </w:pPr>
                  <w:r w:rsidRPr="00773A00">
                    <w:t>3.9</w:t>
                  </w:r>
                </w:p>
              </w:tc>
              <w:tc>
                <w:tcPr>
                  <w:tcW w:w="365" w:type="pct"/>
                  <w:tcBorders>
                    <w:bottom w:val="single" w:sz="6" w:space="0" w:color="BFBFBF"/>
                  </w:tcBorders>
                  <w:shd w:val="clear" w:color="auto" w:fill="auto"/>
                  <w:vAlign w:val="center"/>
                </w:tcPr>
                <w:p w:rsidR="00135858" w:rsidRPr="00773A00" w:rsidRDefault="00135858" w:rsidP="00135858">
                  <w:pPr>
                    <w:pStyle w:val="TableBodyText"/>
                  </w:pPr>
                  <w:r w:rsidRPr="00773A00">
                    <w:t>1.8</w:t>
                  </w:r>
                </w:p>
              </w:tc>
              <w:tc>
                <w:tcPr>
                  <w:tcW w:w="368" w:type="pct"/>
                  <w:tcBorders>
                    <w:bottom w:val="single" w:sz="6" w:space="0" w:color="BFBFBF"/>
                  </w:tcBorders>
                  <w:shd w:val="clear" w:color="auto" w:fill="auto"/>
                  <w:vAlign w:val="center"/>
                </w:tcPr>
                <w:p w:rsidR="00135858" w:rsidRPr="00773A00" w:rsidRDefault="00135858" w:rsidP="00135858">
                  <w:pPr>
                    <w:pStyle w:val="TableBodyText"/>
                  </w:pPr>
                  <w:r w:rsidRPr="00773A00">
                    <w:t>..</w:t>
                  </w:r>
                </w:p>
              </w:tc>
              <w:tc>
                <w:tcPr>
                  <w:tcW w:w="368" w:type="pct"/>
                  <w:tcBorders>
                    <w:bottom w:val="single" w:sz="6" w:space="0" w:color="BFBFBF"/>
                  </w:tcBorders>
                  <w:shd w:val="clear" w:color="auto" w:fill="auto"/>
                  <w:vAlign w:val="center"/>
                </w:tcPr>
                <w:p w:rsidR="00135858" w:rsidRPr="00773A00" w:rsidRDefault="00135858" w:rsidP="00135858">
                  <w:pPr>
                    <w:pStyle w:val="TableBodyText"/>
                  </w:pPr>
                  <w:r w:rsidRPr="00773A00">
                    <w:t>48.4</w:t>
                  </w:r>
                </w:p>
              </w:tc>
              <w:tc>
                <w:tcPr>
                  <w:tcW w:w="362" w:type="pct"/>
                  <w:tcBorders>
                    <w:left w:val="nil"/>
                    <w:bottom w:val="single" w:sz="6" w:space="0" w:color="BFBFBF"/>
                  </w:tcBorders>
                  <w:shd w:val="clear" w:color="auto" w:fill="auto"/>
                  <w:vAlign w:val="center"/>
                </w:tcPr>
                <w:p w:rsidR="00135858" w:rsidRPr="00773A00" w:rsidRDefault="00135858" w:rsidP="00135858">
                  <w:pPr>
                    <w:pStyle w:val="TableBodyText"/>
                  </w:pPr>
                  <w:r w:rsidRPr="00773A00">
                    <w:t>2.6</w:t>
                  </w:r>
                </w:p>
              </w:tc>
            </w:tr>
          </w:tbl>
          <w:p w:rsidR="00A6714D" w:rsidRPr="00773A00" w:rsidRDefault="00A6714D" w:rsidP="00A559CF">
            <w:pPr>
              <w:pStyle w:val="Box"/>
            </w:pPr>
          </w:p>
        </w:tc>
      </w:tr>
      <w:tr w:rsidR="00A6714D" w:rsidTr="00A559CF">
        <w:trPr>
          <w:cantSplit/>
        </w:trPr>
        <w:tc>
          <w:tcPr>
            <w:tcW w:w="8771" w:type="dxa"/>
            <w:tcBorders>
              <w:top w:val="nil"/>
              <w:left w:val="nil"/>
              <w:bottom w:val="nil"/>
              <w:right w:val="nil"/>
            </w:tcBorders>
            <w:shd w:val="clear" w:color="auto" w:fill="auto"/>
          </w:tcPr>
          <w:p w:rsidR="00A6714D" w:rsidRPr="00A6714D" w:rsidRDefault="00A6714D" w:rsidP="00193F49">
            <w:pPr>
              <w:pStyle w:val="Note"/>
              <w:keepNext/>
            </w:pPr>
            <w:r w:rsidRPr="008E77FE">
              <w:rPr>
                <w:rStyle w:val="NoteLabel"/>
              </w:rPr>
              <w:t>a</w:t>
            </w:r>
            <w:r w:rsidR="003A5A78">
              <w:t xml:space="preserve"> See box</w:t>
            </w:r>
            <w:r w:rsidR="00697D43">
              <w:t> </w:t>
            </w:r>
            <w:r w:rsidR="003A5A78">
              <w:t>3.</w:t>
            </w:r>
            <w:r w:rsidR="00193F49">
              <w:t>5</w:t>
            </w:r>
            <w:r w:rsidR="003A5A78">
              <w:t xml:space="preserve"> and table</w:t>
            </w:r>
            <w:r w:rsidR="00697D43">
              <w:t> </w:t>
            </w:r>
            <w:proofErr w:type="spellStart"/>
            <w:r w:rsidR="003A5A78">
              <w:t>3A.14</w:t>
            </w:r>
            <w:proofErr w:type="spellEnd"/>
            <w:r w:rsidR="003A5A78" w:rsidRPr="006853DC">
              <w:t xml:space="preserve"> for </w:t>
            </w:r>
            <w:r w:rsidR="00937F53">
              <w:t>detailed definitions, footnotes and caveats.</w:t>
            </w:r>
            <w:r w:rsidR="003A5A78" w:rsidRPr="00136A1E">
              <w:rPr>
                <w:color w:val="FF0000"/>
              </w:rPr>
              <w:t xml:space="preserve"> </w:t>
            </w:r>
            <w:r w:rsidRPr="00BD2657">
              <w:t xml:space="preserve">.. </w:t>
            </w:r>
            <w:r w:rsidRPr="00490A9E">
              <w:t>Not applicable.</w:t>
            </w:r>
            <w:r>
              <w:t xml:space="preserve"> </w:t>
            </w:r>
            <w:r w:rsidRPr="00490A9E">
              <w:t>– Nil or rounded to zero.</w:t>
            </w:r>
          </w:p>
        </w:tc>
      </w:tr>
      <w:tr w:rsidR="00A6714D" w:rsidTr="00A559CF">
        <w:trPr>
          <w:cantSplit/>
        </w:trPr>
        <w:tc>
          <w:tcPr>
            <w:tcW w:w="8771" w:type="dxa"/>
            <w:tcBorders>
              <w:top w:val="nil"/>
              <w:left w:val="nil"/>
              <w:bottom w:val="nil"/>
              <w:right w:val="nil"/>
            </w:tcBorders>
            <w:shd w:val="clear" w:color="auto" w:fill="auto"/>
          </w:tcPr>
          <w:p w:rsidR="00A6714D" w:rsidRDefault="00A6714D" w:rsidP="00A6714D">
            <w:pPr>
              <w:pStyle w:val="Source"/>
              <w:keepNext/>
            </w:pPr>
            <w:r>
              <w:rPr>
                <w:i/>
              </w:rPr>
              <w:t>Source</w:t>
            </w:r>
            <w:r w:rsidRPr="00167F06">
              <w:t xml:space="preserve">: </w:t>
            </w:r>
            <w:r w:rsidR="004326D6">
              <w:t xml:space="preserve">Australian Government </w:t>
            </w:r>
            <w:r w:rsidR="00676B4B">
              <w:t xml:space="preserve">Department of </w:t>
            </w:r>
            <w:r w:rsidR="00ED4FA9">
              <w:t>Education and Training</w:t>
            </w:r>
            <w:r>
              <w:t xml:space="preserve"> </w:t>
            </w:r>
            <w:r w:rsidRPr="00490A9E">
              <w:t xml:space="preserve">(unpublished) administrative data collection and </w:t>
            </w:r>
            <w:r w:rsidRPr="00490A9E">
              <w:rPr>
                <w:i/>
              </w:rPr>
              <w:t>National Early Childhood Education</w:t>
            </w:r>
            <w:r>
              <w:rPr>
                <w:i/>
              </w:rPr>
              <w:t xml:space="preserve"> and Care Workforce </w:t>
            </w:r>
            <w:r w:rsidR="004326D6">
              <w:rPr>
                <w:i/>
              </w:rPr>
              <w:t>Census, 2013</w:t>
            </w:r>
            <w:r w:rsidRPr="00490A9E">
              <w:rPr>
                <w:i/>
              </w:rPr>
              <w:t xml:space="preserve">; </w:t>
            </w:r>
            <w:r w:rsidRPr="00490A9E">
              <w:t>ABS (unpublished)</w:t>
            </w:r>
            <w:r>
              <w:t xml:space="preserve"> </w:t>
            </w:r>
            <w:r w:rsidRPr="009B635F">
              <w:rPr>
                <w:i/>
              </w:rPr>
              <w:t>2011 Census of Population and Housing;</w:t>
            </w:r>
            <w:r>
              <w:t xml:space="preserve"> </w:t>
            </w:r>
            <w:r w:rsidR="001A1D30">
              <w:t xml:space="preserve">ABS (unpublished) </w:t>
            </w:r>
            <w:r>
              <w:rPr>
                <w:i/>
              </w:rPr>
              <w:t>Household Income and Income Distribution,</w:t>
            </w:r>
            <w:r w:rsidR="00FD3D51">
              <w:rPr>
                <w:i/>
              </w:rPr>
              <w:t xml:space="preserve"> Australia, 2013</w:t>
            </w:r>
            <w:r w:rsidR="00FD3D51">
              <w:rPr>
                <w:i/>
              </w:rPr>
              <w:noBreakHyphen/>
              <w:t>14</w:t>
            </w:r>
            <w:r>
              <w:rPr>
                <w:i/>
              </w:rPr>
              <w:t>,</w:t>
            </w:r>
            <w:r>
              <w:t xml:space="preserve"> Cat. no. 6523.0; </w:t>
            </w:r>
            <w:r w:rsidR="001A1D30">
              <w:t xml:space="preserve">ABS (unpublished) </w:t>
            </w:r>
            <w:proofErr w:type="spellStart"/>
            <w:r w:rsidR="00A04F1D" w:rsidRPr="00A04F1D">
              <w:rPr>
                <w:i/>
              </w:rPr>
              <w:t>Microdata</w:t>
            </w:r>
            <w:proofErr w:type="spellEnd"/>
            <w:r w:rsidR="00A04F1D" w:rsidRPr="00A04F1D">
              <w:rPr>
                <w:i/>
              </w:rPr>
              <w:t>:</w:t>
            </w:r>
            <w:r w:rsidR="00A04F1D">
              <w:t xml:space="preserve"> </w:t>
            </w:r>
            <w:r w:rsidRPr="009B635F">
              <w:rPr>
                <w:i/>
              </w:rPr>
              <w:t>Disability, Ageing and C</w:t>
            </w:r>
            <w:r w:rsidR="004326D6">
              <w:rPr>
                <w:i/>
              </w:rPr>
              <w:t xml:space="preserve">arers, Australia, </w:t>
            </w:r>
            <w:r>
              <w:rPr>
                <w:i/>
              </w:rPr>
              <w:t>2012</w:t>
            </w:r>
            <w:r w:rsidR="004326D6">
              <w:t xml:space="preserve">, </w:t>
            </w:r>
            <w:r w:rsidR="00676B4B">
              <w:t>Cat. no. 4430.0</w:t>
            </w:r>
            <w:r w:rsidR="00A04F1D">
              <w:t>.30.002</w:t>
            </w:r>
            <w:r w:rsidR="00252F44">
              <w:t>;</w:t>
            </w:r>
            <w:r w:rsidR="00676B4B">
              <w:t xml:space="preserve"> </w:t>
            </w:r>
            <w:r w:rsidR="001A1D30">
              <w:t xml:space="preserve">ABS (2014) </w:t>
            </w:r>
            <w:r w:rsidRPr="00490A9E">
              <w:rPr>
                <w:i/>
              </w:rPr>
              <w:t xml:space="preserve">Estimates and </w:t>
            </w:r>
            <w:r w:rsidRPr="004326D6">
              <w:rPr>
                <w:i/>
              </w:rPr>
              <w:t>Projections, Aboriginal and Torres Strait Islander Australians, 2001 to 2026</w:t>
            </w:r>
            <w:r w:rsidRPr="004326D6">
              <w:t xml:space="preserve"> </w:t>
            </w:r>
            <w:r w:rsidRPr="004326D6">
              <w:rPr>
                <w:i/>
              </w:rPr>
              <w:t>(Series B),</w:t>
            </w:r>
            <w:r w:rsidR="00676B4B">
              <w:t xml:space="preserve"> Cat. no. 3238.0;</w:t>
            </w:r>
            <w:r w:rsidR="00252F44">
              <w:t xml:space="preserve"> </w:t>
            </w:r>
            <w:r w:rsidR="004D3247">
              <w:t xml:space="preserve">ABS (2014) </w:t>
            </w:r>
            <w:r w:rsidR="004D3247" w:rsidRPr="004D3247">
              <w:rPr>
                <w:i/>
              </w:rPr>
              <w:t xml:space="preserve">Australian Demographic Statistics, Jun 2014, </w:t>
            </w:r>
            <w:r w:rsidR="004D3247">
              <w:t xml:space="preserve">Cat. no. 3101.0; </w:t>
            </w:r>
            <w:r w:rsidR="001A1D30">
              <w:t xml:space="preserve">ABS (unpublished) </w:t>
            </w:r>
            <w:r w:rsidR="00252F44" w:rsidRPr="00252F44">
              <w:rPr>
                <w:i/>
              </w:rPr>
              <w:t>Population by Age and Sex, Regions of Australia, 2014</w:t>
            </w:r>
            <w:r w:rsidR="00252F44">
              <w:t>, Cat. no. 3235.0;</w:t>
            </w:r>
            <w:r w:rsidR="002B57D2">
              <w:t xml:space="preserve"> table </w:t>
            </w:r>
            <w:proofErr w:type="spellStart"/>
            <w:r w:rsidR="002B57D2">
              <w:t>3A.14</w:t>
            </w:r>
            <w:proofErr w:type="spellEnd"/>
            <w:r w:rsidRPr="004326D6">
              <w:t>.</w:t>
            </w:r>
          </w:p>
        </w:tc>
      </w:tr>
      <w:tr w:rsidR="00A6714D" w:rsidTr="00A559CF">
        <w:trPr>
          <w:cantSplit/>
        </w:trPr>
        <w:tc>
          <w:tcPr>
            <w:tcW w:w="8771" w:type="dxa"/>
            <w:tcBorders>
              <w:top w:val="nil"/>
              <w:left w:val="nil"/>
              <w:bottom w:val="single" w:sz="6" w:space="0" w:color="78A22F"/>
              <w:right w:val="nil"/>
            </w:tcBorders>
            <w:shd w:val="clear" w:color="auto" w:fill="auto"/>
          </w:tcPr>
          <w:p w:rsidR="00A6714D" w:rsidRDefault="00A6714D" w:rsidP="00A559CF">
            <w:pPr>
              <w:pStyle w:val="Box"/>
              <w:spacing w:before="0" w:line="120" w:lineRule="exact"/>
            </w:pPr>
          </w:p>
        </w:tc>
      </w:tr>
      <w:tr w:rsidR="00A6714D" w:rsidRPr="000863A5" w:rsidTr="00A559CF">
        <w:tc>
          <w:tcPr>
            <w:tcW w:w="8771" w:type="dxa"/>
            <w:tcBorders>
              <w:top w:val="single" w:sz="6" w:space="0" w:color="78A22F"/>
              <w:left w:val="nil"/>
              <w:bottom w:val="nil"/>
              <w:right w:val="nil"/>
            </w:tcBorders>
          </w:tcPr>
          <w:p w:rsidR="00A6714D" w:rsidRPr="00626D32" w:rsidRDefault="00A6714D" w:rsidP="00A559CF">
            <w:pPr>
              <w:pStyle w:val="BoxSpaceBelow"/>
            </w:pPr>
          </w:p>
        </w:tc>
      </w:tr>
    </w:tbl>
    <w:p w:rsidR="00B67B3F" w:rsidRPr="00C41228" w:rsidRDefault="00B67B3F" w:rsidP="00B67B3F">
      <w:pPr>
        <w:pStyle w:val="BodyText"/>
      </w:pPr>
      <w:r w:rsidRPr="00C41228">
        <w:t>Data on representation of special needs groups in State and Territory</w:t>
      </w:r>
      <w:r>
        <w:t xml:space="preserve"> government</w:t>
      </w:r>
      <w:r w:rsidRPr="00C41228">
        <w:t xml:space="preserve"> funded child care for children aged 0–12 </w:t>
      </w:r>
      <w:r>
        <w:t xml:space="preserve">years </w:t>
      </w:r>
      <w:r w:rsidRPr="00C41228">
        <w:t xml:space="preserve">are presented in </w:t>
      </w:r>
      <w:r w:rsidRPr="00E25D95">
        <w:t>table </w:t>
      </w:r>
      <w:proofErr w:type="spellStart"/>
      <w:r w:rsidRPr="00326511">
        <w:t>3A.1</w:t>
      </w:r>
      <w:r w:rsidR="002B57D2">
        <w:t>5</w:t>
      </w:r>
      <w:proofErr w:type="spellEnd"/>
      <w:r w:rsidRPr="00326511">
        <w:t>.</w:t>
      </w:r>
    </w:p>
    <w:p w:rsidR="000E50ED" w:rsidRPr="00C41228" w:rsidRDefault="000E50ED" w:rsidP="00F97852">
      <w:pPr>
        <w:pStyle w:val="Heading4"/>
      </w:pPr>
      <w:r w:rsidRPr="00C41228">
        <w:t>Access — participation rates for special needs groups</w:t>
      </w:r>
      <w:r>
        <w:t xml:space="preserve"> in preschool</w:t>
      </w:r>
    </w:p>
    <w:p w:rsidR="000E50ED" w:rsidRDefault="000E50ED" w:rsidP="005E7CC5">
      <w:pPr>
        <w:pStyle w:val="BodyText"/>
      </w:pPr>
      <w:r w:rsidRPr="00C41228">
        <w:t>‘Participation rates for special needs groups</w:t>
      </w:r>
      <w:r>
        <w:t xml:space="preserve"> in preschool</w:t>
      </w:r>
      <w:r w:rsidRPr="00C41228">
        <w:t xml:space="preserve">’ is an indicator of governments’ objective to ensure that </w:t>
      </w:r>
      <w:r>
        <w:t xml:space="preserve">services </w:t>
      </w:r>
      <w:r w:rsidRPr="00C41228">
        <w:t xml:space="preserve">are provided in an equitable manner to all special needs groups in the community and that there is consideration of the needs of those groups </w:t>
      </w:r>
      <w:r w:rsidR="00011E10">
        <w:t>that</w:t>
      </w:r>
      <w:r w:rsidRPr="00C41228">
        <w:t xml:space="preserve"> can have </w:t>
      </w:r>
      <w:r w:rsidR="00C64D4B">
        <w:t xml:space="preserve">special </w:t>
      </w:r>
      <w:r w:rsidRPr="00C41228">
        <w:t>diffic</w:t>
      </w:r>
      <w:r w:rsidR="005E7CC5">
        <w:t>ulty in accessing services (</w:t>
      </w:r>
      <w:r w:rsidR="005E7CC5" w:rsidRPr="00BF76AF">
        <w:t>box </w:t>
      </w:r>
      <w:r w:rsidR="00C049C1" w:rsidRPr="00BF76AF">
        <w:t>3.</w:t>
      </w:r>
      <w:r w:rsidR="00B1432E">
        <w:t>7</w:t>
      </w:r>
      <w:r w:rsidRPr="00BF76AF">
        <w:t>).</w:t>
      </w:r>
    </w:p>
    <w:p w:rsidR="004F6A06" w:rsidRDefault="004F6A06">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4F6A06" w:rsidTr="000F4D37">
        <w:tc>
          <w:tcPr>
            <w:tcW w:w="8771" w:type="dxa"/>
            <w:tcBorders>
              <w:top w:val="single" w:sz="6" w:space="0" w:color="78A22F"/>
              <w:left w:val="nil"/>
              <w:bottom w:val="nil"/>
              <w:right w:val="nil"/>
            </w:tcBorders>
            <w:shd w:val="clear" w:color="auto" w:fill="F2F2F2"/>
          </w:tcPr>
          <w:p w:rsidR="004F6A06" w:rsidRDefault="004F6A06" w:rsidP="00C049C1">
            <w:pPr>
              <w:pStyle w:val="BoxTitle"/>
            </w:pPr>
            <w:r>
              <w:rPr>
                <w:b w:val="0"/>
              </w:rPr>
              <w:t xml:space="preserve">Box </w:t>
            </w:r>
            <w:r w:rsidR="00C049C1">
              <w:rPr>
                <w:b w:val="0"/>
              </w:rPr>
              <w:t>3.</w:t>
            </w:r>
            <w:r w:rsidR="00B1432E">
              <w:rPr>
                <w:b w:val="0"/>
              </w:rPr>
              <w:t>7</w:t>
            </w:r>
            <w:r>
              <w:tab/>
            </w:r>
            <w:r w:rsidRPr="00DF669E">
              <w:t>Participation rates for special needs groups in preschool</w:t>
            </w:r>
          </w:p>
        </w:tc>
      </w:tr>
      <w:tr w:rsidR="004F6A06" w:rsidTr="000F4D37">
        <w:trPr>
          <w:cantSplit/>
        </w:trPr>
        <w:tc>
          <w:tcPr>
            <w:tcW w:w="8771" w:type="dxa"/>
            <w:tcBorders>
              <w:top w:val="nil"/>
              <w:left w:val="nil"/>
              <w:bottom w:val="nil"/>
              <w:right w:val="nil"/>
            </w:tcBorders>
            <w:shd w:val="clear" w:color="auto" w:fill="F2F2F2"/>
          </w:tcPr>
          <w:p w:rsidR="004F6A06" w:rsidRPr="00DF669E" w:rsidRDefault="004F6A06" w:rsidP="004F6A06">
            <w:pPr>
              <w:pStyle w:val="Box"/>
            </w:pPr>
            <w:r w:rsidRPr="00DF669E">
              <w:t>‘Participation rates for special needs groups in preschool’ is defined by two measures:</w:t>
            </w:r>
          </w:p>
          <w:p w:rsidR="004F6A06" w:rsidRPr="00DF669E" w:rsidRDefault="00EB1241" w:rsidP="004F6A06">
            <w:pPr>
              <w:pStyle w:val="BoxListBullet"/>
            </w:pPr>
            <w:r>
              <w:t xml:space="preserve">the </w:t>
            </w:r>
            <w:r w:rsidR="004F6A06" w:rsidRPr="00DF669E">
              <w:t>proportion of children aged 3–5 years enrolled in a preschool program who are from targeted spe</w:t>
            </w:r>
            <w:r w:rsidR="003A5E67">
              <w:t>cial needs groups, compared with</w:t>
            </w:r>
            <w:r w:rsidR="004F6A06" w:rsidRPr="00DF669E">
              <w:t xml:space="preserve"> the representation of these groups in the community. Targeted special needs groups include children from </w:t>
            </w:r>
            <w:proofErr w:type="spellStart"/>
            <w:r w:rsidR="004F6A06" w:rsidRPr="00DF669E">
              <w:t>NESB</w:t>
            </w:r>
            <w:proofErr w:type="spellEnd"/>
            <w:r w:rsidR="004F6A06" w:rsidRPr="00DF669E">
              <w:t xml:space="preserve">, </w:t>
            </w:r>
            <w:r w:rsidR="004F6A06">
              <w:t xml:space="preserve">Aboriginal and Torres Strait Islander </w:t>
            </w:r>
            <w:r w:rsidR="004F6A06" w:rsidRPr="00DF669E">
              <w:t>children, children with disability and children</w:t>
            </w:r>
            <w:r w:rsidR="004F6A06">
              <w:t xml:space="preserve"> from regional and remote areas</w:t>
            </w:r>
          </w:p>
          <w:p w:rsidR="004F6A06" w:rsidRDefault="00EB1241" w:rsidP="004F6A06">
            <w:pPr>
              <w:pStyle w:val="BoxListBullet"/>
            </w:pPr>
            <w:r>
              <w:t xml:space="preserve">the </w:t>
            </w:r>
            <w:r w:rsidR="004F6A06" w:rsidRPr="00DF669E">
              <w:t xml:space="preserve">proportion of children </w:t>
            </w:r>
            <w:r w:rsidR="005F6775">
              <w:t xml:space="preserve">aged 4 and 5 years </w:t>
            </w:r>
            <w:r w:rsidR="004F6A06" w:rsidRPr="00DF669E">
              <w:t xml:space="preserve">enrolled in a preschool program in the </w:t>
            </w:r>
            <w:proofErr w:type="spellStart"/>
            <w:r w:rsidR="0078533C">
              <w:t>YBFS</w:t>
            </w:r>
            <w:proofErr w:type="spellEnd"/>
            <w:r w:rsidR="004F6A06" w:rsidRPr="00DF669E">
              <w:t xml:space="preserve"> who are disadvantaged, compared with th</w:t>
            </w:r>
            <w:r w:rsidR="00712A38">
              <w:t>e representation of children who are disadvantaged</w:t>
            </w:r>
            <w:r w:rsidR="004F6A06" w:rsidRPr="00DF669E">
              <w:t xml:space="preserve"> in the community. Children who are disadvantaged are defined as residing in an area with a Socio</w:t>
            </w:r>
            <w:r w:rsidR="004F6A06">
              <w:noBreakHyphen/>
            </w:r>
            <w:r w:rsidR="004F6A06" w:rsidRPr="00DF669E">
              <w:t>Economic Index for Areas (</w:t>
            </w:r>
            <w:proofErr w:type="spellStart"/>
            <w:r w:rsidR="004F6A06" w:rsidRPr="00DF669E">
              <w:t>SEIFA</w:t>
            </w:r>
            <w:proofErr w:type="spellEnd"/>
            <w:r w:rsidR="004F6A06" w:rsidRPr="00DF669E">
              <w:t>) Index of Relative Socio</w:t>
            </w:r>
            <w:r w:rsidR="004F6A06">
              <w:noBreakHyphen/>
            </w:r>
            <w:r w:rsidR="004F6A06" w:rsidRPr="00DF669E">
              <w:t>economic Disadvantage (</w:t>
            </w:r>
            <w:proofErr w:type="spellStart"/>
            <w:r w:rsidR="004F6A06" w:rsidRPr="00DF669E">
              <w:t>IRSD</w:t>
            </w:r>
            <w:proofErr w:type="spellEnd"/>
            <w:r w:rsidR="004F6A06" w:rsidRPr="00DF669E">
              <w:t xml:space="preserve">) quintile of 1. The </w:t>
            </w:r>
            <w:proofErr w:type="spellStart"/>
            <w:r w:rsidR="004F6A06" w:rsidRPr="00DF669E">
              <w:t>SEIFA</w:t>
            </w:r>
            <w:proofErr w:type="spellEnd"/>
            <w:r w:rsidR="004F6A06" w:rsidRPr="00DF669E">
              <w:t xml:space="preserve"> </w:t>
            </w:r>
            <w:proofErr w:type="spellStart"/>
            <w:r w:rsidR="004F6A06" w:rsidRPr="00DF669E">
              <w:t>IRSD</w:t>
            </w:r>
            <w:proofErr w:type="spellEnd"/>
            <w:r w:rsidR="004F6A06" w:rsidRPr="00DF669E">
              <w:t xml:space="preserve"> quintile of 1 is used as a proxy for the most disadvantaged. </w:t>
            </w:r>
            <w:r w:rsidR="004F6A06" w:rsidRPr="002352A8">
              <w:t xml:space="preserve">The use of </w:t>
            </w:r>
            <w:proofErr w:type="spellStart"/>
            <w:r w:rsidR="004F6A06" w:rsidRPr="002352A8">
              <w:t>SEIFA</w:t>
            </w:r>
            <w:proofErr w:type="spellEnd"/>
            <w:r w:rsidR="004F6A06" w:rsidRPr="002352A8">
              <w:t xml:space="preserve"> </w:t>
            </w:r>
            <w:proofErr w:type="spellStart"/>
            <w:r w:rsidR="004F6A06" w:rsidRPr="002352A8">
              <w:t>IRSD</w:t>
            </w:r>
            <w:proofErr w:type="spellEnd"/>
            <w:r w:rsidR="004F6A06" w:rsidRPr="002352A8">
              <w:t xml:space="preserve"> as a proxy for disadvantage needs to be interpreted with care as it pertains to the area in which the child resides, rather than to the child specifically.</w:t>
            </w:r>
          </w:p>
          <w:p w:rsidR="004F6A06" w:rsidRPr="00DF669E" w:rsidRDefault="004F6A06" w:rsidP="004F6A06">
            <w:pPr>
              <w:pStyle w:val="Box"/>
            </w:pPr>
            <w:r w:rsidRPr="00DF669E">
              <w:t xml:space="preserve">A high or increasing proportion of children from special needs groups and </w:t>
            </w:r>
            <w:r w:rsidR="005F302A">
              <w:t xml:space="preserve">children </w:t>
            </w:r>
            <w:r w:rsidRPr="00DF669E">
              <w:t>who are disadvantaged enrolled in a preschool program is desirable. If the representation of special needs groups and disadvantage among children enrolled in a preschool program is broadly similar to their representation in the community, this suggests equitable access.</w:t>
            </w:r>
          </w:p>
          <w:p w:rsidR="004F6A06" w:rsidRPr="00DF669E" w:rsidRDefault="004F6A06" w:rsidP="004F6A06">
            <w:pPr>
              <w:pStyle w:val="Box"/>
            </w:pPr>
            <w:r w:rsidRPr="00DF669E">
              <w:t>Data reported for these measures are:</w:t>
            </w:r>
          </w:p>
          <w:p w:rsidR="004F6A06" w:rsidRPr="002E306E" w:rsidRDefault="004F6A06" w:rsidP="004F6A06">
            <w:pPr>
              <w:pStyle w:val="BoxListBullet"/>
            </w:pPr>
            <w:r w:rsidRPr="002E306E">
              <w:t>comparable (subject to caveats)</w:t>
            </w:r>
            <w:r w:rsidRPr="002E306E">
              <w:rPr>
                <w:rFonts w:eastAsiaTheme="minorHAnsi"/>
              </w:rPr>
              <w:t xml:space="preserve"> across jurisdictions for the special needs groups: Aboriginal and Torres Strait Islander children and children from regional and remote areas. Data are not comparable across jurisdictions for the special needs groups: </w:t>
            </w:r>
            <w:proofErr w:type="spellStart"/>
            <w:r w:rsidRPr="002E306E">
              <w:rPr>
                <w:rFonts w:eastAsiaTheme="minorHAnsi"/>
              </w:rPr>
              <w:t>NESB</w:t>
            </w:r>
            <w:proofErr w:type="spellEnd"/>
            <w:r w:rsidRPr="002E306E">
              <w:rPr>
                <w:rFonts w:eastAsiaTheme="minorHAnsi"/>
              </w:rPr>
              <w:t xml:space="preserve"> and children with disability. Data are comparable (subject to caveats) across jurisdictions and over time for children who are disadvantaged</w:t>
            </w:r>
          </w:p>
          <w:p w:rsidR="004F6A06" w:rsidRPr="009C70D4" w:rsidRDefault="004F6A06" w:rsidP="004F6A06">
            <w:pPr>
              <w:pStyle w:val="BoxListBullet"/>
              <w:rPr>
                <w:b/>
                <w:sz w:val="24"/>
                <w:u w:val="dotted"/>
              </w:rPr>
            </w:pPr>
            <w:r w:rsidRPr="009C70D4">
              <w:t xml:space="preserve">complete (subject to caveats) for the current reporting period </w:t>
            </w:r>
            <w:r w:rsidRPr="009C70D4">
              <w:rPr>
                <w:rFonts w:eastAsiaTheme="minorHAnsi"/>
              </w:rPr>
              <w:t>for children who are disadvantaged and most special needs groups</w:t>
            </w:r>
            <w:r w:rsidR="00B5058C">
              <w:t>. All required 2014</w:t>
            </w:r>
            <w:r w:rsidRPr="009C70D4">
              <w:t xml:space="preserve"> data are available for all jurisdictions </w:t>
            </w:r>
            <w:r w:rsidRPr="009C70D4">
              <w:rPr>
                <w:rFonts w:eastAsiaTheme="minorHAnsi"/>
              </w:rPr>
              <w:t>for children who are disadvantaged</w:t>
            </w:r>
            <w:r w:rsidRPr="009C70D4">
              <w:t xml:space="preserve"> but</w:t>
            </w:r>
            <w:r w:rsidRPr="00664F35">
              <w:t xml:space="preserve"> incomplete for the current reporting period for the </w:t>
            </w:r>
            <w:proofErr w:type="spellStart"/>
            <w:r w:rsidRPr="00664F35">
              <w:t>NESB</w:t>
            </w:r>
            <w:proofErr w:type="spellEnd"/>
            <w:r w:rsidRPr="00664F35">
              <w:t xml:space="preserve"> special needs group. All required </w:t>
            </w:r>
            <w:proofErr w:type="spellStart"/>
            <w:r w:rsidRPr="00664F35">
              <w:t>NESB</w:t>
            </w:r>
            <w:proofErr w:type="spellEnd"/>
            <w:r w:rsidRPr="00664F35">
              <w:t xml:space="preserve"> data were not available for WA and the NT.</w:t>
            </w:r>
          </w:p>
          <w:p w:rsidR="004F6A06" w:rsidRDefault="004F6A06" w:rsidP="004F6A06">
            <w:pPr>
              <w:pStyle w:val="Box"/>
            </w:pPr>
            <w:r>
              <w:rPr>
                <w:rFonts w:cs="Arial"/>
                <w:szCs w:val="26"/>
              </w:rPr>
              <w:t>D</w:t>
            </w:r>
            <w:r w:rsidRPr="00DF669E">
              <w:rPr>
                <w:rFonts w:cs="Arial"/>
                <w:szCs w:val="26"/>
              </w:rPr>
              <w:t xml:space="preserve">ata quality </w:t>
            </w:r>
            <w:r>
              <w:rPr>
                <w:rFonts w:cs="Arial"/>
                <w:szCs w:val="26"/>
              </w:rPr>
              <w:t xml:space="preserve">information </w:t>
            </w:r>
            <w:r w:rsidRPr="00DF669E">
              <w:rPr>
                <w:rFonts w:cs="Arial"/>
                <w:szCs w:val="26"/>
              </w:rPr>
              <w:t xml:space="preserve">for this indicator is at </w:t>
            </w:r>
            <w:proofErr w:type="spellStart"/>
            <w:r w:rsidRPr="00DF669E">
              <w:rPr>
                <w:rFonts w:cs="Arial"/>
                <w:szCs w:val="26"/>
              </w:rPr>
              <w:t>www</w:t>
            </w:r>
            <w:r w:rsidR="003F4FDF">
              <w:rPr>
                <w:rFonts w:cs="Arial"/>
                <w:szCs w:val="26"/>
              </w:rPr>
              <w:t>.pc.gov.au</w:t>
            </w:r>
            <w:proofErr w:type="spellEnd"/>
            <w:r>
              <w:rPr>
                <w:rFonts w:cs="Arial"/>
                <w:szCs w:val="26"/>
              </w:rPr>
              <w:t>/</w:t>
            </w:r>
            <w:proofErr w:type="spellStart"/>
            <w:r>
              <w:rPr>
                <w:rFonts w:cs="Arial"/>
                <w:szCs w:val="26"/>
              </w:rPr>
              <w:t>rogs</w:t>
            </w:r>
            <w:proofErr w:type="spellEnd"/>
            <w:r>
              <w:rPr>
                <w:rFonts w:cs="Arial"/>
                <w:szCs w:val="26"/>
              </w:rPr>
              <w:t>/</w:t>
            </w:r>
            <w:r w:rsidR="00CB534C">
              <w:rPr>
                <w:rFonts w:cs="Arial"/>
                <w:szCs w:val="26"/>
              </w:rPr>
              <w:t>2016</w:t>
            </w:r>
            <w:r w:rsidRPr="00DF669E">
              <w:rPr>
                <w:rFonts w:cs="Arial"/>
                <w:szCs w:val="26"/>
              </w:rPr>
              <w:t>.</w:t>
            </w:r>
          </w:p>
        </w:tc>
      </w:tr>
      <w:tr w:rsidR="004F6A06" w:rsidTr="000F4D37">
        <w:trPr>
          <w:cantSplit/>
        </w:trPr>
        <w:tc>
          <w:tcPr>
            <w:tcW w:w="8771" w:type="dxa"/>
            <w:tcBorders>
              <w:top w:val="nil"/>
              <w:left w:val="nil"/>
              <w:bottom w:val="single" w:sz="6" w:space="0" w:color="78A22F"/>
              <w:right w:val="nil"/>
            </w:tcBorders>
            <w:shd w:val="clear" w:color="auto" w:fill="F2F2F2"/>
          </w:tcPr>
          <w:p w:rsidR="004F6A06" w:rsidRDefault="004F6A06">
            <w:pPr>
              <w:pStyle w:val="Box"/>
              <w:spacing w:before="0" w:line="120" w:lineRule="exact"/>
            </w:pPr>
          </w:p>
        </w:tc>
      </w:tr>
      <w:tr w:rsidR="004F6A06" w:rsidRPr="000863A5" w:rsidTr="000F4D37">
        <w:tc>
          <w:tcPr>
            <w:tcW w:w="8771" w:type="dxa"/>
            <w:tcBorders>
              <w:top w:val="single" w:sz="6" w:space="0" w:color="78A22F"/>
              <w:left w:val="nil"/>
              <w:bottom w:val="nil"/>
              <w:right w:val="nil"/>
            </w:tcBorders>
          </w:tcPr>
          <w:p w:rsidR="004F6A06" w:rsidRPr="00626D32" w:rsidRDefault="004F6A06" w:rsidP="000F4D37">
            <w:pPr>
              <w:pStyle w:val="BoxSpaceBelow"/>
            </w:pPr>
          </w:p>
        </w:tc>
      </w:tr>
    </w:tbl>
    <w:p w:rsidR="00DA43DB" w:rsidRDefault="00391C7C" w:rsidP="00F97852">
      <w:pPr>
        <w:pStyle w:val="Heading5"/>
      </w:pPr>
      <w:r>
        <w:t>Proportion of children aged 3–</w:t>
      </w:r>
      <w:r w:rsidR="00DA43DB">
        <w:t xml:space="preserve">5 years enrolled in </w:t>
      </w:r>
      <w:r w:rsidR="00E837EC">
        <w:t>a preschoo</w:t>
      </w:r>
      <w:r w:rsidR="00DA43DB">
        <w:t>l</w:t>
      </w:r>
      <w:r w:rsidR="00E837EC">
        <w:t xml:space="preserve"> program</w:t>
      </w:r>
      <w:r w:rsidR="00DA43DB">
        <w:t xml:space="preserve"> who are from targeted special needs groups</w:t>
      </w:r>
      <w:r w:rsidR="003A5E67">
        <w:t>, compared with their representation in the community</w:t>
      </w:r>
    </w:p>
    <w:p w:rsidR="00A7405E" w:rsidRPr="00C41228" w:rsidRDefault="00306F17" w:rsidP="00C3586E">
      <w:pPr>
        <w:pStyle w:val="BodyText"/>
      </w:pPr>
      <w:r>
        <w:t>Nationally, r</w:t>
      </w:r>
      <w:r w:rsidR="00EE3AF2" w:rsidRPr="008818BC">
        <w:t xml:space="preserve">epresentation of </w:t>
      </w:r>
      <w:r w:rsidR="00EE3AF2">
        <w:t xml:space="preserve">3–5 year old </w:t>
      </w:r>
      <w:r w:rsidR="00EE3AF2" w:rsidRPr="008818BC">
        <w:t xml:space="preserve">children from special needs groups </w:t>
      </w:r>
      <w:r w:rsidR="00EE3AF2">
        <w:t xml:space="preserve">enrolled in a preschool program </w:t>
      </w:r>
      <w:r w:rsidR="00EE3AF2" w:rsidRPr="007406B3">
        <w:t xml:space="preserve">was lower than their representation in the community </w:t>
      </w:r>
      <w:r w:rsidR="0000253B" w:rsidRPr="007406B3">
        <w:t>for all groups except children from regional areas</w:t>
      </w:r>
      <w:r w:rsidR="00BF4CE7" w:rsidRPr="007406B3">
        <w:t xml:space="preserve"> </w:t>
      </w:r>
      <w:r w:rsidR="00BF4CE7">
        <w:t>(table</w:t>
      </w:r>
      <w:r w:rsidR="00697D43">
        <w:t> </w:t>
      </w:r>
      <w:r w:rsidR="00BF4CE7">
        <w:t>3.10</w:t>
      </w:r>
      <w:r w:rsidR="00EE3AF2">
        <w:t>)</w:t>
      </w:r>
      <w:r>
        <w:t>.</w:t>
      </w:r>
      <w:r w:rsidR="00EE3AF2" w:rsidRPr="008B42D1">
        <w:rPr>
          <w:rStyle w:val="BoxChar"/>
        </w:rPr>
        <w:t xml:space="preserve"> </w:t>
      </w:r>
    </w:p>
    <w:p w:rsidR="00356FAB" w:rsidRPr="00FF061E" w:rsidRDefault="00356FAB" w:rsidP="00C90405">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8771"/>
      </w:tblGrid>
      <w:tr w:rsidR="009F774F" w:rsidRPr="00773A00" w:rsidTr="00CE291A">
        <w:tc>
          <w:tcPr>
            <w:tcW w:w="8771" w:type="dxa"/>
            <w:tcBorders>
              <w:top w:val="single" w:sz="6" w:space="0" w:color="78A22F"/>
              <w:left w:val="nil"/>
              <w:bottom w:val="nil"/>
              <w:right w:val="nil"/>
            </w:tcBorders>
            <w:shd w:val="clear" w:color="auto" w:fill="auto"/>
          </w:tcPr>
          <w:p w:rsidR="009F774F" w:rsidRPr="00773A00" w:rsidRDefault="009F774F" w:rsidP="009F774F">
            <w:pPr>
              <w:pStyle w:val="TableTitle"/>
            </w:pPr>
            <w:r w:rsidRPr="00773A00">
              <w:rPr>
                <w:b w:val="0"/>
              </w:rPr>
              <w:t>Table 3.10</w:t>
            </w:r>
            <w:r w:rsidRPr="00773A00">
              <w:tab/>
              <w:t>Proportion of children aged 3–5 years enrolled in a preschool program who are from special needs groups, compared with their representation in the community (per cent)</w:t>
            </w:r>
            <w:r w:rsidRPr="00773A00">
              <w:rPr>
                <w:rStyle w:val="NoteLabel"/>
                <w:b/>
              </w:rPr>
              <w:t>a</w:t>
            </w:r>
          </w:p>
        </w:tc>
      </w:tr>
      <w:tr w:rsidR="009F774F" w:rsidRPr="00773A00" w:rsidTr="00CE291A">
        <w:trPr>
          <w:cantSplit/>
        </w:trPr>
        <w:tc>
          <w:tcPr>
            <w:tcW w:w="8771" w:type="dxa"/>
            <w:tcBorders>
              <w:top w:val="nil"/>
              <w:left w:val="nil"/>
              <w:bottom w:val="nil"/>
              <w:right w:val="nil"/>
            </w:tcBorders>
            <w:shd w:val="clear" w:color="auto" w:fill="auto"/>
          </w:tcPr>
          <w:tbl>
            <w:tblPr>
              <w:tblW w:w="5000" w:type="pct"/>
              <w:tblCellMar>
                <w:left w:w="0" w:type="dxa"/>
                <w:right w:w="0" w:type="dxa"/>
              </w:tblCellMar>
              <w:tblLook w:val="0000" w:firstRow="0" w:lastRow="0" w:firstColumn="0" w:lastColumn="0" w:noHBand="0" w:noVBand="0"/>
            </w:tblPr>
            <w:tblGrid>
              <w:gridCol w:w="2734"/>
              <w:gridCol w:w="682"/>
              <w:gridCol w:w="691"/>
              <w:gridCol w:w="22"/>
              <w:gridCol w:w="616"/>
              <w:gridCol w:w="19"/>
              <w:gridCol w:w="606"/>
              <w:gridCol w:w="14"/>
              <w:gridCol w:w="609"/>
              <w:gridCol w:w="10"/>
              <w:gridCol w:w="620"/>
              <w:gridCol w:w="625"/>
              <w:gridCol w:w="625"/>
              <w:gridCol w:w="614"/>
            </w:tblGrid>
            <w:tr w:rsidR="009F774F" w:rsidRPr="00773A00" w:rsidTr="00CE291A">
              <w:tc>
                <w:tcPr>
                  <w:tcW w:w="1611" w:type="pct"/>
                  <w:tcBorders>
                    <w:top w:val="single" w:sz="6" w:space="0" w:color="BFBFBF"/>
                    <w:bottom w:val="single" w:sz="6" w:space="0" w:color="BFBFBF"/>
                  </w:tcBorders>
                  <w:shd w:val="clear" w:color="auto" w:fill="auto"/>
                </w:tcPr>
                <w:p w:rsidR="009F774F" w:rsidRPr="00773A00" w:rsidRDefault="009F774F" w:rsidP="00CE291A">
                  <w:pPr>
                    <w:pStyle w:val="TableColumnHeading"/>
                    <w:jc w:val="left"/>
                  </w:pPr>
                </w:p>
              </w:tc>
              <w:tc>
                <w:tcPr>
                  <w:tcW w:w="402" w:type="pct"/>
                  <w:tcBorders>
                    <w:top w:val="single" w:sz="6" w:space="0" w:color="BFBFBF"/>
                    <w:bottom w:val="single" w:sz="6" w:space="0" w:color="BFBFBF"/>
                  </w:tcBorders>
                  <w:shd w:val="clear" w:color="auto" w:fill="auto"/>
                  <w:vAlign w:val="center"/>
                </w:tcPr>
                <w:p w:rsidR="009F774F" w:rsidRPr="00773A00" w:rsidRDefault="009F774F" w:rsidP="00CE291A">
                  <w:pPr>
                    <w:pStyle w:val="TableColumnHeading"/>
                  </w:pPr>
                  <w:r w:rsidRPr="00773A00">
                    <w:t>NSW</w:t>
                  </w:r>
                </w:p>
              </w:tc>
              <w:tc>
                <w:tcPr>
                  <w:tcW w:w="420" w:type="pct"/>
                  <w:gridSpan w:val="2"/>
                  <w:tcBorders>
                    <w:top w:val="single" w:sz="6" w:space="0" w:color="BFBFBF"/>
                    <w:bottom w:val="single" w:sz="6" w:space="0" w:color="BFBFBF"/>
                  </w:tcBorders>
                  <w:shd w:val="clear" w:color="auto" w:fill="auto"/>
                  <w:vAlign w:val="center"/>
                </w:tcPr>
                <w:p w:rsidR="009F774F" w:rsidRPr="00773A00" w:rsidRDefault="009F774F" w:rsidP="00CE291A">
                  <w:pPr>
                    <w:pStyle w:val="TableColumnHeading"/>
                  </w:pPr>
                  <w:r w:rsidRPr="00773A00">
                    <w:t>Vic</w:t>
                  </w:r>
                </w:p>
              </w:tc>
              <w:tc>
                <w:tcPr>
                  <w:tcW w:w="374" w:type="pct"/>
                  <w:gridSpan w:val="2"/>
                  <w:tcBorders>
                    <w:top w:val="single" w:sz="6" w:space="0" w:color="BFBFBF"/>
                    <w:bottom w:val="single" w:sz="6" w:space="0" w:color="BFBFBF"/>
                  </w:tcBorders>
                  <w:shd w:val="clear" w:color="auto" w:fill="auto"/>
                  <w:vAlign w:val="center"/>
                </w:tcPr>
                <w:p w:rsidR="009F774F" w:rsidRPr="00773A00" w:rsidRDefault="009F774F" w:rsidP="00CE291A">
                  <w:pPr>
                    <w:pStyle w:val="TableColumnHeading"/>
                  </w:pPr>
                  <w:r w:rsidRPr="00773A00">
                    <w:t>Qld</w:t>
                  </w:r>
                </w:p>
              </w:tc>
              <w:tc>
                <w:tcPr>
                  <w:tcW w:w="365" w:type="pct"/>
                  <w:gridSpan w:val="2"/>
                  <w:tcBorders>
                    <w:top w:val="single" w:sz="6" w:space="0" w:color="BFBFBF"/>
                    <w:bottom w:val="single" w:sz="6" w:space="0" w:color="BFBFBF"/>
                  </w:tcBorders>
                  <w:shd w:val="clear" w:color="auto" w:fill="auto"/>
                  <w:vAlign w:val="center"/>
                </w:tcPr>
                <w:p w:rsidR="009F774F" w:rsidRPr="00773A00" w:rsidRDefault="009F774F" w:rsidP="00CE291A">
                  <w:pPr>
                    <w:pStyle w:val="TableColumnHeading"/>
                  </w:pPr>
                  <w:r w:rsidRPr="00773A00">
                    <w:t>WA</w:t>
                  </w:r>
                </w:p>
              </w:tc>
              <w:tc>
                <w:tcPr>
                  <w:tcW w:w="365" w:type="pct"/>
                  <w:gridSpan w:val="2"/>
                  <w:tcBorders>
                    <w:top w:val="single" w:sz="6" w:space="0" w:color="BFBFBF"/>
                    <w:bottom w:val="single" w:sz="6" w:space="0" w:color="BFBFBF"/>
                  </w:tcBorders>
                  <w:shd w:val="clear" w:color="auto" w:fill="auto"/>
                  <w:vAlign w:val="center"/>
                </w:tcPr>
                <w:p w:rsidR="009F774F" w:rsidRPr="00773A00" w:rsidRDefault="009F774F" w:rsidP="00CE291A">
                  <w:pPr>
                    <w:pStyle w:val="TableColumnHeading"/>
                  </w:pPr>
                  <w:r w:rsidRPr="00773A00">
                    <w:t>SA</w:t>
                  </w:r>
                </w:p>
              </w:tc>
              <w:tc>
                <w:tcPr>
                  <w:tcW w:w="365" w:type="pct"/>
                  <w:tcBorders>
                    <w:top w:val="single" w:sz="6" w:space="0" w:color="BFBFBF"/>
                    <w:bottom w:val="single" w:sz="6" w:space="0" w:color="BFBFBF"/>
                  </w:tcBorders>
                  <w:shd w:val="clear" w:color="auto" w:fill="auto"/>
                  <w:vAlign w:val="center"/>
                </w:tcPr>
                <w:p w:rsidR="009F774F" w:rsidRPr="00773A00" w:rsidRDefault="009F774F" w:rsidP="00CE291A">
                  <w:pPr>
                    <w:pStyle w:val="TableColumnHeading"/>
                  </w:pPr>
                  <w:proofErr w:type="spellStart"/>
                  <w:r w:rsidRPr="00773A00">
                    <w:t>Tas</w:t>
                  </w:r>
                  <w:proofErr w:type="spellEnd"/>
                </w:p>
              </w:tc>
              <w:tc>
                <w:tcPr>
                  <w:tcW w:w="368" w:type="pct"/>
                  <w:tcBorders>
                    <w:top w:val="single" w:sz="6" w:space="0" w:color="BFBFBF"/>
                    <w:bottom w:val="single" w:sz="6" w:space="0" w:color="BFBFBF"/>
                  </w:tcBorders>
                  <w:shd w:val="clear" w:color="auto" w:fill="auto"/>
                  <w:vAlign w:val="center"/>
                </w:tcPr>
                <w:p w:rsidR="009F774F" w:rsidRPr="00773A00" w:rsidRDefault="009F774F" w:rsidP="00CE291A">
                  <w:pPr>
                    <w:pStyle w:val="TableColumnHeading"/>
                  </w:pPr>
                  <w:r w:rsidRPr="00773A00">
                    <w:t>ACT</w:t>
                  </w:r>
                </w:p>
              </w:tc>
              <w:tc>
                <w:tcPr>
                  <w:tcW w:w="368" w:type="pct"/>
                  <w:tcBorders>
                    <w:top w:val="single" w:sz="6" w:space="0" w:color="BFBFBF"/>
                    <w:bottom w:val="single" w:sz="6" w:space="0" w:color="BFBFBF"/>
                  </w:tcBorders>
                  <w:shd w:val="clear" w:color="auto" w:fill="auto"/>
                  <w:vAlign w:val="center"/>
                </w:tcPr>
                <w:p w:rsidR="009F774F" w:rsidRPr="00773A00" w:rsidRDefault="009F774F" w:rsidP="00CE291A">
                  <w:pPr>
                    <w:pStyle w:val="TableColumnHeading"/>
                  </w:pPr>
                  <w:r w:rsidRPr="00773A00">
                    <w:t>NT</w:t>
                  </w:r>
                </w:p>
              </w:tc>
              <w:tc>
                <w:tcPr>
                  <w:tcW w:w="362" w:type="pct"/>
                  <w:tcBorders>
                    <w:top w:val="single" w:sz="6" w:space="0" w:color="BFBFBF"/>
                    <w:bottom w:val="single" w:sz="6" w:space="0" w:color="BFBFBF"/>
                  </w:tcBorders>
                  <w:shd w:val="clear" w:color="auto" w:fill="auto"/>
                  <w:vAlign w:val="center"/>
                </w:tcPr>
                <w:p w:rsidR="009F774F" w:rsidRPr="00773A00" w:rsidRDefault="009F774F" w:rsidP="00CE291A">
                  <w:pPr>
                    <w:pStyle w:val="TableColumnHeading"/>
                  </w:pPr>
                  <w:proofErr w:type="spellStart"/>
                  <w:r w:rsidRPr="00773A00">
                    <w:t>Aust</w:t>
                  </w:r>
                  <w:proofErr w:type="spellEnd"/>
                </w:p>
              </w:tc>
            </w:tr>
            <w:tr w:rsidR="009F774F" w:rsidRPr="00773A00" w:rsidTr="00CE291A">
              <w:tc>
                <w:tcPr>
                  <w:tcW w:w="5000" w:type="pct"/>
                  <w:gridSpan w:val="14"/>
                  <w:tcBorders>
                    <w:top w:val="single" w:sz="6" w:space="0" w:color="BFBFBF"/>
                  </w:tcBorders>
                </w:tcPr>
                <w:p w:rsidR="009F774F" w:rsidRPr="00773A00" w:rsidRDefault="009F774F" w:rsidP="00CE291A">
                  <w:pPr>
                    <w:pStyle w:val="TableBodyText"/>
                    <w:spacing w:before="60"/>
                    <w:ind w:right="28"/>
                    <w:jc w:val="left"/>
                    <w:rPr>
                      <w:i/>
                    </w:rPr>
                  </w:pPr>
                  <w:r w:rsidRPr="00773A00">
                    <w:rPr>
                      <w:i/>
                    </w:rPr>
                    <w:t xml:space="preserve">Children from </w:t>
                  </w:r>
                  <w:proofErr w:type="spellStart"/>
                  <w:r w:rsidRPr="00773A00">
                    <w:rPr>
                      <w:i/>
                    </w:rPr>
                    <w:t>NESB</w:t>
                  </w:r>
                  <w:proofErr w:type="spellEnd"/>
                </w:p>
              </w:tc>
            </w:tr>
            <w:tr w:rsidR="009F774F" w:rsidRPr="00773A00" w:rsidTr="00CE291A">
              <w:tc>
                <w:tcPr>
                  <w:tcW w:w="1611" w:type="pct"/>
                </w:tcPr>
                <w:p w:rsidR="009F774F" w:rsidRPr="00773A00" w:rsidRDefault="009F774F" w:rsidP="00CE291A">
                  <w:pPr>
                    <w:pStyle w:val="TableBodyText"/>
                    <w:ind w:left="0" w:firstLine="142"/>
                    <w:jc w:val="left"/>
                    <w:rPr>
                      <w:rStyle w:val="DraftingNote"/>
                      <w:color w:val="auto"/>
                      <w:sz w:val="20"/>
                    </w:rPr>
                  </w:pPr>
                  <w:r w:rsidRPr="00773A00">
                    <w:t>In a preschool program, 2014</w:t>
                  </w:r>
                </w:p>
              </w:tc>
              <w:tc>
                <w:tcPr>
                  <w:tcW w:w="402" w:type="pct"/>
                  <w:vAlign w:val="center"/>
                </w:tcPr>
                <w:p w:rsidR="009F774F" w:rsidRPr="00773A00" w:rsidRDefault="002D438E" w:rsidP="00CE291A">
                  <w:pPr>
                    <w:pStyle w:val="TableUnitsRow"/>
                  </w:pPr>
                  <w:r w:rsidRPr="00773A00">
                    <w:t xml:space="preserve"> </w:t>
                  </w:r>
                  <w:r w:rsidR="009F774F" w:rsidRPr="00773A00">
                    <w:t>19.4</w:t>
                  </w:r>
                </w:p>
              </w:tc>
              <w:tc>
                <w:tcPr>
                  <w:tcW w:w="407" w:type="pct"/>
                  <w:vAlign w:val="center"/>
                </w:tcPr>
                <w:p w:rsidR="009F774F" w:rsidRPr="00773A00" w:rsidRDefault="002D438E" w:rsidP="00CE291A">
                  <w:pPr>
                    <w:pStyle w:val="TableUnitsRow"/>
                  </w:pPr>
                  <w:r w:rsidRPr="00773A00">
                    <w:t xml:space="preserve"> </w:t>
                  </w:r>
                  <w:r w:rsidR="009F774F" w:rsidRPr="00773A00">
                    <w:t>13.3</w:t>
                  </w:r>
                </w:p>
              </w:tc>
              <w:tc>
                <w:tcPr>
                  <w:tcW w:w="387" w:type="pct"/>
                  <w:gridSpan w:val="3"/>
                  <w:vAlign w:val="center"/>
                </w:tcPr>
                <w:p w:rsidR="009F774F" w:rsidRPr="00773A00" w:rsidRDefault="002D438E" w:rsidP="00CE291A">
                  <w:pPr>
                    <w:pStyle w:val="TableUnitsRow"/>
                  </w:pPr>
                  <w:r w:rsidRPr="00773A00">
                    <w:t xml:space="preserve"> </w:t>
                  </w:r>
                  <w:r w:rsidR="009F774F" w:rsidRPr="00773A00">
                    <w:t>7.6</w:t>
                  </w:r>
                </w:p>
              </w:tc>
              <w:tc>
                <w:tcPr>
                  <w:tcW w:w="365" w:type="pct"/>
                  <w:gridSpan w:val="2"/>
                  <w:vAlign w:val="center"/>
                </w:tcPr>
                <w:p w:rsidR="009F774F" w:rsidRPr="00773A00" w:rsidRDefault="009F774F" w:rsidP="00CE291A">
                  <w:pPr>
                    <w:pStyle w:val="TableUnitsRow"/>
                  </w:pPr>
                  <w:proofErr w:type="spellStart"/>
                  <w:r w:rsidRPr="00773A00">
                    <w:t>na</w:t>
                  </w:r>
                  <w:proofErr w:type="spellEnd"/>
                </w:p>
              </w:tc>
              <w:tc>
                <w:tcPr>
                  <w:tcW w:w="365" w:type="pct"/>
                  <w:gridSpan w:val="2"/>
                  <w:vAlign w:val="center"/>
                </w:tcPr>
                <w:p w:rsidR="009F774F" w:rsidRPr="00773A00" w:rsidRDefault="002D438E" w:rsidP="00CE291A">
                  <w:pPr>
                    <w:pStyle w:val="TableUnitsRow"/>
                  </w:pPr>
                  <w:r w:rsidRPr="00773A00">
                    <w:t xml:space="preserve"> </w:t>
                  </w:r>
                  <w:r w:rsidR="009F774F" w:rsidRPr="00773A00">
                    <w:t>11.2</w:t>
                  </w:r>
                </w:p>
              </w:tc>
              <w:tc>
                <w:tcPr>
                  <w:tcW w:w="365" w:type="pct"/>
                  <w:vAlign w:val="center"/>
                </w:tcPr>
                <w:p w:rsidR="009F774F" w:rsidRPr="00773A00" w:rsidRDefault="002D438E" w:rsidP="00CE291A">
                  <w:pPr>
                    <w:pStyle w:val="TableUnitsRow"/>
                  </w:pPr>
                  <w:r w:rsidRPr="00773A00">
                    <w:t xml:space="preserve"> </w:t>
                  </w:r>
                  <w:r w:rsidR="009F774F" w:rsidRPr="00773A00">
                    <w:t>2.8</w:t>
                  </w:r>
                </w:p>
              </w:tc>
              <w:tc>
                <w:tcPr>
                  <w:tcW w:w="368" w:type="pct"/>
                  <w:vAlign w:val="center"/>
                </w:tcPr>
                <w:p w:rsidR="009F774F" w:rsidRPr="00773A00" w:rsidRDefault="002D438E" w:rsidP="00CE291A">
                  <w:pPr>
                    <w:pStyle w:val="TableUnitsRow"/>
                  </w:pPr>
                  <w:r w:rsidRPr="00773A00">
                    <w:t xml:space="preserve"> </w:t>
                  </w:r>
                  <w:r w:rsidR="009F774F" w:rsidRPr="00773A00">
                    <w:t>29.6</w:t>
                  </w:r>
                </w:p>
              </w:tc>
              <w:tc>
                <w:tcPr>
                  <w:tcW w:w="368" w:type="pct"/>
                  <w:vAlign w:val="center"/>
                </w:tcPr>
                <w:p w:rsidR="009F774F" w:rsidRPr="00773A00" w:rsidRDefault="009F774F" w:rsidP="00CE291A">
                  <w:pPr>
                    <w:pStyle w:val="TableUnitsRow"/>
                  </w:pPr>
                  <w:proofErr w:type="spellStart"/>
                  <w:r w:rsidRPr="00773A00">
                    <w:t>na</w:t>
                  </w:r>
                  <w:proofErr w:type="spellEnd"/>
                </w:p>
              </w:tc>
              <w:tc>
                <w:tcPr>
                  <w:tcW w:w="362" w:type="pct"/>
                  <w:vAlign w:val="center"/>
                </w:tcPr>
                <w:p w:rsidR="009F774F" w:rsidRPr="00773A00" w:rsidRDefault="002D438E" w:rsidP="00CE291A">
                  <w:pPr>
                    <w:pStyle w:val="TableUnitsRow"/>
                  </w:pPr>
                  <w:r w:rsidRPr="00773A00">
                    <w:t xml:space="preserve"> </w:t>
                  </w:r>
                  <w:r w:rsidR="009F774F" w:rsidRPr="00773A00">
                    <w:t>11.1</w:t>
                  </w:r>
                </w:p>
              </w:tc>
            </w:tr>
            <w:tr w:rsidR="009F774F" w:rsidRPr="00773A00" w:rsidTr="00CE291A">
              <w:tc>
                <w:tcPr>
                  <w:tcW w:w="1611" w:type="pct"/>
                </w:tcPr>
                <w:p w:rsidR="009F774F" w:rsidRPr="00773A00" w:rsidRDefault="009F774F" w:rsidP="00CE291A">
                  <w:pPr>
                    <w:pStyle w:val="TableBodyText"/>
                    <w:ind w:left="0" w:firstLine="142"/>
                    <w:jc w:val="left"/>
                  </w:pPr>
                  <w:r w:rsidRPr="00773A00">
                    <w:t xml:space="preserve">In the community, 2011 </w:t>
                  </w:r>
                </w:p>
              </w:tc>
              <w:tc>
                <w:tcPr>
                  <w:tcW w:w="402" w:type="pct"/>
                </w:tcPr>
                <w:p w:rsidR="009F774F" w:rsidRPr="00773A00" w:rsidRDefault="009F774F" w:rsidP="00CE291A">
                  <w:pPr>
                    <w:pStyle w:val="TableUnitsRow"/>
                  </w:pPr>
                  <w:r w:rsidRPr="00773A00">
                    <w:t>23.7</w:t>
                  </w:r>
                </w:p>
              </w:tc>
              <w:tc>
                <w:tcPr>
                  <w:tcW w:w="407" w:type="pct"/>
                </w:tcPr>
                <w:p w:rsidR="009F774F" w:rsidRPr="00773A00" w:rsidRDefault="009F774F" w:rsidP="00CE291A">
                  <w:pPr>
                    <w:pStyle w:val="TableUnitsRow"/>
                  </w:pPr>
                  <w:r w:rsidRPr="00773A00">
                    <w:t>23.4</w:t>
                  </w:r>
                </w:p>
              </w:tc>
              <w:tc>
                <w:tcPr>
                  <w:tcW w:w="387" w:type="pct"/>
                  <w:gridSpan w:val="3"/>
                </w:tcPr>
                <w:p w:rsidR="009F774F" w:rsidRPr="00773A00" w:rsidRDefault="009F774F" w:rsidP="00CE291A">
                  <w:pPr>
                    <w:pStyle w:val="TableUnitsRow"/>
                  </w:pPr>
                  <w:r w:rsidRPr="00773A00">
                    <w:t>13.2</w:t>
                  </w:r>
                </w:p>
              </w:tc>
              <w:tc>
                <w:tcPr>
                  <w:tcW w:w="365" w:type="pct"/>
                  <w:gridSpan w:val="2"/>
                </w:tcPr>
                <w:p w:rsidR="009F774F" w:rsidRPr="00773A00" w:rsidRDefault="009F774F" w:rsidP="00CE291A">
                  <w:pPr>
                    <w:pStyle w:val="TableUnitsRow"/>
                  </w:pPr>
                  <w:r w:rsidRPr="00773A00">
                    <w:t>17.7</w:t>
                  </w:r>
                </w:p>
              </w:tc>
              <w:tc>
                <w:tcPr>
                  <w:tcW w:w="365" w:type="pct"/>
                  <w:gridSpan w:val="2"/>
                </w:tcPr>
                <w:p w:rsidR="009F774F" w:rsidRPr="00773A00" w:rsidRDefault="009F774F" w:rsidP="00CE291A">
                  <w:pPr>
                    <w:pStyle w:val="TableUnitsRow"/>
                  </w:pPr>
                  <w:r w:rsidRPr="00773A00">
                    <w:t>15.4</w:t>
                  </w:r>
                </w:p>
              </w:tc>
              <w:tc>
                <w:tcPr>
                  <w:tcW w:w="365" w:type="pct"/>
                </w:tcPr>
                <w:p w:rsidR="009F774F" w:rsidRPr="00773A00" w:rsidRDefault="009F774F" w:rsidP="00CE291A">
                  <w:pPr>
                    <w:pStyle w:val="TableUnitsRow"/>
                  </w:pPr>
                  <w:r w:rsidRPr="00773A00">
                    <w:t>7.4</w:t>
                  </w:r>
                </w:p>
              </w:tc>
              <w:tc>
                <w:tcPr>
                  <w:tcW w:w="368" w:type="pct"/>
                </w:tcPr>
                <w:p w:rsidR="009F774F" w:rsidRPr="00773A00" w:rsidRDefault="009F774F" w:rsidP="00CE291A">
                  <w:pPr>
                    <w:pStyle w:val="TableUnitsRow"/>
                  </w:pPr>
                  <w:r w:rsidRPr="00773A00">
                    <w:t>19.6</w:t>
                  </w:r>
                </w:p>
              </w:tc>
              <w:tc>
                <w:tcPr>
                  <w:tcW w:w="368" w:type="pct"/>
                </w:tcPr>
                <w:p w:rsidR="009F774F" w:rsidRPr="00773A00" w:rsidRDefault="009F774F" w:rsidP="00CE291A">
                  <w:pPr>
                    <w:pStyle w:val="TableUnitsRow"/>
                  </w:pPr>
                  <w:r w:rsidRPr="00773A00">
                    <w:t>39.3</w:t>
                  </w:r>
                </w:p>
              </w:tc>
              <w:tc>
                <w:tcPr>
                  <w:tcW w:w="362" w:type="pct"/>
                </w:tcPr>
                <w:p w:rsidR="009F774F" w:rsidRPr="00773A00" w:rsidRDefault="009F774F" w:rsidP="00CE291A">
                  <w:pPr>
                    <w:pStyle w:val="TableUnitsRow"/>
                  </w:pPr>
                  <w:r w:rsidRPr="00773A00">
                    <w:t>20.0</w:t>
                  </w:r>
                </w:p>
              </w:tc>
            </w:tr>
            <w:tr w:rsidR="009F774F" w:rsidRPr="00773A00" w:rsidTr="00CE291A">
              <w:tc>
                <w:tcPr>
                  <w:tcW w:w="5000" w:type="pct"/>
                  <w:gridSpan w:val="14"/>
                </w:tcPr>
                <w:p w:rsidR="009F774F" w:rsidRPr="00773A00" w:rsidRDefault="009F774F" w:rsidP="00CE291A">
                  <w:pPr>
                    <w:pStyle w:val="TableBodyText"/>
                    <w:jc w:val="left"/>
                    <w:rPr>
                      <w:i/>
                    </w:rPr>
                  </w:pPr>
                  <w:r w:rsidRPr="00773A00">
                    <w:rPr>
                      <w:i/>
                    </w:rPr>
                    <w:t>Children with disability</w:t>
                  </w:r>
                </w:p>
              </w:tc>
            </w:tr>
            <w:tr w:rsidR="009F774F" w:rsidRPr="00773A00" w:rsidTr="00CE291A">
              <w:tc>
                <w:tcPr>
                  <w:tcW w:w="1611" w:type="pct"/>
                </w:tcPr>
                <w:p w:rsidR="009F774F" w:rsidRPr="00773A00" w:rsidRDefault="009F774F" w:rsidP="00CE291A">
                  <w:pPr>
                    <w:pStyle w:val="TableBodyText"/>
                    <w:ind w:left="0" w:firstLine="142"/>
                    <w:jc w:val="left"/>
                  </w:pPr>
                  <w:r w:rsidRPr="00773A00">
                    <w:t>In a preschool program, 2014</w:t>
                  </w:r>
                </w:p>
              </w:tc>
              <w:tc>
                <w:tcPr>
                  <w:tcW w:w="402" w:type="pct"/>
                  <w:vAlign w:val="center"/>
                </w:tcPr>
                <w:p w:rsidR="009F774F" w:rsidRPr="00773A00" w:rsidRDefault="002D438E" w:rsidP="00CE291A">
                  <w:pPr>
                    <w:pStyle w:val="TableUnitsRow"/>
                  </w:pPr>
                  <w:r w:rsidRPr="00773A00">
                    <w:t xml:space="preserve"> </w:t>
                  </w:r>
                  <w:r w:rsidR="009F774F" w:rsidRPr="00773A00">
                    <w:t>10.4</w:t>
                  </w:r>
                </w:p>
              </w:tc>
              <w:tc>
                <w:tcPr>
                  <w:tcW w:w="407" w:type="pct"/>
                  <w:vAlign w:val="center"/>
                </w:tcPr>
                <w:p w:rsidR="009F774F" w:rsidRPr="00773A00" w:rsidRDefault="002D438E" w:rsidP="00CE291A">
                  <w:pPr>
                    <w:pStyle w:val="TableUnitsRow"/>
                  </w:pPr>
                  <w:r w:rsidRPr="00773A00">
                    <w:t xml:space="preserve"> </w:t>
                  </w:r>
                  <w:r w:rsidR="009F774F" w:rsidRPr="00773A00">
                    <w:t>3.9</w:t>
                  </w:r>
                </w:p>
              </w:tc>
              <w:tc>
                <w:tcPr>
                  <w:tcW w:w="387" w:type="pct"/>
                  <w:gridSpan w:val="3"/>
                  <w:vAlign w:val="center"/>
                </w:tcPr>
                <w:p w:rsidR="009F774F" w:rsidRPr="00773A00" w:rsidRDefault="002D438E" w:rsidP="00CE291A">
                  <w:pPr>
                    <w:pStyle w:val="TableUnitsRow"/>
                  </w:pPr>
                  <w:r w:rsidRPr="00773A00">
                    <w:t xml:space="preserve"> </w:t>
                  </w:r>
                  <w:r w:rsidR="009F774F" w:rsidRPr="00773A00">
                    <w:t>4.0</w:t>
                  </w:r>
                </w:p>
              </w:tc>
              <w:tc>
                <w:tcPr>
                  <w:tcW w:w="365" w:type="pct"/>
                  <w:gridSpan w:val="2"/>
                  <w:vAlign w:val="center"/>
                </w:tcPr>
                <w:p w:rsidR="009F774F" w:rsidRPr="00773A00" w:rsidRDefault="002D438E" w:rsidP="00CE291A">
                  <w:pPr>
                    <w:pStyle w:val="TableUnitsRow"/>
                  </w:pPr>
                  <w:r w:rsidRPr="00773A00">
                    <w:t xml:space="preserve"> </w:t>
                  </w:r>
                  <w:r w:rsidR="009F774F" w:rsidRPr="00773A00">
                    <w:t>3.0</w:t>
                  </w:r>
                </w:p>
              </w:tc>
              <w:tc>
                <w:tcPr>
                  <w:tcW w:w="365" w:type="pct"/>
                  <w:gridSpan w:val="2"/>
                  <w:vAlign w:val="center"/>
                </w:tcPr>
                <w:p w:rsidR="009F774F" w:rsidRPr="00773A00" w:rsidRDefault="002D438E" w:rsidP="00CE291A">
                  <w:pPr>
                    <w:pStyle w:val="TableUnitsRow"/>
                  </w:pPr>
                  <w:r w:rsidRPr="00773A00">
                    <w:t xml:space="preserve"> </w:t>
                  </w:r>
                  <w:r w:rsidR="009F774F" w:rsidRPr="00773A00">
                    <w:t>14.2</w:t>
                  </w:r>
                </w:p>
              </w:tc>
              <w:tc>
                <w:tcPr>
                  <w:tcW w:w="365" w:type="pct"/>
                  <w:vAlign w:val="center"/>
                </w:tcPr>
                <w:p w:rsidR="009F774F" w:rsidRPr="00773A00" w:rsidRDefault="002D438E" w:rsidP="00CE291A">
                  <w:pPr>
                    <w:pStyle w:val="TableUnitsRow"/>
                  </w:pPr>
                  <w:r w:rsidRPr="00773A00">
                    <w:t xml:space="preserve"> </w:t>
                  </w:r>
                  <w:r w:rsidR="009F774F" w:rsidRPr="00773A00">
                    <w:t>4.5</w:t>
                  </w:r>
                </w:p>
              </w:tc>
              <w:tc>
                <w:tcPr>
                  <w:tcW w:w="368" w:type="pct"/>
                  <w:vAlign w:val="center"/>
                </w:tcPr>
                <w:p w:rsidR="009F774F" w:rsidRPr="00773A00" w:rsidRDefault="002D438E" w:rsidP="00CE291A">
                  <w:pPr>
                    <w:pStyle w:val="TableUnitsRow"/>
                  </w:pPr>
                  <w:r w:rsidRPr="00773A00">
                    <w:t xml:space="preserve"> </w:t>
                  </w:r>
                  <w:r w:rsidR="009F774F" w:rsidRPr="00773A00">
                    <w:t>6.1</w:t>
                  </w:r>
                </w:p>
              </w:tc>
              <w:tc>
                <w:tcPr>
                  <w:tcW w:w="368" w:type="pct"/>
                  <w:vAlign w:val="center"/>
                </w:tcPr>
                <w:p w:rsidR="009F774F" w:rsidRPr="00773A00" w:rsidRDefault="002D438E" w:rsidP="00CE291A">
                  <w:pPr>
                    <w:pStyle w:val="TableUnitsRow"/>
                  </w:pPr>
                  <w:r w:rsidRPr="00773A00">
                    <w:t xml:space="preserve"> </w:t>
                  </w:r>
                  <w:r w:rsidR="009F774F" w:rsidRPr="00773A00">
                    <w:t>8.5</w:t>
                  </w:r>
                </w:p>
              </w:tc>
              <w:tc>
                <w:tcPr>
                  <w:tcW w:w="362" w:type="pct"/>
                  <w:vAlign w:val="center"/>
                </w:tcPr>
                <w:p w:rsidR="009F774F" w:rsidRPr="00773A00" w:rsidRDefault="002D438E" w:rsidP="00CE291A">
                  <w:pPr>
                    <w:pStyle w:val="TableUnitsRow"/>
                  </w:pPr>
                  <w:r w:rsidRPr="00773A00">
                    <w:t xml:space="preserve"> </w:t>
                  </w:r>
                  <w:r w:rsidR="009F774F" w:rsidRPr="00773A00">
                    <w:t>6.0</w:t>
                  </w:r>
                </w:p>
              </w:tc>
            </w:tr>
            <w:tr w:rsidR="009F774F" w:rsidRPr="00773A00" w:rsidTr="00CE291A">
              <w:tc>
                <w:tcPr>
                  <w:tcW w:w="1611" w:type="pct"/>
                </w:tcPr>
                <w:p w:rsidR="009F774F" w:rsidRPr="00773A00" w:rsidRDefault="009F774F" w:rsidP="00CE291A">
                  <w:pPr>
                    <w:pStyle w:val="TableBodyText"/>
                    <w:ind w:left="0" w:firstLine="142"/>
                    <w:jc w:val="left"/>
                  </w:pPr>
                  <w:r w:rsidRPr="00773A00">
                    <w:t>In the community, 2012</w:t>
                  </w:r>
                </w:p>
              </w:tc>
              <w:tc>
                <w:tcPr>
                  <w:tcW w:w="402" w:type="pct"/>
                </w:tcPr>
                <w:p w:rsidR="009F774F" w:rsidRPr="00773A00" w:rsidRDefault="009F774F" w:rsidP="00CE291A">
                  <w:pPr>
                    <w:pStyle w:val="TableUnitsRow"/>
                  </w:pPr>
                  <w:r w:rsidRPr="00773A00">
                    <w:t>6.2</w:t>
                  </w:r>
                </w:p>
              </w:tc>
              <w:tc>
                <w:tcPr>
                  <w:tcW w:w="407" w:type="pct"/>
                </w:tcPr>
                <w:p w:rsidR="009F774F" w:rsidRPr="00773A00" w:rsidRDefault="009F774F" w:rsidP="00CE291A">
                  <w:pPr>
                    <w:pStyle w:val="TableUnitsRow"/>
                  </w:pPr>
                  <w:r w:rsidRPr="00773A00">
                    <w:t>6.9</w:t>
                  </w:r>
                </w:p>
              </w:tc>
              <w:tc>
                <w:tcPr>
                  <w:tcW w:w="387" w:type="pct"/>
                  <w:gridSpan w:val="3"/>
                </w:tcPr>
                <w:p w:rsidR="009F774F" w:rsidRPr="00773A00" w:rsidRDefault="009F774F" w:rsidP="00CE291A">
                  <w:pPr>
                    <w:pStyle w:val="TableUnitsRow"/>
                  </w:pPr>
                  <w:r w:rsidRPr="00773A00">
                    <w:t>4.2</w:t>
                  </w:r>
                </w:p>
              </w:tc>
              <w:tc>
                <w:tcPr>
                  <w:tcW w:w="365" w:type="pct"/>
                  <w:gridSpan w:val="2"/>
                </w:tcPr>
                <w:p w:rsidR="009F774F" w:rsidRPr="00773A00" w:rsidRDefault="009F774F" w:rsidP="00CE291A">
                  <w:pPr>
                    <w:pStyle w:val="TableUnitsRow"/>
                  </w:pPr>
                  <w:r w:rsidRPr="00773A00">
                    <w:t>7.1</w:t>
                  </w:r>
                </w:p>
              </w:tc>
              <w:tc>
                <w:tcPr>
                  <w:tcW w:w="365" w:type="pct"/>
                  <w:gridSpan w:val="2"/>
                </w:tcPr>
                <w:p w:rsidR="009F774F" w:rsidRPr="00773A00" w:rsidRDefault="009F774F" w:rsidP="00CE291A">
                  <w:pPr>
                    <w:pStyle w:val="TableUnitsRow"/>
                  </w:pPr>
                  <w:r w:rsidRPr="00773A00">
                    <w:t>9.2</w:t>
                  </w:r>
                </w:p>
              </w:tc>
              <w:tc>
                <w:tcPr>
                  <w:tcW w:w="365" w:type="pct"/>
                </w:tcPr>
                <w:p w:rsidR="009F774F" w:rsidRPr="00773A00" w:rsidRDefault="009F774F" w:rsidP="00CE291A">
                  <w:pPr>
                    <w:pStyle w:val="TableUnitsRow"/>
                  </w:pPr>
                  <w:r w:rsidRPr="00773A00">
                    <w:t>9.0</w:t>
                  </w:r>
                </w:p>
              </w:tc>
              <w:tc>
                <w:tcPr>
                  <w:tcW w:w="368" w:type="pct"/>
                </w:tcPr>
                <w:p w:rsidR="009F774F" w:rsidRPr="00773A00" w:rsidRDefault="009F774F" w:rsidP="00CE291A">
                  <w:pPr>
                    <w:pStyle w:val="TableUnitsRow"/>
                  </w:pPr>
                  <w:r w:rsidRPr="00773A00">
                    <w:t>4.7</w:t>
                  </w:r>
                </w:p>
              </w:tc>
              <w:tc>
                <w:tcPr>
                  <w:tcW w:w="368" w:type="pct"/>
                </w:tcPr>
                <w:p w:rsidR="009F774F" w:rsidRPr="00773A00" w:rsidRDefault="009F774F" w:rsidP="00CE291A">
                  <w:pPr>
                    <w:pStyle w:val="TableUnitsRow"/>
                  </w:pPr>
                  <w:r w:rsidRPr="00773A00">
                    <w:t>np</w:t>
                  </w:r>
                </w:p>
              </w:tc>
              <w:tc>
                <w:tcPr>
                  <w:tcW w:w="362" w:type="pct"/>
                </w:tcPr>
                <w:p w:rsidR="009F774F" w:rsidRPr="00773A00" w:rsidRDefault="009F774F" w:rsidP="00CE291A">
                  <w:pPr>
                    <w:pStyle w:val="TableUnitsRow"/>
                  </w:pPr>
                  <w:r w:rsidRPr="00773A00">
                    <w:t>6.2</w:t>
                  </w:r>
                </w:p>
              </w:tc>
            </w:tr>
            <w:tr w:rsidR="009F774F" w:rsidRPr="00773A00" w:rsidTr="00CE291A">
              <w:tc>
                <w:tcPr>
                  <w:tcW w:w="5000" w:type="pct"/>
                  <w:gridSpan w:val="14"/>
                </w:tcPr>
                <w:p w:rsidR="009F774F" w:rsidRPr="00773A00" w:rsidRDefault="009F774F" w:rsidP="00CE291A">
                  <w:pPr>
                    <w:pStyle w:val="TableBodyText"/>
                    <w:jc w:val="left"/>
                    <w:rPr>
                      <w:i/>
                    </w:rPr>
                  </w:pPr>
                  <w:r w:rsidRPr="00773A00">
                    <w:rPr>
                      <w:i/>
                    </w:rPr>
                    <w:t>Aboriginal and Torres Strait Islander children</w:t>
                  </w:r>
                </w:p>
              </w:tc>
            </w:tr>
            <w:tr w:rsidR="009F774F" w:rsidRPr="00773A00" w:rsidTr="00CE291A">
              <w:trPr>
                <w:trHeight w:val="246"/>
              </w:trPr>
              <w:tc>
                <w:tcPr>
                  <w:tcW w:w="1611" w:type="pct"/>
                </w:tcPr>
                <w:p w:rsidR="009F774F" w:rsidRPr="00773A00" w:rsidRDefault="009F774F" w:rsidP="00CE291A">
                  <w:pPr>
                    <w:pStyle w:val="TableBodyText"/>
                    <w:ind w:left="0" w:firstLine="142"/>
                    <w:jc w:val="left"/>
                  </w:pPr>
                  <w:r w:rsidRPr="00773A00">
                    <w:t>In a preschool program, 2014</w:t>
                  </w:r>
                </w:p>
              </w:tc>
              <w:tc>
                <w:tcPr>
                  <w:tcW w:w="402" w:type="pct"/>
                </w:tcPr>
                <w:p w:rsidR="009F774F" w:rsidRPr="00773A00" w:rsidRDefault="009F774F" w:rsidP="00CE291A">
                  <w:pPr>
                    <w:pStyle w:val="TableUnitsRow"/>
                  </w:pPr>
                  <w:r w:rsidRPr="00773A00">
                    <w:t>4.7</w:t>
                  </w:r>
                </w:p>
              </w:tc>
              <w:tc>
                <w:tcPr>
                  <w:tcW w:w="407" w:type="pct"/>
                </w:tcPr>
                <w:p w:rsidR="009F774F" w:rsidRPr="00773A00" w:rsidRDefault="009F774F" w:rsidP="00CE291A">
                  <w:pPr>
                    <w:pStyle w:val="TableUnitsRow"/>
                  </w:pPr>
                  <w:r w:rsidRPr="00773A00">
                    <w:t>1.4</w:t>
                  </w:r>
                </w:p>
              </w:tc>
              <w:tc>
                <w:tcPr>
                  <w:tcW w:w="376" w:type="pct"/>
                  <w:gridSpan w:val="2"/>
                </w:tcPr>
                <w:p w:rsidR="009F774F" w:rsidRPr="00773A00" w:rsidRDefault="009F774F" w:rsidP="00CE291A">
                  <w:pPr>
                    <w:pStyle w:val="TableUnitsRow"/>
                  </w:pPr>
                  <w:r w:rsidRPr="00773A00">
                    <w:t>4.9</w:t>
                  </w:r>
                </w:p>
              </w:tc>
              <w:tc>
                <w:tcPr>
                  <w:tcW w:w="368" w:type="pct"/>
                  <w:gridSpan w:val="2"/>
                </w:tcPr>
                <w:p w:rsidR="009F774F" w:rsidRPr="00773A00" w:rsidRDefault="009F774F" w:rsidP="00CE291A">
                  <w:pPr>
                    <w:pStyle w:val="TableUnitsRow"/>
                  </w:pPr>
                  <w:r w:rsidRPr="00773A00">
                    <w:t>5.9</w:t>
                  </w:r>
                </w:p>
              </w:tc>
              <w:tc>
                <w:tcPr>
                  <w:tcW w:w="367" w:type="pct"/>
                  <w:gridSpan w:val="2"/>
                </w:tcPr>
                <w:p w:rsidR="009F774F" w:rsidRPr="00773A00" w:rsidRDefault="009F774F" w:rsidP="00CE291A">
                  <w:pPr>
                    <w:pStyle w:val="TableUnitsRow"/>
                  </w:pPr>
                  <w:r w:rsidRPr="00773A00">
                    <w:t>6.5</w:t>
                  </w:r>
                </w:p>
              </w:tc>
              <w:tc>
                <w:tcPr>
                  <w:tcW w:w="371" w:type="pct"/>
                  <w:gridSpan w:val="2"/>
                </w:tcPr>
                <w:p w:rsidR="009F774F" w:rsidRPr="00773A00" w:rsidRDefault="009F774F" w:rsidP="00CE291A">
                  <w:pPr>
                    <w:pStyle w:val="TableUnitsRow"/>
                  </w:pPr>
                  <w:r w:rsidRPr="00773A00">
                    <w:t>8.6</w:t>
                  </w:r>
                </w:p>
              </w:tc>
              <w:tc>
                <w:tcPr>
                  <w:tcW w:w="368" w:type="pct"/>
                </w:tcPr>
                <w:p w:rsidR="009F774F" w:rsidRPr="00773A00" w:rsidRDefault="009F774F" w:rsidP="00CE291A">
                  <w:pPr>
                    <w:pStyle w:val="TableUnitsRow"/>
                  </w:pPr>
                  <w:r w:rsidRPr="00773A00">
                    <w:t>2.3</w:t>
                  </w:r>
                </w:p>
              </w:tc>
              <w:tc>
                <w:tcPr>
                  <w:tcW w:w="368" w:type="pct"/>
                </w:tcPr>
                <w:p w:rsidR="009F774F" w:rsidRPr="00773A00" w:rsidRDefault="009F774F" w:rsidP="00CE291A">
                  <w:pPr>
                    <w:pStyle w:val="TableUnitsRow"/>
                  </w:pPr>
                  <w:r w:rsidRPr="00773A00">
                    <w:t>35.4</w:t>
                  </w:r>
                </w:p>
              </w:tc>
              <w:tc>
                <w:tcPr>
                  <w:tcW w:w="362" w:type="pct"/>
                </w:tcPr>
                <w:p w:rsidR="009F774F" w:rsidRPr="00773A00" w:rsidRDefault="009F774F" w:rsidP="00CE291A">
                  <w:pPr>
                    <w:pStyle w:val="TableUnitsRow"/>
                  </w:pPr>
                  <w:r w:rsidRPr="00773A00">
                    <w:t>4.6</w:t>
                  </w:r>
                </w:p>
              </w:tc>
            </w:tr>
            <w:tr w:rsidR="009F774F" w:rsidRPr="00773A00" w:rsidTr="00CE291A">
              <w:tc>
                <w:tcPr>
                  <w:tcW w:w="1611" w:type="pct"/>
                </w:tcPr>
                <w:p w:rsidR="009F774F" w:rsidRPr="00773A00" w:rsidRDefault="009F774F" w:rsidP="00CE291A">
                  <w:pPr>
                    <w:pStyle w:val="TableBodyText"/>
                    <w:ind w:left="0" w:firstLine="142"/>
                    <w:jc w:val="left"/>
                  </w:pPr>
                  <w:r w:rsidRPr="00773A00">
                    <w:t>In the community, 2014</w:t>
                  </w:r>
                </w:p>
              </w:tc>
              <w:tc>
                <w:tcPr>
                  <w:tcW w:w="402" w:type="pct"/>
                  <w:vAlign w:val="bottom"/>
                </w:tcPr>
                <w:p w:rsidR="009F774F" w:rsidRPr="00773A00" w:rsidRDefault="002D438E" w:rsidP="00CE291A">
                  <w:pPr>
                    <w:pStyle w:val="TableUnitsRow"/>
                  </w:pPr>
                  <w:r w:rsidRPr="00773A00">
                    <w:t xml:space="preserve"> </w:t>
                  </w:r>
                  <w:r w:rsidR="009F774F" w:rsidRPr="00773A00">
                    <w:t>5.3</w:t>
                  </w:r>
                </w:p>
              </w:tc>
              <w:tc>
                <w:tcPr>
                  <w:tcW w:w="407" w:type="pct"/>
                  <w:vAlign w:val="bottom"/>
                </w:tcPr>
                <w:p w:rsidR="009F774F" w:rsidRPr="00773A00" w:rsidRDefault="002D438E" w:rsidP="00CE291A">
                  <w:pPr>
                    <w:pStyle w:val="TableUnitsRow"/>
                  </w:pPr>
                  <w:r w:rsidRPr="00773A00">
                    <w:t xml:space="preserve"> </w:t>
                  </w:r>
                  <w:r w:rsidR="009F774F" w:rsidRPr="00773A00">
                    <w:t>1.7</w:t>
                  </w:r>
                </w:p>
              </w:tc>
              <w:tc>
                <w:tcPr>
                  <w:tcW w:w="376" w:type="pct"/>
                  <w:gridSpan w:val="2"/>
                  <w:vAlign w:val="bottom"/>
                </w:tcPr>
                <w:p w:rsidR="009F774F" w:rsidRPr="00773A00" w:rsidRDefault="002D438E" w:rsidP="00CE291A">
                  <w:pPr>
                    <w:pStyle w:val="TableUnitsRow"/>
                  </w:pPr>
                  <w:r w:rsidRPr="00773A00">
                    <w:t xml:space="preserve"> </w:t>
                  </w:r>
                  <w:r w:rsidR="009F774F" w:rsidRPr="00773A00">
                    <w:t>8.0</w:t>
                  </w:r>
                </w:p>
              </w:tc>
              <w:tc>
                <w:tcPr>
                  <w:tcW w:w="368" w:type="pct"/>
                  <w:gridSpan w:val="2"/>
                  <w:vAlign w:val="bottom"/>
                </w:tcPr>
                <w:p w:rsidR="009F774F" w:rsidRPr="00773A00" w:rsidRDefault="002D438E" w:rsidP="00CE291A">
                  <w:pPr>
                    <w:pStyle w:val="TableUnitsRow"/>
                  </w:pPr>
                  <w:r w:rsidRPr="00773A00">
                    <w:t xml:space="preserve"> </w:t>
                  </w:r>
                  <w:r w:rsidR="009F774F" w:rsidRPr="00773A00">
                    <w:t>6.1</w:t>
                  </w:r>
                </w:p>
              </w:tc>
              <w:tc>
                <w:tcPr>
                  <w:tcW w:w="367" w:type="pct"/>
                  <w:gridSpan w:val="2"/>
                  <w:vAlign w:val="bottom"/>
                </w:tcPr>
                <w:p w:rsidR="009F774F" w:rsidRPr="00773A00" w:rsidRDefault="002D438E" w:rsidP="00CE291A">
                  <w:pPr>
                    <w:pStyle w:val="TableUnitsRow"/>
                  </w:pPr>
                  <w:r w:rsidRPr="00773A00">
                    <w:t xml:space="preserve"> </w:t>
                  </w:r>
                  <w:r w:rsidR="009F774F" w:rsidRPr="00773A00">
                    <w:t>4.6</w:t>
                  </w:r>
                </w:p>
              </w:tc>
              <w:tc>
                <w:tcPr>
                  <w:tcW w:w="371" w:type="pct"/>
                  <w:gridSpan w:val="2"/>
                  <w:vAlign w:val="bottom"/>
                </w:tcPr>
                <w:p w:rsidR="009F774F" w:rsidRPr="00773A00" w:rsidRDefault="002D438E" w:rsidP="00CE291A">
                  <w:pPr>
                    <w:pStyle w:val="TableUnitsRow"/>
                  </w:pPr>
                  <w:r w:rsidRPr="00773A00">
                    <w:t xml:space="preserve"> </w:t>
                  </w:r>
                  <w:r w:rsidR="009F774F" w:rsidRPr="00773A00">
                    <w:t>9.6</w:t>
                  </w:r>
                </w:p>
              </w:tc>
              <w:tc>
                <w:tcPr>
                  <w:tcW w:w="368" w:type="pct"/>
                  <w:vAlign w:val="bottom"/>
                </w:tcPr>
                <w:p w:rsidR="009F774F" w:rsidRPr="00773A00" w:rsidRDefault="002D438E" w:rsidP="00CE291A">
                  <w:pPr>
                    <w:pStyle w:val="TableUnitsRow"/>
                  </w:pPr>
                  <w:r w:rsidRPr="00773A00">
                    <w:t xml:space="preserve"> </w:t>
                  </w:r>
                  <w:r w:rsidR="009F774F" w:rsidRPr="00773A00">
                    <w:t>2.9</w:t>
                  </w:r>
                </w:p>
              </w:tc>
              <w:tc>
                <w:tcPr>
                  <w:tcW w:w="368" w:type="pct"/>
                  <w:vAlign w:val="bottom"/>
                </w:tcPr>
                <w:p w:rsidR="009F774F" w:rsidRPr="00773A00" w:rsidRDefault="002D438E" w:rsidP="00CE291A">
                  <w:pPr>
                    <w:pStyle w:val="TableUnitsRow"/>
                  </w:pPr>
                  <w:r w:rsidRPr="00773A00">
                    <w:t xml:space="preserve"> </w:t>
                  </w:r>
                  <w:r w:rsidR="009F774F" w:rsidRPr="00773A00">
                    <w:t>38.7</w:t>
                  </w:r>
                </w:p>
              </w:tc>
              <w:tc>
                <w:tcPr>
                  <w:tcW w:w="362" w:type="pct"/>
                  <w:vAlign w:val="bottom"/>
                </w:tcPr>
                <w:p w:rsidR="009F774F" w:rsidRPr="00773A00" w:rsidRDefault="002D438E" w:rsidP="00CE291A">
                  <w:pPr>
                    <w:pStyle w:val="TableUnitsRow"/>
                  </w:pPr>
                  <w:r w:rsidRPr="00773A00">
                    <w:t xml:space="preserve"> </w:t>
                  </w:r>
                  <w:r w:rsidR="009F774F" w:rsidRPr="00773A00">
                    <w:t>5.5</w:t>
                  </w:r>
                </w:p>
              </w:tc>
            </w:tr>
            <w:tr w:rsidR="009F774F" w:rsidRPr="00773A00" w:rsidTr="00CE291A">
              <w:tc>
                <w:tcPr>
                  <w:tcW w:w="5000" w:type="pct"/>
                  <w:gridSpan w:val="14"/>
                </w:tcPr>
                <w:p w:rsidR="009F774F" w:rsidRPr="00773A00" w:rsidRDefault="009F774F" w:rsidP="00CE291A">
                  <w:pPr>
                    <w:pStyle w:val="TableBodyText"/>
                    <w:jc w:val="left"/>
                    <w:rPr>
                      <w:i/>
                    </w:rPr>
                  </w:pPr>
                  <w:r w:rsidRPr="00773A00">
                    <w:rPr>
                      <w:i/>
                    </w:rPr>
                    <w:t>Children from regional areas</w:t>
                  </w:r>
                </w:p>
              </w:tc>
            </w:tr>
            <w:tr w:rsidR="009F774F" w:rsidRPr="00773A00" w:rsidTr="00CE291A">
              <w:tc>
                <w:tcPr>
                  <w:tcW w:w="1611" w:type="pct"/>
                </w:tcPr>
                <w:p w:rsidR="009F774F" w:rsidRPr="00773A00" w:rsidRDefault="009F774F" w:rsidP="00CE291A">
                  <w:pPr>
                    <w:pStyle w:val="TableBodyText"/>
                    <w:ind w:left="0" w:firstLine="142"/>
                    <w:jc w:val="left"/>
                  </w:pPr>
                  <w:r w:rsidRPr="00773A00">
                    <w:t>In a preschool program, 2014</w:t>
                  </w:r>
                </w:p>
              </w:tc>
              <w:tc>
                <w:tcPr>
                  <w:tcW w:w="402" w:type="pct"/>
                </w:tcPr>
                <w:p w:rsidR="009F774F" w:rsidRPr="00773A00" w:rsidRDefault="009F774F" w:rsidP="00CE291A">
                  <w:pPr>
                    <w:pStyle w:val="TableUnitsRow"/>
                  </w:pPr>
                  <w:r w:rsidRPr="00773A00">
                    <w:t>29.2</w:t>
                  </w:r>
                </w:p>
              </w:tc>
              <w:tc>
                <w:tcPr>
                  <w:tcW w:w="407" w:type="pct"/>
                </w:tcPr>
                <w:p w:rsidR="009F774F" w:rsidRPr="00773A00" w:rsidRDefault="009F774F" w:rsidP="00CE291A">
                  <w:pPr>
                    <w:pStyle w:val="TableUnitsRow"/>
                  </w:pPr>
                  <w:r w:rsidRPr="00773A00">
                    <w:t>23.5</w:t>
                  </w:r>
                </w:p>
              </w:tc>
              <w:tc>
                <w:tcPr>
                  <w:tcW w:w="387" w:type="pct"/>
                  <w:gridSpan w:val="3"/>
                </w:tcPr>
                <w:p w:rsidR="009F774F" w:rsidRPr="00773A00" w:rsidRDefault="009F774F" w:rsidP="00CE291A">
                  <w:pPr>
                    <w:pStyle w:val="TableUnitsRow"/>
                  </w:pPr>
                  <w:r w:rsidRPr="00773A00">
                    <w:t>33.0</w:t>
                  </w:r>
                </w:p>
              </w:tc>
              <w:tc>
                <w:tcPr>
                  <w:tcW w:w="365" w:type="pct"/>
                  <w:gridSpan w:val="2"/>
                </w:tcPr>
                <w:p w:rsidR="009F774F" w:rsidRPr="00773A00" w:rsidRDefault="009F774F" w:rsidP="00CE291A">
                  <w:pPr>
                    <w:pStyle w:val="TableUnitsRow"/>
                  </w:pPr>
                  <w:r w:rsidRPr="00773A00">
                    <w:t>17.5</w:t>
                  </w:r>
                </w:p>
              </w:tc>
              <w:tc>
                <w:tcPr>
                  <w:tcW w:w="365" w:type="pct"/>
                  <w:gridSpan w:val="2"/>
                </w:tcPr>
                <w:p w:rsidR="009F774F" w:rsidRPr="00773A00" w:rsidRDefault="009F774F" w:rsidP="00CE291A">
                  <w:pPr>
                    <w:pStyle w:val="TableUnitsRow"/>
                  </w:pPr>
                  <w:r w:rsidRPr="00773A00">
                    <w:t>22.9</w:t>
                  </w:r>
                </w:p>
              </w:tc>
              <w:tc>
                <w:tcPr>
                  <w:tcW w:w="365" w:type="pct"/>
                </w:tcPr>
                <w:p w:rsidR="009F774F" w:rsidRPr="00773A00" w:rsidRDefault="009F774F" w:rsidP="00CE291A">
                  <w:pPr>
                    <w:pStyle w:val="TableUnitsRow"/>
                  </w:pPr>
                  <w:r w:rsidRPr="00773A00">
                    <w:t>98.2</w:t>
                  </w:r>
                </w:p>
              </w:tc>
              <w:tc>
                <w:tcPr>
                  <w:tcW w:w="368" w:type="pct"/>
                </w:tcPr>
                <w:p w:rsidR="009F774F" w:rsidRPr="00773A00" w:rsidRDefault="009F774F" w:rsidP="00CE291A">
                  <w:pPr>
                    <w:pStyle w:val="TableUnitsRow"/>
                  </w:pPr>
                  <w:r w:rsidRPr="00773A00">
                    <w:t>2.8</w:t>
                  </w:r>
                </w:p>
              </w:tc>
              <w:tc>
                <w:tcPr>
                  <w:tcW w:w="368" w:type="pct"/>
                </w:tcPr>
                <w:p w:rsidR="009F774F" w:rsidRPr="00773A00" w:rsidRDefault="009F774F" w:rsidP="00CE291A">
                  <w:pPr>
                    <w:pStyle w:val="TableUnitsRow"/>
                  </w:pPr>
                  <w:r w:rsidRPr="00773A00">
                    <w:t>53.2</w:t>
                  </w:r>
                </w:p>
              </w:tc>
              <w:tc>
                <w:tcPr>
                  <w:tcW w:w="362" w:type="pct"/>
                </w:tcPr>
                <w:p w:rsidR="009F774F" w:rsidRPr="00773A00" w:rsidRDefault="009F774F" w:rsidP="00CE291A">
                  <w:pPr>
                    <w:pStyle w:val="TableUnitsRow"/>
                  </w:pPr>
                  <w:r w:rsidRPr="00773A00">
                    <w:t>27.9</w:t>
                  </w:r>
                </w:p>
              </w:tc>
            </w:tr>
            <w:tr w:rsidR="009F774F" w:rsidRPr="00773A00" w:rsidTr="00CE291A">
              <w:tc>
                <w:tcPr>
                  <w:tcW w:w="1611" w:type="pct"/>
                </w:tcPr>
                <w:p w:rsidR="009F774F" w:rsidRPr="00773A00" w:rsidRDefault="009F774F" w:rsidP="00CE291A">
                  <w:pPr>
                    <w:pStyle w:val="TableBodyText"/>
                    <w:ind w:left="0" w:firstLine="142"/>
                    <w:jc w:val="left"/>
                  </w:pPr>
                  <w:r w:rsidRPr="00773A00">
                    <w:t>In the community, 2014</w:t>
                  </w:r>
                </w:p>
              </w:tc>
              <w:tc>
                <w:tcPr>
                  <w:tcW w:w="402" w:type="pct"/>
                  <w:vAlign w:val="bottom"/>
                </w:tcPr>
                <w:p w:rsidR="009F774F" w:rsidRPr="00773A00" w:rsidRDefault="009F774F" w:rsidP="00CE291A">
                  <w:pPr>
                    <w:pStyle w:val="TableUnitsRow"/>
                  </w:pPr>
                  <w:r w:rsidRPr="00773A00">
                    <w:t>25.0</w:t>
                  </w:r>
                </w:p>
              </w:tc>
              <w:tc>
                <w:tcPr>
                  <w:tcW w:w="407" w:type="pct"/>
                  <w:tcBorders>
                    <w:left w:val="nil"/>
                  </w:tcBorders>
                  <w:vAlign w:val="bottom"/>
                </w:tcPr>
                <w:p w:rsidR="009F774F" w:rsidRPr="00773A00" w:rsidRDefault="009F774F" w:rsidP="00CE291A">
                  <w:pPr>
                    <w:pStyle w:val="TableUnitsRow"/>
                  </w:pPr>
                  <w:r w:rsidRPr="00773A00">
                    <w:t>23.7</w:t>
                  </w:r>
                </w:p>
              </w:tc>
              <w:tc>
                <w:tcPr>
                  <w:tcW w:w="387" w:type="pct"/>
                  <w:gridSpan w:val="3"/>
                  <w:tcBorders>
                    <w:left w:val="nil"/>
                  </w:tcBorders>
                  <w:vAlign w:val="bottom"/>
                </w:tcPr>
                <w:p w:rsidR="009F774F" w:rsidRPr="00773A00" w:rsidRDefault="009F774F" w:rsidP="00CE291A">
                  <w:pPr>
                    <w:pStyle w:val="TableUnitsRow"/>
                  </w:pPr>
                  <w:r w:rsidRPr="00773A00">
                    <w:t>35.6</w:t>
                  </w:r>
                </w:p>
              </w:tc>
              <w:tc>
                <w:tcPr>
                  <w:tcW w:w="365" w:type="pct"/>
                  <w:gridSpan w:val="2"/>
                  <w:tcBorders>
                    <w:left w:val="nil"/>
                  </w:tcBorders>
                  <w:vAlign w:val="bottom"/>
                </w:tcPr>
                <w:p w:rsidR="009F774F" w:rsidRPr="00773A00" w:rsidRDefault="009F774F" w:rsidP="00CE291A">
                  <w:pPr>
                    <w:pStyle w:val="TableUnitsRow"/>
                  </w:pPr>
                  <w:r w:rsidRPr="00773A00">
                    <w:t>17.2</w:t>
                  </w:r>
                </w:p>
              </w:tc>
              <w:tc>
                <w:tcPr>
                  <w:tcW w:w="365" w:type="pct"/>
                  <w:gridSpan w:val="2"/>
                  <w:tcBorders>
                    <w:left w:val="nil"/>
                  </w:tcBorders>
                  <w:vAlign w:val="bottom"/>
                </w:tcPr>
                <w:p w:rsidR="009F774F" w:rsidRPr="00773A00" w:rsidRDefault="009F774F" w:rsidP="00CE291A">
                  <w:pPr>
                    <w:pStyle w:val="TableUnitsRow"/>
                  </w:pPr>
                  <w:r w:rsidRPr="00773A00">
                    <w:t>23.6</w:t>
                  </w:r>
                </w:p>
              </w:tc>
              <w:tc>
                <w:tcPr>
                  <w:tcW w:w="365" w:type="pct"/>
                  <w:tcBorders>
                    <w:left w:val="nil"/>
                  </w:tcBorders>
                  <w:vAlign w:val="bottom"/>
                </w:tcPr>
                <w:p w:rsidR="009F774F" w:rsidRPr="00773A00" w:rsidRDefault="009F774F" w:rsidP="00CE291A">
                  <w:pPr>
                    <w:pStyle w:val="TableUnitsRow"/>
                  </w:pPr>
                  <w:r w:rsidRPr="00773A00">
                    <w:t>98.2</w:t>
                  </w:r>
                </w:p>
              </w:tc>
              <w:tc>
                <w:tcPr>
                  <w:tcW w:w="368" w:type="pct"/>
                  <w:tcBorders>
                    <w:left w:val="nil"/>
                  </w:tcBorders>
                  <w:vAlign w:val="bottom"/>
                </w:tcPr>
                <w:p w:rsidR="009F774F" w:rsidRPr="00773A00" w:rsidRDefault="009F774F" w:rsidP="00CE291A">
                  <w:pPr>
                    <w:pStyle w:val="TableUnitsRow"/>
                  </w:pPr>
                  <w:r w:rsidRPr="00773A00">
                    <w:t>0.5</w:t>
                  </w:r>
                </w:p>
              </w:tc>
              <w:tc>
                <w:tcPr>
                  <w:tcW w:w="368" w:type="pct"/>
                  <w:tcBorders>
                    <w:left w:val="nil"/>
                  </w:tcBorders>
                  <w:vAlign w:val="bottom"/>
                </w:tcPr>
                <w:p w:rsidR="009F774F" w:rsidRPr="00773A00" w:rsidRDefault="009F774F" w:rsidP="00CE291A">
                  <w:pPr>
                    <w:pStyle w:val="TableUnitsRow"/>
                  </w:pPr>
                  <w:r w:rsidRPr="00773A00">
                    <w:t>50.8</w:t>
                  </w:r>
                </w:p>
              </w:tc>
              <w:tc>
                <w:tcPr>
                  <w:tcW w:w="362" w:type="pct"/>
                  <w:tcBorders>
                    <w:left w:val="nil"/>
                  </w:tcBorders>
                  <w:vAlign w:val="bottom"/>
                </w:tcPr>
                <w:p w:rsidR="009F774F" w:rsidRPr="00773A00" w:rsidRDefault="009F774F" w:rsidP="00CE291A">
                  <w:pPr>
                    <w:pStyle w:val="TableUnitsRow"/>
                  </w:pPr>
                  <w:r w:rsidRPr="00773A00">
                    <w:t>27.4</w:t>
                  </w:r>
                </w:p>
              </w:tc>
            </w:tr>
            <w:tr w:rsidR="009F774F" w:rsidRPr="00773A00" w:rsidTr="00CE291A">
              <w:tc>
                <w:tcPr>
                  <w:tcW w:w="5000" w:type="pct"/>
                  <w:gridSpan w:val="14"/>
                  <w:shd w:val="clear" w:color="auto" w:fill="auto"/>
                </w:tcPr>
                <w:p w:rsidR="009F774F" w:rsidRPr="00773A00" w:rsidRDefault="009F774F" w:rsidP="00CE291A">
                  <w:pPr>
                    <w:pStyle w:val="TableBodyText"/>
                    <w:jc w:val="left"/>
                  </w:pPr>
                  <w:r w:rsidRPr="00773A00">
                    <w:t>Children from remote areas</w:t>
                  </w:r>
                </w:p>
              </w:tc>
            </w:tr>
            <w:tr w:rsidR="009F774F" w:rsidRPr="00773A00" w:rsidTr="00CE291A">
              <w:tc>
                <w:tcPr>
                  <w:tcW w:w="1611" w:type="pct"/>
                  <w:shd w:val="clear" w:color="auto" w:fill="auto"/>
                </w:tcPr>
                <w:p w:rsidR="009F774F" w:rsidRPr="00773A00" w:rsidRDefault="009F774F" w:rsidP="00CE291A">
                  <w:pPr>
                    <w:pStyle w:val="TableBodyText"/>
                    <w:ind w:left="0" w:firstLine="142"/>
                    <w:jc w:val="left"/>
                  </w:pPr>
                  <w:r w:rsidRPr="00773A00">
                    <w:t>In a preschool program, 2014</w:t>
                  </w:r>
                </w:p>
              </w:tc>
              <w:tc>
                <w:tcPr>
                  <w:tcW w:w="402" w:type="pct"/>
                  <w:shd w:val="clear" w:color="auto" w:fill="auto"/>
                </w:tcPr>
                <w:p w:rsidR="009F774F" w:rsidRPr="00773A00" w:rsidRDefault="009F774F" w:rsidP="00CE291A">
                  <w:pPr>
                    <w:pStyle w:val="TableBodyText"/>
                  </w:pPr>
                  <w:r w:rsidRPr="00773A00">
                    <w:t>0.8</w:t>
                  </w:r>
                </w:p>
              </w:tc>
              <w:tc>
                <w:tcPr>
                  <w:tcW w:w="407" w:type="pct"/>
                  <w:shd w:val="clear" w:color="auto" w:fill="auto"/>
                </w:tcPr>
                <w:p w:rsidR="009F774F" w:rsidRPr="00773A00" w:rsidRDefault="009F774F" w:rsidP="00CE291A">
                  <w:pPr>
                    <w:pStyle w:val="TableUnitsRow"/>
                  </w:pPr>
                  <w:r w:rsidRPr="00773A00">
                    <w:t>–</w:t>
                  </w:r>
                </w:p>
              </w:tc>
              <w:tc>
                <w:tcPr>
                  <w:tcW w:w="387" w:type="pct"/>
                  <w:gridSpan w:val="3"/>
                  <w:shd w:val="clear" w:color="auto" w:fill="auto"/>
                </w:tcPr>
                <w:p w:rsidR="009F774F" w:rsidRPr="00773A00" w:rsidRDefault="009F774F" w:rsidP="00CE291A">
                  <w:pPr>
                    <w:pStyle w:val="TableUnitsRow"/>
                  </w:pPr>
                  <w:r w:rsidRPr="00773A00">
                    <w:t>2.8</w:t>
                  </w:r>
                </w:p>
              </w:tc>
              <w:tc>
                <w:tcPr>
                  <w:tcW w:w="365" w:type="pct"/>
                  <w:gridSpan w:val="2"/>
                  <w:shd w:val="clear" w:color="auto" w:fill="auto"/>
                </w:tcPr>
                <w:p w:rsidR="009F774F" w:rsidRPr="00773A00" w:rsidRDefault="009F774F" w:rsidP="00CE291A">
                  <w:pPr>
                    <w:pStyle w:val="TableUnitsRow"/>
                  </w:pPr>
                  <w:r w:rsidRPr="00773A00">
                    <w:t>7.0</w:t>
                  </w:r>
                </w:p>
              </w:tc>
              <w:tc>
                <w:tcPr>
                  <w:tcW w:w="365" w:type="pct"/>
                  <w:gridSpan w:val="2"/>
                  <w:shd w:val="clear" w:color="auto" w:fill="auto"/>
                </w:tcPr>
                <w:p w:rsidR="009F774F" w:rsidRPr="00773A00" w:rsidRDefault="009F774F" w:rsidP="00CE291A">
                  <w:pPr>
                    <w:pStyle w:val="TableUnitsRow"/>
                  </w:pPr>
                  <w:r w:rsidRPr="00773A00">
                    <w:t>4.0</w:t>
                  </w:r>
                </w:p>
              </w:tc>
              <w:tc>
                <w:tcPr>
                  <w:tcW w:w="365" w:type="pct"/>
                  <w:shd w:val="clear" w:color="auto" w:fill="auto"/>
                </w:tcPr>
                <w:p w:rsidR="009F774F" w:rsidRPr="00773A00" w:rsidRDefault="009F774F" w:rsidP="00CE291A">
                  <w:pPr>
                    <w:pStyle w:val="TableUnitsRow"/>
                  </w:pPr>
                  <w:r w:rsidRPr="00773A00">
                    <w:t>1.8</w:t>
                  </w:r>
                </w:p>
              </w:tc>
              <w:tc>
                <w:tcPr>
                  <w:tcW w:w="368" w:type="pct"/>
                  <w:shd w:val="clear" w:color="auto" w:fill="auto"/>
                </w:tcPr>
                <w:p w:rsidR="009F774F" w:rsidRPr="00773A00" w:rsidRDefault="009F774F" w:rsidP="00CE291A">
                  <w:pPr>
                    <w:pStyle w:val="TableUnitsRow"/>
                  </w:pPr>
                  <w:r w:rsidRPr="00773A00">
                    <w:t>..</w:t>
                  </w:r>
                </w:p>
              </w:tc>
              <w:tc>
                <w:tcPr>
                  <w:tcW w:w="368" w:type="pct"/>
                  <w:shd w:val="clear" w:color="auto" w:fill="auto"/>
                </w:tcPr>
                <w:p w:rsidR="009F774F" w:rsidRPr="00773A00" w:rsidRDefault="009F774F" w:rsidP="00CE291A">
                  <w:pPr>
                    <w:pStyle w:val="TableUnitsRow"/>
                  </w:pPr>
                  <w:r w:rsidRPr="00773A00">
                    <w:t>46.5</w:t>
                  </w:r>
                </w:p>
              </w:tc>
              <w:tc>
                <w:tcPr>
                  <w:tcW w:w="362" w:type="pct"/>
                  <w:shd w:val="clear" w:color="auto" w:fill="auto"/>
                </w:tcPr>
                <w:p w:rsidR="009F774F" w:rsidRPr="00773A00" w:rsidRDefault="009F774F" w:rsidP="00CE291A">
                  <w:pPr>
                    <w:pStyle w:val="TableUnitsRow"/>
                  </w:pPr>
                  <w:r w:rsidRPr="00773A00">
                    <w:t>2.4</w:t>
                  </w:r>
                </w:p>
              </w:tc>
            </w:tr>
            <w:tr w:rsidR="009F774F" w:rsidRPr="00773A00" w:rsidTr="00CE291A">
              <w:tc>
                <w:tcPr>
                  <w:tcW w:w="1611" w:type="pct"/>
                  <w:tcBorders>
                    <w:bottom w:val="single" w:sz="6" w:space="0" w:color="BFBFBF"/>
                  </w:tcBorders>
                  <w:shd w:val="clear" w:color="auto" w:fill="auto"/>
                </w:tcPr>
                <w:p w:rsidR="009F774F" w:rsidRPr="00773A00" w:rsidRDefault="009F774F" w:rsidP="00CE291A">
                  <w:pPr>
                    <w:pStyle w:val="TableBodyText"/>
                    <w:ind w:left="0" w:firstLine="142"/>
                    <w:jc w:val="left"/>
                  </w:pPr>
                  <w:r w:rsidRPr="00773A00">
                    <w:t>In the community, 2014</w:t>
                  </w:r>
                </w:p>
              </w:tc>
              <w:tc>
                <w:tcPr>
                  <w:tcW w:w="402" w:type="pct"/>
                  <w:tcBorders>
                    <w:bottom w:val="single" w:sz="6" w:space="0" w:color="BFBFBF"/>
                  </w:tcBorders>
                  <w:shd w:val="clear" w:color="auto" w:fill="auto"/>
                  <w:vAlign w:val="bottom"/>
                </w:tcPr>
                <w:p w:rsidR="009F774F" w:rsidRPr="00773A00" w:rsidRDefault="009F774F" w:rsidP="00CE291A">
                  <w:pPr>
                    <w:pStyle w:val="TableBodyText"/>
                  </w:pPr>
                  <w:r w:rsidRPr="00773A00">
                    <w:t>0.6</w:t>
                  </w:r>
                </w:p>
              </w:tc>
              <w:tc>
                <w:tcPr>
                  <w:tcW w:w="407" w:type="pct"/>
                  <w:tcBorders>
                    <w:bottom w:val="single" w:sz="6" w:space="0" w:color="BFBFBF"/>
                  </w:tcBorders>
                  <w:shd w:val="clear" w:color="auto" w:fill="auto"/>
                  <w:vAlign w:val="bottom"/>
                </w:tcPr>
                <w:p w:rsidR="009F774F" w:rsidRPr="00773A00" w:rsidRDefault="009F774F" w:rsidP="00CE291A">
                  <w:pPr>
                    <w:pStyle w:val="TableBodyText"/>
                  </w:pPr>
                  <w:r w:rsidRPr="00773A00">
                    <w:t>0.1</w:t>
                  </w:r>
                </w:p>
              </w:tc>
              <w:tc>
                <w:tcPr>
                  <w:tcW w:w="387" w:type="pct"/>
                  <w:gridSpan w:val="3"/>
                  <w:tcBorders>
                    <w:bottom w:val="single" w:sz="6" w:space="0" w:color="BFBFBF"/>
                  </w:tcBorders>
                  <w:shd w:val="clear" w:color="auto" w:fill="auto"/>
                  <w:vAlign w:val="bottom"/>
                </w:tcPr>
                <w:p w:rsidR="009F774F" w:rsidRPr="00773A00" w:rsidRDefault="009F774F" w:rsidP="00CE291A">
                  <w:pPr>
                    <w:pStyle w:val="TableBodyText"/>
                  </w:pPr>
                  <w:r w:rsidRPr="00773A00">
                    <w:t>3.5</w:t>
                  </w:r>
                </w:p>
              </w:tc>
              <w:tc>
                <w:tcPr>
                  <w:tcW w:w="365" w:type="pct"/>
                  <w:gridSpan w:val="2"/>
                  <w:tcBorders>
                    <w:bottom w:val="single" w:sz="6" w:space="0" w:color="BFBFBF"/>
                  </w:tcBorders>
                  <w:shd w:val="clear" w:color="auto" w:fill="auto"/>
                  <w:vAlign w:val="bottom"/>
                </w:tcPr>
                <w:p w:rsidR="009F774F" w:rsidRPr="00773A00" w:rsidRDefault="009F774F" w:rsidP="00CE291A">
                  <w:pPr>
                    <w:pStyle w:val="TableBodyText"/>
                  </w:pPr>
                  <w:r w:rsidRPr="00773A00">
                    <w:t>6.9</w:t>
                  </w:r>
                </w:p>
              </w:tc>
              <w:tc>
                <w:tcPr>
                  <w:tcW w:w="365" w:type="pct"/>
                  <w:gridSpan w:val="2"/>
                  <w:tcBorders>
                    <w:bottom w:val="single" w:sz="6" w:space="0" w:color="BFBFBF"/>
                  </w:tcBorders>
                  <w:shd w:val="clear" w:color="auto" w:fill="auto"/>
                  <w:vAlign w:val="bottom"/>
                </w:tcPr>
                <w:p w:rsidR="009F774F" w:rsidRPr="00773A00" w:rsidRDefault="009F774F" w:rsidP="00CE291A">
                  <w:pPr>
                    <w:pStyle w:val="TableBodyText"/>
                  </w:pPr>
                  <w:r w:rsidRPr="00773A00">
                    <w:t>3.9</w:t>
                  </w:r>
                </w:p>
              </w:tc>
              <w:tc>
                <w:tcPr>
                  <w:tcW w:w="365" w:type="pct"/>
                  <w:tcBorders>
                    <w:bottom w:val="single" w:sz="6" w:space="0" w:color="BFBFBF"/>
                  </w:tcBorders>
                  <w:shd w:val="clear" w:color="auto" w:fill="auto"/>
                  <w:vAlign w:val="bottom"/>
                </w:tcPr>
                <w:p w:rsidR="009F774F" w:rsidRPr="00773A00" w:rsidRDefault="009F774F" w:rsidP="00CE291A">
                  <w:pPr>
                    <w:pStyle w:val="TableBodyText"/>
                  </w:pPr>
                  <w:r w:rsidRPr="00773A00">
                    <w:t>1.8</w:t>
                  </w:r>
                </w:p>
              </w:tc>
              <w:tc>
                <w:tcPr>
                  <w:tcW w:w="368" w:type="pct"/>
                  <w:tcBorders>
                    <w:bottom w:val="single" w:sz="6" w:space="0" w:color="BFBFBF"/>
                  </w:tcBorders>
                  <w:shd w:val="clear" w:color="auto" w:fill="auto"/>
                  <w:vAlign w:val="bottom"/>
                </w:tcPr>
                <w:p w:rsidR="009F774F" w:rsidRPr="00773A00" w:rsidRDefault="009F774F" w:rsidP="00CE291A">
                  <w:pPr>
                    <w:pStyle w:val="TableBodyText"/>
                  </w:pPr>
                  <w:r w:rsidRPr="00773A00">
                    <w:t>..</w:t>
                  </w:r>
                </w:p>
              </w:tc>
              <w:tc>
                <w:tcPr>
                  <w:tcW w:w="368" w:type="pct"/>
                  <w:tcBorders>
                    <w:bottom w:val="single" w:sz="6" w:space="0" w:color="BFBFBF"/>
                  </w:tcBorders>
                  <w:shd w:val="clear" w:color="auto" w:fill="auto"/>
                  <w:vAlign w:val="bottom"/>
                </w:tcPr>
                <w:p w:rsidR="009F774F" w:rsidRPr="00773A00" w:rsidRDefault="009F774F" w:rsidP="00CE291A">
                  <w:pPr>
                    <w:pStyle w:val="TableBodyText"/>
                  </w:pPr>
                  <w:r w:rsidRPr="00773A00">
                    <w:t>49.2</w:t>
                  </w:r>
                </w:p>
              </w:tc>
              <w:tc>
                <w:tcPr>
                  <w:tcW w:w="362" w:type="pct"/>
                  <w:tcBorders>
                    <w:left w:val="nil"/>
                    <w:bottom w:val="single" w:sz="6" w:space="0" w:color="BFBFBF"/>
                  </w:tcBorders>
                  <w:shd w:val="clear" w:color="auto" w:fill="auto"/>
                  <w:vAlign w:val="bottom"/>
                </w:tcPr>
                <w:p w:rsidR="009F774F" w:rsidRPr="00773A00" w:rsidRDefault="009F774F" w:rsidP="00CE291A">
                  <w:pPr>
                    <w:pStyle w:val="TableBodyText"/>
                  </w:pPr>
                  <w:r w:rsidRPr="00773A00">
                    <w:t>2.6</w:t>
                  </w:r>
                </w:p>
              </w:tc>
            </w:tr>
          </w:tbl>
          <w:p w:rsidR="009F774F" w:rsidRPr="00773A00" w:rsidRDefault="009F774F" w:rsidP="00CE291A">
            <w:pPr>
              <w:pStyle w:val="Box"/>
            </w:pPr>
          </w:p>
        </w:tc>
      </w:tr>
      <w:tr w:rsidR="009F774F" w:rsidRPr="00773A00" w:rsidTr="00CE291A">
        <w:trPr>
          <w:cantSplit/>
        </w:trPr>
        <w:tc>
          <w:tcPr>
            <w:tcW w:w="8771" w:type="dxa"/>
            <w:tcBorders>
              <w:top w:val="nil"/>
              <w:left w:val="nil"/>
              <w:bottom w:val="nil"/>
              <w:right w:val="nil"/>
            </w:tcBorders>
            <w:shd w:val="clear" w:color="auto" w:fill="auto"/>
          </w:tcPr>
          <w:p w:rsidR="009F774F" w:rsidRPr="00773A00" w:rsidRDefault="009F774F" w:rsidP="009F774F">
            <w:pPr>
              <w:pStyle w:val="Note"/>
              <w:keepNext/>
            </w:pPr>
            <w:r w:rsidRPr="00773A00">
              <w:rPr>
                <w:rStyle w:val="NoteLabel"/>
              </w:rPr>
              <w:t>a</w:t>
            </w:r>
            <w:r w:rsidRPr="00773A00">
              <w:t xml:space="preserve"> See box</w:t>
            </w:r>
            <w:r w:rsidR="00697D43" w:rsidRPr="00773A00">
              <w:t> </w:t>
            </w:r>
            <w:r w:rsidRPr="00773A00">
              <w:t>3.7 and table</w:t>
            </w:r>
            <w:r w:rsidR="00697D43" w:rsidRPr="00773A00">
              <w:t> </w:t>
            </w:r>
            <w:proofErr w:type="spellStart"/>
            <w:r w:rsidRPr="00773A00">
              <w:t>3A.16</w:t>
            </w:r>
            <w:proofErr w:type="spellEnd"/>
            <w:r w:rsidRPr="00773A00">
              <w:t xml:space="preserve"> for detailed definitions, footnotes and caveats.  </w:t>
            </w:r>
            <w:proofErr w:type="spellStart"/>
            <w:r w:rsidRPr="00773A00">
              <w:rPr>
                <w:b/>
              </w:rPr>
              <w:t>na</w:t>
            </w:r>
            <w:proofErr w:type="spellEnd"/>
            <w:r w:rsidRPr="00773A00">
              <w:rPr>
                <w:b/>
              </w:rPr>
              <w:t xml:space="preserve"> </w:t>
            </w:r>
            <w:r w:rsidRPr="00773A00">
              <w:t>Not available.</w:t>
            </w:r>
            <w:r w:rsidRPr="00773A00">
              <w:rPr>
                <w:b/>
              </w:rPr>
              <w:t xml:space="preserve"> </w:t>
            </w:r>
            <w:r w:rsidRPr="00773A00">
              <w:t>.. Not applicable. – Nil or rounded to zero.</w:t>
            </w:r>
            <w:r w:rsidRPr="00773A00">
              <w:rPr>
                <w:b/>
              </w:rPr>
              <w:t xml:space="preserve"> np</w:t>
            </w:r>
            <w:r w:rsidRPr="00773A00">
              <w:t xml:space="preserve"> Not published.</w:t>
            </w:r>
          </w:p>
        </w:tc>
      </w:tr>
      <w:tr w:rsidR="009F774F" w:rsidRPr="00773A00" w:rsidTr="00CE291A">
        <w:trPr>
          <w:cantSplit/>
        </w:trPr>
        <w:tc>
          <w:tcPr>
            <w:tcW w:w="8771" w:type="dxa"/>
            <w:tcBorders>
              <w:top w:val="nil"/>
              <w:left w:val="nil"/>
              <w:bottom w:val="nil"/>
              <w:right w:val="nil"/>
            </w:tcBorders>
            <w:shd w:val="clear" w:color="auto" w:fill="auto"/>
          </w:tcPr>
          <w:p w:rsidR="009F774F" w:rsidRPr="00773A00" w:rsidRDefault="009F774F" w:rsidP="009F774F">
            <w:pPr>
              <w:pStyle w:val="Source"/>
              <w:keepNext/>
            </w:pPr>
            <w:r w:rsidRPr="00773A00">
              <w:rPr>
                <w:i/>
              </w:rPr>
              <w:t>Source</w:t>
            </w:r>
            <w:r w:rsidRPr="00773A00">
              <w:t xml:space="preserve">: ABS (unpublished) </w:t>
            </w:r>
            <w:proofErr w:type="spellStart"/>
            <w:r w:rsidRPr="00773A00">
              <w:rPr>
                <w:i/>
              </w:rPr>
              <w:t>Microdata</w:t>
            </w:r>
            <w:proofErr w:type="spellEnd"/>
            <w:r w:rsidRPr="00773A00">
              <w:rPr>
                <w:i/>
              </w:rPr>
              <w:t>:</w:t>
            </w:r>
            <w:r w:rsidRPr="00773A00">
              <w:t xml:space="preserve"> </w:t>
            </w:r>
            <w:r w:rsidRPr="00773A00">
              <w:rPr>
                <w:i/>
              </w:rPr>
              <w:t>Preschool Education, Australia, 2014</w:t>
            </w:r>
            <w:r w:rsidRPr="00773A00">
              <w:t xml:space="preserve">, Cat. no. 4240.0.55.003; ABS (unpublished) </w:t>
            </w:r>
            <w:r w:rsidRPr="00773A00">
              <w:rPr>
                <w:i/>
              </w:rPr>
              <w:t>2011 Census of Population and Housing</w:t>
            </w:r>
            <w:r w:rsidRPr="00773A00">
              <w:t xml:space="preserve">; ABS (unpublished) </w:t>
            </w:r>
            <w:proofErr w:type="spellStart"/>
            <w:r w:rsidRPr="00773A00">
              <w:rPr>
                <w:i/>
              </w:rPr>
              <w:t>Microdata</w:t>
            </w:r>
            <w:proofErr w:type="spellEnd"/>
            <w:r w:rsidRPr="00773A00">
              <w:rPr>
                <w:i/>
              </w:rPr>
              <w:t>:</w:t>
            </w:r>
            <w:r w:rsidRPr="00773A00">
              <w:t xml:space="preserve"> </w:t>
            </w:r>
            <w:r w:rsidRPr="00773A00">
              <w:rPr>
                <w:i/>
              </w:rPr>
              <w:t xml:space="preserve">Disability, Ageing and Carers, Australia 2012, </w:t>
            </w:r>
            <w:r w:rsidRPr="00773A00">
              <w:t xml:space="preserve">Cat. no. 4430.0.30.002, ABS 2014, </w:t>
            </w:r>
            <w:r w:rsidRPr="00773A00">
              <w:rPr>
                <w:i/>
              </w:rPr>
              <w:t>Estimates and Projections, Aboriginal and Torres Strait Islander Australians, 2001 to 2026 (Series B),</w:t>
            </w:r>
            <w:r w:rsidRPr="00773A00">
              <w:t xml:space="preserve"> Cat. no. 3238.0 and ABS (unpublished) </w:t>
            </w:r>
            <w:r w:rsidRPr="00773A00">
              <w:rPr>
                <w:i/>
              </w:rPr>
              <w:t xml:space="preserve">Population by Age and Sex, Regions of Australia, 2014, </w:t>
            </w:r>
            <w:r w:rsidRPr="00773A00">
              <w:t>Cat. no. 3235.0; State and Territory governments (unpublished); table </w:t>
            </w:r>
            <w:proofErr w:type="spellStart"/>
            <w:r w:rsidRPr="00773A00">
              <w:t>3A.16</w:t>
            </w:r>
            <w:proofErr w:type="spellEnd"/>
            <w:r w:rsidRPr="00773A00">
              <w:t>.</w:t>
            </w:r>
          </w:p>
        </w:tc>
      </w:tr>
      <w:tr w:rsidR="009F774F" w:rsidRPr="00773A00" w:rsidTr="00CE291A">
        <w:trPr>
          <w:cantSplit/>
        </w:trPr>
        <w:tc>
          <w:tcPr>
            <w:tcW w:w="8771" w:type="dxa"/>
            <w:tcBorders>
              <w:top w:val="nil"/>
              <w:left w:val="nil"/>
              <w:bottom w:val="single" w:sz="6" w:space="0" w:color="78A22F"/>
              <w:right w:val="nil"/>
            </w:tcBorders>
            <w:shd w:val="clear" w:color="auto" w:fill="auto"/>
          </w:tcPr>
          <w:p w:rsidR="009F774F" w:rsidRPr="00773A00" w:rsidRDefault="009F774F" w:rsidP="00CE291A">
            <w:pPr>
              <w:pStyle w:val="Box"/>
              <w:spacing w:before="0" w:line="120" w:lineRule="exact"/>
            </w:pPr>
          </w:p>
        </w:tc>
      </w:tr>
      <w:tr w:rsidR="009F774F" w:rsidRPr="00773A00" w:rsidTr="00CE291A">
        <w:tc>
          <w:tcPr>
            <w:tcW w:w="8771" w:type="dxa"/>
            <w:tcBorders>
              <w:top w:val="single" w:sz="6" w:space="0" w:color="78A22F"/>
              <w:left w:val="nil"/>
              <w:bottom w:val="nil"/>
              <w:right w:val="nil"/>
            </w:tcBorders>
          </w:tcPr>
          <w:p w:rsidR="009F774F" w:rsidRPr="00773A00" w:rsidRDefault="009F774F" w:rsidP="00CE291A">
            <w:pPr>
              <w:pStyle w:val="BoxSpaceBelow"/>
            </w:pPr>
          </w:p>
        </w:tc>
      </w:tr>
    </w:tbl>
    <w:p w:rsidR="00306F17" w:rsidRDefault="00306F17" w:rsidP="00306F17">
      <w:pPr>
        <w:pStyle w:val="BodyText"/>
      </w:pPr>
      <w:r w:rsidRPr="00C41228">
        <w:t xml:space="preserve">Data on the representation of special needs groups in </w:t>
      </w:r>
      <w:r>
        <w:t xml:space="preserve">a </w:t>
      </w:r>
      <w:r w:rsidRPr="00C41228">
        <w:t xml:space="preserve">preschool </w:t>
      </w:r>
      <w:r>
        <w:t xml:space="preserve">program </w:t>
      </w:r>
      <w:r w:rsidRPr="00C41228">
        <w:t xml:space="preserve">in the </w:t>
      </w:r>
      <w:proofErr w:type="spellStart"/>
      <w:r>
        <w:t>YBFS</w:t>
      </w:r>
      <w:proofErr w:type="spellEnd"/>
      <w:r w:rsidRPr="00C41228">
        <w:t xml:space="preserve"> are presented </w:t>
      </w:r>
      <w:r w:rsidRPr="009C70D4">
        <w:t>in table </w:t>
      </w:r>
      <w:proofErr w:type="spellStart"/>
      <w:r w:rsidRPr="009C70D4">
        <w:t>3A.1</w:t>
      </w:r>
      <w:r w:rsidR="002B57D2">
        <w:t>6</w:t>
      </w:r>
      <w:proofErr w:type="spellEnd"/>
      <w:r w:rsidRPr="009C70D4">
        <w:t>.</w:t>
      </w:r>
    </w:p>
    <w:p w:rsidR="0094542E" w:rsidRPr="008B42D1" w:rsidRDefault="00D57AE6" w:rsidP="00F97852">
      <w:pPr>
        <w:pStyle w:val="Heading5"/>
        <w:rPr>
          <w:rStyle w:val="BoxChar"/>
          <w:i w:val="0"/>
          <w:sz w:val="14"/>
        </w:rPr>
      </w:pPr>
      <w:r>
        <w:t xml:space="preserve">Proportion of </w:t>
      </w:r>
      <w:r w:rsidR="005F6775">
        <w:t xml:space="preserve">children aged 4 and 5 years </w:t>
      </w:r>
      <w:r>
        <w:t>enrolled in a preschool program</w:t>
      </w:r>
      <w:r w:rsidR="00B16C80">
        <w:t xml:space="preserve"> in the </w:t>
      </w:r>
      <w:proofErr w:type="spellStart"/>
      <w:r w:rsidR="0078533C">
        <w:t>YBFS</w:t>
      </w:r>
      <w:proofErr w:type="spellEnd"/>
      <w:r>
        <w:t xml:space="preserve"> who are disadvantaged</w:t>
      </w:r>
      <w:r w:rsidR="003A5E67">
        <w:t>,</w:t>
      </w:r>
      <w:r w:rsidR="003A5E67" w:rsidRPr="003A5E67">
        <w:t xml:space="preserve"> </w:t>
      </w:r>
      <w:r w:rsidR="003A5E67">
        <w:t>compared with their representation in the community</w:t>
      </w:r>
    </w:p>
    <w:p w:rsidR="00D57AE6" w:rsidRDefault="00EB3C51" w:rsidP="00D57AE6">
      <w:pPr>
        <w:pStyle w:val="BodyText"/>
      </w:pPr>
      <w:r>
        <w:t>Nationally in 2014</w:t>
      </w:r>
      <w:r w:rsidR="00E4719C" w:rsidRPr="004129F3">
        <w:t xml:space="preserve">, </w:t>
      </w:r>
      <w:r w:rsidR="00723FCB">
        <w:t>17.6</w:t>
      </w:r>
      <w:r w:rsidR="00D57AE6" w:rsidRPr="004129F3">
        <w:t xml:space="preserve"> </w:t>
      </w:r>
      <w:r w:rsidR="00D57AE6">
        <w:t xml:space="preserve">per cent of </w:t>
      </w:r>
      <w:r w:rsidR="00D22FB8">
        <w:t xml:space="preserve">4 and 5 year old </w:t>
      </w:r>
      <w:r w:rsidR="00D57AE6">
        <w:t xml:space="preserve">children enrolled in a preschool program </w:t>
      </w:r>
      <w:r w:rsidR="002D3B60">
        <w:t xml:space="preserve">in the </w:t>
      </w:r>
      <w:proofErr w:type="spellStart"/>
      <w:r w:rsidR="002D3B60">
        <w:t>YBFS</w:t>
      </w:r>
      <w:proofErr w:type="spellEnd"/>
      <w:r w:rsidR="002D3B60">
        <w:t xml:space="preserve"> </w:t>
      </w:r>
      <w:r w:rsidR="00D57AE6">
        <w:t xml:space="preserve">resided in an area with a </w:t>
      </w:r>
      <w:proofErr w:type="spellStart"/>
      <w:r w:rsidR="00D57AE6">
        <w:t>SEIFA</w:t>
      </w:r>
      <w:proofErr w:type="spellEnd"/>
      <w:r w:rsidR="00D57AE6">
        <w:t xml:space="preserve"> </w:t>
      </w:r>
      <w:proofErr w:type="spellStart"/>
      <w:r w:rsidR="00D57AE6">
        <w:t>IRSD</w:t>
      </w:r>
      <w:proofErr w:type="spellEnd"/>
      <w:r w:rsidR="00D57AE6">
        <w:t xml:space="preserve"> qui</w:t>
      </w:r>
      <w:r w:rsidR="007818AD">
        <w:t>ntile of 1. This is</w:t>
      </w:r>
      <w:r w:rsidR="007818AD" w:rsidRPr="007818AD">
        <w:t xml:space="preserve"> lower</w:t>
      </w:r>
      <w:r w:rsidR="00723FCB" w:rsidRPr="007818AD">
        <w:t xml:space="preserve"> </w:t>
      </w:r>
      <w:r w:rsidR="00723FCB">
        <w:t xml:space="preserve">than </w:t>
      </w:r>
      <w:r w:rsidR="00723FCB" w:rsidRPr="007818AD">
        <w:t xml:space="preserve">the </w:t>
      </w:r>
      <w:r w:rsidR="007818AD" w:rsidRPr="007818AD">
        <w:t>19.5</w:t>
      </w:r>
      <w:r w:rsidR="00723FCB" w:rsidRPr="007818AD">
        <w:t xml:space="preserve"> </w:t>
      </w:r>
      <w:r w:rsidR="00723FCB">
        <w:t>per cent</w:t>
      </w:r>
      <w:r w:rsidR="00D22FB8">
        <w:t xml:space="preserve"> of 4 and 5 year olds in the community residing in an area with a </w:t>
      </w:r>
      <w:proofErr w:type="spellStart"/>
      <w:r w:rsidR="00D22FB8">
        <w:t>SEIF</w:t>
      </w:r>
      <w:r w:rsidR="003B2788">
        <w:t>A</w:t>
      </w:r>
      <w:proofErr w:type="spellEnd"/>
      <w:r w:rsidR="003B2788">
        <w:t xml:space="preserve"> </w:t>
      </w:r>
      <w:proofErr w:type="spellStart"/>
      <w:r w:rsidR="003B2788">
        <w:t>IRSD</w:t>
      </w:r>
      <w:proofErr w:type="spellEnd"/>
      <w:r w:rsidR="003B2788">
        <w:t xml:space="preserve"> quintile of 1 (figure</w:t>
      </w:r>
      <w:r w:rsidR="00697D43">
        <w:t> </w:t>
      </w:r>
      <w:r w:rsidR="003B2788">
        <w:t>3.3</w:t>
      </w:r>
      <w:r w:rsidR="00D22FB8">
        <w:t>).</w:t>
      </w:r>
    </w:p>
    <w:p w:rsidR="00D05C5D" w:rsidRDefault="00D05C5D" w:rsidP="00D05C5D">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D05C5D" w:rsidTr="00D05C5D">
        <w:tc>
          <w:tcPr>
            <w:tcW w:w="8771" w:type="dxa"/>
            <w:tcBorders>
              <w:top w:val="single" w:sz="6" w:space="0" w:color="78A22F"/>
              <w:left w:val="nil"/>
              <w:bottom w:val="nil"/>
              <w:right w:val="nil"/>
            </w:tcBorders>
            <w:shd w:val="clear" w:color="auto" w:fill="auto"/>
          </w:tcPr>
          <w:p w:rsidR="00D05C5D" w:rsidRPr="00176D3F" w:rsidRDefault="00D05C5D" w:rsidP="007818AD">
            <w:pPr>
              <w:pStyle w:val="FigureTitle"/>
            </w:pPr>
            <w:r w:rsidRPr="00784A05">
              <w:rPr>
                <w:b w:val="0"/>
              </w:rPr>
              <w:t xml:space="preserve">Figure </w:t>
            </w:r>
            <w:r>
              <w:rPr>
                <w:b w:val="0"/>
              </w:rPr>
              <w:t>3.</w:t>
            </w:r>
            <w:r w:rsidR="000E3849">
              <w:rPr>
                <w:b w:val="0"/>
                <w:noProof/>
              </w:rPr>
              <w:t>3</w:t>
            </w:r>
            <w:r>
              <w:tab/>
            </w:r>
            <w:r w:rsidRPr="00D05C5D">
              <w:t xml:space="preserve">Proportion of children aged 4 and 5 years enrolled in a preschool program in the </w:t>
            </w:r>
            <w:proofErr w:type="spellStart"/>
            <w:r w:rsidR="0078533C">
              <w:t>YBFS</w:t>
            </w:r>
            <w:proofErr w:type="spellEnd"/>
            <w:r w:rsidRPr="00D05C5D">
              <w:t xml:space="preserve"> who are disadvantaged, </w:t>
            </w:r>
            <w:r w:rsidR="003A5E67">
              <w:t>compared with</w:t>
            </w:r>
            <w:r w:rsidR="008D3570">
              <w:t xml:space="preserve"> their representation in the community, 2014</w:t>
            </w:r>
            <w:r w:rsidR="00B25F5A">
              <w:rPr>
                <w:rStyle w:val="NoteLabel"/>
                <w:b/>
              </w:rPr>
              <w:t>a</w:t>
            </w:r>
          </w:p>
        </w:tc>
      </w:tr>
      <w:tr w:rsidR="00D05C5D" w:rsidTr="00D05C5D">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D05C5D" w:rsidTr="00D05C5D">
              <w:trPr>
                <w:jc w:val="center"/>
              </w:trPr>
              <w:tc>
                <w:tcPr>
                  <w:tcW w:w="5000" w:type="pct"/>
                  <w:tcBorders>
                    <w:top w:val="nil"/>
                    <w:bottom w:val="nil"/>
                  </w:tcBorders>
                </w:tcPr>
                <w:p w:rsidR="00D05C5D" w:rsidRDefault="00B337E3" w:rsidP="00D05C5D">
                  <w:pPr>
                    <w:pStyle w:val="Figure"/>
                    <w:spacing w:before="60" w:after="60"/>
                  </w:pPr>
                  <w:r>
                    <w:rPr>
                      <w:noProof/>
                    </w:rPr>
                    <w:drawing>
                      <wp:inline distT="0" distB="0" distL="0" distR="0">
                        <wp:extent cx="5390515" cy="2679700"/>
                        <wp:effectExtent l="0" t="0" r="635" b="6350"/>
                        <wp:docPr id="1" name="Picture 1" descr="Figure 3.3 Proportion of children aged 4 and 5 years enrolled in a preschool program in the YBFS who are disadvantaged, compared with their representation in the community, 2014&#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390515" cy="2679700"/>
                                </a:xfrm>
                                <a:prstGeom prst="rect">
                                  <a:avLst/>
                                </a:prstGeom>
                                <a:noFill/>
                                <a:ln>
                                  <a:noFill/>
                                </a:ln>
                              </pic:spPr>
                            </pic:pic>
                          </a:graphicData>
                        </a:graphic>
                      </wp:inline>
                    </w:drawing>
                  </w:r>
                </w:p>
              </w:tc>
            </w:tr>
          </w:tbl>
          <w:p w:rsidR="00D05C5D" w:rsidRDefault="00D05C5D" w:rsidP="00D05C5D">
            <w:pPr>
              <w:pStyle w:val="Figure"/>
            </w:pPr>
          </w:p>
        </w:tc>
      </w:tr>
      <w:tr w:rsidR="00D05C5D" w:rsidRPr="00176D3F" w:rsidTr="00D05C5D">
        <w:tc>
          <w:tcPr>
            <w:tcW w:w="8771" w:type="dxa"/>
            <w:tcBorders>
              <w:top w:val="nil"/>
              <w:left w:val="nil"/>
              <w:bottom w:val="nil"/>
              <w:right w:val="nil"/>
            </w:tcBorders>
            <w:shd w:val="clear" w:color="auto" w:fill="auto"/>
          </w:tcPr>
          <w:p w:rsidR="00D05C5D" w:rsidRPr="00176D3F" w:rsidRDefault="00D05C5D" w:rsidP="00B25F5A">
            <w:pPr>
              <w:pStyle w:val="Note"/>
            </w:pPr>
            <w:r w:rsidRPr="000E4E02">
              <w:rPr>
                <w:rStyle w:val="NoteLabel"/>
              </w:rPr>
              <w:t>a</w:t>
            </w:r>
            <w:r w:rsidRPr="000E4E02">
              <w:t xml:space="preserve"> </w:t>
            </w:r>
            <w:r w:rsidR="00704CEA">
              <w:t>See box</w:t>
            </w:r>
            <w:r w:rsidR="00697D43">
              <w:t> </w:t>
            </w:r>
            <w:r w:rsidR="00704CEA">
              <w:t>3.7 and table</w:t>
            </w:r>
            <w:r w:rsidR="00697D43">
              <w:t> </w:t>
            </w:r>
            <w:proofErr w:type="spellStart"/>
            <w:r w:rsidR="00704CEA">
              <w:t>3A.17</w:t>
            </w:r>
            <w:proofErr w:type="spellEnd"/>
            <w:r w:rsidR="00704CEA" w:rsidRPr="006853DC">
              <w:t xml:space="preserve"> for </w:t>
            </w:r>
            <w:r w:rsidR="00937F53">
              <w:t>detailed definitions, footnotes and caveats.</w:t>
            </w:r>
            <w:r w:rsidR="00704CEA">
              <w:t xml:space="preserve"> </w:t>
            </w:r>
            <w:r w:rsidR="00704CEA" w:rsidRPr="005D0041">
              <w:t xml:space="preserve"> </w:t>
            </w:r>
          </w:p>
        </w:tc>
      </w:tr>
      <w:tr w:rsidR="00D05C5D" w:rsidRPr="00176D3F" w:rsidTr="00D05C5D">
        <w:tc>
          <w:tcPr>
            <w:tcW w:w="8771" w:type="dxa"/>
            <w:tcBorders>
              <w:top w:val="nil"/>
              <w:left w:val="nil"/>
              <w:bottom w:val="nil"/>
              <w:right w:val="nil"/>
            </w:tcBorders>
            <w:shd w:val="clear" w:color="auto" w:fill="auto"/>
          </w:tcPr>
          <w:p w:rsidR="00D05C5D" w:rsidRPr="00176D3F" w:rsidRDefault="00D05C5D" w:rsidP="00D05C5D">
            <w:pPr>
              <w:pStyle w:val="Source"/>
            </w:pPr>
            <w:r>
              <w:rPr>
                <w:i/>
              </w:rPr>
              <w:t>S</w:t>
            </w:r>
            <w:r w:rsidRPr="00784A05">
              <w:rPr>
                <w:i/>
              </w:rPr>
              <w:t>ource</w:t>
            </w:r>
            <w:r w:rsidRPr="00176D3F">
              <w:t xml:space="preserve">: </w:t>
            </w:r>
            <w:r w:rsidR="008D3570">
              <w:t>Derived from ABS (2015</w:t>
            </w:r>
            <w:r w:rsidRPr="00D05C5D">
              <w:t xml:space="preserve">) </w:t>
            </w:r>
            <w:r w:rsidRPr="00D05C5D">
              <w:rPr>
                <w:i/>
              </w:rPr>
              <w:t>Pres</w:t>
            </w:r>
            <w:r w:rsidR="00723FCB">
              <w:rPr>
                <w:i/>
              </w:rPr>
              <w:t>chool Education, Australia, 2014</w:t>
            </w:r>
            <w:r w:rsidRPr="00D05C5D">
              <w:rPr>
                <w:i/>
              </w:rPr>
              <w:t xml:space="preserve">, </w:t>
            </w:r>
            <w:r w:rsidRPr="00D05C5D">
              <w:t>Cat. no. 4240.0; (unpublished</w:t>
            </w:r>
            <w:r w:rsidR="00B365B9">
              <w:t xml:space="preserve">) </w:t>
            </w:r>
            <w:r w:rsidR="00B365B9" w:rsidRPr="00B365B9">
              <w:rPr>
                <w:i/>
              </w:rPr>
              <w:t>Population by Age and</w:t>
            </w:r>
            <w:r w:rsidR="008D3570">
              <w:rPr>
                <w:i/>
              </w:rPr>
              <w:t xml:space="preserve"> Sex, Regions of Australia, 2014</w:t>
            </w:r>
            <w:r w:rsidR="001B6B26">
              <w:t>, Cat. no. 3235.0</w:t>
            </w:r>
            <w:r w:rsidR="002B57D2">
              <w:t>; table </w:t>
            </w:r>
            <w:proofErr w:type="spellStart"/>
            <w:r w:rsidR="002B57D2">
              <w:t>3A.17</w:t>
            </w:r>
            <w:proofErr w:type="spellEnd"/>
            <w:r w:rsidRPr="00D05C5D">
              <w:t>.</w:t>
            </w:r>
          </w:p>
        </w:tc>
      </w:tr>
      <w:tr w:rsidR="00D05C5D" w:rsidTr="00D05C5D">
        <w:tc>
          <w:tcPr>
            <w:tcW w:w="8771" w:type="dxa"/>
            <w:tcBorders>
              <w:top w:val="nil"/>
              <w:left w:val="nil"/>
              <w:bottom w:val="single" w:sz="6" w:space="0" w:color="78A22F"/>
              <w:right w:val="nil"/>
            </w:tcBorders>
            <w:shd w:val="clear" w:color="auto" w:fill="auto"/>
          </w:tcPr>
          <w:p w:rsidR="00D05C5D" w:rsidRDefault="00D05C5D" w:rsidP="00D05C5D">
            <w:pPr>
              <w:pStyle w:val="Figurespace"/>
            </w:pPr>
          </w:p>
        </w:tc>
      </w:tr>
      <w:tr w:rsidR="00D05C5D" w:rsidRPr="000863A5" w:rsidTr="00D05C5D">
        <w:tc>
          <w:tcPr>
            <w:tcW w:w="8771" w:type="dxa"/>
            <w:tcBorders>
              <w:top w:val="single" w:sz="6" w:space="0" w:color="78A22F"/>
              <w:left w:val="nil"/>
              <w:bottom w:val="nil"/>
              <w:right w:val="nil"/>
            </w:tcBorders>
          </w:tcPr>
          <w:p w:rsidR="00D05C5D" w:rsidRPr="00626D32" w:rsidRDefault="00D05C5D" w:rsidP="00D05C5D">
            <w:pPr>
              <w:pStyle w:val="BoxSpaceBelow"/>
            </w:pPr>
          </w:p>
        </w:tc>
      </w:tr>
    </w:tbl>
    <w:p w:rsidR="0014648F" w:rsidRPr="00C04BEE" w:rsidRDefault="0014648F" w:rsidP="0014648F">
      <w:pPr>
        <w:pStyle w:val="BodyText"/>
      </w:pPr>
      <w:r>
        <w:t>Data on the proportion of children attending a preschool program who are disadvanta</w:t>
      </w:r>
      <w:r w:rsidR="00B85698">
        <w:t xml:space="preserve">ged are presented in </w:t>
      </w:r>
      <w:r w:rsidR="00B85698" w:rsidRPr="00B365B9">
        <w:t>table</w:t>
      </w:r>
      <w:r w:rsidR="00172534" w:rsidRPr="00B365B9">
        <w:t> </w:t>
      </w:r>
      <w:proofErr w:type="spellStart"/>
      <w:r w:rsidR="002B57D2">
        <w:t>3A.17</w:t>
      </w:r>
      <w:proofErr w:type="spellEnd"/>
      <w:r w:rsidRPr="00B365B9">
        <w:t>.</w:t>
      </w:r>
    </w:p>
    <w:p w:rsidR="00342A4D" w:rsidRDefault="00FE040F" w:rsidP="00F97852">
      <w:pPr>
        <w:pStyle w:val="Heading3"/>
      </w:pPr>
      <w:r w:rsidRPr="00FE040F">
        <w:t>Effectiveness</w:t>
      </w:r>
    </w:p>
    <w:p w:rsidR="00342A4D" w:rsidRDefault="0014648F" w:rsidP="00F97852">
      <w:pPr>
        <w:pStyle w:val="Heading4"/>
      </w:pPr>
      <w:r w:rsidRPr="00C41228">
        <w:t xml:space="preserve">Access — </w:t>
      </w:r>
      <w:r>
        <w:t>c</w:t>
      </w:r>
      <w:r w:rsidR="00C85D95">
        <w:t>hildren using child care</w:t>
      </w:r>
    </w:p>
    <w:p w:rsidR="00C87815" w:rsidRDefault="009A6BA7" w:rsidP="00C3586E">
      <w:pPr>
        <w:pStyle w:val="BodyText"/>
      </w:pPr>
      <w:r w:rsidRPr="009A6BA7">
        <w:t>‘</w:t>
      </w:r>
      <w:r w:rsidR="00F44BAB">
        <w:t>C</w:t>
      </w:r>
      <w:r w:rsidRPr="009A6BA7">
        <w:t xml:space="preserve">hildren using child care’ is an indicator of governments’ objective to ensure that all families have equitable access to child care services </w:t>
      </w:r>
      <w:r w:rsidR="00FE040F" w:rsidRPr="00FE040F">
        <w:t>(</w:t>
      </w:r>
      <w:r w:rsidR="00FE040F" w:rsidRPr="00F52F48">
        <w:t>box</w:t>
      </w:r>
      <w:r w:rsidR="00172534" w:rsidRPr="00F52F48">
        <w:t> </w:t>
      </w:r>
      <w:r w:rsidR="00A4255C" w:rsidRPr="00F52F48">
        <w:t>3.</w:t>
      </w:r>
      <w:r w:rsidR="00B1432E">
        <w:t>8</w:t>
      </w:r>
      <w:r w:rsidR="00FE040F" w:rsidRPr="00F52F48">
        <w:t>).</w:t>
      </w:r>
    </w:p>
    <w:p w:rsidR="004129F3" w:rsidRDefault="004129F3">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4129F3" w:rsidTr="000F4D37">
        <w:tc>
          <w:tcPr>
            <w:tcW w:w="8771" w:type="dxa"/>
            <w:tcBorders>
              <w:top w:val="single" w:sz="6" w:space="0" w:color="78A22F"/>
              <w:left w:val="nil"/>
              <w:bottom w:val="nil"/>
              <w:right w:val="nil"/>
            </w:tcBorders>
            <w:shd w:val="clear" w:color="auto" w:fill="F2F2F2"/>
          </w:tcPr>
          <w:p w:rsidR="004129F3" w:rsidRDefault="004129F3" w:rsidP="00A4255C">
            <w:pPr>
              <w:pStyle w:val="BoxTitle"/>
            </w:pPr>
            <w:r>
              <w:rPr>
                <w:b w:val="0"/>
              </w:rPr>
              <w:t xml:space="preserve">Box </w:t>
            </w:r>
            <w:r w:rsidR="00A4255C">
              <w:rPr>
                <w:b w:val="0"/>
              </w:rPr>
              <w:t>3.</w:t>
            </w:r>
            <w:r w:rsidR="00B1432E">
              <w:rPr>
                <w:b w:val="0"/>
              </w:rPr>
              <w:t>8</w:t>
            </w:r>
            <w:r>
              <w:tab/>
            </w:r>
            <w:r w:rsidRPr="00DF669E">
              <w:t>Children using child care</w:t>
            </w:r>
          </w:p>
        </w:tc>
      </w:tr>
      <w:tr w:rsidR="004129F3" w:rsidTr="000F4D37">
        <w:trPr>
          <w:cantSplit/>
        </w:trPr>
        <w:tc>
          <w:tcPr>
            <w:tcW w:w="8771" w:type="dxa"/>
            <w:tcBorders>
              <w:top w:val="nil"/>
              <w:left w:val="nil"/>
              <w:bottom w:val="nil"/>
              <w:right w:val="nil"/>
            </w:tcBorders>
            <w:shd w:val="clear" w:color="auto" w:fill="F2F2F2"/>
          </w:tcPr>
          <w:p w:rsidR="004129F3" w:rsidRPr="00DF669E" w:rsidRDefault="004129F3" w:rsidP="004129F3">
            <w:pPr>
              <w:pStyle w:val="Box"/>
            </w:pPr>
            <w:r w:rsidRPr="00DF669E">
              <w:t>‘Children using child care’ is defined by three measures:</w:t>
            </w:r>
          </w:p>
          <w:p w:rsidR="008B575B" w:rsidRDefault="008B575B" w:rsidP="008B575B">
            <w:pPr>
              <w:pStyle w:val="BoxListBullet"/>
            </w:pPr>
            <w:r>
              <w:t xml:space="preserve">the </w:t>
            </w:r>
            <w:r w:rsidRPr="00DF669E">
              <w:t xml:space="preserve">proportion of children </w:t>
            </w:r>
            <w:r>
              <w:t>who are attending</w:t>
            </w:r>
            <w:r w:rsidRPr="00DF669E">
              <w:t xml:space="preserve"> Australian Government </w:t>
            </w:r>
            <w:proofErr w:type="spellStart"/>
            <w:r>
              <w:t>CCB</w:t>
            </w:r>
            <w:proofErr w:type="spellEnd"/>
            <w:r>
              <w:t xml:space="preserve"> </w:t>
            </w:r>
            <w:r w:rsidRPr="00DF669E">
              <w:t>approved child care</w:t>
            </w:r>
            <w:r>
              <w:t xml:space="preserve"> services</w:t>
            </w:r>
            <w:r w:rsidR="007622CE">
              <w:t xml:space="preserve"> by age group (0–5, 6–12 and </w:t>
            </w:r>
            <w:r w:rsidR="007622CE" w:rsidRPr="00DF669E">
              <w:t>0–12 years</w:t>
            </w:r>
            <w:r w:rsidR="007622CE">
              <w:t>)</w:t>
            </w:r>
          </w:p>
          <w:p w:rsidR="004129F3" w:rsidRPr="00DF669E" w:rsidRDefault="00EB1241" w:rsidP="004129F3">
            <w:pPr>
              <w:pStyle w:val="BoxListBullet"/>
            </w:pPr>
            <w:r>
              <w:t xml:space="preserve">the </w:t>
            </w:r>
            <w:r w:rsidR="004129F3" w:rsidRPr="00DF669E">
              <w:t xml:space="preserve">proportion of children </w:t>
            </w:r>
            <w:r w:rsidR="002D508E">
              <w:t>who are attending</w:t>
            </w:r>
            <w:r w:rsidR="004129F3" w:rsidRPr="00DF669E">
              <w:t xml:space="preserve"> Australian Government </w:t>
            </w:r>
            <w:proofErr w:type="spellStart"/>
            <w:r w:rsidR="00F52F48">
              <w:t>CCB</w:t>
            </w:r>
            <w:proofErr w:type="spellEnd"/>
            <w:r w:rsidR="004129F3">
              <w:t xml:space="preserve"> </w:t>
            </w:r>
            <w:r w:rsidR="00286D55">
              <w:t>approved and</w:t>
            </w:r>
            <w:r w:rsidR="004129F3" w:rsidRPr="00DF669E">
              <w:t xml:space="preserve"> State and Territory government funded child care</w:t>
            </w:r>
            <w:r w:rsidR="00EE73CE">
              <w:t xml:space="preserve"> services</w:t>
            </w:r>
            <w:r w:rsidR="007622CE">
              <w:t xml:space="preserve"> by age group (0–5, 6–12 and</w:t>
            </w:r>
            <w:r w:rsidR="002D438E">
              <w:t xml:space="preserve"> </w:t>
            </w:r>
            <w:r w:rsidR="00B01613">
              <w:t xml:space="preserve">   </w:t>
            </w:r>
            <w:r w:rsidR="007622CE">
              <w:t>0–12 years)</w:t>
            </w:r>
          </w:p>
          <w:p w:rsidR="004129F3" w:rsidRPr="00DF669E" w:rsidRDefault="004129F3" w:rsidP="004129F3">
            <w:pPr>
              <w:pStyle w:val="BoxListBullet"/>
            </w:pPr>
            <w:r w:rsidRPr="00DF669E">
              <w:t xml:space="preserve">average hours of attendance </w:t>
            </w:r>
            <w:r w:rsidR="008B575B">
              <w:t xml:space="preserve">per week </w:t>
            </w:r>
            <w:r w:rsidR="007A618F">
              <w:t xml:space="preserve">for 0–12 year olds </w:t>
            </w:r>
            <w:r w:rsidRPr="00DF669E">
              <w:t xml:space="preserve">at Australian Government </w:t>
            </w:r>
            <w:proofErr w:type="spellStart"/>
            <w:r w:rsidR="00F52F48">
              <w:t>CCB</w:t>
            </w:r>
            <w:proofErr w:type="spellEnd"/>
            <w:r>
              <w:t xml:space="preserve"> </w:t>
            </w:r>
            <w:r w:rsidRPr="00DF669E">
              <w:t>approved chil</w:t>
            </w:r>
            <w:r>
              <w:t>d care services by service type</w:t>
            </w:r>
            <w:r w:rsidRPr="00DF669E">
              <w:t>.</w:t>
            </w:r>
          </w:p>
          <w:p w:rsidR="004129F3" w:rsidRPr="00DF669E" w:rsidRDefault="004129F3" w:rsidP="004129F3">
            <w:pPr>
              <w:pStyle w:val="Box"/>
            </w:pPr>
            <w:r w:rsidRPr="00DF669E">
              <w:t>A higher or increasing proportion of children using the services can indicate a higher level of service availability. This indicator does not provide information on parental preferences for using child care, or other factors, such as school starting age, which can affect use of child care.</w:t>
            </w:r>
          </w:p>
          <w:p w:rsidR="004129F3" w:rsidRPr="00DF669E" w:rsidRDefault="004129F3" w:rsidP="004129F3">
            <w:pPr>
              <w:pStyle w:val="BoxListBullet2"/>
              <w:numPr>
                <w:ilvl w:val="0"/>
                <w:numId w:val="0"/>
              </w:numPr>
            </w:pPr>
            <w:r w:rsidRPr="00DF669E">
              <w:t>Data reported for these measures are:</w:t>
            </w:r>
          </w:p>
          <w:p w:rsidR="004129F3" w:rsidRPr="005265E7" w:rsidRDefault="004129F3" w:rsidP="004129F3">
            <w:pPr>
              <w:pStyle w:val="BoxListBullet"/>
            </w:pPr>
            <w:r w:rsidRPr="005265E7">
              <w:t>comparable (subject to caveats) within jurisdictions over time but are not comparable across jurisdict</w:t>
            </w:r>
            <w:r w:rsidR="00F52F48" w:rsidRPr="005265E7">
              <w:t xml:space="preserve">ions for Australian Government </w:t>
            </w:r>
            <w:proofErr w:type="spellStart"/>
            <w:r w:rsidR="00F52F48" w:rsidRPr="005265E7">
              <w:t>CCB</w:t>
            </w:r>
            <w:proofErr w:type="spellEnd"/>
            <w:r w:rsidR="00A4361F">
              <w:t xml:space="preserve"> approved and</w:t>
            </w:r>
            <w:r w:rsidRPr="005265E7">
              <w:t xml:space="preserve"> State and Territory government funded child care. Data are comparable (subject to caveats) across jurisdictions and over time for children aged 0–12 yea</w:t>
            </w:r>
            <w:r w:rsidR="00F52F48" w:rsidRPr="005265E7">
              <w:t xml:space="preserve">rs using Australian Government </w:t>
            </w:r>
            <w:proofErr w:type="spellStart"/>
            <w:r w:rsidR="00F52F48" w:rsidRPr="005265E7">
              <w:t>CCB</w:t>
            </w:r>
            <w:proofErr w:type="spellEnd"/>
            <w:r w:rsidRPr="005265E7">
              <w:t xml:space="preserve"> approved child care </w:t>
            </w:r>
            <w:r w:rsidR="00EE73CE">
              <w:t xml:space="preserve">services </w:t>
            </w:r>
            <w:r w:rsidRPr="005265E7">
              <w:t>and average hours of attendance</w:t>
            </w:r>
          </w:p>
          <w:p w:rsidR="004129F3" w:rsidRPr="005265E7" w:rsidRDefault="00890CE0" w:rsidP="004129F3">
            <w:pPr>
              <w:pStyle w:val="BoxListBullet"/>
            </w:pPr>
            <w:r w:rsidRPr="005265E7">
              <w:t xml:space="preserve">incomplete </w:t>
            </w:r>
            <w:r w:rsidR="004129F3" w:rsidRPr="005265E7">
              <w:t xml:space="preserve">for the current reporting period. </w:t>
            </w:r>
            <w:r w:rsidRPr="006561E8">
              <w:t xml:space="preserve">All required </w:t>
            </w:r>
            <w:r w:rsidR="00EE73CE" w:rsidRPr="006561E8">
              <w:t xml:space="preserve">2015 </w:t>
            </w:r>
            <w:r w:rsidRPr="006561E8">
              <w:t xml:space="preserve">data were not available for State and Territory government funded </w:t>
            </w:r>
            <w:r w:rsidR="009E6494" w:rsidRPr="006561E8">
              <w:t xml:space="preserve">child care services for </w:t>
            </w:r>
            <w:r w:rsidR="006561E8" w:rsidRPr="006561E8">
              <w:t xml:space="preserve">NSW, Vic, WA </w:t>
            </w:r>
            <w:r w:rsidR="00B524D4" w:rsidRPr="006561E8">
              <w:t xml:space="preserve">and </w:t>
            </w:r>
            <w:r w:rsidR="009E6494" w:rsidRPr="006561E8">
              <w:t xml:space="preserve">the </w:t>
            </w:r>
            <w:r w:rsidR="00B524D4" w:rsidRPr="006561E8">
              <w:t>NT</w:t>
            </w:r>
            <w:r w:rsidRPr="006561E8">
              <w:t xml:space="preserve">. </w:t>
            </w:r>
            <w:r w:rsidRPr="005265E7">
              <w:t xml:space="preserve">All </w:t>
            </w:r>
            <w:r w:rsidR="00EE73CE">
              <w:t>required 2015</w:t>
            </w:r>
            <w:r w:rsidR="004129F3" w:rsidRPr="005265E7">
              <w:t xml:space="preserve"> data are available for children </w:t>
            </w:r>
            <w:r w:rsidR="008B575B">
              <w:t>attending</w:t>
            </w:r>
            <w:r w:rsidR="004129F3" w:rsidRPr="005265E7">
              <w:t xml:space="preserve"> Australian Government </w:t>
            </w:r>
            <w:proofErr w:type="spellStart"/>
            <w:r w:rsidRPr="005265E7">
              <w:t>CCB</w:t>
            </w:r>
            <w:proofErr w:type="spellEnd"/>
            <w:r w:rsidRPr="005265E7">
              <w:t xml:space="preserve"> </w:t>
            </w:r>
            <w:r w:rsidR="004129F3" w:rsidRPr="005265E7">
              <w:t xml:space="preserve">approved child care </w:t>
            </w:r>
            <w:r w:rsidR="00EE73CE">
              <w:t xml:space="preserve">services </w:t>
            </w:r>
            <w:r w:rsidR="004129F3" w:rsidRPr="005265E7">
              <w:t>and average hours of attendance</w:t>
            </w:r>
            <w:r w:rsidR="005D15C4">
              <w:t>.</w:t>
            </w:r>
          </w:p>
          <w:p w:rsidR="004129F3" w:rsidRDefault="004129F3" w:rsidP="004129F3">
            <w:pPr>
              <w:pStyle w:val="Box"/>
            </w:pPr>
            <w:r>
              <w:rPr>
                <w:rFonts w:cs="Arial"/>
                <w:szCs w:val="26"/>
              </w:rPr>
              <w:t>D</w:t>
            </w:r>
            <w:r w:rsidRPr="00DF669E">
              <w:rPr>
                <w:rFonts w:cs="Arial"/>
                <w:szCs w:val="26"/>
              </w:rPr>
              <w:t xml:space="preserve">ata quality </w:t>
            </w:r>
            <w:r>
              <w:rPr>
                <w:rFonts w:cs="Arial"/>
                <w:szCs w:val="26"/>
              </w:rPr>
              <w:t xml:space="preserve">information </w:t>
            </w:r>
            <w:r w:rsidRPr="00DF669E">
              <w:rPr>
                <w:rFonts w:cs="Arial"/>
                <w:szCs w:val="26"/>
              </w:rPr>
              <w:t xml:space="preserve">for this indicator is at </w:t>
            </w:r>
            <w:proofErr w:type="spellStart"/>
            <w:r w:rsidRPr="00DF669E">
              <w:rPr>
                <w:rFonts w:cs="Arial"/>
                <w:szCs w:val="26"/>
              </w:rPr>
              <w:t>www</w:t>
            </w:r>
            <w:r w:rsidR="003F4FDF">
              <w:rPr>
                <w:rFonts w:cs="Arial"/>
                <w:szCs w:val="26"/>
              </w:rPr>
              <w:t>.pc.gov.au</w:t>
            </w:r>
            <w:proofErr w:type="spellEnd"/>
            <w:r>
              <w:rPr>
                <w:rFonts w:cs="Arial"/>
                <w:szCs w:val="26"/>
              </w:rPr>
              <w:t>/</w:t>
            </w:r>
            <w:proofErr w:type="spellStart"/>
            <w:r>
              <w:rPr>
                <w:rFonts w:cs="Arial"/>
                <w:szCs w:val="26"/>
              </w:rPr>
              <w:t>rogs</w:t>
            </w:r>
            <w:proofErr w:type="spellEnd"/>
            <w:r>
              <w:rPr>
                <w:rFonts w:cs="Arial"/>
                <w:szCs w:val="26"/>
              </w:rPr>
              <w:t>/</w:t>
            </w:r>
            <w:r w:rsidR="00CB534C">
              <w:rPr>
                <w:rFonts w:cs="Arial"/>
                <w:szCs w:val="26"/>
              </w:rPr>
              <w:t>2016</w:t>
            </w:r>
            <w:r w:rsidRPr="00DF669E">
              <w:rPr>
                <w:rFonts w:cs="Arial"/>
                <w:szCs w:val="26"/>
              </w:rPr>
              <w:t>.</w:t>
            </w:r>
          </w:p>
        </w:tc>
      </w:tr>
      <w:tr w:rsidR="004129F3" w:rsidTr="000F4D37">
        <w:trPr>
          <w:cantSplit/>
        </w:trPr>
        <w:tc>
          <w:tcPr>
            <w:tcW w:w="8771" w:type="dxa"/>
            <w:tcBorders>
              <w:top w:val="nil"/>
              <w:left w:val="nil"/>
              <w:bottom w:val="single" w:sz="6" w:space="0" w:color="78A22F"/>
              <w:right w:val="nil"/>
            </w:tcBorders>
            <w:shd w:val="clear" w:color="auto" w:fill="F2F2F2"/>
          </w:tcPr>
          <w:p w:rsidR="004129F3" w:rsidRDefault="004129F3">
            <w:pPr>
              <w:pStyle w:val="Box"/>
              <w:spacing w:before="0" w:line="120" w:lineRule="exact"/>
            </w:pPr>
          </w:p>
        </w:tc>
      </w:tr>
      <w:tr w:rsidR="004129F3" w:rsidRPr="000863A5" w:rsidTr="000F4D37">
        <w:tc>
          <w:tcPr>
            <w:tcW w:w="8771" w:type="dxa"/>
            <w:tcBorders>
              <w:top w:val="single" w:sz="6" w:space="0" w:color="78A22F"/>
              <w:left w:val="nil"/>
              <w:bottom w:val="nil"/>
              <w:right w:val="nil"/>
            </w:tcBorders>
          </w:tcPr>
          <w:p w:rsidR="004129F3" w:rsidRPr="00626D32" w:rsidRDefault="004129F3" w:rsidP="000F4D37">
            <w:pPr>
              <w:pStyle w:val="BoxSpaceBelow"/>
            </w:pPr>
          </w:p>
        </w:tc>
      </w:tr>
    </w:tbl>
    <w:p w:rsidR="009E6494" w:rsidRDefault="00302CB7" w:rsidP="00A8316D">
      <w:pPr>
        <w:pStyle w:val="BodyText"/>
      </w:pPr>
      <w:r>
        <w:t xml:space="preserve">The employment status of parents </w:t>
      </w:r>
      <w:r w:rsidR="005C7263">
        <w:t>can</w:t>
      </w:r>
      <w:r>
        <w:t xml:space="preserve"> influence children’s access to services</w:t>
      </w:r>
      <w:r w:rsidR="005C1C4F">
        <w:t xml:space="preserve">, depending on the service </w:t>
      </w:r>
      <w:r w:rsidR="00F92554">
        <w:t>type</w:t>
      </w:r>
      <w:r>
        <w:t xml:space="preserve">. Those services eligible for </w:t>
      </w:r>
      <w:proofErr w:type="spellStart"/>
      <w:r w:rsidR="00152D04">
        <w:t>CCB</w:t>
      </w:r>
      <w:proofErr w:type="spellEnd"/>
      <w:r>
        <w:t xml:space="preserve">, for example, </w:t>
      </w:r>
      <w:r w:rsidR="00DA33A5">
        <w:t xml:space="preserve">must follow the Australian Government’s ‘priority of </w:t>
      </w:r>
      <w:proofErr w:type="spellStart"/>
      <w:r w:rsidR="00DA33A5">
        <w:t>access’</w:t>
      </w:r>
      <w:proofErr w:type="spellEnd"/>
      <w:r w:rsidR="00DA33A5">
        <w:t xml:space="preserve"> guidelines when filling vacant places. The guidelines give </w:t>
      </w:r>
      <w:r>
        <w:t>a high priority to children at risk and children of parents with work</w:t>
      </w:r>
      <w:r w:rsidR="00172534">
        <w:noBreakHyphen/>
      </w:r>
      <w:r>
        <w:t xml:space="preserve">related </w:t>
      </w:r>
      <w:r w:rsidR="00C85D95">
        <w:t>child care</w:t>
      </w:r>
      <w:r>
        <w:t xml:space="preserve"> needs</w:t>
      </w:r>
      <w:r w:rsidR="00651446">
        <w:t xml:space="preserve"> (s</w:t>
      </w:r>
      <w:r w:rsidR="00CE0C7E">
        <w:t>ection</w:t>
      </w:r>
      <w:r w:rsidR="00172534">
        <w:t> </w:t>
      </w:r>
      <w:r w:rsidR="001952DE">
        <w:t>3.5</w:t>
      </w:r>
      <w:r w:rsidR="006D7884">
        <w:t xml:space="preserve"> </w:t>
      </w:r>
      <w:r w:rsidR="00651446">
        <w:t xml:space="preserve">contains </w:t>
      </w:r>
      <w:r w:rsidR="00CE0C7E">
        <w:t xml:space="preserve">more detail). </w:t>
      </w:r>
      <w:r>
        <w:t>Details of the employment status of parents whos</w:t>
      </w:r>
      <w:r w:rsidR="007B5C59">
        <w:t>e children use these services</w:t>
      </w:r>
      <w:r w:rsidR="00C4602B">
        <w:t>, for 2008</w:t>
      </w:r>
      <w:r w:rsidR="00C578D3">
        <w:t>, 2011 and 2014</w:t>
      </w:r>
      <w:r w:rsidR="00C4602B">
        <w:t xml:space="preserve">, </w:t>
      </w:r>
      <w:r>
        <w:t xml:space="preserve">are shown in </w:t>
      </w:r>
      <w:r w:rsidRPr="00925061">
        <w:t>table</w:t>
      </w:r>
      <w:r w:rsidR="00172534" w:rsidRPr="00925061">
        <w:t> </w:t>
      </w:r>
      <w:proofErr w:type="spellStart"/>
      <w:r w:rsidRPr="00925061">
        <w:t>3A.</w:t>
      </w:r>
      <w:r w:rsidR="002B57D2">
        <w:t>29</w:t>
      </w:r>
      <w:proofErr w:type="spellEnd"/>
      <w:r w:rsidR="00980149" w:rsidRPr="00925061">
        <w:t>.</w:t>
      </w:r>
    </w:p>
    <w:p w:rsidR="00C578D3" w:rsidRDefault="00C578D3" w:rsidP="00C578D3">
      <w:pPr>
        <w:pStyle w:val="Heading5"/>
      </w:pPr>
      <w:r>
        <w:t>P</w:t>
      </w:r>
      <w:r w:rsidRPr="00DF669E">
        <w:t xml:space="preserve">roportion of children </w:t>
      </w:r>
      <w:r>
        <w:t>who are attending</w:t>
      </w:r>
      <w:r w:rsidRPr="00DF669E">
        <w:t xml:space="preserve"> Australian Government </w:t>
      </w:r>
      <w:proofErr w:type="spellStart"/>
      <w:r>
        <w:t>CCB</w:t>
      </w:r>
      <w:proofErr w:type="spellEnd"/>
      <w:r>
        <w:t xml:space="preserve"> </w:t>
      </w:r>
      <w:r w:rsidRPr="00DF669E">
        <w:t>approved child care</w:t>
      </w:r>
      <w:r>
        <w:t xml:space="preserve"> services</w:t>
      </w:r>
      <w:r w:rsidR="0039280F">
        <w:t>,</w:t>
      </w:r>
      <w:r w:rsidR="00230B0B" w:rsidRPr="00230B0B">
        <w:t xml:space="preserve"> </w:t>
      </w:r>
      <w:r w:rsidR="00230B0B">
        <w:t xml:space="preserve">by age group (0–5, 6–12 and </w:t>
      </w:r>
      <w:r w:rsidR="00230B0B" w:rsidRPr="00DF669E">
        <w:t>0–12 years</w:t>
      </w:r>
      <w:r w:rsidR="00230B0B">
        <w:t>)</w:t>
      </w:r>
    </w:p>
    <w:p w:rsidR="001E3B96" w:rsidRPr="001E3B96" w:rsidRDefault="00C578D3" w:rsidP="001E3B96">
      <w:pPr>
        <w:pStyle w:val="BodyText"/>
      </w:pPr>
      <w:r w:rsidRPr="00AC175A">
        <w:t>Nationally in 201</w:t>
      </w:r>
      <w:r>
        <w:t>5</w:t>
      </w:r>
      <w:r w:rsidRPr="00AC175A">
        <w:t xml:space="preserve">, </w:t>
      </w:r>
      <w:r w:rsidR="00802DAB" w:rsidRPr="00802DAB">
        <w:t>30.6</w:t>
      </w:r>
      <w:r w:rsidRPr="00802DAB">
        <w:t xml:space="preserve"> </w:t>
      </w:r>
      <w:r w:rsidRPr="00AC175A">
        <w:t xml:space="preserve">per cent of all children aged 0–12 years attended Australian Government </w:t>
      </w:r>
      <w:proofErr w:type="spellStart"/>
      <w:r>
        <w:t>CCB</w:t>
      </w:r>
      <w:proofErr w:type="spellEnd"/>
      <w:r>
        <w:t xml:space="preserve"> </w:t>
      </w:r>
      <w:r w:rsidRPr="00AC175A">
        <w:t>approved child care (figure</w:t>
      </w:r>
      <w:r>
        <w:t> </w:t>
      </w:r>
      <w:r w:rsidRPr="00AC175A">
        <w:t>3.</w:t>
      </w:r>
      <w:r w:rsidR="001F64AD">
        <w:t>4</w:t>
      </w:r>
      <w:r w:rsidRPr="00AC175A">
        <w:t>).</w:t>
      </w:r>
      <w:r>
        <w:t xml:space="preserve"> This is an </w:t>
      </w:r>
      <w:r w:rsidRPr="00215023">
        <w:t xml:space="preserve">increase </w:t>
      </w:r>
      <w:r>
        <w:t>from 29.0 per cent in 2014</w:t>
      </w:r>
      <w:r w:rsidR="004A011C">
        <w:t xml:space="preserve">. </w:t>
      </w:r>
      <w:r w:rsidR="00CB694F">
        <w:t>Proportions increased for both</w:t>
      </w:r>
      <w:r w:rsidR="002D438E">
        <w:t xml:space="preserve"> </w:t>
      </w:r>
      <w:r w:rsidR="00E84753">
        <w:t>the 0–5 year olds and 6–</w:t>
      </w:r>
      <w:r w:rsidR="00CB694F">
        <w:t>12 year old</w:t>
      </w:r>
      <w:r w:rsidR="002B57D2">
        <w:t>s from 2014 to 2015 (table</w:t>
      </w:r>
      <w:r w:rsidR="00697D43">
        <w:t> </w:t>
      </w:r>
      <w:proofErr w:type="spellStart"/>
      <w:r w:rsidR="002B57D2">
        <w:t>3A.18</w:t>
      </w:r>
      <w:proofErr w:type="spellEnd"/>
      <w:r w:rsidR="00CB694F">
        <w:t xml:space="preserve">). </w:t>
      </w:r>
      <w:r w:rsidR="001B2A13" w:rsidRPr="00AC175A">
        <w:t xml:space="preserve">The majority of </w:t>
      </w:r>
      <w:r w:rsidR="001B2A13">
        <w:t xml:space="preserve">0–12 year old </w:t>
      </w:r>
      <w:r w:rsidR="001B2A13" w:rsidRPr="00AC175A">
        <w:t xml:space="preserve">children attending Australian Government </w:t>
      </w:r>
      <w:proofErr w:type="spellStart"/>
      <w:r w:rsidR="001B2A13">
        <w:t>CCB</w:t>
      </w:r>
      <w:proofErr w:type="spellEnd"/>
      <w:r w:rsidR="001B2A13">
        <w:t xml:space="preserve"> </w:t>
      </w:r>
      <w:r w:rsidR="001B2A13" w:rsidRPr="00AC175A">
        <w:t>approved child care</w:t>
      </w:r>
      <w:r w:rsidR="001B2A13">
        <w:t xml:space="preserve"> services</w:t>
      </w:r>
      <w:r w:rsidR="001B2A13" w:rsidRPr="00AC175A">
        <w:t xml:space="preserve"> in 201</w:t>
      </w:r>
      <w:r w:rsidR="001B2A13">
        <w:t>5</w:t>
      </w:r>
      <w:r w:rsidR="001B2A13" w:rsidRPr="00AC175A">
        <w:t xml:space="preserve"> </w:t>
      </w:r>
      <w:r w:rsidR="001B2A13" w:rsidRPr="00722939">
        <w:t>(</w:t>
      </w:r>
      <w:r w:rsidR="00802DAB" w:rsidRPr="00802DAB">
        <w:t>781 426</w:t>
      </w:r>
      <w:r w:rsidR="001B2A13" w:rsidRPr="00802DAB">
        <w:t xml:space="preserve">, or </w:t>
      </w:r>
      <w:r w:rsidR="00802DAB" w:rsidRPr="00802DAB">
        <w:t>65.8</w:t>
      </w:r>
      <w:r w:rsidR="001B2A13" w:rsidRPr="00802DAB">
        <w:t> </w:t>
      </w:r>
      <w:r w:rsidR="001B2A13" w:rsidRPr="00722939">
        <w:t xml:space="preserve">per cent) </w:t>
      </w:r>
      <w:r w:rsidR="001B2A13" w:rsidRPr="00AC175A">
        <w:t>were aged 0–5 years (table</w:t>
      </w:r>
      <w:r w:rsidR="001B2A13">
        <w:t> </w:t>
      </w:r>
      <w:proofErr w:type="spellStart"/>
      <w:r w:rsidR="001B2A13" w:rsidRPr="00E93EDF">
        <w:t>3A.</w:t>
      </w:r>
      <w:r w:rsidR="001B2A13">
        <w:t>1</w:t>
      </w:r>
      <w:r w:rsidR="002B57D2">
        <w:t>8</w:t>
      </w:r>
      <w:proofErr w:type="spellEnd"/>
      <w:r w:rsidR="001B2A13" w:rsidRPr="00E93EDF">
        <w:t>).</w:t>
      </w:r>
      <w:r w:rsidR="002D438E">
        <w:t xml:space="preserve"> </w:t>
      </w:r>
      <w:r w:rsidR="00CB694F">
        <w:t>Data on attendance by single year of age up to 4 years is in t</w:t>
      </w:r>
      <w:r w:rsidR="00CB694F" w:rsidRPr="00AC175A">
        <w:t>able </w:t>
      </w:r>
      <w:proofErr w:type="spellStart"/>
      <w:r w:rsidR="00CB694F" w:rsidRPr="00E93EDF">
        <w:t>3A.</w:t>
      </w:r>
      <w:r w:rsidR="002B57D2">
        <w:t>19</w:t>
      </w:r>
      <w:proofErr w:type="spellEnd"/>
      <w:r w:rsidR="00CB694F" w:rsidRPr="00E93EDF">
        <w:t xml:space="preserve">. </w:t>
      </w:r>
    </w:p>
    <w:p w:rsidR="00C578D3" w:rsidRDefault="00C578D3" w:rsidP="00773A00">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C578D3" w:rsidTr="0055233C">
        <w:tc>
          <w:tcPr>
            <w:tcW w:w="8771" w:type="dxa"/>
            <w:tcBorders>
              <w:top w:val="single" w:sz="6" w:space="0" w:color="78A22F"/>
              <w:left w:val="nil"/>
              <w:bottom w:val="nil"/>
              <w:right w:val="nil"/>
            </w:tcBorders>
            <w:shd w:val="clear" w:color="auto" w:fill="auto"/>
          </w:tcPr>
          <w:p w:rsidR="00C578D3" w:rsidRPr="00176D3F" w:rsidRDefault="00C578D3" w:rsidP="0055233C">
            <w:pPr>
              <w:pStyle w:val="FigureTitle"/>
            </w:pPr>
            <w:r w:rsidRPr="00784A05">
              <w:rPr>
                <w:b w:val="0"/>
              </w:rPr>
              <w:t xml:space="preserve">Figure </w:t>
            </w:r>
            <w:r>
              <w:rPr>
                <w:b w:val="0"/>
              </w:rPr>
              <w:t>3.</w:t>
            </w:r>
            <w:r w:rsidR="000E3849">
              <w:rPr>
                <w:b w:val="0"/>
                <w:noProof/>
              </w:rPr>
              <w:t>4</w:t>
            </w:r>
            <w:r>
              <w:tab/>
            </w:r>
            <w:r w:rsidRPr="00694CC3">
              <w:t>Proportion of children aged 0–12 yea</w:t>
            </w:r>
            <w:r>
              <w:t xml:space="preserve">rs who are attending Australian Government </w:t>
            </w:r>
            <w:proofErr w:type="spellStart"/>
            <w:r>
              <w:t>CCB</w:t>
            </w:r>
            <w:proofErr w:type="spellEnd"/>
            <w:r w:rsidRPr="00694CC3">
              <w:t xml:space="preserve"> approved child care</w:t>
            </w:r>
            <w:r>
              <w:t xml:space="preserve"> services</w:t>
            </w:r>
            <w:r w:rsidR="000419FA">
              <w:rPr>
                <w:rStyle w:val="NoteLabel"/>
                <w:b/>
              </w:rPr>
              <w:t>a</w:t>
            </w:r>
          </w:p>
        </w:tc>
      </w:tr>
      <w:tr w:rsidR="00C578D3" w:rsidTr="0055233C">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C578D3" w:rsidTr="0055233C">
              <w:trPr>
                <w:jc w:val="center"/>
              </w:trPr>
              <w:tc>
                <w:tcPr>
                  <w:tcW w:w="5000" w:type="pct"/>
                  <w:tcBorders>
                    <w:top w:val="nil"/>
                    <w:bottom w:val="nil"/>
                  </w:tcBorders>
                </w:tcPr>
                <w:p w:rsidR="00C578D3" w:rsidRDefault="00B337E3" w:rsidP="0055233C">
                  <w:pPr>
                    <w:pStyle w:val="Figure"/>
                    <w:spacing w:before="60" w:after="60"/>
                  </w:pPr>
                  <w:r>
                    <w:rPr>
                      <w:noProof/>
                    </w:rPr>
                    <w:drawing>
                      <wp:inline distT="0" distB="0" distL="0" distR="0">
                        <wp:extent cx="5380355" cy="2743200"/>
                        <wp:effectExtent l="0" t="0" r="0" b="0"/>
                        <wp:docPr id="3" name="Picture 3" descr="Figure 3.4 Proportion of children aged 0–12 years who are attending Australian Government CCB approved child care services&#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380355" cy="2743200"/>
                                </a:xfrm>
                                <a:prstGeom prst="rect">
                                  <a:avLst/>
                                </a:prstGeom>
                                <a:noFill/>
                                <a:ln>
                                  <a:noFill/>
                                </a:ln>
                              </pic:spPr>
                            </pic:pic>
                          </a:graphicData>
                        </a:graphic>
                      </wp:inline>
                    </w:drawing>
                  </w:r>
                </w:p>
              </w:tc>
            </w:tr>
          </w:tbl>
          <w:p w:rsidR="00C578D3" w:rsidRDefault="00C578D3" w:rsidP="0055233C">
            <w:pPr>
              <w:pStyle w:val="Figure"/>
            </w:pPr>
          </w:p>
        </w:tc>
      </w:tr>
      <w:tr w:rsidR="00C578D3" w:rsidRPr="00176D3F" w:rsidTr="0055233C">
        <w:tc>
          <w:tcPr>
            <w:tcW w:w="8771" w:type="dxa"/>
            <w:tcBorders>
              <w:top w:val="nil"/>
              <w:left w:val="nil"/>
              <w:bottom w:val="nil"/>
              <w:right w:val="nil"/>
            </w:tcBorders>
            <w:shd w:val="clear" w:color="auto" w:fill="auto"/>
          </w:tcPr>
          <w:p w:rsidR="00C578D3" w:rsidRPr="00176D3F" w:rsidRDefault="00C578D3" w:rsidP="00444DF5">
            <w:pPr>
              <w:pStyle w:val="Note"/>
              <w:keepNext/>
            </w:pPr>
            <w:r>
              <w:rPr>
                <w:rStyle w:val="NoteLabel"/>
              </w:rPr>
              <w:t>a</w:t>
            </w:r>
            <w:r>
              <w:t xml:space="preserve"> </w:t>
            </w:r>
            <w:r w:rsidR="00704CEA">
              <w:t>See box</w:t>
            </w:r>
            <w:r w:rsidR="00697D43">
              <w:t> </w:t>
            </w:r>
            <w:r w:rsidR="00704CEA">
              <w:t>3.8 and table</w:t>
            </w:r>
            <w:r w:rsidR="00697D43">
              <w:t> </w:t>
            </w:r>
            <w:proofErr w:type="spellStart"/>
            <w:r w:rsidR="00704CEA">
              <w:t>3A.18</w:t>
            </w:r>
            <w:proofErr w:type="spellEnd"/>
            <w:r w:rsidR="00704CEA" w:rsidRPr="006853DC">
              <w:t xml:space="preserve"> for </w:t>
            </w:r>
            <w:r w:rsidR="00937F53">
              <w:t>detailed definitions, footnotes and caveats.</w:t>
            </w:r>
            <w:r w:rsidR="00704CEA">
              <w:t xml:space="preserve"> </w:t>
            </w:r>
            <w:r w:rsidR="00704CEA" w:rsidRPr="005D0041">
              <w:t xml:space="preserve"> </w:t>
            </w:r>
          </w:p>
        </w:tc>
      </w:tr>
      <w:tr w:rsidR="00C578D3" w:rsidRPr="00176D3F" w:rsidTr="0055233C">
        <w:tc>
          <w:tcPr>
            <w:tcW w:w="8771" w:type="dxa"/>
            <w:tcBorders>
              <w:top w:val="nil"/>
              <w:left w:val="nil"/>
              <w:bottom w:val="nil"/>
              <w:right w:val="nil"/>
            </w:tcBorders>
            <w:shd w:val="clear" w:color="auto" w:fill="auto"/>
          </w:tcPr>
          <w:p w:rsidR="00C578D3" w:rsidRPr="00176D3F" w:rsidRDefault="00C578D3" w:rsidP="00FE32F9">
            <w:pPr>
              <w:pStyle w:val="Source"/>
              <w:keepNext/>
            </w:pPr>
            <w:r>
              <w:rPr>
                <w:i/>
              </w:rPr>
              <w:t>S</w:t>
            </w:r>
            <w:r w:rsidRPr="00784A05">
              <w:rPr>
                <w:i/>
              </w:rPr>
              <w:t>ource</w:t>
            </w:r>
            <w:r w:rsidRPr="00176D3F">
              <w:t xml:space="preserve">: </w:t>
            </w:r>
            <w:r>
              <w:t xml:space="preserve">Australian Government Department of </w:t>
            </w:r>
            <w:r w:rsidR="00ED4FA9">
              <w:t>Education and Training</w:t>
            </w:r>
            <w:r>
              <w:t xml:space="preserve"> (unpublished); </w:t>
            </w:r>
            <w:r w:rsidRPr="00E05FA3">
              <w:t xml:space="preserve">ABS (unpublished) </w:t>
            </w:r>
            <w:r w:rsidRPr="00406194">
              <w:rPr>
                <w:i/>
              </w:rPr>
              <w:t>Australian Demographic Statistics</w:t>
            </w:r>
            <w:r>
              <w:t xml:space="preserve">, </w:t>
            </w:r>
            <w:r w:rsidRPr="00C578D3">
              <w:rPr>
                <w:i/>
              </w:rPr>
              <w:t>Dec 2014 (and previous editions),</w:t>
            </w:r>
            <w:r>
              <w:t xml:space="preserve"> Cat. no. 3101.0</w:t>
            </w:r>
            <w:r w:rsidRPr="00A07DD6">
              <w:t xml:space="preserve">; </w:t>
            </w:r>
            <w:r w:rsidRPr="00F26EA9">
              <w:t>table</w:t>
            </w:r>
            <w:r w:rsidR="00697D43">
              <w:t> </w:t>
            </w:r>
            <w:proofErr w:type="spellStart"/>
            <w:r w:rsidRPr="00F26EA9">
              <w:t>3A.</w:t>
            </w:r>
            <w:r w:rsidR="002B57D2">
              <w:t>18</w:t>
            </w:r>
            <w:proofErr w:type="spellEnd"/>
            <w:r w:rsidRPr="00F26EA9">
              <w:t>.</w:t>
            </w:r>
          </w:p>
        </w:tc>
      </w:tr>
      <w:tr w:rsidR="00C578D3" w:rsidTr="0055233C">
        <w:tc>
          <w:tcPr>
            <w:tcW w:w="8771" w:type="dxa"/>
            <w:tcBorders>
              <w:top w:val="nil"/>
              <w:left w:val="nil"/>
              <w:bottom w:val="single" w:sz="6" w:space="0" w:color="78A22F"/>
              <w:right w:val="nil"/>
            </w:tcBorders>
            <w:shd w:val="clear" w:color="auto" w:fill="auto"/>
          </w:tcPr>
          <w:p w:rsidR="00C578D3" w:rsidRDefault="00C578D3" w:rsidP="0055233C">
            <w:pPr>
              <w:pStyle w:val="Figurespace"/>
            </w:pPr>
          </w:p>
        </w:tc>
      </w:tr>
      <w:tr w:rsidR="00C578D3" w:rsidRPr="000863A5" w:rsidTr="0055233C">
        <w:tc>
          <w:tcPr>
            <w:tcW w:w="8771" w:type="dxa"/>
            <w:tcBorders>
              <w:top w:val="single" w:sz="6" w:space="0" w:color="78A22F"/>
              <w:left w:val="nil"/>
              <w:bottom w:val="nil"/>
              <w:right w:val="nil"/>
            </w:tcBorders>
          </w:tcPr>
          <w:p w:rsidR="00C578D3" w:rsidRPr="00626D32" w:rsidRDefault="00C578D3" w:rsidP="0055233C">
            <w:pPr>
              <w:pStyle w:val="BoxSpaceBelow"/>
            </w:pPr>
          </w:p>
        </w:tc>
      </w:tr>
    </w:tbl>
    <w:p w:rsidR="00D55D9C" w:rsidRDefault="0023662A" w:rsidP="00D55D9C">
      <w:pPr>
        <w:pStyle w:val="BodyText"/>
      </w:pPr>
      <w:r>
        <w:t xml:space="preserve">Contextual information on the breakdown of 0–12 year old children attending Australian Government </w:t>
      </w:r>
      <w:proofErr w:type="spellStart"/>
      <w:r>
        <w:t>CCB</w:t>
      </w:r>
      <w:proofErr w:type="spellEnd"/>
      <w:r>
        <w:t xml:space="preserve"> approved child care services by service</w:t>
      </w:r>
      <w:r w:rsidR="002B57D2">
        <w:t xml:space="preserve"> type is provided in table</w:t>
      </w:r>
      <w:r w:rsidR="00697D43">
        <w:t> </w:t>
      </w:r>
      <w:proofErr w:type="spellStart"/>
      <w:r w:rsidR="002B57D2">
        <w:t>3A.20</w:t>
      </w:r>
      <w:proofErr w:type="spellEnd"/>
      <w:r>
        <w:t>.</w:t>
      </w:r>
      <w:r w:rsidR="00684153">
        <w:t xml:space="preserve"> </w:t>
      </w:r>
      <w:r w:rsidR="00684153" w:rsidRPr="000E38FA">
        <w:t>Over half (</w:t>
      </w:r>
      <w:r w:rsidR="000E38FA" w:rsidRPr="000E38FA">
        <w:t>55.6</w:t>
      </w:r>
      <w:r w:rsidR="00684153" w:rsidRPr="000E38FA">
        <w:t xml:space="preserve"> </w:t>
      </w:r>
      <w:r w:rsidR="00684153">
        <w:t xml:space="preserve">per cent) of children attending Australian Government </w:t>
      </w:r>
      <w:proofErr w:type="spellStart"/>
      <w:r w:rsidR="00684153">
        <w:t>CCB</w:t>
      </w:r>
      <w:proofErr w:type="spellEnd"/>
      <w:r w:rsidR="00684153">
        <w:t xml:space="preserve"> approved child care services receive a long day care service, whilst </w:t>
      </w:r>
      <w:r w:rsidR="00684153" w:rsidRPr="000E38FA">
        <w:t>over a quarter (</w:t>
      </w:r>
      <w:r w:rsidR="000E38FA" w:rsidRPr="000E38FA">
        <w:t>27.3</w:t>
      </w:r>
      <w:r w:rsidR="00684153" w:rsidRPr="000E38FA">
        <w:t xml:space="preserve"> </w:t>
      </w:r>
      <w:r w:rsidR="00684153">
        <w:t xml:space="preserve">per cent) receive an </w:t>
      </w:r>
      <w:proofErr w:type="spellStart"/>
      <w:r w:rsidR="00684153">
        <w:t>OSHC</w:t>
      </w:r>
      <w:proofErr w:type="spellEnd"/>
      <w:r w:rsidR="00684153">
        <w:t xml:space="preserve"> service.</w:t>
      </w:r>
    </w:p>
    <w:p w:rsidR="00936C9C" w:rsidRPr="00936C9C" w:rsidRDefault="00286D55" w:rsidP="00F97852">
      <w:pPr>
        <w:pStyle w:val="Heading5"/>
      </w:pPr>
      <w:r>
        <w:t>P</w:t>
      </w:r>
      <w:r w:rsidRPr="00DF669E">
        <w:t xml:space="preserve">roportion of children </w:t>
      </w:r>
      <w:r>
        <w:t>who are attending</w:t>
      </w:r>
      <w:r w:rsidRPr="00DF669E">
        <w:t xml:space="preserve"> Australian Government </w:t>
      </w:r>
      <w:proofErr w:type="spellStart"/>
      <w:r>
        <w:t>CCB</w:t>
      </w:r>
      <w:proofErr w:type="spellEnd"/>
      <w:r>
        <w:t xml:space="preserve"> approved and</w:t>
      </w:r>
      <w:r w:rsidRPr="00DF669E">
        <w:t xml:space="preserve"> State and Territory government funded child care</w:t>
      </w:r>
      <w:r>
        <w:t xml:space="preserve"> services</w:t>
      </w:r>
      <w:r w:rsidR="0039280F">
        <w:t>,</w:t>
      </w:r>
      <w:r w:rsidR="007622CE" w:rsidRPr="007622CE">
        <w:t xml:space="preserve"> </w:t>
      </w:r>
      <w:r w:rsidR="007622CE">
        <w:t>by age group (0–5, 6–12 and 0–12 years)</w:t>
      </w:r>
    </w:p>
    <w:p w:rsidR="00FE040F" w:rsidRPr="00804634" w:rsidRDefault="007936A0" w:rsidP="00D85F32">
      <w:pPr>
        <w:pStyle w:val="BodyText"/>
      </w:pPr>
      <w:r w:rsidRPr="00804634">
        <w:t>Nationally</w:t>
      </w:r>
      <w:r w:rsidR="0016389D">
        <w:t xml:space="preserve"> in 2015</w:t>
      </w:r>
      <w:r w:rsidRPr="00804634">
        <w:t xml:space="preserve">, </w:t>
      </w:r>
      <w:r w:rsidR="00FE32F9" w:rsidRPr="00FE32F9">
        <w:t>30.8</w:t>
      </w:r>
      <w:r w:rsidR="007F6963" w:rsidRPr="00FE32F9">
        <w:t xml:space="preserve"> </w:t>
      </w:r>
      <w:r w:rsidRPr="00804634">
        <w:t xml:space="preserve">per cent of children aged 0–12 years attended </w:t>
      </w:r>
      <w:r w:rsidR="0016389D">
        <w:t xml:space="preserve">an </w:t>
      </w:r>
      <w:r w:rsidRPr="00804634">
        <w:t xml:space="preserve">Australian </w:t>
      </w:r>
      <w:r w:rsidR="006B18EF" w:rsidRPr="00804634">
        <w:t>G</w:t>
      </w:r>
      <w:r w:rsidR="002D47F2" w:rsidRPr="00804634">
        <w:t xml:space="preserve">overnment </w:t>
      </w:r>
      <w:proofErr w:type="spellStart"/>
      <w:r w:rsidR="00BE1A55">
        <w:t>CCB</w:t>
      </w:r>
      <w:proofErr w:type="spellEnd"/>
      <w:r w:rsidR="00BE1A55">
        <w:t xml:space="preserve"> approved </w:t>
      </w:r>
      <w:r w:rsidR="0016389D">
        <w:t xml:space="preserve">service </w:t>
      </w:r>
      <w:r w:rsidR="00BE1A55">
        <w:t>or</w:t>
      </w:r>
      <w:r w:rsidRPr="00804634">
        <w:t xml:space="preserve"> </w:t>
      </w:r>
      <w:r w:rsidR="0016389D">
        <w:t xml:space="preserve">a </w:t>
      </w:r>
      <w:r w:rsidRPr="00804634">
        <w:t xml:space="preserve">State and </w:t>
      </w:r>
      <w:r w:rsidR="00273F9E">
        <w:t xml:space="preserve">Territory government </w:t>
      </w:r>
      <w:r w:rsidR="0016389D">
        <w:t>funded service</w:t>
      </w:r>
      <w:r w:rsidR="007F21DD" w:rsidRPr="00804634">
        <w:t xml:space="preserve">. </w:t>
      </w:r>
      <w:r w:rsidR="002D47F2" w:rsidRPr="00804634">
        <w:t xml:space="preserve">Amongst </w:t>
      </w:r>
      <w:r w:rsidR="007F21DD" w:rsidRPr="00804634">
        <w:t>children aged 0–5 years</w:t>
      </w:r>
      <w:r w:rsidR="00DA290D" w:rsidRPr="00807C6B">
        <w:t>,</w:t>
      </w:r>
      <w:r w:rsidR="00DA290D" w:rsidRPr="000559AD">
        <w:t xml:space="preserve"> </w:t>
      </w:r>
      <w:r w:rsidR="00FE32F9" w:rsidRPr="00FE32F9">
        <w:t xml:space="preserve">42.9 </w:t>
      </w:r>
      <w:r w:rsidR="004C1AEF" w:rsidRPr="00FE32F9">
        <w:t xml:space="preserve">per cent </w:t>
      </w:r>
      <w:r w:rsidR="00F72D98" w:rsidRPr="00FE32F9">
        <w:t xml:space="preserve">attended </w:t>
      </w:r>
      <w:r w:rsidR="002D47F2" w:rsidRPr="00FE32F9">
        <w:t xml:space="preserve">and amongst </w:t>
      </w:r>
      <w:r w:rsidR="00F72D98" w:rsidRPr="00FE32F9">
        <w:t>children aged</w:t>
      </w:r>
      <w:r w:rsidR="002D438E">
        <w:t xml:space="preserve"> </w:t>
      </w:r>
      <w:r w:rsidR="00B01613">
        <w:t xml:space="preserve">       </w:t>
      </w:r>
      <w:r w:rsidR="002D47F2" w:rsidRPr="00FE32F9">
        <w:t>6–12</w:t>
      </w:r>
      <w:r w:rsidR="006B18EF" w:rsidRPr="00FE32F9">
        <w:t> </w:t>
      </w:r>
      <w:r w:rsidR="002D47F2" w:rsidRPr="00FE32F9">
        <w:t>years</w:t>
      </w:r>
      <w:r w:rsidR="00F72D98" w:rsidRPr="00FE32F9">
        <w:t>,</w:t>
      </w:r>
      <w:r w:rsidR="002D47F2" w:rsidRPr="00FE32F9">
        <w:t xml:space="preserve"> </w:t>
      </w:r>
      <w:r w:rsidR="00FE32F9" w:rsidRPr="00FE32F9">
        <w:rPr>
          <w:shd w:val="clear" w:color="auto" w:fill="FFFFFF" w:themeFill="background1"/>
        </w:rPr>
        <w:t>19.9</w:t>
      </w:r>
      <w:r w:rsidR="0047102C" w:rsidRPr="00FE32F9">
        <w:t xml:space="preserve"> </w:t>
      </w:r>
      <w:r w:rsidR="00DA290D" w:rsidRPr="00804634">
        <w:t xml:space="preserve">per cent attended </w:t>
      </w:r>
      <w:r w:rsidRPr="00804634">
        <w:t>(</w:t>
      </w:r>
      <w:r w:rsidR="000958B0" w:rsidRPr="000559AD">
        <w:t>figure</w:t>
      </w:r>
      <w:r w:rsidR="00172534" w:rsidRPr="000559AD">
        <w:t> </w:t>
      </w:r>
      <w:r w:rsidR="00923A1C" w:rsidRPr="000559AD">
        <w:t>3.</w:t>
      </w:r>
      <w:r w:rsidR="003B2788">
        <w:t>5</w:t>
      </w:r>
      <w:r w:rsidRPr="000559AD">
        <w:t xml:space="preserve">). </w:t>
      </w:r>
      <w:r w:rsidR="00FE32F9">
        <w:t>Of those c</w:t>
      </w:r>
      <w:r w:rsidR="00C0426B" w:rsidRPr="00804634">
        <w:t>hildren aged 0</w:t>
      </w:r>
      <w:r w:rsidR="006B18EF" w:rsidRPr="00804634">
        <w:t>–</w:t>
      </w:r>
      <w:r w:rsidR="00C0426B" w:rsidRPr="00804634">
        <w:t xml:space="preserve">12 years that attended </w:t>
      </w:r>
      <w:r w:rsidR="0016389D">
        <w:t xml:space="preserve">a </w:t>
      </w:r>
      <w:r w:rsidR="00C0426B" w:rsidRPr="00804634">
        <w:t>child care</w:t>
      </w:r>
      <w:r w:rsidR="0016389D">
        <w:t xml:space="preserve"> service</w:t>
      </w:r>
      <w:r w:rsidR="00C0426B" w:rsidRPr="00804634">
        <w:t xml:space="preserve">, </w:t>
      </w:r>
      <w:r w:rsidR="00C0426B" w:rsidRPr="00FE32F9">
        <w:t>n</w:t>
      </w:r>
      <w:r w:rsidRPr="00FE32F9">
        <w:t>early all (</w:t>
      </w:r>
      <w:r w:rsidR="00FE32F9" w:rsidRPr="00FE32F9">
        <w:t>99.6</w:t>
      </w:r>
      <w:r w:rsidR="00D97494" w:rsidRPr="00FE32F9">
        <w:t xml:space="preserve"> </w:t>
      </w:r>
      <w:r w:rsidRPr="00804634">
        <w:t xml:space="preserve">per cent) attended </w:t>
      </w:r>
      <w:r w:rsidR="0016389D">
        <w:t>a</w:t>
      </w:r>
      <w:r w:rsidR="006C5964">
        <w:t>n</w:t>
      </w:r>
      <w:r w:rsidR="0016389D">
        <w:t xml:space="preserve"> </w:t>
      </w:r>
      <w:r w:rsidRPr="00804634">
        <w:t xml:space="preserve">Australian Government </w:t>
      </w:r>
      <w:proofErr w:type="spellStart"/>
      <w:r w:rsidR="00BE1A55">
        <w:t>CCB</w:t>
      </w:r>
      <w:proofErr w:type="spellEnd"/>
      <w:r w:rsidR="009B12B6">
        <w:t xml:space="preserve"> </w:t>
      </w:r>
      <w:r w:rsidR="0016389D">
        <w:t>approved child care service. This</w:t>
      </w:r>
      <w:r w:rsidR="00A63D2F">
        <w:t xml:space="preserve"> is due to the majority </w:t>
      </w:r>
      <w:r w:rsidR="0016389D">
        <w:t xml:space="preserve">of child care services in Australia being Australian Government </w:t>
      </w:r>
      <w:proofErr w:type="spellStart"/>
      <w:r w:rsidR="0016389D">
        <w:t>CCB</w:t>
      </w:r>
      <w:proofErr w:type="spellEnd"/>
      <w:r w:rsidR="0016389D">
        <w:t xml:space="preserve"> approved</w:t>
      </w:r>
      <w:r w:rsidR="00BA5938">
        <w:t>. The state and t</w:t>
      </w:r>
      <w:r w:rsidR="00584D6D">
        <w:t>erritory proportion</w:t>
      </w:r>
      <w:r w:rsidR="00BA5938">
        <w:t>s</w:t>
      </w:r>
      <w:r w:rsidR="00584D6D">
        <w:t xml:space="preserve"> may be understated because </w:t>
      </w:r>
      <w:r w:rsidR="0016389D">
        <w:t xml:space="preserve">some </w:t>
      </w:r>
      <w:r w:rsidR="00FA275C">
        <w:t>State and Territory g</w:t>
      </w:r>
      <w:r w:rsidR="000559AD">
        <w:t xml:space="preserve">overnments </w:t>
      </w:r>
      <w:r w:rsidR="0016389D">
        <w:t xml:space="preserve">cannot report </w:t>
      </w:r>
      <w:r w:rsidR="00FE32F9">
        <w:t xml:space="preserve">the </w:t>
      </w:r>
      <w:r w:rsidR="0016389D">
        <w:t xml:space="preserve">usage of services funded only by State and Territory government </w:t>
      </w:r>
      <w:r w:rsidRPr="00804634">
        <w:t>(</w:t>
      </w:r>
      <w:r w:rsidR="000F2CAA" w:rsidRPr="00804634">
        <w:t>table</w:t>
      </w:r>
      <w:r w:rsidR="00172534">
        <w:t> </w:t>
      </w:r>
      <w:proofErr w:type="spellStart"/>
      <w:r w:rsidR="000F2CAA" w:rsidRPr="000559AD">
        <w:t>3A.</w:t>
      </w:r>
      <w:r w:rsidR="002B57D2">
        <w:t>22</w:t>
      </w:r>
      <w:proofErr w:type="spellEnd"/>
      <w:r w:rsidR="00523583" w:rsidRPr="000559AD">
        <w:t>).</w:t>
      </w:r>
    </w:p>
    <w:p w:rsidR="00997D60" w:rsidRDefault="00997D60" w:rsidP="00C90405">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997D60" w:rsidTr="00C90405">
        <w:tc>
          <w:tcPr>
            <w:tcW w:w="8771" w:type="dxa"/>
            <w:tcBorders>
              <w:top w:val="single" w:sz="6" w:space="0" w:color="78A22F"/>
              <w:left w:val="nil"/>
              <w:bottom w:val="nil"/>
              <w:right w:val="nil"/>
            </w:tcBorders>
            <w:shd w:val="clear" w:color="auto" w:fill="auto"/>
          </w:tcPr>
          <w:p w:rsidR="00997D60" w:rsidRPr="00176D3F" w:rsidRDefault="00997D60" w:rsidP="00FE32F9">
            <w:pPr>
              <w:pStyle w:val="FigureTitle"/>
            </w:pPr>
            <w:r w:rsidRPr="00784A05">
              <w:rPr>
                <w:b w:val="0"/>
              </w:rPr>
              <w:t xml:space="preserve">Figure </w:t>
            </w:r>
            <w:r>
              <w:rPr>
                <w:b w:val="0"/>
              </w:rPr>
              <w:t>3.</w:t>
            </w:r>
            <w:r w:rsidR="000E3849">
              <w:rPr>
                <w:b w:val="0"/>
                <w:noProof/>
              </w:rPr>
              <w:t>5</w:t>
            </w:r>
            <w:r>
              <w:tab/>
            </w:r>
            <w:r w:rsidRPr="00694CC3">
              <w:t>Proportion of childr</w:t>
            </w:r>
            <w:r>
              <w:t xml:space="preserve">en </w:t>
            </w:r>
            <w:r w:rsidR="0016389D">
              <w:t xml:space="preserve">who are attending </w:t>
            </w:r>
            <w:r>
              <w:t xml:space="preserve">Australian Government </w:t>
            </w:r>
            <w:proofErr w:type="spellStart"/>
            <w:r>
              <w:t>CCB</w:t>
            </w:r>
            <w:proofErr w:type="spellEnd"/>
            <w:r w:rsidR="0016389D">
              <w:t xml:space="preserve"> approved and</w:t>
            </w:r>
            <w:r w:rsidRPr="00694CC3">
              <w:t xml:space="preserve"> State and</w:t>
            </w:r>
            <w:r w:rsidR="0016389D">
              <w:t xml:space="preserve"> Territory government funded child care services,</w:t>
            </w:r>
            <w:r w:rsidR="00FE32F9">
              <w:t xml:space="preserve"> by age group,</w:t>
            </w:r>
            <w:r w:rsidR="0016389D">
              <w:t xml:space="preserve"> 2015</w:t>
            </w:r>
            <w:r w:rsidR="00FE32F9">
              <w:rPr>
                <w:rStyle w:val="NoteLabel"/>
                <w:b/>
              </w:rPr>
              <w:t>a</w:t>
            </w:r>
          </w:p>
        </w:tc>
      </w:tr>
      <w:tr w:rsidR="00997D60" w:rsidTr="00C90405">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997D60" w:rsidTr="00C90405">
              <w:trPr>
                <w:jc w:val="center"/>
              </w:trPr>
              <w:tc>
                <w:tcPr>
                  <w:tcW w:w="5000" w:type="pct"/>
                  <w:tcBorders>
                    <w:top w:val="nil"/>
                    <w:bottom w:val="nil"/>
                  </w:tcBorders>
                </w:tcPr>
                <w:p w:rsidR="00997D60" w:rsidRDefault="00B337E3" w:rsidP="00017E8C">
                  <w:pPr>
                    <w:pStyle w:val="Figure"/>
                    <w:spacing w:before="60" w:after="60"/>
                  </w:pPr>
                  <w:r>
                    <w:rPr>
                      <w:noProof/>
                    </w:rPr>
                    <w:drawing>
                      <wp:inline distT="0" distB="0" distL="0" distR="0">
                        <wp:extent cx="5390515" cy="2860040"/>
                        <wp:effectExtent l="0" t="0" r="635" b="0"/>
                        <wp:docPr id="4" name="Picture 4" descr="Figure 3.5 Proportion of children who are attending Australian Government CCB approved and State and Territory government funded child care services, by age group, 2015&#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390515" cy="2860040"/>
                                </a:xfrm>
                                <a:prstGeom prst="rect">
                                  <a:avLst/>
                                </a:prstGeom>
                                <a:noFill/>
                                <a:ln>
                                  <a:noFill/>
                                </a:ln>
                              </pic:spPr>
                            </pic:pic>
                          </a:graphicData>
                        </a:graphic>
                      </wp:inline>
                    </w:drawing>
                  </w:r>
                </w:p>
              </w:tc>
            </w:tr>
          </w:tbl>
          <w:p w:rsidR="00997D60" w:rsidRDefault="00997D60" w:rsidP="00C90405">
            <w:pPr>
              <w:pStyle w:val="Figure"/>
            </w:pPr>
          </w:p>
        </w:tc>
      </w:tr>
      <w:tr w:rsidR="00997D60" w:rsidRPr="00176D3F" w:rsidTr="00C90405">
        <w:tc>
          <w:tcPr>
            <w:tcW w:w="8771" w:type="dxa"/>
            <w:tcBorders>
              <w:top w:val="nil"/>
              <w:left w:val="nil"/>
              <w:bottom w:val="nil"/>
              <w:right w:val="nil"/>
            </w:tcBorders>
            <w:shd w:val="clear" w:color="auto" w:fill="auto"/>
          </w:tcPr>
          <w:p w:rsidR="00997D60" w:rsidRPr="00176D3F" w:rsidRDefault="00997D60" w:rsidP="00273F9E">
            <w:pPr>
              <w:pStyle w:val="Note"/>
            </w:pPr>
            <w:r w:rsidRPr="008C02AD">
              <w:rPr>
                <w:rStyle w:val="NoteLabel"/>
              </w:rPr>
              <w:t>a</w:t>
            </w:r>
            <w:r w:rsidRPr="008C02AD">
              <w:t xml:space="preserve"> </w:t>
            </w:r>
            <w:r w:rsidR="00704CEA">
              <w:t>See box</w:t>
            </w:r>
            <w:r w:rsidR="00697D43">
              <w:t> </w:t>
            </w:r>
            <w:r w:rsidR="00704CEA">
              <w:t>3.8 and table</w:t>
            </w:r>
            <w:r w:rsidR="00697D43">
              <w:t> </w:t>
            </w:r>
            <w:proofErr w:type="spellStart"/>
            <w:r w:rsidR="00704CEA">
              <w:t>3A.22</w:t>
            </w:r>
            <w:proofErr w:type="spellEnd"/>
            <w:r w:rsidR="00704CEA" w:rsidRPr="006853DC">
              <w:t xml:space="preserve"> for </w:t>
            </w:r>
            <w:r w:rsidR="00937F53">
              <w:t>detailed definitions, footnotes and caveats.</w:t>
            </w:r>
            <w:r w:rsidR="00704CEA">
              <w:t xml:space="preserve"> </w:t>
            </w:r>
            <w:r w:rsidR="00704CEA" w:rsidRPr="005D0041">
              <w:t xml:space="preserve"> </w:t>
            </w:r>
          </w:p>
        </w:tc>
      </w:tr>
      <w:tr w:rsidR="00997D60" w:rsidRPr="00176D3F" w:rsidTr="00C90405">
        <w:tc>
          <w:tcPr>
            <w:tcW w:w="8771" w:type="dxa"/>
            <w:tcBorders>
              <w:top w:val="nil"/>
              <w:left w:val="nil"/>
              <w:bottom w:val="nil"/>
              <w:right w:val="nil"/>
            </w:tcBorders>
            <w:shd w:val="clear" w:color="auto" w:fill="auto"/>
          </w:tcPr>
          <w:p w:rsidR="00997D60" w:rsidRPr="00176D3F" w:rsidRDefault="00997D60" w:rsidP="002A6BFA">
            <w:pPr>
              <w:pStyle w:val="Source"/>
            </w:pPr>
            <w:r>
              <w:rPr>
                <w:i/>
              </w:rPr>
              <w:t>S</w:t>
            </w:r>
            <w:r w:rsidRPr="00784A05">
              <w:rPr>
                <w:i/>
              </w:rPr>
              <w:t>ource</w:t>
            </w:r>
            <w:r w:rsidRPr="00176D3F">
              <w:t xml:space="preserve">: </w:t>
            </w:r>
            <w:r>
              <w:t>Australian Go</w:t>
            </w:r>
            <w:r w:rsidR="002A6BFA">
              <w:t xml:space="preserve">vernment Department of </w:t>
            </w:r>
            <w:r w:rsidR="00ED4FA9">
              <w:t>Education and Training</w:t>
            </w:r>
            <w:r>
              <w:t xml:space="preserve"> </w:t>
            </w:r>
            <w:r w:rsidRPr="003906FE">
              <w:t>(unpublished); State and Terr</w:t>
            </w:r>
            <w:r>
              <w:t>itory governments (unpublished)</w:t>
            </w:r>
            <w:r w:rsidRPr="003906FE">
              <w:t>;</w:t>
            </w:r>
            <w:r w:rsidR="002A6BFA" w:rsidRPr="003906FE">
              <w:t xml:space="preserve"> ABS (unpublished) </w:t>
            </w:r>
            <w:r w:rsidR="002A6BFA" w:rsidRPr="003906FE">
              <w:rPr>
                <w:i/>
              </w:rPr>
              <w:t>Australian Demographic Statistics</w:t>
            </w:r>
            <w:r w:rsidR="002A6BFA" w:rsidRPr="00FE32F9">
              <w:rPr>
                <w:i/>
              </w:rPr>
              <w:t xml:space="preserve">, </w:t>
            </w:r>
            <w:r w:rsidR="00FE32F9" w:rsidRPr="00FE32F9">
              <w:rPr>
                <w:i/>
              </w:rPr>
              <w:t>Dec 2014</w:t>
            </w:r>
            <w:r w:rsidR="00FE32F9">
              <w:t xml:space="preserve">, </w:t>
            </w:r>
            <w:r w:rsidR="002A6BFA" w:rsidRPr="003906FE">
              <w:t>Cat. no. 3101.0</w:t>
            </w:r>
            <w:r w:rsidR="002A6BFA">
              <w:t xml:space="preserve">; </w:t>
            </w:r>
            <w:r w:rsidRPr="00C86801">
              <w:t>table</w:t>
            </w:r>
            <w:r>
              <w:t> </w:t>
            </w:r>
            <w:proofErr w:type="spellStart"/>
            <w:r w:rsidR="002B57D2">
              <w:t>3A.22</w:t>
            </w:r>
            <w:proofErr w:type="spellEnd"/>
            <w:r w:rsidRPr="00E93EDF">
              <w:t>.</w:t>
            </w:r>
          </w:p>
        </w:tc>
      </w:tr>
      <w:tr w:rsidR="00997D60" w:rsidTr="00C90405">
        <w:tc>
          <w:tcPr>
            <w:tcW w:w="8771" w:type="dxa"/>
            <w:tcBorders>
              <w:top w:val="nil"/>
              <w:left w:val="nil"/>
              <w:bottom w:val="single" w:sz="6" w:space="0" w:color="78A22F"/>
              <w:right w:val="nil"/>
            </w:tcBorders>
            <w:shd w:val="clear" w:color="auto" w:fill="auto"/>
          </w:tcPr>
          <w:p w:rsidR="00997D60" w:rsidRDefault="00997D60" w:rsidP="00C90405">
            <w:pPr>
              <w:pStyle w:val="Figurespace"/>
            </w:pPr>
          </w:p>
        </w:tc>
      </w:tr>
      <w:tr w:rsidR="00997D60" w:rsidRPr="000863A5" w:rsidTr="00C90405">
        <w:tc>
          <w:tcPr>
            <w:tcW w:w="8771" w:type="dxa"/>
            <w:tcBorders>
              <w:top w:val="single" w:sz="6" w:space="0" w:color="78A22F"/>
              <w:left w:val="nil"/>
              <w:bottom w:val="nil"/>
              <w:right w:val="nil"/>
            </w:tcBorders>
          </w:tcPr>
          <w:p w:rsidR="00997D60" w:rsidRPr="00626D32" w:rsidRDefault="00997D60" w:rsidP="00C90405">
            <w:pPr>
              <w:pStyle w:val="BoxSpaceBelow"/>
            </w:pPr>
          </w:p>
        </w:tc>
      </w:tr>
    </w:tbl>
    <w:p w:rsidR="002A6BFA" w:rsidRDefault="002A6BFA" w:rsidP="002A6BFA">
      <w:pPr>
        <w:pStyle w:val="BodyText"/>
      </w:pPr>
      <w:r>
        <w:t xml:space="preserve">Additional information is provided </w:t>
      </w:r>
      <w:r w:rsidR="002B57D2">
        <w:t>in table</w:t>
      </w:r>
      <w:r w:rsidR="00697D43">
        <w:t> </w:t>
      </w:r>
      <w:proofErr w:type="spellStart"/>
      <w:r w:rsidR="002B57D2">
        <w:t>3A.21</w:t>
      </w:r>
      <w:proofErr w:type="spellEnd"/>
      <w:r w:rsidR="0075251F">
        <w:t xml:space="preserve"> on children attending</w:t>
      </w:r>
      <w:r>
        <w:t xml:space="preserve"> services which receive </w:t>
      </w:r>
      <w:r w:rsidR="0075251F">
        <w:t xml:space="preserve">only </w:t>
      </w:r>
      <w:r>
        <w:t xml:space="preserve">State and Territory government funding (i.e. they are not Australian Government </w:t>
      </w:r>
      <w:proofErr w:type="spellStart"/>
      <w:r>
        <w:t>CCB</w:t>
      </w:r>
      <w:proofErr w:type="spellEnd"/>
      <w:r>
        <w:t xml:space="preserve"> approved). </w:t>
      </w:r>
    </w:p>
    <w:p w:rsidR="00936C9C" w:rsidRPr="00936C9C" w:rsidRDefault="00936C9C" w:rsidP="00F97852">
      <w:pPr>
        <w:pStyle w:val="Heading5"/>
      </w:pPr>
      <w:r w:rsidRPr="00936C9C">
        <w:t xml:space="preserve">Average hours of attendance </w:t>
      </w:r>
      <w:r w:rsidR="0055233C">
        <w:t xml:space="preserve">per week </w:t>
      </w:r>
      <w:r w:rsidR="007A618F">
        <w:t xml:space="preserve">for 0–12 year olds </w:t>
      </w:r>
      <w:r w:rsidRPr="00936C9C">
        <w:t xml:space="preserve">at Australian Government </w:t>
      </w:r>
      <w:proofErr w:type="spellStart"/>
      <w:r w:rsidR="00BE1A55">
        <w:t>CCB</w:t>
      </w:r>
      <w:proofErr w:type="spellEnd"/>
      <w:r w:rsidR="0065299E">
        <w:t xml:space="preserve"> </w:t>
      </w:r>
      <w:r w:rsidRPr="00936C9C">
        <w:t>approved chil</w:t>
      </w:r>
      <w:r w:rsidR="00F92554">
        <w:t>d care services</w:t>
      </w:r>
      <w:r w:rsidR="0039280F">
        <w:t>,</w:t>
      </w:r>
      <w:r w:rsidR="00F92554">
        <w:t xml:space="preserve"> by service type</w:t>
      </w:r>
    </w:p>
    <w:p w:rsidR="00837EBA" w:rsidRDefault="007936A0" w:rsidP="002D7C3E">
      <w:pPr>
        <w:pStyle w:val="BodyText"/>
      </w:pPr>
      <w:r w:rsidRPr="0097179F">
        <w:t xml:space="preserve">The average hours of attendance in </w:t>
      </w:r>
      <w:r w:rsidR="002D7C3E" w:rsidRPr="0097179F">
        <w:t xml:space="preserve">Australian Government </w:t>
      </w:r>
      <w:proofErr w:type="spellStart"/>
      <w:r w:rsidR="00BE1A55">
        <w:t>CCB</w:t>
      </w:r>
      <w:proofErr w:type="spellEnd"/>
      <w:r w:rsidR="0065299E">
        <w:t xml:space="preserve"> </w:t>
      </w:r>
      <w:r w:rsidR="002D7C3E" w:rsidRPr="0097179F">
        <w:t xml:space="preserve">approved </w:t>
      </w:r>
      <w:r w:rsidRPr="0097179F">
        <w:t xml:space="preserve">child care in </w:t>
      </w:r>
      <w:r w:rsidR="00CC1958" w:rsidRPr="0097179F">
        <w:t>20</w:t>
      </w:r>
      <w:r w:rsidR="006A65B2" w:rsidRPr="0097179F">
        <w:t>1</w:t>
      </w:r>
      <w:r w:rsidR="0055233C">
        <w:t>5</w:t>
      </w:r>
      <w:r w:rsidR="00E66C2F" w:rsidRPr="0097179F">
        <w:t xml:space="preserve"> </w:t>
      </w:r>
      <w:r w:rsidRPr="004714F3">
        <w:t xml:space="preserve">varied considerably </w:t>
      </w:r>
      <w:r w:rsidRPr="0097179F">
        <w:t>across jurisdictions, for all service</w:t>
      </w:r>
      <w:r w:rsidR="00F92554">
        <w:t xml:space="preserve"> types</w:t>
      </w:r>
      <w:r w:rsidRPr="0097179F">
        <w:t>. Nationally, aver</w:t>
      </w:r>
      <w:r w:rsidR="00BE1A55">
        <w:t xml:space="preserve">age attendance per child </w:t>
      </w:r>
      <w:r w:rsidR="00837EBA">
        <w:t xml:space="preserve">was </w:t>
      </w:r>
      <w:r w:rsidR="004714F3" w:rsidRPr="004714F3">
        <w:t>above 25</w:t>
      </w:r>
      <w:r w:rsidR="00837EBA" w:rsidRPr="004714F3">
        <w:t xml:space="preserve"> </w:t>
      </w:r>
      <w:r w:rsidR="00837EBA">
        <w:t xml:space="preserve">hours per week for </w:t>
      </w:r>
      <w:r w:rsidRPr="0097179F">
        <w:t>long day care</w:t>
      </w:r>
      <w:r w:rsidR="00837EBA">
        <w:t>, family day care, vacation care and in home care</w:t>
      </w:r>
      <w:r w:rsidRPr="0097179F">
        <w:t xml:space="preserve"> </w:t>
      </w:r>
      <w:r w:rsidR="00837EBA">
        <w:t>(</w:t>
      </w:r>
      <w:r w:rsidR="004714F3" w:rsidRPr="004714F3">
        <w:t>27.9</w:t>
      </w:r>
      <w:r w:rsidRPr="004714F3">
        <w:t xml:space="preserve"> hours</w:t>
      </w:r>
      <w:r w:rsidR="00837EBA" w:rsidRPr="004714F3">
        <w:t xml:space="preserve">, </w:t>
      </w:r>
      <w:r w:rsidR="004714F3" w:rsidRPr="004714F3">
        <w:t>30.9</w:t>
      </w:r>
      <w:r w:rsidR="001E6B10" w:rsidRPr="004714F3">
        <w:t xml:space="preserve"> </w:t>
      </w:r>
      <w:r w:rsidRPr="004714F3">
        <w:t>hours</w:t>
      </w:r>
      <w:r w:rsidR="00837EBA" w:rsidRPr="004714F3">
        <w:t xml:space="preserve">, </w:t>
      </w:r>
      <w:r w:rsidR="004714F3" w:rsidRPr="004714F3">
        <w:t>28.3</w:t>
      </w:r>
      <w:r w:rsidR="00837EBA" w:rsidRPr="004714F3">
        <w:t xml:space="preserve"> hours and </w:t>
      </w:r>
      <w:r w:rsidR="004714F3" w:rsidRPr="004714F3">
        <w:t>26.1</w:t>
      </w:r>
      <w:r w:rsidR="00837EBA" w:rsidRPr="004714F3">
        <w:t xml:space="preserve"> </w:t>
      </w:r>
      <w:r w:rsidR="00837EBA" w:rsidRPr="0097179F">
        <w:t>hours</w:t>
      </w:r>
      <w:r w:rsidR="00E84753">
        <w:t xml:space="preserve"> respectively</w:t>
      </w:r>
      <w:r w:rsidR="00837EBA">
        <w:t>)</w:t>
      </w:r>
      <w:r w:rsidRPr="0097179F">
        <w:t>.</w:t>
      </w:r>
      <w:r w:rsidR="0039280F">
        <w:t xml:space="preserve"> F</w:t>
      </w:r>
      <w:r w:rsidR="00837EBA">
        <w:t xml:space="preserve">or </w:t>
      </w:r>
      <w:proofErr w:type="spellStart"/>
      <w:r w:rsidR="00837EBA">
        <w:t>OSHC</w:t>
      </w:r>
      <w:proofErr w:type="spellEnd"/>
      <w:r w:rsidR="00837EBA">
        <w:t xml:space="preserve"> and occasional care average attendance was considerably </w:t>
      </w:r>
      <w:r w:rsidR="00837EBA" w:rsidRPr="004714F3">
        <w:t xml:space="preserve">less at </w:t>
      </w:r>
      <w:r w:rsidR="004714F3" w:rsidRPr="004714F3">
        <w:t>9.4</w:t>
      </w:r>
      <w:r w:rsidR="00837EBA" w:rsidRPr="004714F3">
        <w:t xml:space="preserve"> hours per week and </w:t>
      </w:r>
      <w:r w:rsidR="004714F3" w:rsidRPr="004714F3">
        <w:t>11.6</w:t>
      </w:r>
      <w:r w:rsidR="00837EBA" w:rsidRPr="004714F3">
        <w:t xml:space="preserve"> </w:t>
      </w:r>
      <w:r w:rsidR="00837EBA">
        <w:t>hours per week respectively (figure</w:t>
      </w:r>
      <w:r w:rsidR="00697D43">
        <w:t> </w:t>
      </w:r>
      <w:r w:rsidR="00837EBA">
        <w:t>3.6).</w:t>
      </w:r>
    </w:p>
    <w:p w:rsidR="00694CC3" w:rsidRDefault="00694CC3" w:rsidP="002C08A9">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694CC3" w:rsidTr="002C08A9">
        <w:tc>
          <w:tcPr>
            <w:tcW w:w="8771" w:type="dxa"/>
            <w:tcBorders>
              <w:top w:val="single" w:sz="6" w:space="0" w:color="78A22F"/>
              <w:left w:val="nil"/>
              <w:bottom w:val="nil"/>
              <w:right w:val="nil"/>
            </w:tcBorders>
            <w:shd w:val="clear" w:color="auto" w:fill="auto"/>
          </w:tcPr>
          <w:p w:rsidR="00694CC3" w:rsidRPr="00176D3F" w:rsidRDefault="00694CC3" w:rsidP="00E179ED">
            <w:pPr>
              <w:pStyle w:val="FigureTitle"/>
            </w:pPr>
            <w:r w:rsidRPr="00784A05">
              <w:rPr>
                <w:b w:val="0"/>
              </w:rPr>
              <w:t xml:space="preserve">Figure </w:t>
            </w:r>
            <w:r>
              <w:rPr>
                <w:b w:val="0"/>
              </w:rPr>
              <w:t>3.</w:t>
            </w:r>
            <w:r w:rsidR="000E3849">
              <w:rPr>
                <w:b w:val="0"/>
                <w:noProof/>
              </w:rPr>
              <w:t>6</w:t>
            </w:r>
            <w:r>
              <w:tab/>
            </w:r>
            <w:r w:rsidRPr="00694CC3">
              <w:t>Average hours of attendanc</w:t>
            </w:r>
            <w:r w:rsidR="00BE1A55">
              <w:t xml:space="preserve">e </w:t>
            </w:r>
            <w:r w:rsidR="007A618F">
              <w:t>per week for 0–12 year</w:t>
            </w:r>
            <w:r w:rsidR="00AF79C3">
              <w:t xml:space="preserve"> </w:t>
            </w:r>
            <w:r w:rsidR="007A618F">
              <w:t xml:space="preserve">olds </w:t>
            </w:r>
            <w:r w:rsidR="00BE1A55">
              <w:t xml:space="preserve">at Australian Government </w:t>
            </w:r>
            <w:proofErr w:type="spellStart"/>
            <w:r w:rsidR="00BE1A55">
              <w:t>CCB</w:t>
            </w:r>
            <w:proofErr w:type="spellEnd"/>
            <w:r w:rsidR="007A618F">
              <w:t xml:space="preserve"> approved child care services, </w:t>
            </w:r>
            <w:r w:rsidR="0039280F">
              <w:t xml:space="preserve">by service type, </w:t>
            </w:r>
            <w:r w:rsidR="0055233C">
              <w:t>2015</w:t>
            </w:r>
            <w:r w:rsidRPr="00FB36B5">
              <w:rPr>
                <w:rStyle w:val="NoteLabel"/>
                <w:b/>
              </w:rPr>
              <w:t>a, b</w:t>
            </w:r>
            <w:r w:rsidR="0055233C">
              <w:rPr>
                <w:rStyle w:val="NoteLabel"/>
                <w:b/>
              </w:rPr>
              <w:t xml:space="preserve"> </w:t>
            </w:r>
          </w:p>
        </w:tc>
      </w:tr>
      <w:tr w:rsidR="00694CC3" w:rsidTr="002C08A9">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694CC3" w:rsidTr="002C08A9">
              <w:trPr>
                <w:jc w:val="center"/>
              </w:trPr>
              <w:tc>
                <w:tcPr>
                  <w:tcW w:w="5000" w:type="pct"/>
                  <w:tcBorders>
                    <w:top w:val="nil"/>
                    <w:bottom w:val="nil"/>
                  </w:tcBorders>
                </w:tcPr>
                <w:p w:rsidR="00694CC3" w:rsidRDefault="00B337E3" w:rsidP="002C08A9">
                  <w:pPr>
                    <w:pStyle w:val="Figure"/>
                    <w:spacing w:before="60" w:after="60"/>
                  </w:pPr>
                  <w:r>
                    <w:rPr>
                      <w:noProof/>
                    </w:rPr>
                    <w:drawing>
                      <wp:inline distT="0" distB="0" distL="0" distR="0">
                        <wp:extent cx="5390515" cy="2679700"/>
                        <wp:effectExtent l="0" t="0" r="635" b="6350"/>
                        <wp:docPr id="5" name="Picture 5" descr="Figure 3.6 Average hours of attendance per week for 0–12 year olds at Australian Government CCB approved child care services, by service type, 2015&#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390515" cy="2679700"/>
                                </a:xfrm>
                                <a:prstGeom prst="rect">
                                  <a:avLst/>
                                </a:prstGeom>
                                <a:noFill/>
                                <a:ln>
                                  <a:noFill/>
                                </a:ln>
                              </pic:spPr>
                            </pic:pic>
                          </a:graphicData>
                        </a:graphic>
                      </wp:inline>
                    </w:drawing>
                  </w:r>
                </w:p>
              </w:tc>
            </w:tr>
          </w:tbl>
          <w:p w:rsidR="00694CC3" w:rsidRDefault="00694CC3" w:rsidP="002C08A9">
            <w:pPr>
              <w:pStyle w:val="Figure"/>
            </w:pPr>
          </w:p>
        </w:tc>
      </w:tr>
      <w:tr w:rsidR="00694CC3" w:rsidRPr="00176D3F" w:rsidTr="002C08A9">
        <w:tc>
          <w:tcPr>
            <w:tcW w:w="8771" w:type="dxa"/>
            <w:tcBorders>
              <w:top w:val="nil"/>
              <w:left w:val="nil"/>
              <w:bottom w:val="nil"/>
              <w:right w:val="nil"/>
            </w:tcBorders>
            <w:shd w:val="clear" w:color="auto" w:fill="auto"/>
          </w:tcPr>
          <w:p w:rsidR="00694CC3" w:rsidRPr="00176D3F" w:rsidRDefault="00694CC3" w:rsidP="00665119">
            <w:pPr>
              <w:pStyle w:val="Note"/>
            </w:pPr>
            <w:r w:rsidRPr="004714F3">
              <w:rPr>
                <w:rStyle w:val="NoteLabel"/>
              </w:rPr>
              <w:t>a</w:t>
            </w:r>
            <w:r w:rsidRPr="004714F3">
              <w:t xml:space="preserve"> </w:t>
            </w:r>
            <w:r w:rsidR="00665119">
              <w:t xml:space="preserve">NT data for occasional care and in home care are zero. </w:t>
            </w:r>
            <w:r w:rsidR="004714F3" w:rsidRPr="004714F3">
              <w:rPr>
                <w:rStyle w:val="NoteLabel"/>
              </w:rPr>
              <w:t>b</w:t>
            </w:r>
            <w:r w:rsidR="004714F3" w:rsidRPr="004714F3">
              <w:sym w:font="Symbol" w:char="F020"/>
            </w:r>
            <w:r w:rsidR="00704CEA">
              <w:t>See box</w:t>
            </w:r>
            <w:r w:rsidR="00697D43">
              <w:t> </w:t>
            </w:r>
            <w:r w:rsidR="00704CEA">
              <w:t>3.8 and table</w:t>
            </w:r>
            <w:r w:rsidR="00697D43">
              <w:t> </w:t>
            </w:r>
            <w:proofErr w:type="spellStart"/>
            <w:r w:rsidR="00704CEA">
              <w:t>3A.23</w:t>
            </w:r>
            <w:proofErr w:type="spellEnd"/>
            <w:r w:rsidR="00704CEA" w:rsidRPr="006853DC">
              <w:t xml:space="preserve"> for </w:t>
            </w:r>
            <w:r w:rsidR="00937F53">
              <w:t>detailed definitions, footnotes and caveats.</w:t>
            </w:r>
          </w:p>
        </w:tc>
      </w:tr>
      <w:tr w:rsidR="00694CC3" w:rsidRPr="00176D3F" w:rsidTr="002C08A9">
        <w:tc>
          <w:tcPr>
            <w:tcW w:w="8771" w:type="dxa"/>
            <w:tcBorders>
              <w:top w:val="nil"/>
              <w:left w:val="nil"/>
              <w:bottom w:val="nil"/>
              <w:right w:val="nil"/>
            </w:tcBorders>
            <w:shd w:val="clear" w:color="auto" w:fill="auto"/>
          </w:tcPr>
          <w:p w:rsidR="00694CC3" w:rsidRPr="00176D3F" w:rsidRDefault="00694CC3" w:rsidP="002C08A9">
            <w:pPr>
              <w:pStyle w:val="Source"/>
            </w:pPr>
            <w:r>
              <w:rPr>
                <w:i/>
              </w:rPr>
              <w:t>S</w:t>
            </w:r>
            <w:r w:rsidRPr="00784A05">
              <w:rPr>
                <w:i/>
              </w:rPr>
              <w:t>ource</w:t>
            </w:r>
            <w:r w:rsidRPr="00176D3F">
              <w:t xml:space="preserve">: </w:t>
            </w:r>
            <w:r w:rsidR="00BE1A55">
              <w:t xml:space="preserve">Australian Government </w:t>
            </w:r>
            <w:r w:rsidR="0055233C">
              <w:t xml:space="preserve">Department of </w:t>
            </w:r>
            <w:r w:rsidR="00ED4FA9">
              <w:t>Education and Training</w:t>
            </w:r>
            <w:r>
              <w:t xml:space="preserve"> (unpublished) administrative data collection;</w:t>
            </w:r>
            <w:r w:rsidRPr="00167F06">
              <w:t xml:space="preserve"> </w:t>
            </w:r>
            <w:r>
              <w:t>table </w:t>
            </w:r>
            <w:proofErr w:type="spellStart"/>
            <w:r w:rsidR="002B57D2">
              <w:t>3A.23</w:t>
            </w:r>
            <w:proofErr w:type="spellEnd"/>
            <w:r w:rsidRPr="0046509E">
              <w:t>.</w:t>
            </w:r>
          </w:p>
        </w:tc>
      </w:tr>
      <w:tr w:rsidR="00694CC3" w:rsidTr="002C08A9">
        <w:tc>
          <w:tcPr>
            <w:tcW w:w="8771" w:type="dxa"/>
            <w:tcBorders>
              <w:top w:val="nil"/>
              <w:left w:val="nil"/>
              <w:bottom w:val="single" w:sz="6" w:space="0" w:color="78A22F"/>
              <w:right w:val="nil"/>
            </w:tcBorders>
            <w:shd w:val="clear" w:color="auto" w:fill="auto"/>
          </w:tcPr>
          <w:p w:rsidR="00694CC3" w:rsidRDefault="00694CC3" w:rsidP="002C08A9">
            <w:pPr>
              <w:pStyle w:val="Figurespace"/>
            </w:pPr>
          </w:p>
        </w:tc>
      </w:tr>
      <w:tr w:rsidR="00694CC3" w:rsidRPr="000863A5" w:rsidTr="002C08A9">
        <w:tc>
          <w:tcPr>
            <w:tcW w:w="8771" w:type="dxa"/>
            <w:tcBorders>
              <w:top w:val="single" w:sz="6" w:space="0" w:color="78A22F"/>
              <w:left w:val="nil"/>
              <w:bottom w:val="nil"/>
              <w:right w:val="nil"/>
            </w:tcBorders>
          </w:tcPr>
          <w:p w:rsidR="00694CC3" w:rsidRPr="00626D32" w:rsidRDefault="00694CC3" w:rsidP="002C08A9">
            <w:pPr>
              <w:pStyle w:val="BoxSpaceBelow"/>
            </w:pPr>
          </w:p>
        </w:tc>
      </w:tr>
    </w:tbl>
    <w:p w:rsidR="00837EBA" w:rsidRPr="0097179F" w:rsidRDefault="00837EBA" w:rsidP="00837EBA">
      <w:pPr>
        <w:pStyle w:val="BodyText"/>
      </w:pPr>
      <w:r>
        <w:t>From 2014 to 2015, average hours remained fairly si</w:t>
      </w:r>
      <w:r w:rsidR="00E179ED">
        <w:t xml:space="preserve">milar for all care types </w:t>
      </w:r>
      <w:r w:rsidR="00783B4C">
        <w:t>(t</w:t>
      </w:r>
      <w:r w:rsidR="002B57D2">
        <w:t>able</w:t>
      </w:r>
      <w:r w:rsidR="00697D43">
        <w:t> </w:t>
      </w:r>
      <w:proofErr w:type="spellStart"/>
      <w:r w:rsidR="002B57D2">
        <w:t>3A.23</w:t>
      </w:r>
      <w:proofErr w:type="spellEnd"/>
      <w:r>
        <w:t xml:space="preserve">). </w:t>
      </w:r>
    </w:p>
    <w:p w:rsidR="00FC3405" w:rsidRDefault="00FC3405" w:rsidP="00FC3405">
      <w:pPr>
        <w:pStyle w:val="BodyText"/>
      </w:pPr>
      <w:r>
        <w:t>Additional inform</w:t>
      </w:r>
      <w:r w:rsidR="002B57D2">
        <w:t>ation is provided in table</w:t>
      </w:r>
      <w:r w:rsidR="00697D43">
        <w:t> </w:t>
      </w:r>
      <w:proofErr w:type="spellStart"/>
      <w:r w:rsidR="002B57D2">
        <w:t>3A.24</w:t>
      </w:r>
      <w:proofErr w:type="spellEnd"/>
      <w:r>
        <w:t xml:space="preserve"> on average</w:t>
      </w:r>
      <w:r w:rsidR="0075251F">
        <w:t xml:space="preserve"> hours of attendance per week at</w:t>
      </w:r>
      <w:r>
        <w:t xml:space="preserve"> services which receive only State and Territory government funding.</w:t>
      </w:r>
    </w:p>
    <w:p w:rsidR="0097179F" w:rsidRDefault="0097179F" w:rsidP="00F97852">
      <w:pPr>
        <w:pStyle w:val="Heading4"/>
      </w:pPr>
      <w:r w:rsidRPr="00C41228">
        <w:t xml:space="preserve">Access — </w:t>
      </w:r>
      <w:r>
        <w:t>c</w:t>
      </w:r>
      <w:r w:rsidRPr="00E30DEE">
        <w:t>hildren enrolled in preschool</w:t>
      </w:r>
    </w:p>
    <w:p w:rsidR="0097179F" w:rsidRDefault="0097179F" w:rsidP="0097179F">
      <w:pPr>
        <w:pStyle w:val="BodyText"/>
      </w:pPr>
      <w:r w:rsidRPr="006B4110">
        <w:t>‘</w:t>
      </w:r>
      <w:r>
        <w:t>C</w:t>
      </w:r>
      <w:r w:rsidRPr="006B4110">
        <w:t xml:space="preserve">hildren enrolled in preschool’ is an indicator of governments’ objective to ensure that all families have equitable access to preschool services </w:t>
      </w:r>
      <w:r w:rsidRPr="00E30DEE">
        <w:t>(</w:t>
      </w:r>
      <w:r w:rsidRPr="006406DC">
        <w:t>box</w:t>
      </w:r>
      <w:r w:rsidR="00172534" w:rsidRPr="006406DC">
        <w:t> </w:t>
      </w:r>
      <w:r w:rsidR="00A4255C" w:rsidRPr="006406DC">
        <w:t>3.</w:t>
      </w:r>
      <w:r w:rsidR="00B1432E">
        <w:t>9</w:t>
      </w:r>
      <w:r w:rsidRPr="006406DC">
        <w:t>).</w:t>
      </w:r>
    </w:p>
    <w:p w:rsidR="0061120F" w:rsidRDefault="0061120F">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61120F" w:rsidTr="00783B4C">
        <w:tc>
          <w:tcPr>
            <w:tcW w:w="8771" w:type="dxa"/>
            <w:tcBorders>
              <w:top w:val="single" w:sz="6" w:space="0" w:color="78A22F"/>
              <w:left w:val="nil"/>
              <w:bottom w:val="nil"/>
              <w:right w:val="nil"/>
            </w:tcBorders>
            <w:shd w:val="clear" w:color="auto" w:fill="F2F2F2"/>
          </w:tcPr>
          <w:p w:rsidR="0061120F" w:rsidRDefault="0061120F" w:rsidP="00DF496D">
            <w:pPr>
              <w:pStyle w:val="BoxTitle"/>
            </w:pPr>
            <w:r>
              <w:rPr>
                <w:b w:val="0"/>
              </w:rPr>
              <w:t xml:space="preserve">Box </w:t>
            </w:r>
            <w:r w:rsidR="00DF496D">
              <w:rPr>
                <w:b w:val="0"/>
              </w:rPr>
              <w:t>3.9</w:t>
            </w:r>
            <w:r w:rsidR="00DF496D">
              <w:tab/>
              <w:t>Children enrolled in preschool</w:t>
            </w:r>
          </w:p>
        </w:tc>
      </w:tr>
      <w:tr w:rsidR="0061120F" w:rsidTr="00783B4C">
        <w:trPr>
          <w:cantSplit/>
        </w:trPr>
        <w:tc>
          <w:tcPr>
            <w:tcW w:w="8771" w:type="dxa"/>
            <w:tcBorders>
              <w:top w:val="nil"/>
              <w:left w:val="nil"/>
              <w:bottom w:val="nil"/>
              <w:right w:val="nil"/>
            </w:tcBorders>
            <w:shd w:val="clear" w:color="auto" w:fill="F2F2F2"/>
          </w:tcPr>
          <w:p w:rsidR="0061120F" w:rsidRPr="00DF669E" w:rsidRDefault="0061120F" w:rsidP="0061120F">
            <w:pPr>
              <w:pStyle w:val="Box"/>
            </w:pPr>
            <w:r w:rsidRPr="00DF669E">
              <w:t>Children enrolled</w:t>
            </w:r>
            <w:r>
              <w:t xml:space="preserve"> in preschool’ is defined by three</w:t>
            </w:r>
            <w:r w:rsidRPr="00DF669E">
              <w:t xml:space="preserve"> measures:</w:t>
            </w:r>
          </w:p>
          <w:p w:rsidR="0061120F" w:rsidRDefault="0061120F" w:rsidP="0061120F">
            <w:pPr>
              <w:pStyle w:val="BoxListBullet"/>
            </w:pPr>
            <w:r>
              <w:t xml:space="preserve">the </w:t>
            </w:r>
            <w:r w:rsidRPr="00DF669E">
              <w:t xml:space="preserve">proportion of </w:t>
            </w:r>
            <w:r>
              <w:t xml:space="preserve">4 year old </w:t>
            </w:r>
            <w:r w:rsidRPr="00DF669E">
              <w:t xml:space="preserve">children who are enrolled in a preschool program in the </w:t>
            </w:r>
            <w:proofErr w:type="spellStart"/>
            <w:r>
              <w:t>YBFS</w:t>
            </w:r>
            <w:proofErr w:type="spellEnd"/>
            <w:r>
              <w:t xml:space="preserve">, calculated as the number of </w:t>
            </w:r>
            <w:r w:rsidRPr="00DF669E">
              <w:t>childr</w:t>
            </w:r>
            <w:r>
              <w:t xml:space="preserve">en aged 4 and 5 years enrolled in a preschool program in the </w:t>
            </w:r>
            <w:proofErr w:type="spellStart"/>
            <w:r>
              <w:t>YBFS</w:t>
            </w:r>
            <w:proofErr w:type="spellEnd"/>
            <w:r>
              <w:t xml:space="preserve"> as a proportion of c</w:t>
            </w:r>
            <w:r w:rsidR="0039280F">
              <w:t>hildren aged 4 years</w:t>
            </w:r>
            <w:r>
              <w:t xml:space="preserve"> </w:t>
            </w:r>
          </w:p>
          <w:p w:rsidR="0061120F" w:rsidRPr="00C90405" w:rsidRDefault="0061120F" w:rsidP="0061120F">
            <w:pPr>
              <w:pStyle w:val="BoxListBullet"/>
            </w:pPr>
            <w:r>
              <w:t xml:space="preserve">as above, for </w:t>
            </w:r>
            <w:r w:rsidRPr="00C90405">
              <w:t xml:space="preserve">Aboriginal and Torres Strait Islander children </w:t>
            </w:r>
          </w:p>
          <w:p w:rsidR="0061120F" w:rsidRDefault="0061120F" w:rsidP="0061120F">
            <w:pPr>
              <w:pStyle w:val="BoxListBullet"/>
            </w:pPr>
            <w:r>
              <w:t xml:space="preserve">as above, for Aboriginal and Torres Strait Islander </w:t>
            </w:r>
            <w:r w:rsidRPr="00DF669E">
              <w:t>childr</w:t>
            </w:r>
            <w:r>
              <w:t>en by remoteness area (national only).</w:t>
            </w:r>
            <w:r w:rsidRPr="00DF669E">
              <w:t xml:space="preserve"> </w:t>
            </w:r>
            <w:r>
              <w:t>[</w:t>
            </w:r>
            <w:r w:rsidRPr="004A3F6E">
              <w:rPr>
                <w:i/>
              </w:rPr>
              <w:t xml:space="preserve">This aligns with one of two measures in the </w:t>
            </w:r>
            <w:proofErr w:type="spellStart"/>
            <w:r w:rsidRPr="004A3F6E">
              <w:rPr>
                <w:i/>
              </w:rPr>
              <w:t>NIRA</w:t>
            </w:r>
            <w:proofErr w:type="spellEnd"/>
            <w:r>
              <w:t>].</w:t>
            </w:r>
          </w:p>
          <w:p w:rsidR="0061120F" w:rsidRDefault="0061120F" w:rsidP="0061120F">
            <w:pPr>
              <w:pStyle w:val="Box"/>
            </w:pPr>
            <w:proofErr w:type="spellStart"/>
            <w:r>
              <w:t>YBFS</w:t>
            </w:r>
            <w:proofErr w:type="spellEnd"/>
            <w:r>
              <w:t xml:space="preserve"> data exclude children </w:t>
            </w:r>
            <w:r w:rsidRPr="007602AE">
              <w:t>age</w:t>
            </w:r>
            <w:r>
              <w:t xml:space="preserve">d 5 years old who were enrolled in </w:t>
            </w:r>
            <w:r w:rsidRPr="007602AE">
              <w:t>a preschool program in the previous year as a 4</w:t>
            </w:r>
            <w:r>
              <w:t xml:space="preserve"> year old (to provide an estimate</w:t>
            </w:r>
            <w:r w:rsidRPr="00C90405">
              <w:t xml:space="preserve"> of a single year cohort for the population that will transition to full time schooling in the following year</w:t>
            </w:r>
            <w:r>
              <w:t>)</w:t>
            </w:r>
            <w:r w:rsidRPr="00C90405">
              <w:t xml:space="preserve">. </w:t>
            </w:r>
            <w:r w:rsidRPr="00DF669E">
              <w:t>To be considered as enrolled, the child must have attended the preschool program for at least one hour during the reference period, or be absent due to illness or extended holiday leave and expected to return.</w:t>
            </w:r>
          </w:p>
          <w:p w:rsidR="0061120F" w:rsidRPr="00DF669E" w:rsidRDefault="0061120F" w:rsidP="0061120F">
            <w:pPr>
              <w:pStyle w:val="Box"/>
            </w:pPr>
            <w:r>
              <w:t>The 4 year old population estimates used in these measures are sourced from ABS estimated resident population and Aboriginal and Torres Strait Islander population estimates.</w:t>
            </w:r>
          </w:p>
          <w:p w:rsidR="0061120F" w:rsidRPr="00DF669E" w:rsidRDefault="0061120F" w:rsidP="0061120F">
            <w:pPr>
              <w:pStyle w:val="Box"/>
            </w:pPr>
            <w:r w:rsidRPr="00DF669E">
              <w:t>A high or increasing proportion of children enrolled in preschool can indicate a high or increasing level of service availability, and is desirable. However, this indicator can be difficult to interpret as:</w:t>
            </w:r>
          </w:p>
          <w:p w:rsidR="0061120F" w:rsidRPr="006B1681" w:rsidRDefault="0061120F" w:rsidP="0061120F">
            <w:pPr>
              <w:pStyle w:val="BoxListBullet"/>
            </w:pPr>
            <w:r w:rsidRPr="006B1681">
              <w:t>the preschool program starting age for children varies across states and territories. A higher proportion of children enrolled at a particular age can reflect the preschool program starting age in a particular jurisdiction (see table</w:t>
            </w:r>
            <w:r w:rsidR="00697D43" w:rsidRPr="006B1681">
              <w:t> </w:t>
            </w:r>
            <w:proofErr w:type="spellStart"/>
            <w:r w:rsidRPr="006B1681">
              <w:t>3A.1</w:t>
            </w:r>
            <w:proofErr w:type="spellEnd"/>
            <w:r w:rsidRPr="006B1681">
              <w:t>)</w:t>
            </w:r>
          </w:p>
          <w:p w:rsidR="00EC56AD" w:rsidRPr="006B1681" w:rsidRDefault="00EC56AD" w:rsidP="0061120F">
            <w:pPr>
              <w:pStyle w:val="BoxListBullet"/>
            </w:pPr>
            <w:r w:rsidRPr="006B1681">
              <w:t>preschool enrolment data are under</w:t>
            </w:r>
            <w:r w:rsidR="002D438E" w:rsidRPr="006B1681">
              <w:noBreakHyphen/>
            </w:r>
            <w:r w:rsidRPr="006B1681">
              <w:t>reported due to service non</w:t>
            </w:r>
            <w:r w:rsidR="002D438E" w:rsidRPr="006B1681">
              <w:noBreakHyphen/>
            </w:r>
            <w:r w:rsidRPr="006B1681">
              <w:t>response, particularly long day care centres providing a preschool program</w:t>
            </w:r>
          </w:p>
          <w:p w:rsidR="0061120F" w:rsidRPr="00DF669E" w:rsidRDefault="0061120F" w:rsidP="0061120F">
            <w:pPr>
              <w:pStyle w:val="BoxListBullet"/>
            </w:pPr>
            <w:r w:rsidRPr="00DF669E">
              <w:t xml:space="preserve">participation in </w:t>
            </w:r>
            <w:r>
              <w:t xml:space="preserve">a </w:t>
            </w:r>
            <w:r w:rsidRPr="00DF669E">
              <w:t xml:space="preserve">preschool </w:t>
            </w:r>
            <w:r>
              <w:t xml:space="preserve">program </w:t>
            </w:r>
            <w:r w:rsidRPr="00DF669E">
              <w:t>is not compulsory. This indicator does not provide information on parental preferences</w:t>
            </w:r>
            <w:r>
              <w:t xml:space="preserve">, or other factors, which can affect </w:t>
            </w:r>
            <w:r w:rsidRPr="00DF669E">
              <w:t>preschool</w:t>
            </w:r>
            <w:r>
              <w:t xml:space="preserve"> use</w:t>
            </w:r>
          </w:p>
          <w:p w:rsidR="0061120F" w:rsidRPr="00DF669E" w:rsidRDefault="0061120F" w:rsidP="0061120F">
            <w:pPr>
              <w:pStyle w:val="BoxListBullet"/>
            </w:pPr>
            <w:r>
              <w:t xml:space="preserve">an </w:t>
            </w:r>
            <w:r w:rsidRPr="00DF669E">
              <w:t>overestimation of enrolment in some states and territories (for example, where enrolment r</w:t>
            </w:r>
            <w:r>
              <w:t>ates exceed 100 per cent) may occur as the measures are based on 4 and 5 year old enrolled population as a proportion of the 4 year old resident population. Overestimation may also result from</w:t>
            </w:r>
            <w:r w:rsidRPr="00DF669E">
              <w:t xml:space="preserve"> children: moving interstate during a preschool</w:t>
            </w:r>
            <w:r>
              <w:t xml:space="preserve"> program</w:t>
            </w:r>
            <w:r w:rsidRPr="00DF669E">
              <w:t xml:space="preserve"> year; </w:t>
            </w:r>
            <w:r>
              <w:t xml:space="preserve">enrolled in a jurisdiction different to the one in which they live; </w:t>
            </w:r>
            <w:r w:rsidRPr="00DF669E">
              <w:t xml:space="preserve">attending multiple providers to access an appropriate amount of care; attending multiple service types and/or attending </w:t>
            </w:r>
            <w:r>
              <w:t xml:space="preserve">a </w:t>
            </w:r>
            <w:r w:rsidRPr="00DF669E">
              <w:t xml:space="preserve">preschool </w:t>
            </w:r>
            <w:r>
              <w:t xml:space="preserve">program </w:t>
            </w:r>
            <w:r w:rsidRPr="00DF669E">
              <w:t xml:space="preserve">for more than one year. </w:t>
            </w:r>
          </w:p>
          <w:p w:rsidR="0061120F" w:rsidRDefault="0061120F" w:rsidP="0061120F">
            <w:pPr>
              <w:pStyle w:val="Box"/>
            </w:pPr>
            <w:r w:rsidRPr="00DF669E">
              <w:t>Data reported for these measures are:</w:t>
            </w:r>
          </w:p>
          <w:p w:rsidR="0061120F" w:rsidRDefault="0061120F" w:rsidP="0061120F">
            <w:pPr>
              <w:pStyle w:val="BoxListBullet"/>
            </w:pPr>
            <w:r w:rsidRPr="00150D2B">
              <w:t xml:space="preserve">comparable (subject to caveats) across jurisdictions and over time. Data </w:t>
            </w:r>
            <w:r>
              <w:t xml:space="preserve">are not on a jurisdiction basis (national only) </w:t>
            </w:r>
            <w:r w:rsidRPr="00150D2B">
              <w:t>for data by remoteness area so comparability is not</w:t>
            </w:r>
            <w:r>
              <w:t xml:space="preserve"> </w:t>
            </w:r>
            <w:r w:rsidRPr="00150D2B">
              <w:t xml:space="preserve">applicable for Aboriginal and Torres Strait Islander children who are enrolled in a preschool program in the </w:t>
            </w:r>
            <w:proofErr w:type="spellStart"/>
            <w:r>
              <w:t>YBFS</w:t>
            </w:r>
            <w:proofErr w:type="spellEnd"/>
            <w:r>
              <w:t>,</w:t>
            </w:r>
            <w:r w:rsidRPr="00150D2B">
              <w:t xml:space="preserve"> by remoteness area</w:t>
            </w:r>
          </w:p>
          <w:p w:rsidR="0061120F" w:rsidRDefault="0061120F" w:rsidP="0061120F">
            <w:pPr>
              <w:pStyle w:val="BoxListBullet"/>
            </w:pPr>
            <w:r w:rsidRPr="00DF669E">
              <w:t>complete (subject to caveats) for the current reporting period</w:t>
            </w:r>
            <w:r>
              <w:t>. All required 2014</w:t>
            </w:r>
            <w:r w:rsidRPr="00DF669E">
              <w:t xml:space="preserve"> data are available for all jurisdictions.</w:t>
            </w:r>
          </w:p>
          <w:p w:rsidR="0061120F" w:rsidRDefault="0061120F" w:rsidP="0061120F">
            <w:pPr>
              <w:pStyle w:val="Box"/>
            </w:pPr>
            <w:r>
              <w:t xml:space="preserve">Data quality information for this indicator is at </w:t>
            </w:r>
            <w:proofErr w:type="spellStart"/>
            <w:r>
              <w:t>www.pc.gov.au</w:t>
            </w:r>
            <w:proofErr w:type="spellEnd"/>
            <w:r>
              <w:t>/</w:t>
            </w:r>
            <w:proofErr w:type="spellStart"/>
            <w:r>
              <w:t>rogs</w:t>
            </w:r>
            <w:proofErr w:type="spellEnd"/>
            <w:r>
              <w:t>/2016.</w:t>
            </w:r>
          </w:p>
        </w:tc>
      </w:tr>
      <w:tr w:rsidR="0061120F" w:rsidTr="00783B4C">
        <w:trPr>
          <w:cantSplit/>
        </w:trPr>
        <w:tc>
          <w:tcPr>
            <w:tcW w:w="8771" w:type="dxa"/>
            <w:tcBorders>
              <w:top w:val="nil"/>
              <w:left w:val="nil"/>
              <w:bottom w:val="single" w:sz="6" w:space="0" w:color="78A22F"/>
              <w:right w:val="nil"/>
            </w:tcBorders>
            <w:shd w:val="clear" w:color="auto" w:fill="F2F2F2"/>
          </w:tcPr>
          <w:p w:rsidR="0061120F" w:rsidRDefault="0061120F">
            <w:pPr>
              <w:pStyle w:val="Box"/>
              <w:spacing w:before="0" w:line="120" w:lineRule="exact"/>
            </w:pPr>
          </w:p>
        </w:tc>
      </w:tr>
      <w:tr w:rsidR="0061120F" w:rsidRPr="000863A5" w:rsidTr="00783B4C">
        <w:tc>
          <w:tcPr>
            <w:tcW w:w="8771" w:type="dxa"/>
            <w:tcBorders>
              <w:top w:val="single" w:sz="6" w:space="0" w:color="78A22F"/>
              <w:left w:val="nil"/>
              <w:bottom w:val="nil"/>
              <w:right w:val="nil"/>
            </w:tcBorders>
          </w:tcPr>
          <w:p w:rsidR="0061120F" w:rsidRPr="00626D32" w:rsidRDefault="0061120F" w:rsidP="00783B4C">
            <w:pPr>
              <w:pStyle w:val="BoxSpaceBelow"/>
            </w:pPr>
          </w:p>
        </w:tc>
      </w:tr>
    </w:tbl>
    <w:p w:rsidR="00B6184D" w:rsidRDefault="001F1D2C" w:rsidP="00F97852">
      <w:pPr>
        <w:pStyle w:val="Heading5"/>
      </w:pPr>
      <w:r>
        <w:lastRenderedPageBreak/>
        <w:t xml:space="preserve">Proportion of </w:t>
      </w:r>
      <w:r w:rsidR="00404161">
        <w:t xml:space="preserve">4 year old </w:t>
      </w:r>
      <w:r>
        <w:t xml:space="preserve">children who are </w:t>
      </w:r>
      <w:r w:rsidR="00B6184D">
        <w:t xml:space="preserve">enrolled in a preschool program in the </w:t>
      </w:r>
      <w:proofErr w:type="spellStart"/>
      <w:r w:rsidR="0078533C">
        <w:t>YBFS</w:t>
      </w:r>
      <w:proofErr w:type="spellEnd"/>
    </w:p>
    <w:p w:rsidR="005A091A" w:rsidRDefault="00B6184D" w:rsidP="005A091A">
      <w:pPr>
        <w:pStyle w:val="BodyText"/>
      </w:pPr>
      <w:r w:rsidRPr="003906FE">
        <w:t xml:space="preserve">Nationally </w:t>
      </w:r>
      <w:r w:rsidRPr="00737DC3">
        <w:t>in 201</w:t>
      </w:r>
      <w:r w:rsidR="007226F3">
        <w:t>4</w:t>
      </w:r>
      <w:r w:rsidRPr="00C86801">
        <w:t xml:space="preserve">, </w:t>
      </w:r>
      <w:r w:rsidR="00AC03D0" w:rsidRPr="00AC03D0">
        <w:t>95</w:t>
      </w:r>
      <w:r w:rsidR="007226F3" w:rsidRPr="00AC03D0">
        <w:t>.</w:t>
      </w:r>
      <w:r w:rsidR="00AC03D0" w:rsidRPr="00AC03D0">
        <w:t>1</w:t>
      </w:r>
      <w:r w:rsidRPr="00AC03D0">
        <w:t xml:space="preserve"> per </w:t>
      </w:r>
      <w:r w:rsidRPr="00C86801">
        <w:t>cent</w:t>
      </w:r>
      <w:r w:rsidRPr="003906FE">
        <w:t xml:space="preserve"> of </w:t>
      </w:r>
      <w:r w:rsidR="00F862E5">
        <w:t xml:space="preserve">4 year old children were enrolled in a preschool program in the </w:t>
      </w:r>
      <w:proofErr w:type="spellStart"/>
      <w:r w:rsidR="0078533C">
        <w:t>YBFS</w:t>
      </w:r>
      <w:proofErr w:type="spellEnd"/>
      <w:r w:rsidR="00AC44B1">
        <w:t>.</w:t>
      </w:r>
      <w:r w:rsidR="00AC44B1" w:rsidRPr="00AC44B1">
        <w:t xml:space="preserve"> </w:t>
      </w:r>
      <w:r w:rsidR="007226F3">
        <w:t xml:space="preserve">This is an increase from </w:t>
      </w:r>
      <w:r w:rsidR="00AC03D0" w:rsidRPr="00AC03D0">
        <w:t>90</w:t>
      </w:r>
      <w:r w:rsidR="007226F3" w:rsidRPr="00AC03D0">
        <w:t>.</w:t>
      </w:r>
      <w:r w:rsidR="00AC03D0" w:rsidRPr="00AC03D0">
        <w:t>9 per cent</w:t>
      </w:r>
      <w:r w:rsidR="00AC44B1" w:rsidRPr="00AC03D0">
        <w:t xml:space="preserve"> </w:t>
      </w:r>
      <w:r w:rsidR="007226F3" w:rsidRPr="00AC03D0">
        <w:t xml:space="preserve">in </w:t>
      </w:r>
      <w:r w:rsidR="007226F3">
        <w:t>2013</w:t>
      </w:r>
      <w:r w:rsidR="00AC03D0">
        <w:t xml:space="preserve"> and 86.2 per cent in 2012</w:t>
      </w:r>
      <w:r w:rsidR="007B063C">
        <w:t xml:space="preserve"> </w:t>
      </w:r>
      <w:r w:rsidR="008661C1">
        <w:t>(</w:t>
      </w:r>
      <w:r w:rsidR="003B2788">
        <w:t>figure</w:t>
      </w:r>
      <w:r w:rsidR="00697D43">
        <w:t> </w:t>
      </w:r>
      <w:r w:rsidR="003B2788">
        <w:t>3.7</w:t>
      </w:r>
      <w:r w:rsidR="008661C1" w:rsidRPr="00264E2A">
        <w:t>)</w:t>
      </w:r>
      <w:r w:rsidR="00F065BB">
        <w:t xml:space="preserve">. </w:t>
      </w:r>
    </w:p>
    <w:p w:rsidR="005A091A" w:rsidRDefault="005A091A" w:rsidP="002C08A9">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5A091A" w:rsidTr="002C08A9">
        <w:tc>
          <w:tcPr>
            <w:tcW w:w="8771" w:type="dxa"/>
            <w:tcBorders>
              <w:top w:val="single" w:sz="6" w:space="0" w:color="78A22F"/>
              <w:left w:val="nil"/>
              <w:bottom w:val="nil"/>
              <w:right w:val="nil"/>
            </w:tcBorders>
            <w:shd w:val="clear" w:color="auto" w:fill="auto"/>
          </w:tcPr>
          <w:p w:rsidR="005A091A" w:rsidRPr="005A091A" w:rsidRDefault="005A091A" w:rsidP="00526027">
            <w:pPr>
              <w:pStyle w:val="FigureTitle"/>
              <w:rPr>
                <w:position w:val="6"/>
                <w:sz w:val="18"/>
              </w:rPr>
            </w:pPr>
            <w:r w:rsidRPr="00784A05">
              <w:rPr>
                <w:b w:val="0"/>
              </w:rPr>
              <w:t xml:space="preserve">Figure </w:t>
            </w:r>
            <w:r>
              <w:rPr>
                <w:b w:val="0"/>
              </w:rPr>
              <w:t>3.</w:t>
            </w:r>
            <w:r w:rsidR="000E3849">
              <w:rPr>
                <w:b w:val="0"/>
                <w:noProof/>
              </w:rPr>
              <w:t>7</w:t>
            </w:r>
            <w:r>
              <w:tab/>
            </w:r>
            <w:r w:rsidRPr="005A091A">
              <w:t xml:space="preserve">Proportion of </w:t>
            </w:r>
            <w:r w:rsidR="008949A4">
              <w:t xml:space="preserve">4 year old </w:t>
            </w:r>
            <w:r w:rsidRPr="005A091A">
              <w:t xml:space="preserve">children enrolled in a preschool program in the </w:t>
            </w:r>
            <w:proofErr w:type="spellStart"/>
            <w:r w:rsidR="0078533C">
              <w:t>YBFS</w:t>
            </w:r>
            <w:proofErr w:type="spellEnd"/>
            <w:r w:rsidR="0039280F">
              <w:rPr>
                <w:rStyle w:val="NoteLabel"/>
                <w:b/>
              </w:rPr>
              <w:t>a</w:t>
            </w:r>
          </w:p>
        </w:tc>
      </w:tr>
      <w:tr w:rsidR="005A091A" w:rsidTr="002C08A9">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5A091A" w:rsidTr="002C08A9">
              <w:trPr>
                <w:jc w:val="center"/>
              </w:trPr>
              <w:tc>
                <w:tcPr>
                  <w:tcW w:w="5000" w:type="pct"/>
                  <w:tcBorders>
                    <w:top w:val="nil"/>
                    <w:bottom w:val="nil"/>
                  </w:tcBorders>
                </w:tcPr>
                <w:p w:rsidR="005A091A" w:rsidRDefault="00B337E3" w:rsidP="002C08A9">
                  <w:pPr>
                    <w:pStyle w:val="Figure"/>
                    <w:spacing w:before="60" w:after="60"/>
                  </w:pPr>
                  <w:r>
                    <w:rPr>
                      <w:noProof/>
                    </w:rPr>
                    <w:drawing>
                      <wp:inline distT="0" distB="0" distL="0" distR="0">
                        <wp:extent cx="5390515" cy="2679700"/>
                        <wp:effectExtent l="0" t="0" r="635" b="6350"/>
                        <wp:docPr id="6" name="Picture 6" descr="Figure 3.7 Proportion of 4 year old children enrolled in a preschool program in the YBFS&#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390515" cy="2679700"/>
                                </a:xfrm>
                                <a:prstGeom prst="rect">
                                  <a:avLst/>
                                </a:prstGeom>
                                <a:noFill/>
                                <a:ln>
                                  <a:noFill/>
                                </a:ln>
                              </pic:spPr>
                            </pic:pic>
                          </a:graphicData>
                        </a:graphic>
                      </wp:inline>
                    </w:drawing>
                  </w:r>
                </w:p>
              </w:tc>
            </w:tr>
          </w:tbl>
          <w:p w:rsidR="005A091A" w:rsidRDefault="005A091A" w:rsidP="002C08A9">
            <w:pPr>
              <w:pStyle w:val="Figure"/>
            </w:pPr>
          </w:p>
        </w:tc>
      </w:tr>
      <w:tr w:rsidR="005A091A" w:rsidRPr="00176D3F" w:rsidTr="002C08A9">
        <w:tc>
          <w:tcPr>
            <w:tcW w:w="8771" w:type="dxa"/>
            <w:tcBorders>
              <w:top w:val="nil"/>
              <w:left w:val="nil"/>
              <w:bottom w:val="nil"/>
              <w:right w:val="nil"/>
            </w:tcBorders>
            <w:shd w:val="clear" w:color="auto" w:fill="auto"/>
          </w:tcPr>
          <w:p w:rsidR="005A091A" w:rsidRPr="005A091A" w:rsidRDefault="005A091A" w:rsidP="00F931C6">
            <w:pPr>
              <w:pStyle w:val="Note"/>
              <w:rPr>
                <w:color w:val="FF0000"/>
              </w:rPr>
            </w:pPr>
            <w:r>
              <w:rPr>
                <w:rStyle w:val="NoteLabel"/>
              </w:rPr>
              <w:t>a</w:t>
            </w:r>
            <w:r>
              <w:t xml:space="preserve"> </w:t>
            </w:r>
            <w:r w:rsidR="00C30AA2">
              <w:t>See box</w:t>
            </w:r>
            <w:r w:rsidR="00697D43">
              <w:t> </w:t>
            </w:r>
            <w:r w:rsidR="00C30AA2">
              <w:t>3.9 and table</w:t>
            </w:r>
            <w:r w:rsidR="00697D43">
              <w:t> </w:t>
            </w:r>
            <w:proofErr w:type="spellStart"/>
            <w:r w:rsidR="00C30AA2">
              <w:t>3A.25</w:t>
            </w:r>
            <w:proofErr w:type="spellEnd"/>
            <w:r w:rsidR="00C30AA2" w:rsidRPr="006853DC">
              <w:t xml:space="preserve"> for </w:t>
            </w:r>
            <w:r w:rsidR="00937F53">
              <w:t>detailed definitions, footnotes and caveats.</w:t>
            </w:r>
          </w:p>
        </w:tc>
      </w:tr>
      <w:tr w:rsidR="005A091A" w:rsidRPr="00176D3F" w:rsidTr="002C08A9">
        <w:tc>
          <w:tcPr>
            <w:tcW w:w="8771" w:type="dxa"/>
            <w:tcBorders>
              <w:top w:val="nil"/>
              <w:left w:val="nil"/>
              <w:bottom w:val="nil"/>
              <w:right w:val="nil"/>
            </w:tcBorders>
            <w:shd w:val="clear" w:color="auto" w:fill="auto"/>
          </w:tcPr>
          <w:p w:rsidR="005A091A" w:rsidRPr="00176D3F" w:rsidRDefault="005A091A" w:rsidP="002C08A9">
            <w:pPr>
              <w:pStyle w:val="Source"/>
            </w:pPr>
            <w:r>
              <w:rPr>
                <w:i/>
              </w:rPr>
              <w:t>S</w:t>
            </w:r>
            <w:r w:rsidRPr="00784A05">
              <w:rPr>
                <w:i/>
              </w:rPr>
              <w:t>ource</w:t>
            </w:r>
            <w:r w:rsidRPr="00176D3F">
              <w:t xml:space="preserve">: </w:t>
            </w:r>
            <w:r>
              <w:t xml:space="preserve">Derived from </w:t>
            </w:r>
            <w:r w:rsidR="007F7A54">
              <w:t xml:space="preserve">ABS (2013, </w:t>
            </w:r>
            <w:r w:rsidRPr="002341D2">
              <w:t>2014</w:t>
            </w:r>
            <w:r w:rsidR="007F7A54">
              <w:t xml:space="preserve"> and 2015</w:t>
            </w:r>
            <w:r w:rsidRPr="002341D2">
              <w:t xml:space="preserve">) </w:t>
            </w:r>
            <w:r w:rsidRPr="002341D2">
              <w:rPr>
                <w:i/>
              </w:rPr>
              <w:t>Preschool</w:t>
            </w:r>
            <w:r w:rsidR="007F7A54">
              <w:rPr>
                <w:i/>
              </w:rPr>
              <w:t xml:space="preserve"> Education, Australia, 2012, </w:t>
            </w:r>
            <w:r w:rsidRPr="002341D2">
              <w:rPr>
                <w:i/>
              </w:rPr>
              <w:t>2013</w:t>
            </w:r>
            <w:r w:rsidR="007F7A54">
              <w:rPr>
                <w:i/>
              </w:rPr>
              <w:t xml:space="preserve"> and 2014</w:t>
            </w:r>
            <w:r w:rsidRPr="002341D2">
              <w:rPr>
                <w:i/>
              </w:rPr>
              <w:t xml:space="preserve">, </w:t>
            </w:r>
            <w:r w:rsidRPr="002341D2">
              <w:rPr>
                <w:i/>
              </w:rPr>
              <w:br/>
            </w:r>
            <w:r w:rsidRPr="002341D2">
              <w:t>Cat. no. 4240.0;</w:t>
            </w:r>
            <w:r w:rsidRPr="002341D2">
              <w:rPr>
                <w:i/>
              </w:rPr>
              <w:t xml:space="preserve"> </w:t>
            </w:r>
            <w:r w:rsidRPr="002341D2">
              <w:t>ABS (201</w:t>
            </w:r>
            <w:r w:rsidR="002341D2" w:rsidRPr="002341D2">
              <w:t>2</w:t>
            </w:r>
            <w:r w:rsidR="007F7A54">
              <w:t>, 2013</w:t>
            </w:r>
            <w:r w:rsidRPr="002341D2">
              <w:t xml:space="preserve"> and 201</w:t>
            </w:r>
            <w:r w:rsidR="007F7A54">
              <w:t>4</w:t>
            </w:r>
            <w:r w:rsidRPr="002341D2">
              <w:t xml:space="preserve">) </w:t>
            </w:r>
            <w:r w:rsidRPr="002341D2">
              <w:rPr>
                <w:i/>
              </w:rPr>
              <w:t>Australian Demographic Statistics</w:t>
            </w:r>
            <w:r w:rsidRPr="008D4321">
              <w:t xml:space="preserve">, </w:t>
            </w:r>
            <w:r w:rsidR="008D4321" w:rsidRPr="008D4321">
              <w:rPr>
                <w:i/>
              </w:rPr>
              <w:t>Jun 2012</w:t>
            </w:r>
            <w:r w:rsidR="007F7A54">
              <w:rPr>
                <w:i/>
              </w:rPr>
              <w:t>, 2013 and 2014</w:t>
            </w:r>
            <w:r w:rsidR="008D4321" w:rsidRPr="008D4321">
              <w:rPr>
                <w:i/>
              </w:rPr>
              <w:t>,</w:t>
            </w:r>
            <w:r w:rsidR="008D4321" w:rsidRPr="008D4321">
              <w:t xml:space="preserve"> </w:t>
            </w:r>
            <w:r w:rsidRPr="002341D2">
              <w:t xml:space="preserve">Cat. no. 3101.0; </w:t>
            </w:r>
            <w:r w:rsidR="00783B4C">
              <w:t>table</w:t>
            </w:r>
            <w:r w:rsidR="002B57D2">
              <w:t> </w:t>
            </w:r>
            <w:proofErr w:type="spellStart"/>
            <w:r w:rsidR="002B57D2">
              <w:t>3A.25</w:t>
            </w:r>
            <w:proofErr w:type="spellEnd"/>
            <w:r w:rsidRPr="008D4321">
              <w:t>.</w:t>
            </w:r>
          </w:p>
        </w:tc>
      </w:tr>
      <w:tr w:rsidR="005A091A" w:rsidTr="002C08A9">
        <w:tc>
          <w:tcPr>
            <w:tcW w:w="8771" w:type="dxa"/>
            <w:tcBorders>
              <w:top w:val="nil"/>
              <w:left w:val="nil"/>
              <w:bottom w:val="single" w:sz="6" w:space="0" w:color="78A22F"/>
              <w:right w:val="nil"/>
            </w:tcBorders>
            <w:shd w:val="clear" w:color="auto" w:fill="auto"/>
          </w:tcPr>
          <w:p w:rsidR="005A091A" w:rsidRDefault="005A091A" w:rsidP="002C08A9">
            <w:pPr>
              <w:pStyle w:val="Figurespace"/>
            </w:pPr>
          </w:p>
        </w:tc>
      </w:tr>
      <w:tr w:rsidR="005A091A" w:rsidRPr="000863A5" w:rsidTr="002C08A9">
        <w:tc>
          <w:tcPr>
            <w:tcW w:w="8771" w:type="dxa"/>
            <w:tcBorders>
              <w:top w:val="single" w:sz="6" w:space="0" w:color="78A22F"/>
              <w:left w:val="nil"/>
              <w:bottom w:val="nil"/>
              <w:right w:val="nil"/>
            </w:tcBorders>
          </w:tcPr>
          <w:p w:rsidR="005A091A" w:rsidRPr="00626D32" w:rsidRDefault="005A091A" w:rsidP="002C08A9">
            <w:pPr>
              <w:pStyle w:val="BoxSpaceBelow"/>
            </w:pPr>
          </w:p>
        </w:tc>
      </w:tr>
    </w:tbl>
    <w:p w:rsidR="00872A11" w:rsidRPr="006B1681" w:rsidRDefault="00AC0879" w:rsidP="00AC0879">
      <w:pPr>
        <w:pStyle w:val="BodyText"/>
      </w:pPr>
      <w:r w:rsidRPr="00526027">
        <w:t xml:space="preserve">Data are included on children enrolled in a preschool program in the </w:t>
      </w:r>
      <w:proofErr w:type="spellStart"/>
      <w:r w:rsidR="0078533C" w:rsidRPr="00526027">
        <w:t>YBFS</w:t>
      </w:r>
      <w:proofErr w:type="spellEnd"/>
      <w:r w:rsidRPr="00526027">
        <w:t xml:space="preserve"> by weekly hour ranges. Nationally, the majority of children </w:t>
      </w:r>
      <w:r w:rsidR="008B0C76" w:rsidRPr="00FF3C8D">
        <w:t>(</w:t>
      </w:r>
      <w:r w:rsidR="00FC0E64" w:rsidRPr="00FF3C8D">
        <w:t>8</w:t>
      </w:r>
      <w:r w:rsidR="00FF3C8D" w:rsidRPr="00FF3C8D">
        <w:t>4.5</w:t>
      </w:r>
      <w:r w:rsidRPr="00FF3C8D">
        <w:t xml:space="preserve"> per cent) </w:t>
      </w:r>
      <w:r w:rsidRPr="00526027">
        <w:t>were enrolled for at leas</w:t>
      </w:r>
      <w:r w:rsidR="000A7ACF" w:rsidRPr="00526027">
        <w:t xml:space="preserve">t </w:t>
      </w:r>
      <w:r w:rsidR="00727AA1" w:rsidRPr="00526027">
        <w:br/>
      </w:r>
      <w:r w:rsidR="000A7ACF" w:rsidRPr="00526027">
        <w:t>15 hours per week (table</w:t>
      </w:r>
      <w:r w:rsidR="00172534" w:rsidRPr="00526027">
        <w:t> </w:t>
      </w:r>
      <w:proofErr w:type="spellStart"/>
      <w:r w:rsidR="002B57D2">
        <w:t>3A.26</w:t>
      </w:r>
      <w:proofErr w:type="spellEnd"/>
      <w:r w:rsidRPr="00526027">
        <w:t xml:space="preserve">). </w:t>
      </w:r>
    </w:p>
    <w:p w:rsidR="008B0C76" w:rsidRDefault="008B0C76" w:rsidP="00F97852">
      <w:pPr>
        <w:pStyle w:val="Heading5"/>
      </w:pPr>
      <w:r w:rsidRPr="006B1681">
        <w:t xml:space="preserve">Proportion of </w:t>
      </w:r>
      <w:r w:rsidR="00404161" w:rsidRPr="006B1681">
        <w:t xml:space="preserve">4 year old </w:t>
      </w:r>
      <w:r w:rsidRPr="006B1681">
        <w:t xml:space="preserve">Aboriginal and Torres Strait Islander </w:t>
      </w:r>
      <w:r>
        <w:t xml:space="preserve">children who are </w:t>
      </w:r>
      <w:r w:rsidRPr="00297D6C">
        <w:t xml:space="preserve">enrolled </w:t>
      </w:r>
      <w:r>
        <w:t xml:space="preserve">in </w:t>
      </w:r>
      <w:r w:rsidRPr="00297D6C">
        <w:t>a preschool program</w:t>
      </w:r>
      <w:r>
        <w:t xml:space="preserve"> in the </w:t>
      </w:r>
      <w:proofErr w:type="spellStart"/>
      <w:r w:rsidR="0078533C">
        <w:t>YBFS</w:t>
      </w:r>
      <w:proofErr w:type="spellEnd"/>
    </w:p>
    <w:p w:rsidR="008B0C76" w:rsidRPr="000611B7" w:rsidRDefault="003D5919" w:rsidP="008B0C76">
      <w:pPr>
        <w:pStyle w:val="BodyText"/>
      </w:pPr>
      <w:r>
        <w:t>Nationally in 2014, 75.4</w:t>
      </w:r>
      <w:r w:rsidR="00F862E5" w:rsidRPr="00F862E5">
        <w:t xml:space="preserve"> per cent of 4 year old Aboriginal and Torres Strait Islander children were enrolled in a preschool program in the </w:t>
      </w:r>
      <w:proofErr w:type="spellStart"/>
      <w:r w:rsidR="0078533C">
        <w:t>YBFS</w:t>
      </w:r>
      <w:proofErr w:type="spellEnd"/>
      <w:r w:rsidR="004362F9">
        <w:t>.</w:t>
      </w:r>
      <w:r w:rsidR="00F862E5" w:rsidRPr="00F862E5">
        <w:t xml:space="preserve"> </w:t>
      </w:r>
      <w:r w:rsidR="004362F9">
        <w:t xml:space="preserve">This proportion has increased from </w:t>
      </w:r>
      <w:r>
        <w:t>73.9</w:t>
      </w:r>
      <w:r w:rsidR="00C9476D">
        <w:t xml:space="preserve"> per cent in 2013 and </w:t>
      </w:r>
      <w:r w:rsidR="004362F9">
        <w:t xml:space="preserve">65.0 per cent in 2012 </w:t>
      </w:r>
      <w:r w:rsidR="003B2788">
        <w:t>(figure</w:t>
      </w:r>
      <w:r w:rsidR="00697D43">
        <w:t> </w:t>
      </w:r>
      <w:r w:rsidR="003B2788">
        <w:t>3.8</w:t>
      </w:r>
      <w:r w:rsidR="00F862E5" w:rsidRPr="000611B7">
        <w:t>).</w:t>
      </w:r>
      <w:r w:rsidR="00A54C3E">
        <w:t xml:space="preserve"> </w:t>
      </w:r>
    </w:p>
    <w:p w:rsidR="005A091A" w:rsidRDefault="005A091A" w:rsidP="002C08A9">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5A091A" w:rsidTr="002C08A9">
        <w:tc>
          <w:tcPr>
            <w:tcW w:w="8771" w:type="dxa"/>
            <w:tcBorders>
              <w:top w:val="single" w:sz="6" w:space="0" w:color="78A22F"/>
              <w:left w:val="nil"/>
              <w:bottom w:val="nil"/>
              <w:right w:val="nil"/>
            </w:tcBorders>
            <w:shd w:val="clear" w:color="auto" w:fill="auto"/>
          </w:tcPr>
          <w:p w:rsidR="005A091A" w:rsidRPr="00176D3F" w:rsidRDefault="005A091A" w:rsidP="00F862E5">
            <w:pPr>
              <w:pStyle w:val="FigureTitle"/>
            </w:pPr>
            <w:r w:rsidRPr="00784A05">
              <w:rPr>
                <w:b w:val="0"/>
              </w:rPr>
              <w:t xml:space="preserve">Figure </w:t>
            </w:r>
            <w:r>
              <w:rPr>
                <w:b w:val="0"/>
              </w:rPr>
              <w:t>3.</w:t>
            </w:r>
            <w:r w:rsidR="000E3849">
              <w:rPr>
                <w:b w:val="0"/>
                <w:noProof/>
              </w:rPr>
              <w:t>8</w:t>
            </w:r>
            <w:r w:rsidR="00F862E5">
              <w:tab/>
              <w:t xml:space="preserve">Proportion of </w:t>
            </w:r>
            <w:r w:rsidR="008949A4">
              <w:t xml:space="preserve">4 year old </w:t>
            </w:r>
            <w:r w:rsidR="00F862E5">
              <w:t xml:space="preserve">Aboriginal and Torres Strait Islander children enrolled in a preschool program in the </w:t>
            </w:r>
            <w:proofErr w:type="spellStart"/>
            <w:r w:rsidR="0078533C">
              <w:t>YBFS</w:t>
            </w:r>
            <w:proofErr w:type="spellEnd"/>
            <w:r w:rsidR="00B742BA">
              <w:rPr>
                <w:rStyle w:val="NoteLabel"/>
                <w:b/>
              </w:rPr>
              <w:t>a</w:t>
            </w:r>
          </w:p>
        </w:tc>
      </w:tr>
      <w:tr w:rsidR="005A091A" w:rsidTr="002C08A9">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5A091A" w:rsidTr="002C08A9">
              <w:trPr>
                <w:jc w:val="center"/>
              </w:trPr>
              <w:tc>
                <w:tcPr>
                  <w:tcW w:w="5000" w:type="pct"/>
                  <w:tcBorders>
                    <w:top w:val="nil"/>
                    <w:bottom w:val="nil"/>
                  </w:tcBorders>
                </w:tcPr>
                <w:p w:rsidR="005A091A" w:rsidRDefault="00B337E3" w:rsidP="002C08A9">
                  <w:pPr>
                    <w:pStyle w:val="Figure"/>
                    <w:spacing w:before="60" w:after="60"/>
                  </w:pPr>
                  <w:r>
                    <w:rPr>
                      <w:noProof/>
                    </w:rPr>
                    <w:drawing>
                      <wp:inline distT="0" distB="0" distL="0" distR="0">
                        <wp:extent cx="5390515" cy="2679700"/>
                        <wp:effectExtent l="0" t="0" r="635" b="6350"/>
                        <wp:docPr id="7" name="Picture 7" descr="Figure 3.8 Proportion of 4 year old Aboriginal and Torres Strait Islander children enrolled in a preschool program in the YBFS&#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390515" cy="2679700"/>
                                </a:xfrm>
                                <a:prstGeom prst="rect">
                                  <a:avLst/>
                                </a:prstGeom>
                                <a:noFill/>
                                <a:ln>
                                  <a:noFill/>
                                </a:ln>
                              </pic:spPr>
                            </pic:pic>
                          </a:graphicData>
                        </a:graphic>
                      </wp:inline>
                    </w:drawing>
                  </w:r>
                </w:p>
              </w:tc>
            </w:tr>
          </w:tbl>
          <w:p w:rsidR="005A091A" w:rsidRDefault="005A091A" w:rsidP="002C08A9">
            <w:pPr>
              <w:pStyle w:val="Figure"/>
            </w:pPr>
          </w:p>
        </w:tc>
      </w:tr>
      <w:tr w:rsidR="005A091A" w:rsidRPr="00176D3F" w:rsidTr="002C08A9">
        <w:tc>
          <w:tcPr>
            <w:tcW w:w="8771" w:type="dxa"/>
            <w:tcBorders>
              <w:top w:val="nil"/>
              <w:left w:val="nil"/>
              <w:bottom w:val="nil"/>
              <w:right w:val="nil"/>
            </w:tcBorders>
            <w:shd w:val="clear" w:color="auto" w:fill="auto"/>
          </w:tcPr>
          <w:p w:rsidR="005A091A" w:rsidRPr="00176D3F" w:rsidRDefault="009C7FB7" w:rsidP="00E12FBD">
            <w:pPr>
              <w:pStyle w:val="Note"/>
            </w:pPr>
            <w:r>
              <w:rPr>
                <w:rStyle w:val="NoteLabel"/>
              </w:rPr>
              <w:t>a</w:t>
            </w:r>
            <w:r>
              <w:t xml:space="preserve"> </w:t>
            </w:r>
            <w:r w:rsidR="00C30AA2">
              <w:t>See box</w:t>
            </w:r>
            <w:r w:rsidR="00697D43">
              <w:t> </w:t>
            </w:r>
            <w:r w:rsidR="00C30AA2">
              <w:t>3.9 and table</w:t>
            </w:r>
            <w:r w:rsidR="00697D43">
              <w:t> </w:t>
            </w:r>
            <w:proofErr w:type="spellStart"/>
            <w:r w:rsidR="00C30AA2">
              <w:t>3A.28</w:t>
            </w:r>
            <w:proofErr w:type="spellEnd"/>
            <w:r w:rsidR="00C30AA2" w:rsidRPr="006853DC">
              <w:t xml:space="preserve"> for </w:t>
            </w:r>
            <w:r w:rsidR="00937F53">
              <w:t>detailed definitions, footnotes and caveats.</w:t>
            </w:r>
          </w:p>
        </w:tc>
      </w:tr>
      <w:tr w:rsidR="005A091A" w:rsidRPr="00176D3F" w:rsidTr="002C08A9">
        <w:tc>
          <w:tcPr>
            <w:tcW w:w="8771" w:type="dxa"/>
            <w:tcBorders>
              <w:top w:val="nil"/>
              <w:left w:val="nil"/>
              <w:bottom w:val="nil"/>
              <w:right w:val="nil"/>
            </w:tcBorders>
            <w:shd w:val="clear" w:color="auto" w:fill="auto"/>
          </w:tcPr>
          <w:p w:rsidR="005A091A" w:rsidRPr="00176D3F" w:rsidRDefault="005A091A" w:rsidP="002C08A9">
            <w:pPr>
              <w:pStyle w:val="Source"/>
            </w:pPr>
            <w:r>
              <w:rPr>
                <w:i/>
              </w:rPr>
              <w:t>Source</w:t>
            </w:r>
            <w:r w:rsidRPr="00167F06">
              <w:t xml:space="preserve">: </w:t>
            </w:r>
            <w:r>
              <w:t>Derived from ABS (</w:t>
            </w:r>
            <w:r w:rsidR="0068025B">
              <w:t>2013</w:t>
            </w:r>
            <w:r w:rsidR="00F668AF">
              <w:t>, 2014</w:t>
            </w:r>
            <w:r w:rsidR="0068025B">
              <w:t xml:space="preserve"> and </w:t>
            </w:r>
            <w:r w:rsidR="00F668AF">
              <w:t>2015</w:t>
            </w:r>
            <w:r>
              <w:t xml:space="preserve">) </w:t>
            </w:r>
            <w:r w:rsidRPr="007628F8">
              <w:rPr>
                <w:i/>
              </w:rPr>
              <w:t>Pres</w:t>
            </w:r>
            <w:r>
              <w:rPr>
                <w:i/>
              </w:rPr>
              <w:t xml:space="preserve">chool Education, Australia, </w:t>
            </w:r>
            <w:r w:rsidR="0068025B">
              <w:rPr>
                <w:i/>
              </w:rPr>
              <w:t>2012</w:t>
            </w:r>
            <w:r w:rsidR="00AB5638">
              <w:rPr>
                <w:i/>
              </w:rPr>
              <w:t>, 2013</w:t>
            </w:r>
            <w:r w:rsidR="0068025B">
              <w:rPr>
                <w:i/>
              </w:rPr>
              <w:t xml:space="preserve"> and </w:t>
            </w:r>
            <w:r w:rsidR="00AB5638">
              <w:rPr>
                <w:i/>
              </w:rPr>
              <w:t>2014</w:t>
            </w:r>
            <w:r>
              <w:rPr>
                <w:i/>
              </w:rPr>
              <w:t xml:space="preserve">, </w:t>
            </w:r>
            <w:r w:rsidRPr="00C347EF">
              <w:t>Cat. no. 4240.0;</w:t>
            </w:r>
            <w:r>
              <w:rPr>
                <w:i/>
              </w:rPr>
              <w:t xml:space="preserve"> </w:t>
            </w:r>
            <w:r>
              <w:t>ABS (2014</w:t>
            </w:r>
            <w:r w:rsidRPr="00541A0F">
              <w:t xml:space="preserve">) </w:t>
            </w:r>
            <w:r>
              <w:rPr>
                <w:i/>
              </w:rPr>
              <w:t>Estimates and Projections, Aboriginal and Torres Strait Islander Australians, 2001</w:t>
            </w:r>
            <w:r w:rsidR="007B063C">
              <w:rPr>
                <w:i/>
              </w:rPr>
              <w:t>–</w:t>
            </w:r>
            <w:r>
              <w:rPr>
                <w:i/>
              </w:rPr>
              <w:t>2026</w:t>
            </w:r>
            <w:r w:rsidRPr="005B024C">
              <w:rPr>
                <w:i/>
              </w:rPr>
              <w:t>,</w:t>
            </w:r>
            <w:r>
              <w:t xml:space="preserve"> Cat. no. 3238</w:t>
            </w:r>
            <w:r w:rsidRPr="00541A0F">
              <w:t xml:space="preserve">.0; </w:t>
            </w:r>
            <w:r w:rsidRPr="000611B7">
              <w:t>table </w:t>
            </w:r>
            <w:proofErr w:type="spellStart"/>
            <w:r w:rsidRPr="000611B7">
              <w:t>3A.</w:t>
            </w:r>
            <w:r w:rsidR="002B57D2">
              <w:t>28</w:t>
            </w:r>
            <w:proofErr w:type="spellEnd"/>
            <w:r w:rsidRPr="000611B7">
              <w:t>.</w:t>
            </w:r>
          </w:p>
        </w:tc>
      </w:tr>
      <w:tr w:rsidR="005A091A" w:rsidTr="002C08A9">
        <w:tc>
          <w:tcPr>
            <w:tcW w:w="8771" w:type="dxa"/>
            <w:tcBorders>
              <w:top w:val="nil"/>
              <w:left w:val="nil"/>
              <w:bottom w:val="single" w:sz="6" w:space="0" w:color="78A22F"/>
              <w:right w:val="nil"/>
            </w:tcBorders>
            <w:shd w:val="clear" w:color="auto" w:fill="auto"/>
          </w:tcPr>
          <w:p w:rsidR="005A091A" w:rsidRDefault="005A091A" w:rsidP="002C08A9">
            <w:pPr>
              <w:pStyle w:val="Figurespace"/>
            </w:pPr>
          </w:p>
        </w:tc>
      </w:tr>
      <w:tr w:rsidR="005A091A" w:rsidRPr="000863A5" w:rsidTr="002C08A9">
        <w:tc>
          <w:tcPr>
            <w:tcW w:w="8771" w:type="dxa"/>
            <w:tcBorders>
              <w:top w:val="single" w:sz="6" w:space="0" w:color="78A22F"/>
              <w:left w:val="nil"/>
              <w:bottom w:val="nil"/>
              <w:right w:val="nil"/>
            </w:tcBorders>
          </w:tcPr>
          <w:p w:rsidR="005A091A" w:rsidRPr="00626D32" w:rsidRDefault="005A091A" w:rsidP="002C08A9">
            <w:pPr>
              <w:pStyle w:val="BoxSpaceBelow"/>
            </w:pPr>
          </w:p>
        </w:tc>
      </w:tr>
    </w:tbl>
    <w:p w:rsidR="008B0C76" w:rsidRPr="0000397C" w:rsidRDefault="0058107D" w:rsidP="0058107D">
      <w:pPr>
        <w:pStyle w:val="BodyText"/>
      </w:pPr>
      <w:r>
        <w:t xml:space="preserve">Data are included on Aboriginal and Torres Strait Islander children enrolled in a preschool program in the </w:t>
      </w:r>
      <w:proofErr w:type="spellStart"/>
      <w:r>
        <w:t>YBFS</w:t>
      </w:r>
      <w:proofErr w:type="spellEnd"/>
      <w:r>
        <w:t xml:space="preserve"> by weekly hour ranges. Nationally,</w:t>
      </w:r>
      <w:r w:rsidR="003E6387">
        <w:t xml:space="preserve"> </w:t>
      </w:r>
      <w:r>
        <w:t xml:space="preserve">the majority of </w:t>
      </w:r>
      <w:r w:rsidR="003E6387">
        <w:t xml:space="preserve">Aboriginal and Torres Strait Islander </w:t>
      </w:r>
      <w:r>
        <w:t xml:space="preserve">children </w:t>
      </w:r>
      <w:r w:rsidR="00E12FBD">
        <w:t xml:space="preserve">enrolled in a preschool program </w:t>
      </w:r>
      <w:r>
        <w:t>(</w:t>
      </w:r>
      <w:r w:rsidR="003E6387">
        <w:t>87.5</w:t>
      </w:r>
      <w:r>
        <w:t xml:space="preserve"> per cent) were enrolled for at leas</w:t>
      </w:r>
      <w:r w:rsidR="002B57D2">
        <w:t>t 15 hours per week (table</w:t>
      </w:r>
      <w:r w:rsidR="00697D43">
        <w:t> </w:t>
      </w:r>
      <w:proofErr w:type="spellStart"/>
      <w:r w:rsidR="002B57D2">
        <w:t>3A.29</w:t>
      </w:r>
      <w:proofErr w:type="spellEnd"/>
      <w:r>
        <w:t>).</w:t>
      </w:r>
    </w:p>
    <w:p w:rsidR="00AC0879" w:rsidRPr="00297D6C" w:rsidRDefault="00276551" w:rsidP="003D5919">
      <w:pPr>
        <w:pStyle w:val="Heading5"/>
      </w:pPr>
      <w:r>
        <w:t xml:space="preserve">Proportion of </w:t>
      </w:r>
      <w:r w:rsidR="00404161">
        <w:t xml:space="preserve">4 year old </w:t>
      </w:r>
      <w:r w:rsidR="00602814">
        <w:t>Aborig</w:t>
      </w:r>
      <w:r w:rsidR="0003438B">
        <w:t>inal and Torres Strait Islander</w:t>
      </w:r>
      <w:r w:rsidR="008B0C76">
        <w:t xml:space="preserve"> children</w:t>
      </w:r>
      <w:r>
        <w:t xml:space="preserve"> </w:t>
      </w:r>
      <w:r w:rsidR="00546F5E">
        <w:t xml:space="preserve">who are </w:t>
      </w:r>
      <w:r w:rsidR="00AC0879" w:rsidRPr="00297D6C">
        <w:t xml:space="preserve">enrolled </w:t>
      </w:r>
      <w:r w:rsidR="00AC0879">
        <w:t xml:space="preserve">in </w:t>
      </w:r>
      <w:r w:rsidR="00AC0879" w:rsidRPr="00297D6C">
        <w:t>a preschool program</w:t>
      </w:r>
      <w:r w:rsidR="00AC0879">
        <w:t xml:space="preserve"> in the </w:t>
      </w:r>
      <w:proofErr w:type="spellStart"/>
      <w:r w:rsidR="0078533C">
        <w:t>YBFS</w:t>
      </w:r>
      <w:proofErr w:type="spellEnd"/>
      <w:r w:rsidR="0039280F">
        <w:t>,</w:t>
      </w:r>
      <w:r w:rsidR="0031493E">
        <w:t xml:space="preserve"> </w:t>
      </w:r>
      <w:r w:rsidR="008B0C76">
        <w:t>by remoteness area</w:t>
      </w:r>
      <w:r w:rsidR="0041652B">
        <w:t xml:space="preserve"> </w:t>
      </w:r>
    </w:p>
    <w:p w:rsidR="0058107D" w:rsidRDefault="00DF762F" w:rsidP="00AC0879">
      <w:pPr>
        <w:pStyle w:val="BodyText"/>
      </w:pPr>
      <w:r>
        <w:t xml:space="preserve">In 2014, </w:t>
      </w:r>
      <w:r w:rsidR="007D00D9">
        <w:t xml:space="preserve">the </w:t>
      </w:r>
      <w:r w:rsidR="0058107D">
        <w:t>enrolment ra</w:t>
      </w:r>
      <w:r w:rsidR="007D00D9">
        <w:t>te was</w:t>
      </w:r>
      <w:r w:rsidR="0058107D">
        <w:t xml:space="preserve"> highest in remote areas (82.4 per cent), followed my regional areas (76.5 per cent) and major cities </w:t>
      </w:r>
      <w:r w:rsidR="0039280F">
        <w:t xml:space="preserve">(70.0 per cent). However, </w:t>
      </w:r>
      <w:r w:rsidR="007D00D9">
        <w:t>the enrolment rate</w:t>
      </w:r>
      <w:r w:rsidR="0058107D">
        <w:t xml:space="preserve"> increased from 2013 to 2014 in major cities and regional areas (up </w:t>
      </w:r>
      <w:r w:rsidR="007D00D9">
        <w:t>3</w:t>
      </w:r>
      <w:r w:rsidR="0058107D">
        <w:t>.3 and 2.6 percentage points respectively)</w:t>
      </w:r>
      <w:r w:rsidR="0039280F">
        <w:t>, but</w:t>
      </w:r>
      <w:r w:rsidR="0058107D">
        <w:t xml:space="preserve"> decreased in remote areas (down 2.6</w:t>
      </w:r>
      <w:r w:rsidR="002B57D2">
        <w:t xml:space="preserve"> percentage points) (table</w:t>
      </w:r>
      <w:r w:rsidR="00697D43">
        <w:t> </w:t>
      </w:r>
      <w:proofErr w:type="spellStart"/>
      <w:r w:rsidR="002B57D2">
        <w:t>3A.27</w:t>
      </w:r>
      <w:proofErr w:type="spellEnd"/>
      <w:r w:rsidR="0058107D">
        <w:t>).</w:t>
      </w:r>
    </w:p>
    <w:p w:rsidR="00AC0879" w:rsidRDefault="00AC0879" w:rsidP="00F97852">
      <w:pPr>
        <w:pStyle w:val="Heading4"/>
      </w:pPr>
      <w:r w:rsidRPr="00C41228">
        <w:t xml:space="preserve">Access — </w:t>
      </w:r>
      <w:r>
        <w:t xml:space="preserve">children attending </w:t>
      </w:r>
      <w:r w:rsidRPr="00E30DEE">
        <w:t>preschool</w:t>
      </w:r>
    </w:p>
    <w:p w:rsidR="00AC0879" w:rsidRDefault="00AC0879" w:rsidP="00AC0879">
      <w:pPr>
        <w:pStyle w:val="BodyText"/>
      </w:pPr>
      <w:r w:rsidRPr="006B4110">
        <w:t>‘</w:t>
      </w:r>
      <w:r>
        <w:t xml:space="preserve">Children attending </w:t>
      </w:r>
      <w:r w:rsidRPr="006B4110">
        <w:t xml:space="preserve">preschool’ is an indicator of governments’ objective to ensure that all families have equitable access to preschool </w:t>
      </w:r>
      <w:r w:rsidRPr="0060698B">
        <w:t>services (box</w:t>
      </w:r>
      <w:r w:rsidR="00172534" w:rsidRPr="0060698B">
        <w:t> </w:t>
      </w:r>
      <w:r w:rsidR="00C43157" w:rsidRPr="0060698B">
        <w:t>3.</w:t>
      </w:r>
      <w:r w:rsidR="00B1432E">
        <w:t>10</w:t>
      </w:r>
      <w:r w:rsidRPr="0060698B">
        <w:t>).</w:t>
      </w:r>
    </w:p>
    <w:p w:rsidR="00D306EE" w:rsidRDefault="00D306EE">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D306EE" w:rsidTr="000F4D37">
        <w:tc>
          <w:tcPr>
            <w:tcW w:w="8771" w:type="dxa"/>
            <w:tcBorders>
              <w:top w:val="single" w:sz="6" w:space="0" w:color="78A22F"/>
              <w:left w:val="nil"/>
              <w:bottom w:val="nil"/>
              <w:right w:val="nil"/>
            </w:tcBorders>
            <w:shd w:val="clear" w:color="auto" w:fill="F2F2F2"/>
          </w:tcPr>
          <w:p w:rsidR="00D306EE" w:rsidRDefault="00D306EE" w:rsidP="00C43157">
            <w:pPr>
              <w:pStyle w:val="BoxTitle"/>
            </w:pPr>
            <w:r>
              <w:rPr>
                <w:b w:val="0"/>
              </w:rPr>
              <w:t xml:space="preserve">Box </w:t>
            </w:r>
            <w:r w:rsidR="00C43157">
              <w:rPr>
                <w:b w:val="0"/>
              </w:rPr>
              <w:t>3.</w:t>
            </w:r>
            <w:bookmarkStart w:id="62" w:name="OLE_LINK9"/>
            <w:r w:rsidR="00C43157">
              <w:rPr>
                <w:b w:val="0"/>
              </w:rPr>
              <w:t>1</w:t>
            </w:r>
            <w:bookmarkEnd w:id="62"/>
            <w:r w:rsidR="00B1432E">
              <w:rPr>
                <w:b w:val="0"/>
              </w:rPr>
              <w:t>0</w:t>
            </w:r>
            <w:r>
              <w:tab/>
            </w:r>
            <w:r w:rsidRPr="00BD2657">
              <w:t>Children attending preschool</w:t>
            </w:r>
          </w:p>
        </w:tc>
      </w:tr>
      <w:tr w:rsidR="00D306EE" w:rsidTr="000F4D37">
        <w:trPr>
          <w:cantSplit/>
        </w:trPr>
        <w:tc>
          <w:tcPr>
            <w:tcW w:w="8771" w:type="dxa"/>
            <w:tcBorders>
              <w:top w:val="nil"/>
              <w:left w:val="nil"/>
              <w:bottom w:val="nil"/>
              <w:right w:val="nil"/>
            </w:tcBorders>
            <w:shd w:val="clear" w:color="auto" w:fill="F2F2F2"/>
          </w:tcPr>
          <w:p w:rsidR="00D306EE" w:rsidRPr="00BD2657" w:rsidRDefault="00D306EE" w:rsidP="00D306EE">
            <w:pPr>
              <w:pStyle w:val="Box"/>
            </w:pPr>
            <w:r w:rsidRPr="00BD2657">
              <w:t>‘Children attending preschool’ is defined by three measures:</w:t>
            </w:r>
          </w:p>
          <w:p w:rsidR="00D306EE" w:rsidRPr="00BD2657" w:rsidRDefault="00EB1241" w:rsidP="00D306EE">
            <w:pPr>
              <w:pStyle w:val="BoxListBullet"/>
            </w:pPr>
            <w:r>
              <w:t xml:space="preserve">the </w:t>
            </w:r>
            <w:r w:rsidR="00D306EE" w:rsidRPr="00BD2657">
              <w:t xml:space="preserve">proportion of </w:t>
            </w:r>
            <w:r w:rsidR="00404161">
              <w:t>4 year old c</w:t>
            </w:r>
            <w:r w:rsidR="00D306EE" w:rsidRPr="00BD2657">
              <w:t xml:space="preserve">hildren who are attending a preschool program in the </w:t>
            </w:r>
            <w:proofErr w:type="spellStart"/>
            <w:r w:rsidR="0078533C">
              <w:t>YBFS</w:t>
            </w:r>
            <w:proofErr w:type="spellEnd"/>
            <w:r w:rsidR="0029109F">
              <w:t xml:space="preserve">, calculated as the number of children aged 4 and 5 years attending a preschool program in the </w:t>
            </w:r>
            <w:proofErr w:type="spellStart"/>
            <w:r w:rsidR="0029109F">
              <w:t>YBFS</w:t>
            </w:r>
            <w:proofErr w:type="spellEnd"/>
            <w:r w:rsidR="0029109F">
              <w:t xml:space="preserve"> as a proportion of children aged 4 years. The 4 year old population data are source</w:t>
            </w:r>
            <w:r w:rsidR="0039280F">
              <w:t>d from ABS population estimates</w:t>
            </w:r>
            <w:r w:rsidR="0029109F">
              <w:t xml:space="preserve"> </w:t>
            </w:r>
          </w:p>
          <w:p w:rsidR="00D306EE" w:rsidRDefault="00226562" w:rsidP="00D306EE">
            <w:pPr>
              <w:pStyle w:val="BoxListBullet"/>
            </w:pPr>
            <w:r>
              <w:t>as above, for Aboriginal and Torres Strait Islander children by remoteness areas (national only)</w:t>
            </w:r>
            <w:r w:rsidR="0029109F">
              <w:t>. The 4 year old population data are sourced from ABS projected population estimates.</w:t>
            </w:r>
            <w:r>
              <w:t xml:space="preserve"> [</w:t>
            </w:r>
            <w:r w:rsidRPr="004476D7">
              <w:rPr>
                <w:i/>
              </w:rPr>
              <w:t xml:space="preserve">This aligns with one of two measures in the </w:t>
            </w:r>
            <w:proofErr w:type="spellStart"/>
            <w:r w:rsidRPr="004476D7">
              <w:rPr>
                <w:i/>
              </w:rPr>
              <w:t>NIRA</w:t>
            </w:r>
            <w:proofErr w:type="spellEnd"/>
            <w:r w:rsidR="0039280F">
              <w:t>]</w:t>
            </w:r>
          </w:p>
          <w:p w:rsidR="00D306EE" w:rsidRPr="007F0670" w:rsidRDefault="00EB1241" w:rsidP="00D306EE">
            <w:pPr>
              <w:pStyle w:val="BoxListBullet"/>
            </w:pPr>
            <w:r>
              <w:t xml:space="preserve">the </w:t>
            </w:r>
            <w:r w:rsidR="00D306EE" w:rsidRPr="007F0670">
              <w:t xml:space="preserve">proportion of children enrolled in a preschool program in the </w:t>
            </w:r>
            <w:proofErr w:type="spellStart"/>
            <w:r w:rsidR="0078533C">
              <w:t>YBFS</w:t>
            </w:r>
            <w:proofErr w:type="spellEnd"/>
            <w:r w:rsidR="00D306EE" w:rsidRPr="007F0670">
              <w:t xml:space="preserve"> who are attending by Indigenous status.</w:t>
            </w:r>
          </w:p>
          <w:p w:rsidR="00D306EE" w:rsidRPr="00BD2657" w:rsidRDefault="00E97EAD" w:rsidP="00D306EE">
            <w:pPr>
              <w:pStyle w:val="Box"/>
            </w:pPr>
            <w:proofErr w:type="spellStart"/>
            <w:r>
              <w:t>YBFS</w:t>
            </w:r>
            <w:proofErr w:type="spellEnd"/>
            <w:r>
              <w:t xml:space="preserve"> </w:t>
            </w:r>
            <w:r w:rsidR="00E91455">
              <w:t>data</w:t>
            </w:r>
            <w:r w:rsidR="003B32CD">
              <w:t xml:space="preserve"> exclude c</w:t>
            </w:r>
            <w:r w:rsidR="0060698B">
              <w:t xml:space="preserve">hildren </w:t>
            </w:r>
            <w:r w:rsidR="0060698B" w:rsidRPr="007602AE">
              <w:t>age</w:t>
            </w:r>
            <w:r w:rsidR="003B32CD">
              <w:t xml:space="preserve">d 5 years old who attended </w:t>
            </w:r>
            <w:r w:rsidR="0060698B" w:rsidRPr="007602AE">
              <w:t>a preschool program in the previous year as a 4</w:t>
            </w:r>
            <w:r w:rsidR="003B32CD">
              <w:t xml:space="preserve"> year old</w:t>
            </w:r>
            <w:r w:rsidR="0060698B">
              <w:t xml:space="preserve"> </w:t>
            </w:r>
            <w:r w:rsidR="00226562">
              <w:t>(to provide an estimate</w:t>
            </w:r>
            <w:r w:rsidR="00226562" w:rsidRPr="00C90405">
              <w:t xml:space="preserve"> of a single year cohort for the population that will transition to full time schooling in the following year</w:t>
            </w:r>
            <w:r w:rsidR="00226562">
              <w:t>)</w:t>
            </w:r>
            <w:r w:rsidR="0060698B" w:rsidRPr="00C90405">
              <w:t xml:space="preserve">. </w:t>
            </w:r>
            <w:r w:rsidR="00D306EE" w:rsidRPr="00BD2657">
              <w:t xml:space="preserve">A child is considered to be </w:t>
            </w:r>
            <w:r w:rsidR="0060698B">
              <w:t>attending a preschool program if</w:t>
            </w:r>
            <w:r w:rsidR="00D306EE" w:rsidRPr="00BD2657">
              <w:t xml:space="preserve"> the child was enrolled and present for at least one ho</w:t>
            </w:r>
            <w:r w:rsidR="0029109F">
              <w:t>ur during the reference period.</w:t>
            </w:r>
            <w:r w:rsidR="00544401">
              <w:t xml:space="preserve"> This explains similar enrolment and attendance data in some jurisdictions.</w:t>
            </w:r>
          </w:p>
          <w:p w:rsidR="00D306EE" w:rsidRPr="00BD2657" w:rsidRDefault="00D306EE" w:rsidP="00D306EE">
            <w:pPr>
              <w:pStyle w:val="Box"/>
            </w:pPr>
            <w:r w:rsidRPr="00BD2657">
              <w:t>A high or increasing proportion of children attending a preschool program can indicate a high or increasing level of service availability, and is desirable. However, this indicato</w:t>
            </w:r>
            <w:r w:rsidR="00ED2C3B">
              <w:t xml:space="preserve">r should be interpreted with caution, </w:t>
            </w:r>
            <w:r w:rsidRPr="00BD2657">
              <w:t>as:</w:t>
            </w:r>
          </w:p>
          <w:p w:rsidR="00D306EE" w:rsidRDefault="00D306EE" w:rsidP="00D306EE">
            <w:pPr>
              <w:pStyle w:val="BoxListBullet"/>
            </w:pPr>
            <w:r w:rsidRPr="00BD2657">
              <w:t xml:space="preserve">the preschool </w:t>
            </w:r>
            <w:r w:rsidR="00C738CF">
              <w:t xml:space="preserve">program </w:t>
            </w:r>
            <w:r w:rsidRPr="00BD2657">
              <w:t xml:space="preserve">starting age for children varies across states and territories. A higher proportion of children attending at a particular age can reflect the preschool </w:t>
            </w:r>
            <w:r w:rsidR="00C738CF">
              <w:t xml:space="preserve">program </w:t>
            </w:r>
            <w:r w:rsidRPr="00BD2657">
              <w:t>starting age in a particular jurisdiction</w:t>
            </w:r>
            <w:r w:rsidR="00E91455">
              <w:t xml:space="preserve"> (see table</w:t>
            </w:r>
            <w:r w:rsidR="00697D43">
              <w:t> </w:t>
            </w:r>
            <w:proofErr w:type="spellStart"/>
            <w:r w:rsidR="00E91455">
              <w:t>3A.1</w:t>
            </w:r>
            <w:proofErr w:type="spellEnd"/>
            <w:r w:rsidR="00E91455">
              <w:t>)</w:t>
            </w:r>
          </w:p>
          <w:p w:rsidR="00EC56AD" w:rsidRPr="006B1681" w:rsidRDefault="00EC56AD" w:rsidP="00EC56AD">
            <w:pPr>
              <w:pStyle w:val="BoxListBullet"/>
            </w:pPr>
            <w:r w:rsidRPr="006B1681">
              <w:t>preschool</w:t>
            </w:r>
            <w:r w:rsidR="002F208E" w:rsidRPr="006B1681">
              <w:t xml:space="preserve"> attendance </w:t>
            </w:r>
            <w:r w:rsidRPr="006B1681">
              <w:t>data are under</w:t>
            </w:r>
            <w:r w:rsidR="002D438E" w:rsidRPr="006B1681">
              <w:noBreakHyphen/>
            </w:r>
            <w:r w:rsidRPr="006B1681">
              <w:t>reported due to service non</w:t>
            </w:r>
            <w:r w:rsidR="002D438E" w:rsidRPr="006B1681">
              <w:noBreakHyphen/>
            </w:r>
            <w:r w:rsidRPr="006B1681">
              <w:t>response, particularly long day care centres providing a preschool program</w:t>
            </w:r>
          </w:p>
          <w:p w:rsidR="00E91455" w:rsidRPr="00DF669E" w:rsidRDefault="00E91455" w:rsidP="00E91455">
            <w:pPr>
              <w:pStyle w:val="BoxListBullet"/>
            </w:pPr>
            <w:r w:rsidRPr="00DF669E">
              <w:t xml:space="preserve">participation in </w:t>
            </w:r>
            <w:r>
              <w:t xml:space="preserve">a </w:t>
            </w:r>
            <w:r w:rsidRPr="00DF669E">
              <w:t xml:space="preserve">preschool </w:t>
            </w:r>
            <w:r>
              <w:t xml:space="preserve">program </w:t>
            </w:r>
            <w:r w:rsidRPr="00DF669E">
              <w:t>is not compulsory. This indicator does not provide information on parental preferences</w:t>
            </w:r>
            <w:r>
              <w:t xml:space="preserve">, or other factors, which can affect </w:t>
            </w:r>
            <w:r w:rsidRPr="00DF669E">
              <w:t>preschool</w:t>
            </w:r>
            <w:r>
              <w:t xml:space="preserve"> use</w:t>
            </w:r>
          </w:p>
          <w:p w:rsidR="00E91455" w:rsidRPr="00BD2657" w:rsidRDefault="00E91455" w:rsidP="00E91455">
            <w:pPr>
              <w:pStyle w:val="BoxListBullet"/>
            </w:pPr>
            <w:r>
              <w:t>an overestimation of attendance</w:t>
            </w:r>
            <w:r w:rsidRPr="00DF669E">
              <w:t xml:space="preserve"> in some states and territori</w:t>
            </w:r>
            <w:r>
              <w:t>es (for example, where attendance</w:t>
            </w:r>
            <w:r w:rsidRPr="00DF669E">
              <w:t xml:space="preserve"> r</w:t>
            </w:r>
            <w:r>
              <w:t>ates exceed 100 per cent) may occur as the measures are based on 4 and 5 year old attending population as a proportion of the 4 year old resident population. Overestimation may also result from</w:t>
            </w:r>
            <w:r w:rsidRPr="00DF669E">
              <w:t xml:space="preserve"> children: moving interstate during a preschool</w:t>
            </w:r>
            <w:r>
              <w:t xml:space="preserve"> program</w:t>
            </w:r>
            <w:r w:rsidRPr="00DF669E">
              <w:t xml:space="preserve"> year; </w:t>
            </w:r>
            <w:r>
              <w:t xml:space="preserve">attending in a jurisdiction different to the one in which they live; </w:t>
            </w:r>
            <w:r w:rsidRPr="00DF669E">
              <w:t xml:space="preserve">attending multiple providers to access an appropriate amount of care; attending multiple service types and/or attending </w:t>
            </w:r>
            <w:r>
              <w:t xml:space="preserve">a </w:t>
            </w:r>
            <w:r w:rsidRPr="00DF669E">
              <w:t xml:space="preserve">preschool </w:t>
            </w:r>
            <w:r>
              <w:t xml:space="preserve">program </w:t>
            </w:r>
            <w:r w:rsidRPr="00DF669E">
              <w:t xml:space="preserve">for more than one year. </w:t>
            </w:r>
          </w:p>
          <w:p w:rsidR="00D306EE" w:rsidRDefault="00D306EE" w:rsidP="00D306EE">
            <w:pPr>
              <w:pStyle w:val="Box"/>
            </w:pPr>
            <w:r>
              <w:t>Data reported for these measures are:</w:t>
            </w:r>
          </w:p>
          <w:p w:rsidR="00D306EE" w:rsidRPr="007F0670" w:rsidRDefault="00D306EE" w:rsidP="00D306EE">
            <w:pPr>
              <w:pStyle w:val="BoxListBullet"/>
            </w:pPr>
            <w:r w:rsidRPr="007F0670">
              <w:t xml:space="preserve">comparable (subject to caveats) across jurisdictions </w:t>
            </w:r>
            <w:r w:rsidR="007F0670" w:rsidRPr="007F0670">
              <w:t xml:space="preserve">and over time. Data are not on a jurisdiction basis (national only) for data by remoteness area so comparability is not applicable for Aboriginal and Torres Strait Islander children who are attending a preschool program in the </w:t>
            </w:r>
            <w:proofErr w:type="spellStart"/>
            <w:r w:rsidR="0078533C">
              <w:t>YBFS</w:t>
            </w:r>
            <w:proofErr w:type="spellEnd"/>
            <w:r w:rsidR="007F0670" w:rsidRPr="007F0670">
              <w:t>, by remoteness area</w:t>
            </w:r>
          </w:p>
          <w:p w:rsidR="00D306EE" w:rsidRPr="007F0670" w:rsidRDefault="00D306EE" w:rsidP="00D306EE">
            <w:pPr>
              <w:pStyle w:val="BoxListBullet"/>
            </w:pPr>
            <w:r w:rsidRPr="007F0670">
              <w:t>complete (subject to caveats) for the current rep</w:t>
            </w:r>
            <w:r w:rsidR="00EB0EF3">
              <w:t>orting period. All required 2014</w:t>
            </w:r>
            <w:r w:rsidRPr="007F0670">
              <w:t xml:space="preserve"> data are available for all jurisdictions. </w:t>
            </w:r>
          </w:p>
          <w:p w:rsidR="00D306EE" w:rsidRDefault="00D306EE" w:rsidP="00D306EE">
            <w:pPr>
              <w:pStyle w:val="Box"/>
            </w:pPr>
            <w:r>
              <w:t>Data quality information for this indicator</w:t>
            </w:r>
            <w:r w:rsidR="003F4FDF">
              <w:t xml:space="preserve"> is at </w:t>
            </w:r>
            <w:proofErr w:type="spellStart"/>
            <w:r w:rsidR="003F4FDF">
              <w:t>www.pc.gov.au</w:t>
            </w:r>
            <w:proofErr w:type="spellEnd"/>
            <w:r>
              <w:t>/</w:t>
            </w:r>
            <w:proofErr w:type="spellStart"/>
            <w:r>
              <w:t>rogs</w:t>
            </w:r>
            <w:proofErr w:type="spellEnd"/>
            <w:r w:rsidR="00DE3CF3">
              <w:t>/</w:t>
            </w:r>
            <w:r w:rsidR="00CB534C">
              <w:t>2016</w:t>
            </w:r>
            <w:r>
              <w:t>.</w:t>
            </w:r>
          </w:p>
        </w:tc>
      </w:tr>
      <w:tr w:rsidR="00D306EE" w:rsidTr="000F4D37">
        <w:trPr>
          <w:cantSplit/>
        </w:trPr>
        <w:tc>
          <w:tcPr>
            <w:tcW w:w="8771" w:type="dxa"/>
            <w:tcBorders>
              <w:top w:val="nil"/>
              <w:left w:val="nil"/>
              <w:bottom w:val="single" w:sz="6" w:space="0" w:color="78A22F"/>
              <w:right w:val="nil"/>
            </w:tcBorders>
            <w:shd w:val="clear" w:color="auto" w:fill="F2F2F2"/>
          </w:tcPr>
          <w:p w:rsidR="00D306EE" w:rsidRDefault="00D306EE">
            <w:pPr>
              <w:pStyle w:val="Box"/>
              <w:spacing w:before="0" w:line="120" w:lineRule="exact"/>
            </w:pPr>
          </w:p>
        </w:tc>
      </w:tr>
    </w:tbl>
    <w:p w:rsidR="00DF3DFE" w:rsidRDefault="00DF3DFE" w:rsidP="004A532D">
      <w:pPr>
        <w:pStyle w:val="Heading5"/>
      </w:pPr>
    </w:p>
    <w:p w:rsidR="00AC0879" w:rsidRDefault="00AC0879" w:rsidP="004A532D">
      <w:pPr>
        <w:pStyle w:val="Heading5"/>
      </w:pPr>
      <w:r>
        <w:lastRenderedPageBreak/>
        <w:t xml:space="preserve">Proportion of </w:t>
      </w:r>
      <w:r w:rsidR="008949A4">
        <w:t xml:space="preserve">4 year old </w:t>
      </w:r>
      <w:r>
        <w:t xml:space="preserve">children who are attending a preschool program in the </w:t>
      </w:r>
      <w:proofErr w:type="spellStart"/>
      <w:r w:rsidR="0078533C">
        <w:t>YBFS</w:t>
      </w:r>
      <w:proofErr w:type="spellEnd"/>
    </w:p>
    <w:p w:rsidR="005A091A" w:rsidRDefault="00BE6FD0" w:rsidP="00B6184D">
      <w:pPr>
        <w:pStyle w:val="BodyText"/>
      </w:pPr>
      <w:r>
        <w:t>Nationally in 2014</w:t>
      </w:r>
      <w:r w:rsidR="00763C4F">
        <w:t xml:space="preserve">, </w:t>
      </w:r>
      <w:r>
        <w:t>91.4</w:t>
      </w:r>
      <w:r w:rsidR="00AC0879" w:rsidRPr="00FE674F">
        <w:t xml:space="preserve"> </w:t>
      </w:r>
      <w:r w:rsidR="00AC0879">
        <w:t xml:space="preserve">per cent of </w:t>
      </w:r>
      <w:r w:rsidR="00CC3925">
        <w:t xml:space="preserve">4 year old </w:t>
      </w:r>
      <w:r w:rsidR="00AC0879">
        <w:t xml:space="preserve">children </w:t>
      </w:r>
      <w:r w:rsidR="00CC3925">
        <w:t xml:space="preserve">were attending a preschool program </w:t>
      </w:r>
      <w:r w:rsidR="00AC0879">
        <w:t xml:space="preserve">in the </w:t>
      </w:r>
      <w:proofErr w:type="spellStart"/>
      <w:r w:rsidR="0078533C">
        <w:t>YBFS</w:t>
      </w:r>
      <w:proofErr w:type="spellEnd"/>
      <w:r w:rsidR="00AC44B1">
        <w:t>.</w:t>
      </w:r>
      <w:r w:rsidR="00AC44B1" w:rsidRPr="00AC44B1">
        <w:t xml:space="preserve"> </w:t>
      </w:r>
      <w:r w:rsidR="00AC44B1">
        <w:t xml:space="preserve">This is an increase from </w:t>
      </w:r>
      <w:r>
        <w:t>88.7</w:t>
      </w:r>
      <w:r w:rsidR="00EB0EF3">
        <w:t xml:space="preserve"> per cent in 2013 and </w:t>
      </w:r>
      <w:r w:rsidR="00AC44B1">
        <w:t>83.</w:t>
      </w:r>
      <w:r w:rsidR="00A8316D">
        <w:t xml:space="preserve">8 </w:t>
      </w:r>
      <w:r w:rsidR="00EB0EF3">
        <w:t xml:space="preserve">per cent </w:t>
      </w:r>
      <w:r w:rsidR="00A8316D">
        <w:t>in 2012</w:t>
      </w:r>
      <w:r w:rsidR="00AC0879">
        <w:t xml:space="preserve"> </w:t>
      </w:r>
      <w:r w:rsidR="00B62E20">
        <w:t>(</w:t>
      </w:r>
      <w:r w:rsidR="00B62E20" w:rsidRPr="00134E4F">
        <w:t>figure</w:t>
      </w:r>
      <w:r w:rsidR="00172534" w:rsidRPr="00134E4F">
        <w:t> </w:t>
      </w:r>
      <w:r w:rsidR="00B62E20" w:rsidRPr="00134E4F">
        <w:t>3.</w:t>
      </w:r>
      <w:r w:rsidR="003B2788">
        <w:t>9</w:t>
      </w:r>
      <w:r w:rsidR="00CC3925" w:rsidRPr="00134E4F">
        <w:t>).</w:t>
      </w:r>
      <w:r w:rsidR="001C6ABF" w:rsidRPr="001C6ABF">
        <w:t xml:space="preserve"> </w:t>
      </w:r>
    </w:p>
    <w:p w:rsidR="005A091A" w:rsidRDefault="005A091A" w:rsidP="002C08A9">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5A091A" w:rsidTr="002C08A9">
        <w:tc>
          <w:tcPr>
            <w:tcW w:w="8771" w:type="dxa"/>
            <w:tcBorders>
              <w:top w:val="single" w:sz="6" w:space="0" w:color="78A22F"/>
              <w:left w:val="nil"/>
              <w:bottom w:val="nil"/>
              <w:right w:val="nil"/>
            </w:tcBorders>
            <w:shd w:val="clear" w:color="auto" w:fill="auto"/>
          </w:tcPr>
          <w:p w:rsidR="004E1D45" w:rsidRPr="004E1D45" w:rsidRDefault="005A091A" w:rsidP="004E1D45">
            <w:pPr>
              <w:pStyle w:val="FigureTitle"/>
              <w:rPr>
                <w:position w:val="6"/>
                <w:sz w:val="18"/>
              </w:rPr>
            </w:pPr>
            <w:r w:rsidRPr="00784A05">
              <w:rPr>
                <w:b w:val="0"/>
              </w:rPr>
              <w:t xml:space="preserve">Figure </w:t>
            </w:r>
            <w:r>
              <w:rPr>
                <w:b w:val="0"/>
              </w:rPr>
              <w:t>3.</w:t>
            </w:r>
            <w:r w:rsidR="000E3849">
              <w:rPr>
                <w:b w:val="0"/>
                <w:noProof/>
              </w:rPr>
              <w:t>9</w:t>
            </w:r>
            <w:r>
              <w:tab/>
            </w:r>
            <w:r w:rsidRPr="005A091A">
              <w:t xml:space="preserve">Proportion of </w:t>
            </w:r>
            <w:r w:rsidR="008949A4">
              <w:t xml:space="preserve">4 year old </w:t>
            </w:r>
            <w:r w:rsidRPr="005A091A">
              <w:t xml:space="preserve">children attending a preschool program in the </w:t>
            </w:r>
            <w:proofErr w:type="spellStart"/>
            <w:r w:rsidR="0078533C">
              <w:t>YBFS</w:t>
            </w:r>
            <w:proofErr w:type="spellEnd"/>
            <w:r w:rsidR="00B742BA">
              <w:rPr>
                <w:rStyle w:val="NoteLabel"/>
                <w:b/>
              </w:rPr>
              <w:t>a</w:t>
            </w:r>
          </w:p>
        </w:tc>
      </w:tr>
      <w:tr w:rsidR="005A091A" w:rsidTr="002C08A9">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5A091A" w:rsidTr="002C08A9">
              <w:trPr>
                <w:jc w:val="center"/>
              </w:trPr>
              <w:tc>
                <w:tcPr>
                  <w:tcW w:w="5000" w:type="pct"/>
                  <w:tcBorders>
                    <w:top w:val="nil"/>
                    <w:bottom w:val="nil"/>
                  </w:tcBorders>
                </w:tcPr>
                <w:p w:rsidR="005A091A" w:rsidRDefault="00B337E3" w:rsidP="002C08A9">
                  <w:pPr>
                    <w:pStyle w:val="Figure"/>
                    <w:spacing w:before="60" w:after="60"/>
                  </w:pPr>
                  <w:r>
                    <w:rPr>
                      <w:noProof/>
                    </w:rPr>
                    <w:drawing>
                      <wp:inline distT="0" distB="0" distL="0" distR="0">
                        <wp:extent cx="5390515" cy="2679700"/>
                        <wp:effectExtent l="0" t="0" r="635" b="6350"/>
                        <wp:docPr id="8" name="Picture 8" descr="Figure 3.9 Proportion of 4 year old children attending a preschool program in the YBFS&#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390515" cy="2679700"/>
                                </a:xfrm>
                                <a:prstGeom prst="rect">
                                  <a:avLst/>
                                </a:prstGeom>
                                <a:noFill/>
                                <a:ln>
                                  <a:noFill/>
                                </a:ln>
                              </pic:spPr>
                            </pic:pic>
                          </a:graphicData>
                        </a:graphic>
                      </wp:inline>
                    </w:drawing>
                  </w:r>
                </w:p>
              </w:tc>
            </w:tr>
          </w:tbl>
          <w:p w:rsidR="005A091A" w:rsidRDefault="005A091A" w:rsidP="002C08A9">
            <w:pPr>
              <w:pStyle w:val="Figure"/>
            </w:pPr>
          </w:p>
        </w:tc>
      </w:tr>
      <w:tr w:rsidR="005A091A" w:rsidRPr="00176D3F" w:rsidTr="002C08A9">
        <w:tc>
          <w:tcPr>
            <w:tcW w:w="8771" w:type="dxa"/>
            <w:tcBorders>
              <w:top w:val="nil"/>
              <w:left w:val="nil"/>
              <w:bottom w:val="nil"/>
              <w:right w:val="nil"/>
            </w:tcBorders>
            <w:shd w:val="clear" w:color="auto" w:fill="auto"/>
          </w:tcPr>
          <w:p w:rsidR="005A091A" w:rsidRPr="005A091A" w:rsidRDefault="00CC3925" w:rsidP="007123A1">
            <w:pPr>
              <w:pStyle w:val="Note"/>
              <w:rPr>
                <w:strike/>
                <w:color w:val="FF0000"/>
              </w:rPr>
            </w:pPr>
            <w:r>
              <w:rPr>
                <w:rStyle w:val="NoteLabel"/>
              </w:rPr>
              <w:t>a</w:t>
            </w:r>
            <w:r>
              <w:t xml:space="preserve"> </w:t>
            </w:r>
            <w:r w:rsidR="00C30AA2">
              <w:t>See box</w:t>
            </w:r>
            <w:r w:rsidR="00697D43">
              <w:t> </w:t>
            </w:r>
            <w:r w:rsidR="00C30AA2">
              <w:t>3.10 and table</w:t>
            </w:r>
            <w:r w:rsidR="00697D43">
              <w:t> </w:t>
            </w:r>
            <w:proofErr w:type="spellStart"/>
            <w:r w:rsidR="00C30AA2">
              <w:t>3A.31</w:t>
            </w:r>
            <w:proofErr w:type="spellEnd"/>
            <w:r w:rsidR="00C30AA2" w:rsidRPr="006853DC">
              <w:t xml:space="preserve"> for </w:t>
            </w:r>
            <w:r w:rsidR="00937F53">
              <w:t>detailed definitions, footnotes and caveats.</w:t>
            </w:r>
          </w:p>
        </w:tc>
      </w:tr>
      <w:tr w:rsidR="005A091A" w:rsidRPr="00176D3F" w:rsidTr="002C08A9">
        <w:tc>
          <w:tcPr>
            <w:tcW w:w="8771" w:type="dxa"/>
            <w:tcBorders>
              <w:top w:val="nil"/>
              <w:left w:val="nil"/>
              <w:bottom w:val="nil"/>
              <w:right w:val="nil"/>
            </w:tcBorders>
            <w:shd w:val="clear" w:color="auto" w:fill="auto"/>
          </w:tcPr>
          <w:p w:rsidR="005A091A" w:rsidRPr="00176D3F" w:rsidRDefault="005A091A" w:rsidP="002C08A9">
            <w:pPr>
              <w:pStyle w:val="Source"/>
            </w:pPr>
            <w:r>
              <w:rPr>
                <w:i/>
              </w:rPr>
              <w:t>Source</w:t>
            </w:r>
            <w:r w:rsidRPr="00167F06">
              <w:t xml:space="preserve">: </w:t>
            </w:r>
            <w:r>
              <w:t>Derived from ABS (</w:t>
            </w:r>
            <w:r w:rsidR="002545F1">
              <w:t>2013</w:t>
            </w:r>
            <w:r w:rsidR="00516A9F">
              <w:t>, 2014</w:t>
            </w:r>
            <w:r w:rsidR="002545F1">
              <w:t xml:space="preserve"> and </w:t>
            </w:r>
            <w:r>
              <w:t>201</w:t>
            </w:r>
            <w:r w:rsidR="00516A9F">
              <w:t>5</w:t>
            </w:r>
            <w:r>
              <w:t xml:space="preserve">) </w:t>
            </w:r>
            <w:r w:rsidRPr="007628F8">
              <w:rPr>
                <w:i/>
              </w:rPr>
              <w:t>Pres</w:t>
            </w:r>
            <w:r>
              <w:rPr>
                <w:i/>
              </w:rPr>
              <w:t xml:space="preserve">chool Education, Australia, </w:t>
            </w:r>
            <w:r w:rsidR="002545F1">
              <w:rPr>
                <w:i/>
              </w:rPr>
              <w:t>2012</w:t>
            </w:r>
            <w:r w:rsidR="00516A9F">
              <w:rPr>
                <w:i/>
              </w:rPr>
              <w:t>, 2013</w:t>
            </w:r>
            <w:r w:rsidR="002545F1">
              <w:rPr>
                <w:i/>
              </w:rPr>
              <w:t xml:space="preserve"> and </w:t>
            </w:r>
            <w:r w:rsidR="00516A9F">
              <w:rPr>
                <w:i/>
              </w:rPr>
              <w:t>2014</w:t>
            </w:r>
            <w:r>
              <w:rPr>
                <w:i/>
              </w:rPr>
              <w:t xml:space="preserve">, </w:t>
            </w:r>
            <w:r w:rsidRPr="00C347EF">
              <w:t>Cat. no. 4240.0;</w:t>
            </w:r>
            <w:r>
              <w:rPr>
                <w:i/>
              </w:rPr>
              <w:t xml:space="preserve"> </w:t>
            </w:r>
            <w:r w:rsidR="00FE674F">
              <w:t>ABS (2012</w:t>
            </w:r>
            <w:r w:rsidR="00516A9F">
              <w:t>, 2013 and 2014</w:t>
            </w:r>
            <w:r w:rsidRPr="00541A0F">
              <w:t xml:space="preserve">) </w:t>
            </w:r>
            <w:r w:rsidRPr="00541A0F">
              <w:rPr>
                <w:i/>
              </w:rPr>
              <w:t>Australian Demographic Statistics</w:t>
            </w:r>
            <w:r w:rsidR="002545F1">
              <w:rPr>
                <w:i/>
              </w:rPr>
              <w:t xml:space="preserve">, </w:t>
            </w:r>
            <w:r w:rsidR="00516A9F" w:rsidRPr="008D4321">
              <w:rPr>
                <w:i/>
              </w:rPr>
              <w:t>Jun 2012</w:t>
            </w:r>
            <w:r w:rsidR="00516A9F">
              <w:rPr>
                <w:i/>
              </w:rPr>
              <w:t>, 2013 and 2014</w:t>
            </w:r>
            <w:r w:rsidR="00516A9F" w:rsidRPr="008D4321">
              <w:rPr>
                <w:i/>
              </w:rPr>
              <w:t>,</w:t>
            </w:r>
            <w:r w:rsidR="00516A9F" w:rsidRPr="008D4321">
              <w:t xml:space="preserve"> </w:t>
            </w:r>
            <w:r w:rsidRPr="00541A0F">
              <w:t xml:space="preserve">Cat. no. 3101.0; </w:t>
            </w:r>
            <w:r w:rsidR="002B57D2">
              <w:t>table </w:t>
            </w:r>
            <w:proofErr w:type="spellStart"/>
            <w:r w:rsidR="002B57D2">
              <w:t>3A.31</w:t>
            </w:r>
            <w:proofErr w:type="spellEnd"/>
            <w:r w:rsidRPr="005F5594">
              <w:t>.</w:t>
            </w:r>
          </w:p>
        </w:tc>
      </w:tr>
      <w:tr w:rsidR="005A091A" w:rsidTr="002C08A9">
        <w:tc>
          <w:tcPr>
            <w:tcW w:w="8771" w:type="dxa"/>
            <w:tcBorders>
              <w:top w:val="nil"/>
              <w:left w:val="nil"/>
              <w:bottom w:val="single" w:sz="6" w:space="0" w:color="78A22F"/>
              <w:right w:val="nil"/>
            </w:tcBorders>
            <w:shd w:val="clear" w:color="auto" w:fill="auto"/>
          </w:tcPr>
          <w:p w:rsidR="005A091A" w:rsidRDefault="005A091A" w:rsidP="002C08A9">
            <w:pPr>
              <w:pStyle w:val="Figurespace"/>
            </w:pPr>
          </w:p>
        </w:tc>
      </w:tr>
      <w:tr w:rsidR="005A091A" w:rsidRPr="000863A5" w:rsidTr="002C08A9">
        <w:tc>
          <w:tcPr>
            <w:tcW w:w="8771" w:type="dxa"/>
            <w:tcBorders>
              <w:top w:val="single" w:sz="6" w:space="0" w:color="78A22F"/>
              <w:left w:val="nil"/>
              <w:bottom w:val="nil"/>
              <w:right w:val="nil"/>
            </w:tcBorders>
          </w:tcPr>
          <w:p w:rsidR="005A091A" w:rsidRPr="00626D32" w:rsidRDefault="005A091A" w:rsidP="002C08A9">
            <w:pPr>
              <w:pStyle w:val="BoxSpaceBelow"/>
            </w:pPr>
          </w:p>
        </w:tc>
      </w:tr>
    </w:tbl>
    <w:p w:rsidR="00AC0879" w:rsidRPr="00172534" w:rsidRDefault="0071529B" w:rsidP="00AC0879">
      <w:pPr>
        <w:pStyle w:val="BodyText"/>
      </w:pPr>
      <w:r>
        <w:t>Across all jurisdic</w:t>
      </w:r>
      <w:r w:rsidR="00E64A32">
        <w:t>tions in 2014</w:t>
      </w:r>
      <w:r w:rsidR="00AC0879">
        <w:t xml:space="preserve">, the average attendance of children at a preschool program in the </w:t>
      </w:r>
      <w:proofErr w:type="spellStart"/>
      <w:r w:rsidR="0078533C">
        <w:t>YBFS</w:t>
      </w:r>
      <w:proofErr w:type="spellEnd"/>
      <w:r>
        <w:t xml:space="preserve"> was between </w:t>
      </w:r>
      <w:r w:rsidR="00E64A32">
        <w:t>14.8</w:t>
      </w:r>
      <w:r w:rsidRPr="00AC55BC">
        <w:t xml:space="preserve"> and </w:t>
      </w:r>
      <w:r w:rsidR="00E64A32">
        <w:t>20.3</w:t>
      </w:r>
      <w:r w:rsidR="00476371" w:rsidRPr="00AC55BC">
        <w:t xml:space="preserve"> </w:t>
      </w:r>
      <w:r w:rsidR="00476371">
        <w:t>hours per week (table</w:t>
      </w:r>
      <w:r w:rsidR="00172534">
        <w:t> </w:t>
      </w:r>
      <w:proofErr w:type="spellStart"/>
      <w:r w:rsidR="002B57D2">
        <w:t>3A.32</w:t>
      </w:r>
      <w:proofErr w:type="spellEnd"/>
      <w:r w:rsidR="00AC0879">
        <w:t xml:space="preserve">). Details of </w:t>
      </w:r>
      <w:r w:rsidR="00AC0879" w:rsidRPr="005F5594">
        <w:t>the employment status of parents whose children attend</w:t>
      </w:r>
      <w:r w:rsidR="007E0069" w:rsidRPr="005F5594">
        <w:t>ed</w:t>
      </w:r>
      <w:r w:rsidR="00AC0879" w:rsidRPr="005F5594">
        <w:t xml:space="preserve"> preschool services are shown in table</w:t>
      </w:r>
      <w:r w:rsidR="00172534" w:rsidRPr="005F5594">
        <w:t> </w:t>
      </w:r>
      <w:proofErr w:type="spellStart"/>
      <w:r w:rsidR="00AC0879" w:rsidRPr="005F5594">
        <w:t>3A.</w:t>
      </w:r>
      <w:r w:rsidR="002B57D2">
        <w:t>30</w:t>
      </w:r>
      <w:proofErr w:type="spellEnd"/>
      <w:r w:rsidR="00AC0879" w:rsidRPr="005F5594">
        <w:t>.</w:t>
      </w:r>
    </w:p>
    <w:p w:rsidR="009C7560" w:rsidRPr="00297D6C" w:rsidRDefault="00F922A2" w:rsidP="00F97852">
      <w:pPr>
        <w:pStyle w:val="Heading5"/>
      </w:pPr>
      <w:r>
        <w:t xml:space="preserve">Proportion of </w:t>
      </w:r>
      <w:r w:rsidR="00602814">
        <w:t xml:space="preserve">Aboriginal and Torres Strait Islander </w:t>
      </w:r>
      <w:r w:rsidR="009C7560">
        <w:t xml:space="preserve">children </w:t>
      </w:r>
      <w:r w:rsidR="00546F5E">
        <w:t xml:space="preserve">who are </w:t>
      </w:r>
      <w:r w:rsidR="009C7560">
        <w:t xml:space="preserve">attending </w:t>
      </w:r>
      <w:r w:rsidR="009C7560" w:rsidRPr="00297D6C">
        <w:t>a preschool program</w:t>
      </w:r>
      <w:r w:rsidR="009C7560">
        <w:t xml:space="preserve"> in the </w:t>
      </w:r>
      <w:proofErr w:type="spellStart"/>
      <w:r w:rsidR="0078533C">
        <w:t>YBFS</w:t>
      </w:r>
      <w:proofErr w:type="spellEnd"/>
      <w:r w:rsidR="0039280F">
        <w:t>,</w:t>
      </w:r>
      <w:r w:rsidR="0031493E">
        <w:t xml:space="preserve"> </w:t>
      </w:r>
      <w:r w:rsidR="00EF49D8">
        <w:t>by</w:t>
      </w:r>
      <w:r w:rsidR="009C014A">
        <w:t xml:space="preserve"> remoteness area</w:t>
      </w:r>
    </w:p>
    <w:p w:rsidR="00226562" w:rsidRDefault="00F922A2" w:rsidP="009C7560">
      <w:pPr>
        <w:pStyle w:val="BodyText"/>
      </w:pPr>
      <w:r>
        <w:t>National d</w:t>
      </w:r>
      <w:r w:rsidR="009C7560">
        <w:t xml:space="preserve">ata </w:t>
      </w:r>
      <w:r w:rsidR="009C7560" w:rsidRPr="00297D6C">
        <w:t xml:space="preserve">on the proportion </w:t>
      </w:r>
      <w:r w:rsidR="009C7560">
        <w:t xml:space="preserve">of </w:t>
      </w:r>
      <w:r w:rsidR="00602814">
        <w:t>Aboriginal and Torres Strait Islander</w:t>
      </w:r>
      <w:r w:rsidR="00722EB5">
        <w:t xml:space="preserve"> </w:t>
      </w:r>
      <w:r w:rsidR="009C7560">
        <w:t xml:space="preserve">children attending </w:t>
      </w:r>
      <w:r w:rsidR="009C7560" w:rsidRPr="00297D6C">
        <w:t>a preschool pr</w:t>
      </w:r>
      <w:r w:rsidR="009C7560">
        <w:t xml:space="preserve">ogram in the </w:t>
      </w:r>
      <w:proofErr w:type="spellStart"/>
      <w:r w:rsidR="0078533C">
        <w:t>YBFS</w:t>
      </w:r>
      <w:proofErr w:type="spellEnd"/>
      <w:r>
        <w:t xml:space="preserve"> </w:t>
      </w:r>
      <w:r w:rsidR="009C7560" w:rsidRPr="00297D6C">
        <w:t>are presented by remoteness areas (major cities; inner/outer regional areas; remote/very remote areas)</w:t>
      </w:r>
      <w:r w:rsidR="00624862">
        <w:t xml:space="preserve"> in </w:t>
      </w:r>
      <w:r w:rsidR="00624862" w:rsidRPr="00EF49D8">
        <w:t>table</w:t>
      </w:r>
      <w:r w:rsidR="00172534" w:rsidRPr="00EF49D8">
        <w:t> </w:t>
      </w:r>
      <w:proofErr w:type="spellStart"/>
      <w:r w:rsidR="002B57D2">
        <w:t>3A.35</w:t>
      </w:r>
      <w:proofErr w:type="spellEnd"/>
      <w:r w:rsidR="009C7560" w:rsidRPr="00EF49D8">
        <w:t xml:space="preserve">. </w:t>
      </w:r>
      <w:r w:rsidR="00535F33">
        <w:t>In 2014</w:t>
      </w:r>
      <w:r w:rsidR="009C7560" w:rsidRPr="00297D6C">
        <w:t xml:space="preserve">, </w:t>
      </w:r>
      <w:r w:rsidR="0016603E">
        <w:t xml:space="preserve">the </w:t>
      </w:r>
      <w:r w:rsidR="00FA1C9D">
        <w:t xml:space="preserve">attendance rate </w:t>
      </w:r>
      <w:r w:rsidR="00226562">
        <w:t>was highest in regional areas (72.3 per cent) followed by remote areas (70.1 per cent) and major cities</w:t>
      </w:r>
      <w:r w:rsidR="00A65AEF">
        <w:t xml:space="preserve"> </w:t>
      </w:r>
      <w:r w:rsidR="006C5964">
        <w:t>(</w:t>
      </w:r>
      <w:r w:rsidR="00A65AEF">
        <w:t xml:space="preserve">66.1 per cent) — the first of the three reporting years that </w:t>
      </w:r>
      <w:r w:rsidR="0016603E">
        <w:t xml:space="preserve">the </w:t>
      </w:r>
      <w:r w:rsidR="00A65AEF">
        <w:t xml:space="preserve">attendance </w:t>
      </w:r>
      <w:r w:rsidR="0016603E">
        <w:t xml:space="preserve">rate </w:t>
      </w:r>
      <w:r w:rsidR="00A65AEF">
        <w:t xml:space="preserve">has not been highest in remote areas, reflecting a decrease in </w:t>
      </w:r>
      <w:r w:rsidR="0016603E">
        <w:t xml:space="preserve">the </w:t>
      </w:r>
      <w:r w:rsidR="00A65AEF">
        <w:lastRenderedPageBreak/>
        <w:t xml:space="preserve">attendance </w:t>
      </w:r>
      <w:r w:rsidR="0016603E">
        <w:t xml:space="preserve">rate </w:t>
      </w:r>
      <w:r w:rsidR="00A65AEF">
        <w:t xml:space="preserve">in remote areas from 74.9 per cent in 2013 and in an increase in </w:t>
      </w:r>
      <w:r w:rsidR="0016603E">
        <w:t xml:space="preserve">the </w:t>
      </w:r>
      <w:r w:rsidR="00A65AEF">
        <w:t xml:space="preserve">attendance </w:t>
      </w:r>
      <w:r w:rsidR="0016603E">
        <w:t xml:space="preserve">rate </w:t>
      </w:r>
      <w:r w:rsidR="002B57D2">
        <w:t>in non</w:t>
      </w:r>
      <w:r w:rsidR="002D438E">
        <w:noBreakHyphen/>
      </w:r>
      <w:r w:rsidR="002B57D2">
        <w:t>remote areas (table</w:t>
      </w:r>
      <w:r w:rsidR="00697D43">
        <w:t> </w:t>
      </w:r>
      <w:proofErr w:type="spellStart"/>
      <w:r w:rsidR="002B57D2">
        <w:t>3A.35</w:t>
      </w:r>
      <w:proofErr w:type="spellEnd"/>
      <w:r w:rsidR="00A65AEF">
        <w:t>).</w:t>
      </w:r>
    </w:p>
    <w:p w:rsidR="00F74652" w:rsidRPr="00297D6C" w:rsidRDefault="00F74652" w:rsidP="00F97852">
      <w:pPr>
        <w:pStyle w:val="Heading5"/>
      </w:pPr>
      <w:r>
        <w:t xml:space="preserve">Proportion of children enrolled in a preschool program in the </w:t>
      </w:r>
      <w:proofErr w:type="spellStart"/>
      <w:r w:rsidR="0078533C">
        <w:t>YBFS</w:t>
      </w:r>
      <w:proofErr w:type="spellEnd"/>
      <w:r w:rsidR="0031493E">
        <w:t xml:space="preserve"> who are attending</w:t>
      </w:r>
      <w:r w:rsidR="0039280F">
        <w:t>,</w:t>
      </w:r>
      <w:r w:rsidR="0031493E">
        <w:t xml:space="preserve"> </w:t>
      </w:r>
      <w:r>
        <w:t>by Indigenous status</w:t>
      </w:r>
    </w:p>
    <w:p w:rsidR="00F74652" w:rsidRPr="00134E4F" w:rsidRDefault="00AB772F" w:rsidP="009C7560">
      <w:pPr>
        <w:pStyle w:val="BodyText"/>
      </w:pPr>
      <w:r>
        <w:t>Nationally in 2014, 92</w:t>
      </w:r>
      <w:r w:rsidR="00134E4F" w:rsidRPr="00134E4F">
        <w:t xml:space="preserve">.5 per cent of Aboriginal and Torres Strait Islander children enrolled in a preschool program in the </w:t>
      </w:r>
      <w:proofErr w:type="spellStart"/>
      <w:r w:rsidR="0078533C">
        <w:t>YBFS</w:t>
      </w:r>
      <w:proofErr w:type="spellEnd"/>
      <w:r w:rsidR="00134E4F" w:rsidRPr="00134E4F">
        <w:t xml:space="preserve"> were attending. In c</w:t>
      </w:r>
      <w:r>
        <w:t>omparison, 96.3</w:t>
      </w:r>
      <w:r w:rsidR="004B50DE">
        <w:t xml:space="preserve"> per cent of non</w:t>
      </w:r>
      <w:r w:rsidR="004B50DE">
        <w:noBreakHyphen/>
      </w:r>
      <w:r w:rsidR="00134E4F" w:rsidRPr="00134E4F">
        <w:t xml:space="preserve">Indigenous children enrolled in a preschool program in the </w:t>
      </w:r>
      <w:proofErr w:type="spellStart"/>
      <w:r w:rsidR="0078533C">
        <w:t>YBFS</w:t>
      </w:r>
      <w:proofErr w:type="spellEnd"/>
      <w:r w:rsidR="00134E4F" w:rsidRPr="00134E4F">
        <w:t xml:space="preserve"> were attending</w:t>
      </w:r>
      <w:r w:rsidR="00261BD8">
        <w:t xml:space="preserve"> </w:t>
      </w:r>
      <w:r w:rsidR="0001495D">
        <w:br/>
      </w:r>
      <w:r w:rsidR="003B2788">
        <w:t>(figure</w:t>
      </w:r>
      <w:r w:rsidR="00697D43">
        <w:t> </w:t>
      </w:r>
      <w:r w:rsidR="003B2788">
        <w:t>3.10</w:t>
      </w:r>
      <w:r w:rsidR="00261BD8">
        <w:t>)</w:t>
      </w:r>
      <w:r w:rsidR="00134E4F" w:rsidRPr="00134E4F">
        <w:t xml:space="preserve">. </w:t>
      </w:r>
    </w:p>
    <w:p w:rsidR="0007001A" w:rsidRDefault="0007001A" w:rsidP="002C08A9">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07001A" w:rsidTr="002C08A9">
        <w:tc>
          <w:tcPr>
            <w:tcW w:w="8771" w:type="dxa"/>
            <w:tcBorders>
              <w:top w:val="single" w:sz="6" w:space="0" w:color="78A22F"/>
              <w:left w:val="nil"/>
              <w:bottom w:val="nil"/>
              <w:right w:val="nil"/>
            </w:tcBorders>
            <w:shd w:val="clear" w:color="auto" w:fill="auto"/>
          </w:tcPr>
          <w:p w:rsidR="0007001A" w:rsidRPr="00176D3F" w:rsidRDefault="0007001A" w:rsidP="0007001A">
            <w:pPr>
              <w:pStyle w:val="FigureTitle"/>
            </w:pPr>
            <w:r w:rsidRPr="00784A05">
              <w:rPr>
                <w:b w:val="0"/>
              </w:rPr>
              <w:t xml:space="preserve">Figure </w:t>
            </w:r>
            <w:r>
              <w:rPr>
                <w:b w:val="0"/>
              </w:rPr>
              <w:t>3.</w:t>
            </w:r>
            <w:r w:rsidR="000E3849">
              <w:rPr>
                <w:b w:val="0"/>
                <w:noProof/>
              </w:rPr>
              <w:t>10</w:t>
            </w:r>
            <w:r>
              <w:tab/>
            </w:r>
            <w:r w:rsidRPr="0007001A">
              <w:t xml:space="preserve">Proportion of children enrolled in a preschool program in the </w:t>
            </w:r>
            <w:proofErr w:type="spellStart"/>
            <w:r w:rsidR="0078533C">
              <w:t>YBFS</w:t>
            </w:r>
            <w:proofErr w:type="spellEnd"/>
            <w:r w:rsidRPr="0007001A">
              <w:t xml:space="preserve"> who are </w:t>
            </w:r>
            <w:r>
              <w:t>attending, by Indigenous status</w:t>
            </w:r>
            <w:r w:rsidR="00134E4F">
              <w:t xml:space="preserve">, </w:t>
            </w:r>
            <w:r w:rsidR="008949A4">
              <w:t>2014</w:t>
            </w:r>
            <w:r w:rsidR="00B742BA">
              <w:rPr>
                <w:rStyle w:val="NoteLabel"/>
                <w:b/>
              </w:rPr>
              <w:t>a</w:t>
            </w:r>
          </w:p>
        </w:tc>
      </w:tr>
      <w:tr w:rsidR="0007001A" w:rsidTr="002C08A9">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07001A" w:rsidTr="002C08A9">
              <w:trPr>
                <w:jc w:val="center"/>
              </w:trPr>
              <w:tc>
                <w:tcPr>
                  <w:tcW w:w="5000" w:type="pct"/>
                  <w:tcBorders>
                    <w:top w:val="nil"/>
                    <w:bottom w:val="nil"/>
                  </w:tcBorders>
                </w:tcPr>
                <w:p w:rsidR="0007001A" w:rsidRDefault="00B337E3" w:rsidP="002C08A9">
                  <w:pPr>
                    <w:pStyle w:val="Figure"/>
                    <w:spacing w:before="60" w:after="60"/>
                  </w:pPr>
                  <w:r>
                    <w:rPr>
                      <w:noProof/>
                    </w:rPr>
                    <w:drawing>
                      <wp:inline distT="0" distB="0" distL="0" distR="0">
                        <wp:extent cx="5390515" cy="2604770"/>
                        <wp:effectExtent l="0" t="0" r="635" b="5080"/>
                        <wp:docPr id="9" name="Picture 9" descr="Figure 3.10 Proportion of children enrolled in a preschool program in the YBFS who are attending, by Indigenous status, 2014&#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390515" cy="2604770"/>
                                </a:xfrm>
                                <a:prstGeom prst="rect">
                                  <a:avLst/>
                                </a:prstGeom>
                                <a:noFill/>
                                <a:ln>
                                  <a:noFill/>
                                </a:ln>
                              </pic:spPr>
                            </pic:pic>
                          </a:graphicData>
                        </a:graphic>
                      </wp:inline>
                    </w:drawing>
                  </w:r>
                </w:p>
              </w:tc>
            </w:tr>
          </w:tbl>
          <w:p w:rsidR="0007001A" w:rsidRDefault="0007001A" w:rsidP="002C08A9">
            <w:pPr>
              <w:pStyle w:val="Figure"/>
            </w:pPr>
          </w:p>
        </w:tc>
      </w:tr>
      <w:tr w:rsidR="0007001A" w:rsidRPr="00176D3F" w:rsidTr="002C08A9">
        <w:tc>
          <w:tcPr>
            <w:tcW w:w="8771" w:type="dxa"/>
            <w:tcBorders>
              <w:top w:val="nil"/>
              <w:left w:val="nil"/>
              <w:bottom w:val="nil"/>
              <w:right w:val="nil"/>
            </w:tcBorders>
            <w:shd w:val="clear" w:color="auto" w:fill="auto"/>
          </w:tcPr>
          <w:p w:rsidR="0007001A" w:rsidRPr="00176D3F" w:rsidRDefault="0007001A" w:rsidP="00B742BA">
            <w:pPr>
              <w:pStyle w:val="Note"/>
            </w:pPr>
            <w:r>
              <w:rPr>
                <w:rStyle w:val="NoteLabel"/>
              </w:rPr>
              <w:t>a</w:t>
            </w:r>
            <w:r>
              <w:t xml:space="preserve"> </w:t>
            </w:r>
            <w:r w:rsidR="00C30AA2">
              <w:t>See box</w:t>
            </w:r>
            <w:r w:rsidR="00697D43">
              <w:t> </w:t>
            </w:r>
            <w:r w:rsidR="00C30AA2">
              <w:t>3.10 and table</w:t>
            </w:r>
            <w:r w:rsidR="00697D43">
              <w:t> </w:t>
            </w:r>
            <w:proofErr w:type="spellStart"/>
            <w:r w:rsidR="00C30AA2">
              <w:t>3A.37</w:t>
            </w:r>
            <w:proofErr w:type="spellEnd"/>
            <w:r w:rsidR="00C30AA2" w:rsidRPr="006853DC">
              <w:t xml:space="preserve"> for </w:t>
            </w:r>
            <w:r w:rsidR="00937F53">
              <w:t>detailed definitions, footnotes and caveats.</w:t>
            </w:r>
          </w:p>
        </w:tc>
      </w:tr>
      <w:tr w:rsidR="0007001A" w:rsidRPr="00176D3F" w:rsidTr="002C08A9">
        <w:tc>
          <w:tcPr>
            <w:tcW w:w="8771" w:type="dxa"/>
            <w:tcBorders>
              <w:top w:val="nil"/>
              <w:left w:val="nil"/>
              <w:bottom w:val="nil"/>
              <w:right w:val="nil"/>
            </w:tcBorders>
            <w:shd w:val="clear" w:color="auto" w:fill="auto"/>
          </w:tcPr>
          <w:p w:rsidR="0007001A" w:rsidRPr="00176D3F" w:rsidRDefault="0007001A" w:rsidP="00170E9D">
            <w:pPr>
              <w:pStyle w:val="Source"/>
            </w:pPr>
            <w:r>
              <w:rPr>
                <w:i/>
              </w:rPr>
              <w:t>Source</w:t>
            </w:r>
            <w:r w:rsidRPr="00167F06">
              <w:t xml:space="preserve">: </w:t>
            </w:r>
            <w:r w:rsidR="00AB772F">
              <w:t>ABS (unpublished</w:t>
            </w:r>
            <w:r>
              <w:t xml:space="preserve">) </w:t>
            </w:r>
            <w:proofErr w:type="spellStart"/>
            <w:r w:rsidR="00170E9D" w:rsidRPr="00170E9D">
              <w:rPr>
                <w:i/>
              </w:rPr>
              <w:t>Microdata</w:t>
            </w:r>
            <w:proofErr w:type="spellEnd"/>
            <w:r w:rsidR="00170E9D" w:rsidRPr="00170E9D">
              <w:rPr>
                <w:i/>
              </w:rPr>
              <w:t>:</w:t>
            </w:r>
            <w:r w:rsidR="00170E9D">
              <w:t xml:space="preserve"> </w:t>
            </w:r>
            <w:r w:rsidRPr="007628F8">
              <w:rPr>
                <w:i/>
              </w:rPr>
              <w:t>Pres</w:t>
            </w:r>
            <w:r w:rsidR="00AB772F">
              <w:rPr>
                <w:i/>
              </w:rPr>
              <w:t xml:space="preserve">chool Education, Australia, </w:t>
            </w:r>
            <w:r w:rsidR="00B02F0D">
              <w:rPr>
                <w:i/>
              </w:rPr>
              <w:t>2014</w:t>
            </w:r>
            <w:r>
              <w:rPr>
                <w:i/>
              </w:rPr>
              <w:t xml:space="preserve">, </w:t>
            </w:r>
            <w:r>
              <w:t>Cat. no. 4240.0</w:t>
            </w:r>
            <w:r w:rsidR="00170E9D">
              <w:t>.55.003</w:t>
            </w:r>
            <w:r w:rsidRPr="00541A0F">
              <w:t xml:space="preserve">; </w:t>
            </w:r>
            <w:r w:rsidRPr="005F5594">
              <w:t>table </w:t>
            </w:r>
            <w:proofErr w:type="spellStart"/>
            <w:r w:rsidRPr="005F5594">
              <w:t>3A.</w:t>
            </w:r>
            <w:r w:rsidR="002B57D2">
              <w:t>37</w:t>
            </w:r>
            <w:proofErr w:type="spellEnd"/>
            <w:r w:rsidRPr="005F5594">
              <w:t>.</w:t>
            </w:r>
          </w:p>
        </w:tc>
      </w:tr>
      <w:tr w:rsidR="0007001A" w:rsidTr="002C08A9">
        <w:tc>
          <w:tcPr>
            <w:tcW w:w="8771" w:type="dxa"/>
            <w:tcBorders>
              <w:top w:val="nil"/>
              <w:left w:val="nil"/>
              <w:bottom w:val="single" w:sz="6" w:space="0" w:color="78A22F"/>
              <w:right w:val="nil"/>
            </w:tcBorders>
            <w:shd w:val="clear" w:color="auto" w:fill="auto"/>
          </w:tcPr>
          <w:p w:rsidR="0007001A" w:rsidRDefault="0007001A" w:rsidP="002C08A9">
            <w:pPr>
              <w:pStyle w:val="Figurespace"/>
            </w:pPr>
          </w:p>
        </w:tc>
      </w:tr>
      <w:tr w:rsidR="0007001A" w:rsidRPr="000863A5" w:rsidTr="002C08A9">
        <w:tc>
          <w:tcPr>
            <w:tcW w:w="8771" w:type="dxa"/>
            <w:tcBorders>
              <w:top w:val="single" w:sz="6" w:space="0" w:color="78A22F"/>
              <w:left w:val="nil"/>
              <w:bottom w:val="nil"/>
              <w:right w:val="nil"/>
            </w:tcBorders>
          </w:tcPr>
          <w:p w:rsidR="0007001A" w:rsidRPr="00626D32" w:rsidRDefault="0007001A" w:rsidP="002C08A9">
            <w:pPr>
              <w:pStyle w:val="BoxSpaceBelow"/>
            </w:pPr>
          </w:p>
        </w:tc>
      </w:tr>
    </w:tbl>
    <w:p w:rsidR="00B556FB" w:rsidRDefault="009C7560" w:rsidP="00F97852">
      <w:pPr>
        <w:pStyle w:val="Heading4"/>
      </w:pPr>
      <w:r w:rsidRPr="00C41228">
        <w:t xml:space="preserve">Access — </w:t>
      </w:r>
      <w:r w:rsidR="00CF10A4">
        <w:t>N</w:t>
      </w:r>
      <w:r w:rsidR="00B556FB" w:rsidRPr="00B556FB">
        <w:t>on</w:t>
      </w:r>
      <w:r w:rsidR="00172534">
        <w:noBreakHyphen/>
      </w:r>
      <w:r w:rsidR="00B556FB" w:rsidRPr="00B556FB">
        <w:t xml:space="preserve">standard hours of care in </w:t>
      </w:r>
      <w:r w:rsidR="00C85D95">
        <w:t>child care</w:t>
      </w:r>
      <w:r w:rsidR="00B556FB" w:rsidRPr="00B556FB">
        <w:t xml:space="preserve"> services</w:t>
      </w:r>
    </w:p>
    <w:p w:rsidR="00B556FB" w:rsidRDefault="00826C8D" w:rsidP="00C3586E">
      <w:pPr>
        <w:pStyle w:val="BodyText"/>
      </w:pPr>
      <w:r w:rsidRPr="00826C8D">
        <w:t>‘Non</w:t>
      </w:r>
      <w:r w:rsidR="00172534">
        <w:noBreakHyphen/>
      </w:r>
      <w:r w:rsidRPr="00826C8D">
        <w:t>standard hours of care</w:t>
      </w:r>
      <w:r w:rsidR="003F0187">
        <w:t xml:space="preserve"> in</w:t>
      </w:r>
      <w:r w:rsidRPr="00826C8D">
        <w:t xml:space="preserve"> child care services’ is an indicator of governments’ objective to ensure</w:t>
      </w:r>
      <w:r w:rsidR="000C1336">
        <w:t xml:space="preserve"> that</w:t>
      </w:r>
      <w:r w:rsidRPr="00826C8D">
        <w:t xml:space="preserve"> government funded child care services meet the needs of all users </w:t>
      </w:r>
      <w:r w:rsidR="00B556FB" w:rsidRPr="00B556FB">
        <w:t>(</w:t>
      </w:r>
      <w:r w:rsidR="00B556FB" w:rsidRPr="006E3531">
        <w:t>box</w:t>
      </w:r>
      <w:r w:rsidR="00172534" w:rsidRPr="006E3531">
        <w:t> </w:t>
      </w:r>
      <w:r w:rsidR="00BD376B" w:rsidRPr="006E3531">
        <w:t>3.</w:t>
      </w:r>
      <w:r w:rsidR="00B1432E">
        <w:t>11</w:t>
      </w:r>
      <w:r w:rsidR="00B556FB" w:rsidRPr="006E3531">
        <w:t>).</w:t>
      </w:r>
    </w:p>
    <w:p w:rsidR="00A0078E" w:rsidRDefault="00A0078E">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A0078E" w:rsidTr="000F4D37">
        <w:tc>
          <w:tcPr>
            <w:tcW w:w="8771" w:type="dxa"/>
            <w:tcBorders>
              <w:top w:val="single" w:sz="6" w:space="0" w:color="78A22F"/>
              <w:left w:val="nil"/>
              <w:bottom w:val="nil"/>
              <w:right w:val="nil"/>
            </w:tcBorders>
            <w:shd w:val="clear" w:color="auto" w:fill="F2F2F2"/>
          </w:tcPr>
          <w:p w:rsidR="00A0078E" w:rsidRDefault="00A0078E" w:rsidP="00C43157">
            <w:pPr>
              <w:pStyle w:val="BoxTitle"/>
            </w:pPr>
            <w:r>
              <w:rPr>
                <w:b w:val="0"/>
              </w:rPr>
              <w:t xml:space="preserve">Box </w:t>
            </w:r>
            <w:r w:rsidR="00C43157">
              <w:rPr>
                <w:b w:val="0"/>
              </w:rPr>
              <w:t>3.</w:t>
            </w:r>
            <w:bookmarkStart w:id="63" w:name="OLE_LINK10"/>
            <w:r w:rsidR="00C43157">
              <w:rPr>
                <w:b w:val="0"/>
              </w:rPr>
              <w:t>1</w:t>
            </w:r>
            <w:bookmarkEnd w:id="63"/>
            <w:r w:rsidR="00B1432E">
              <w:rPr>
                <w:b w:val="0"/>
              </w:rPr>
              <w:t>1</w:t>
            </w:r>
            <w:r>
              <w:tab/>
            </w:r>
            <w:r w:rsidRPr="00B556FB">
              <w:t>Non</w:t>
            </w:r>
            <w:r>
              <w:noBreakHyphen/>
            </w:r>
            <w:r w:rsidRPr="00B556FB">
              <w:t>standard hours of care</w:t>
            </w:r>
            <w:r>
              <w:t xml:space="preserve"> in</w:t>
            </w:r>
            <w:r w:rsidRPr="00B556FB">
              <w:t xml:space="preserve"> </w:t>
            </w:r>
            <w:r>
              <w:t>child care</w:t>
            </w:r>
            <w:r w:rsidRPr="00B556FB">
              <w:t xml:space="preserve"> services</w:t>
            </w:r>
          </w:p>
        </w:tc>
      </w:tr>
      <w:tr w:rsidR="00A0078E" w:rsidTr="000F4D37">
        <w:trPr>
          <w:cantSplit/>
        </w:trPr>
        <w:tc>
          <w:tcPr>
            <w:tcW w:w="8771" w:type="dxa"/>
            <w:tcBorders>
              <w:top w:val="nil"/>
              <w:left w:val="nil"/>
              <w:bottom w:val="nil"/>
              <w:right w:val="nil"/>
            </w:tcBorders>
            <w:shd w:val="clear" w:color="auto" w:fill="F2F2F2"/>
          </w:tcPr>
          <w:p w:rsidR="00A0078E" w:rsidRPr="009C7560" w:rsidRDefault="00A0078E" w:rsidP="00A0078E">
            <w:pPr>
              <w:pStyle w:val="Box"/>
            </w:pPr>
            <w:r w:rsidRPr="009C7560">
              <w:t>‘Non</w:t>
            </w:r>
            <w:r>
              <w:noBreakHyphen/>
            </w:r>
            <w:r w:rsidRPr="009C7560">
              <w:t xml:space="preserve">standard hours of care in child care services’ is defined as the </w:t>
            </w:r>
            <w:r w:rsidR="00A909C8">
              <w:t xml:space="preserve">proportion of Australian Government </w:t>
            </w:r>
            <w:proofErr w:type="spellStart"/>
            <w:r w:rsidR="00A909C8">
              <w:t>CCB</w:t>
            </w:r>
            <w:proofErr w:type="spellEnd"/>
            <w:r w:rsidR="00A909C8">
              <w:t xml:space="preserve"> approved child care services </w:t>
            </w:r>
            <w:r w:rsidR="004C47F0">
              <w:t xml:space="preserve">that </w:t>
            </w:r>
            <w:r w:rsidR="00A909C8">
              <w:t>provi</w:t>
            </w:r>
            <w:r w:rsidR="004C47F0">
              <w:t>de</w:t>
            </w:r>
            <w:r w:rsidR="00A909C8">
              <w:t xml:space="preserve"> non</w:t>
            </w:r>
            <w:r w:rsidR="002D438E">
              <w:noBreakHyphen/>
            </w:r>
            <w:r w:rsidR="00A909C8">
              <w:t>standard hours of care</w:t>
            </w:r>
            <w:r w:rsidR="004C47F0">
              <w:t xml:space="preserve">, by service type. </w:t>
            </w:r>
            <w:r w:rsidRPr="009C7560">
              <w:t>Definitions of ‘standard hours’ and ‘non</w:t>
            </w:r>
            <w:r w:rsidRPr="009C7560">
              <w:noBreakHyphen/>
              <w:t>standard hours’ are provided in section</w:t>
            </w:r>
            <w:r>
              <w:t> </w:t>
            </w:r>
            <w:r w:rsidRPr="009C7560">
              <w:t>3.</w:t>
            </w:r>
            <w:r w:rsidR="00A65AEF">
              <w:t>5</w:t>
            </w:r>
            <w:r w:rsidRPr="009C7560">
              <w:t xml:space="preserve">. </w:t>
            </w:r>
          </w:p>
          <w:p w:rsidR="00A0078E" w:rsidRPr="009C7560" w:rsidRDefault="00A0078E" w:rsidP="00A0078E">
            <w:pPr>
              <w:pStyle w:val="Box"/>
            </w:pPr>
            <w:r w:rsidRPr="009C7560">
              <w:t>A high or increasing proportion of services providing non</w:t>
            </w:r>
            <w:r>
              <w:noBreakHyphen/>
            </w:r>
            <w:r w:rsidRPr="009C7560">
              <w:t>standard hours of care can suggest a greater flexibility of services to meet the needs of families.</w:t>
            </w:r>
          </w:p>
          <w:p w:rsidR="00A0078E" w:rsidRPr="009C7560" w:rsidRDefault="00A0078E" w:rsidP="00A0078E">
            <w:pPr>
              <w:pStyle w:val="Box"/>
            </w:pPr>
            <w:r w:rsidRPr="009C7560">
              <w:t>This indicator does not provide information on the demand for non</w:t>
            </w:r>
            <w:r>
              <w:noBreakHyphen/>
            </w:r>
            <w:r w:rsidRPr="009C7560">
              <w:t>standard hours of care. Further, it provides no information on whether available non</w:t>
            </w:r>
            <w:r>
              <w:noBreakHyphen/>
            </w:r>
            <w:r w:rsidRPr="009C7560">
              <w:t>standard hours services meet the needs of users.</w:t>
            </w:r>
          </w:p>
          <w:p w:rsidR="00A0078E" w:rsidRPr="009F0562" w:rsidRDefault="00A91405" w:rsidP="00A0078E">
            <w:pPr>
              <w:pStyle w:val="Box"/>
            </w:pPr>
            <w:r>
              <w:t>Data reported for this measure</w:t>
            </w:r>
            <w:r w:rsidR="00A0078E" w:rsidRPr="009F0562">
              <w:t xml:space="preserve"> are:</w:t>
            </w:r>
          </w:p>
          <w:p w:rsidR="00A0078E" w:rsidRPr="00171C8B" w:rsidRDefault="00A0078E" w:rsidP="00A0078E">
            <w:pPr>
              <w:pStyle w:val="BoxListBullet"/>
            </w:pPr>
            <w:r w:rsidRPr="00171C8B">
              <w:t xml:space="preserve">comparable (subject to caveats) across jurisdictions </w:t>
            </w:r>
            <w:r w:rsidR="00D162F1">
              <w:t>and over time</w:t>
            </w:r>
          </w:p>
          <w:p w:rsidR="00A0078E" w:rsidRPr="009C7560" w:rsidRDefault="00A0078E" w:rsidP="00A0078E">
            <w:pPr>
              <w:pStyle w:val="BoxListBullet"/>
            </w:pPr>
            <w:r>
              <w:t>c</w:t>
            </w:r>
            <w:r w:rsidRPr="0013400F">
              <w:t xml:space="preserve">omplete </w:t>
            </w:r>
            <w:r>
              <w:t xml:space="preserve">(subject to caveats) </w:t>
            </w:r>
            <w:r w:rsidRPr="0013400F">
              <w:t>for the current repo</w:t>
            </w:r>
            <w:r>
              <w:t>rting period. A</w:t>
            </w:r>
            <w:r w:rsidR="00A909C8">
              <w:t>ll required 2015</w:t>
            </w:r>
            <w:r w:rsidRPr="0013400F">
              <w:t xml:space="preserve"> data are </w:t>
            </w:r>
            <w:r>
              <w:t>available for all jurisdictions.</w:t>
            </w:r>
          </w:p>
          <w:p w:rsidR="00A0078E" w:rsidRDefault="00A0078E" w:rsidP="00A0078E">
            <w:pPr>
              <w:pStyle w:val="Box"/>
            </w:pPr>
            <w:r>
              <w:rPr>
                <w:rFonts w:cs="Arial"/>
                <w:szCs w:val="26"/>
              </w:rPr>
              <w:t xml:space="preserve">Data quality information </w:t>
            </w:r>
            <w:r w:rsidRPr="009C7560">
              <w:rPr>
                <w:rFonts w:cs="Arial"/>
                <w:szCs w:val="26"/>
              </w:rPr>
              <w:t>for this indicator</w:t>
            </w:r>
            <w:r w:rsidR="003F4FDF">
              <w:rPr>
                <w:rFonts w:cs="Arial"/>
                <w:szCs w:val="26"/>
              </w:rPr>
              <w:t xml:space="preserve"> is at </w:t>
            </w:r>
            <w:proofErr w:type="spellStart"/>
            <w:r w:rsidR="003F4FDF">
              <w:rPr>
                <w:rFonts w:cs="Arial"/>
                <w:szCs w:val="26"/>
              </w:rPr>
              <w:t>www.pc.gov.au</w:t>
            </w:r>
            <w:proofErr w:type="spellEnd"/>
            <w:r w:rsidRPr="009C7560">
              <w:rPr>
                <w:rFonts w:cs="Arial"/>
                <w:szCs w:val="26"/>
              </w:rPr>
              <w:t>/</w:t>
            </w:r>
            <w:proofErr w:type="spellStart"/>
            <w:r w:rsidRPr="009C7560">
              <w:rPr>
                <w:rFonts w:cs="Arial"/>
                <w:szCs w:val="26"/>
              </w:rPr>
              <w:t>rogs</w:t>
            </w:r>
            <w:proofErr w:type="spellEnd"/>
            <w:r w:rsidRPr="009C7560">
              <w:rPr>
                <w:rFonts w:cs="Arial"/>
                <w:szCs w:val="26"/>
              </w:rPr>
              <w:t>/</w:t>
            </w:r>
            <w:r w:rsidR="00CB534C">
              <w:rPr>
                <w:rFonts w:cs="Arial"/>
                <w:szCs w:val="26"/>
              </w:rPr>
              <w:t>2016</w:t>
            </w:r>
            <w:r w:rsidRPr="009C7560">
              <w:rPr>
                <w:rFonts w:cs="Arial"/>
                <w:szCs w:val="26"/>
              </w:rPr>
              <w:t>.</w:t>
            </w:r>
          </w:p>
        </w:tc>
      </w:tr>
      <w:tr w:rsidR="00A0078E" w:rsidTr="000F4D37">
        <w:trPr>
          <w:cantSplit/>
        </w:trPr>
        <w:tc>
          <w:tcPr>
            <w:tcW w:w="8771" w:type="dxa"/>
            <w:tcBorders>
              <w:top w:val="nil"/>
              <w:left w:val="nil"/>
              <w:bottom w:val="single" w:sz="6" w:space="0" w:color="78A22F"/>
              <w:right w:val="nil"/>
            </w:tcBorders>
            <w:shd w:val="clear" w:color="auto" w:fill="F2F2F2"/>
          </w:tcPr>
          <w:p w:rsidR="00A0078E" w:rsidRDefault="00A0078E">
            <w:pPr>
              <w:pStyle w:val="Box"/>
              <w:spacing w:before="0" w:line="120" w:lineRule="exact"/>
            </w:pPr>
          </w:p>
        </w:tc>
      </w:tr>
      <w:tr w:rsidR="00A0078E" w:rsidRPr="000863A5" w:rsidTr="000F4D37">
        <w:tc>
          <w:tcPr>
            <w:tcW w:w="8771" w:type="dxa"/>
            <w:tcBorders>
              <w:top w:val="single" w:sz="6" w:space="0" w:color="78A22F"/>
              <w:left w:val="nil"/>
              <w:bottom w:val="nil"/>
              <w:right w:val="nil"/>
            </w:tcBorders>
          </w:tcPr>
          <w:p w:rsidR="00A0078E" w:rsidRPr="00626D32" w:rsidRDefault="00A0078E" w:rsidP="000F4D37">
            <w:pPr>
              <w:pStyle w:val="BoxSpaceBelow"/>
            </w:pPr>
          </w:p>
        </w:tc>
      </w:tr>
    </w:tbl>
    <w:p w:rsidR="00B556FB" w:rsidRPr="00773A00" w:rsidRDefault="00B556FB" w:rsidP="00C3586E">
      <w:pPr>
        <w:pStyle w:val="BodyText"/>
      </w:pPr>
      <w:r w:rsidRPr="00773A00">
        <w:t>Provision of non</w:t>
      </w:r>
      <w:r w:rsidR="00172534" w:rsidRPr="00773A00">
        <w:noBreakHyphen/>
      </w:r>
      <w:r w:rsidRPr="00773A00">
        <w:t xml:space="preserve">standard hours of care </w:t>
      </w:r>
      <w:r w:rsidR="00CB515C" w:rsidRPr="00773A00">
        <w:t>can</w:t>
      </w:r>
      <w:r w:rsidRPr="00773A00">
        <w:t xml:space="preserve"> be influenced by a range of factors</w:t>
      </w:r>
      <w:r w:rsidR="00621F22" w:rsidRPr="00773A00">
        <w:t>,</w:t>
      </w:r>
      <w:r w:rsidRPr="00773A00">
        <w:t xml:space="preserve"> such as costs to services and parents, demand for care, availability of carers, and compliance with occupational and h</w:t>
      </w:r>
      <w:r w:rsidR="00A079B2" w:rsidRPr="00773A00">
        <w:t xml:space="preserve">ealth and safety requirements. </w:t>
      </w:r>
      <w:r w:rsidR="00A909C8" w:rsidRPr="00773A00">
        <w:t xml:space="preserve">Nationally in 2015, </w:t>
      </w:r>
      <w:r w:rsidR="00665119" w:rsidRPr="00773A00">
        <w:t>36.7</w:t>
      </w:r>
      <w:r w:rsidR="00C61A93" w:rsidRPr="00773A00">
        <w:t xml:space="preserve"> per cent</w:t>
      </w:r>
      <w:r w:rsidR="00A909C8" w:rsidRPr="00773A00">
        <w:t xml:space="preserve"> of long day care services, </w:t>
      </w:r>
      <w:r w:rsidR="00665119" w:rsidRPr="00773A00">
        <w:t>33.7</w:t>
      </w:r>
      <w:r w:rsidR="00C61A93" w:rsidRPr="00773A00">
        <w:t xml:space="preserve"> per cent of</w:t>
      </w:r>
      <w:r w:rsidR="00A909C8" w:rsidRPr="00773A00">
        <w:t xml:space="preserve"> family day care services, </w:t>
      </w:r>
      <w:r w:rsidR="00665119" w:rsidRPr="00773A00">
        <w:t>23.2</w:t>
      </w:r>
      <w:r w:rsidR="00A909C8" w:rsidRPr="00773A00">
        <w:t xml:space="preserve"> </w:t>
      </w:r>
      <w:r w:rsidR="00C61A93" w:rsidRPr="00773A00">
        <w:t xml:space="preserve">per cent </w:t>
      </w:r>
      <w:r w:rsidR="00A909C8" w:rsidRPr="00773A00">
        <w:t xml:space="preserve">of vacation care services, </w:t>
      </w:r>
      <w:r w:rsidR="00665119" w:rsidRPr="00773A00">
        <w:t>16.8</w:t>
      </w:r>
      <w:r w:rsidR="00A909C8" w:rsidRPr="00773A00">
        <w:t xml:space="preserve"> </w:t>
      </w:r>
      <w:r w:rsidR="00C61A93" w:rsidRPr="00773A00">
        <w:t xml:space="preserve">per cent of </w:t>
      </w:r>
      <w:proofErr w:type="spellStart"/>
      <w:r w:rsidR="00C61A93" w:rsidRPr="00773A00">
        <w:t>OSHC</w:t>
      </w:r>
      <w:proofErr w:type="spellEnd"/>
      <w:r w:rsidR="00C61A93" w:rsidRPr="00773A00">
        <w:t xml:space="preserve"> services</w:t>
      </w:r>
      <w:r w:rsidR="00665119" w:rsidRPr="00773A00">
        <w:t>, 4.6 per cent of occasional care services</w:t>
      </w:r>
      <w:r w:rsidR="00C61A93" w:rsidRPr="00773A00">
        <w:t xml:space="preserve"> </w:t>
      </w:r>
      <w:r w:rsidR="00A909C8" w:rsidRPr="00773A00">
        <w:t>and</w:t>
      </w:r>
      <w:r w:rsidR="00693EF1" w:rsidRPr="00773A00">
        <w:t xml:space="preserve"> </w:t>
      </w:r>
      <w:r w:rsidR="00665119" w:rsidRPr="00773A00">
        <w:t>47.0</w:t>
      </w:r>
      <w:r w:rsidR="00A909C8" w:rsidRPr="00773A00">
        <w:t xml:space="preserve"> </w:t>
      </w:r>
      <w:r w:rsidR="00693EF1" w:rsidRPr="00773A00">
        <w:t>per cent of in home care</w:t>
      </w:r>
      <w:r w:rsidR="00C61A93" w:rsidRPr="00773A00">
        <w:t xml:space="preserve"> services provided non</w:t>
      </w:r>
      <w:r w:rsidR="007B063C" w:rsidRPr="00773A00">
        <w:noBreakHyphen/>
      </w:r>
      <w:r w:rsidR="00665119" w:rsidRPr="00773A00">
        <w:t xml:space="preserve">standard hours of care </w:t>
      </w:r>
      <w:r w:rsidR="00A079B2" w:rsidRPr="00773A00">
        <w:t>(figure</w:t>
      </w:r>
      <w:r w:rsidR="00697D43" w:rsidRPr="00773A00">
        <w:t> </w:t>
      </w:r>
      <w:r w:rsidR="00A079B2" w:rsidRPr="00773A00">
        <w:t>3.11)</w:t>
      </w:r>
      <w:r w:rsidR="007E7AF8" w:rsidRPr="00773A00">
        <w:t>.</w:t>
      </w:r>
    </w:p>
    <w:p w:rsidR="00D230F6" w:rsidRDefault="00D230F6" w:rsidP="002C08A9">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D230F6" w:rsidTr="002C08A9">
        <w:tc>
          <w:tcPr>
            <w:tcW w:w="8771" w:type="dxa"/>
            <w:tcBorders>
              <w:top w:val="single" w:sz="6" w:space="0" w:color="78A22F"/>
              <w:left w:val="nil"/>
              <w:bottom w:val="nil"/>
              <w:right w:val="nil"/>
            </w:tcBorders>
            <w:shd w:val="clear" w:color="auto" w:fill="auto"/>
          </w:tcPr>
          <w:p w:rsidR="00D230F6" w:rsidRPr="00D230F6" w:rsidRDefault="00D230F6" w:rsidP="007B0241">
            <w:pPr>
              <w:pStyle w:val="FigureTitle"/>
              <w:rPr>
                <w:b w:val="0"/>
                <w:color w:val="00B050"/>
                <w:position w:val="6"/>
                <w:sz w:val="18"/>
              </w:rPr>
            </w:pPr>
            <w:r w:rsidRPr="00784A05">
              <w:rPr>
                <w:b w:val="0"/>
              </w:rPr>
              <w:t xml:space="preserve">Figure </w:t>
            </w:r>
            <w:r>
              <w:rPr>
                <w:b w:val="0"/>
              </w:rPr>
              <w:t>3.</w:t>
            </w:r>
            <w:r w:rsidR="000E3849">
              <w:rPr>
                <w:b w:val="0"/>
                <w:noProof/>
              </w:rPr>
              <w:t>11</w:t>
            </w:r>
            <w:r>
              <w:tab/>
            </w:r>
            <w:r w:rsidRPr="00D230F6">
              <w:t xml:space="preserve">Australian Government </w:t>
            </w:r>
            <w:proofErr w:type="spellStart"/>
            <w:r w:rsidR="0000080C">
              <w:t>CCB</w:t>
            </w:r>
            <w:proofErr w:type="spellEnd"/>
            <w:r w:rsidR="0000080C">
              <w:t xml:space="preserve"> </w:t>
            </w:r>
            <w:r w:rsidRPr="00D230F6">
              <w:t>approved child care services providing non</w:t>
            </w:r>
            <w:r w:rsidRPr="00D230F6">
              <w:noBreakHyphen/>
              <w:t xml:space="preserve">standard hours of care, by service type, </w:t>
            </w:r>
            <w:r w:rsidR="00DE03C8">
              <w:br/>
            </w:r>
            <w:r w:rsidR="00D162F1">
              <w:t>2015</w:t>
            </w:r>
            <w:r w:rsidR="005946A3">
              <w:rPr>
                <w:rStyle w:val="NoteLabel"/>
                <w:b/>
              </w:rPr>
              <w:t>a, b</w:t>
            </w:r>
          </w:p>
        </w:tc>
      </w:tr>
      <w:tr w:rsidR="00D230F6" w:rsidTr="002C08A9">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D230F6" w:rsidTr="002C08A9">
              <w:trPr>
                <w:jc w:val="center"/>
              </w:trPr>
              <w:tc>
                <w:tcPr>
                  <w:tcW w:w="5000" w:type="pct"/>
                  <w:tcBorders>
                    <w:top w:val="nil"/>
                    <w:bottom w:val="nil"/>
                  </w:tcBorders>
                </w:tcPr>
                <w:p w:rsidR="00D230F6" w:rsidRDefault="00B337E3" w:rsidP="002C08A9">
                  <w:pPr>
                    <w:pStyle w:val="Figure"/>
                    <w:spacing w:before="60" w:after="60"/>
                  </w:pPr>
                  <w:r>
                    <w:rPr>
                      <w:noProof/>
                    </w:rPr>
                    <w:drawing>
                      <wp:inline distT="0" distB="0" distL="0" distR="0">
                        <wp:extent cx="5369560" cy="2743200"/>
                        <wp:effectExtent l="0" t="0" r="2540" b="0"/>
                        <wp:docPr id="10" name="Picture 10" descr="Figure 3.11 Australian Government CCB approved child care services providing non standard hours of care, by service type, &#10;2015&#10;&#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369560" cy="2743200"/>
                                </a:xfrm>
                                <a:prstGeom prst="rect">
                                  <a:avLst/>
                                </a:prstGeom>
                                <a:noFill/>
                                <a:ln>
                                  <a:noFill/>
                                </a:ln>
                              </pic:spPr>
                            </pic:pic>
                          </a:graphicData>
                        </a:graphic>
                      </wp:inline>
                    </w:drawing>
                  </w:r>
                </w:p>
              </w:tc>
            </w:tr>
          </w:tbl>
          <w:p w:rsidR="00D230F6" w:rsidRDefault="00D230F6" w:rsidP="002C08A9">
            <w:pPr>
              <w:pStyle w:val="Figure"/>
            </w:pPr>
          </w:p>
        </w:tc>
      </w:tr>
      <w:tr w:rsidR="00D230F6" w:rsidRPr="00176D3F" w:rsidTr="002C08A9">
        <w:tc>
          <w:tcPr>
            <w:tcW w:w="8771" w:type="dxa"/>
            <w:tcBorders>
              <w:top w:val="nil"/>
              <w:left w:val="nil"/>
              <w:bottom w:val="nil"/>
              <w:right w:val="nil"/>
            </w:tcBorders>
            <w:shd w:val="clear" w:color="auto" w:fill="auto"/>
          </w:tcPr>
          <w:p w:rsidR="00D230F6" w:rsidRPr="00D230F6" w:rsidRDefault="00D230F6" w:rsidP="00BA4F14">
            <w:pPr>
              <w:keepNext/>
              <w:keepLines/>
              <w:spacing w:before="80" w:line="220" w:lineRule="exact"/>
              <w:jc w:val="both"/>
              <w:rPr>
                <w:rFonts w:ascii="Arial" w:hAnsi="Arial"/>
                <w:sz w:val="18"/>
                <w:szCs w:val="20"/>
              </w:rPr>
            </w:pPr>
            <w:r w:rsidRPr="00171C8B">
              <w:rPr>
                <w:rStyle w:val="NoteLabel"/>
              </w:rPr>
              <w:t>a</w:t>
            </w:r>
            <w:r w:rsidR="003A2050" w:rsidRPr="00171C8B">
              <w:t xml:space="preserve"> </w:t>
            </w:r>
            <w:r w:rsidR="001104CC" w:rsidRPr="00BA4F14">
              <w:rPr>
                <w:rStyle w:val="NoteChar"/>
              </w:rPr>
              <w:t>N</w:t>
            </w:r>
            <w:r w:rsidRPr="00BA4F14">
              <w:rPr>
                <w:rStyle w:val="NoteChar"/>
              </w:rPr>
              <w:t xml:space="preserve">T data for </w:t>
            </w:r>
            <w:r w:rsidR="005946A3" w:rsidRPr="00BA4F14">
              <w:rPr>
                <w:rStyle w:val="NoteChar"/>
              </w:rPr>
              <w:t xml:space="preserve">occasional care </w:t>
            </w:r>
            <w:r w:rsidR="009623D9" w:rsidRPr="00BA4F14">
              <w:rPr>
                <w:rStyle w:val="NoteChar"/>
              </w:rPr>
              <w:t xml:space="preserve">and in home care </w:t>
            </w:r>
            <w:r w:rsidR="005946A3" w:rsidRPr="00BA4F14">
              <w:rPr>
                <w:rStyle w:val="NoteChar"/>
              </w:rPr>
              <w:t>are not available</w:t>
            </w:r>
            <w:r w:rsidRPr="00BA4F14">
              <w:rPr>
                <w:rStyle w:val="NoteChar"/>
              </w:rPr>
              <w:t>.</w:t>
            </w:r>
            <w:r w:rsidR="009623D9" w:rsidRPr="00BA4F14">
              <w:rPr>
                <w:rStyle w:val="NoteChar"/>
              </w:rPr>
              <w:t xml:space="preserve"> </w:t>
            </w:r>
            <w:r w:rsidR="00BA4F14" w:rsidRPr="00BA4F14">
              <w:rPr>
                <w:rStyle w:val="NoteChar"/>
              </w:rPr>
              <w:t>Data for occasional care are zero for NSW, Queensland, WA, SA, Tasmania and the ACT</w:t>
            </w:r>
            <w:r w:rsidR="004A532D" w:rsidRPr="00BA4F14">
              <w:rPr>
                <w:rStyle w:val="NoteChar"/>
              </w:rPr>
              <w:t>.</w:t>
            </w:r>
            <w:r w:rsidR="00AA1455" w:rsidRPr="00BA4F14">
              <w:t xml:space="preserve"> </w:t>
            </w:r>
            <w:r w:rsidR="00665119" w:rsidRPr="00BA4F14">
              <w:rPr>
                <w:rStyle w:val="NoteLabel"/>
              </w:rPr>
              <w:t>b</w:t>
            </w:r>
            <w:r w:rsidR="00665119" w:rsidRPr="00BA4F14">
              <w:rPr>
                <w:rFonts w:ascii="Arial" w:hAnsi="Arial"/>
                <w:b/>
                <w:position w:val="6"/>
                <w:sz w:val="18"/>
                <w:szCs w:val="20"/>
              </w:rPr>
              <w:t xml:space="preserve"> </w:t>
            </w:r>
            <w:r w:rsidR="00AA1455" w:rsidRPr="00AA1455">
              <w:rPr>
                <w:rStyle w:val="NoteChar"/>
              </w:rPr>
              <w:t>See box</w:t>
            </w:r>
            <w:r w:rsidR="00697D43">
              <w:rPr>
                <w:rStyle w:val="NoteChar"/>
              </w:rPr>
              <w:t> </w:t>
            </w:r>
            <w:r w:rsidR="00AA1455" w:rsidRPr="00AA1455">
              <w:rPr>
                <w:rStyle w:val="NoteChar"/>
              </w:rPr>
              <w:t>3.11 and table</w:t>
            </w:r>
            <w:r w:rsidR="00697D43">
              <w:rPr>
                <w:rStyle w:val="NoteChar"/>
              </w:rPr>
              <w:t> </w:t>
            </w:r>
            <w:proofErr w:type="spellStart"/>
            <w:r w:rsidR="00AA1455" w:rsidRPr="00AA1455">
              <w:rPr>
                <w:rStyle w:val="NoteChar"/>
              </w:rPr>
              <w:t>3A.38</w:t>
            </w:r>
            <w:proofErr w:type="spellEnd"/>
            <w:r w:rsidR="00AA1455" w:rsidRPr="00AA1455">
              <w:rPr>
                <w:rStyle w:val="NoteChar"/>
              </w:rPr>
              <w:t xml:space="preserve"> for </w:t>
            </w:r>
            <w:r w:rsidR="00937F53">
              <w:rPr>
                <w:rStyle w:val="NoteChar"/>
              </w:rPr>
              <w:t>detailed definitions, footnotes and caveats.</w:t>
            </w:r>
          </w:p>
        </w:tc>
      </w:tr>
      <w:tr w:rsidR="00D230F6" w:rsidRPr="00176D3F" w:rsidTr="002C08A9">
        <w:tc>
          <w:tcPr>
            <w:tcW w:w="8771" w:type="dxa"/>
            <w:tcBorders>
              <w:top w:val="nil"/>
              <w:left w:val="nil"/>
              <w:bottom w:val="nil"/>
              <w:right w:val="nil"/>
            </w:tcBorders>
            <w:shd w:val="clear" w:color="auto" w:fill="auto"/>
          </w:tcPr>
          <w:p w:rsidR="00D230F6" w:rsidRPr="00D230F6" w:rsidRDefault="00D230F6" w:rsidP="002B57D2">
            <w:pPr>
              <w:keepNext/>
              <w:keepLines/>
              <w:spacing w:before="80" w:line="220" w:lineRule="exact"/>
              <w:jc w:val="both"/>
              <w:rPr>
                <w:rFonts w:ascii="Arial" w:hAnsi="Arial"/>
                <w:sz w:val="18"/>
                <w:szCs w:val="20"/>
              </w:rPr>
            </w:pPr>
            <w:r w:rsidRPr="00D230F6">
              <w:rPr>
                <w:rStyle w:val="SourceChar"/>
                <w:i/>
              </w:rPr>
              <w:t>Source</w:t>
            </w:r>
            <w:r w:rsidRPr="00D230F6">
              <w:rPr>
                <w:rStyle w:val="SourceChar"/>
              </w:rPr>
              <w:t>:</w:t>
            </w:r>
            <w:r w:rsidRPr="00176D3F">
              <w:t xml:space="preserve"> </w:t>
            </w:r>
            <w:r w:rsidR="00A0078E" w:rsidRPr="00A0078E">
              <w:rPr>
                <w:rFonts w:ascii="Arial" w:hAnsi="Arial"/>
                <w:sz w:val="18"/>
                <w:szCs w:val="20"/>
              </w:rPr>
              <w:t>Australian Government</w:t>
            </w:r>
            <w:r w:rsidR="00A0078E">
              <w:t xml:space="preserve"> </w:t>
            </w:r>
            <w:r w:rsidR="00D162F1">
              <w:rPr>
                <w:rFonts w:ascii="Arial" w:hAnsi="Arial"/>
                <w:sz w:val="18"/>
                <w:szCs w:val="20"/>
              </w:rPr>
              <w:t xml:space="preserve">Department of </w:t>
            </w:r>
            <w:r w:rsidR="00ED4FA9">
              <w:rPr>
                <w:rFonts w:ascii="Arial" w:hAnsi="Arial"/>
                <w:sz w:val="18"/>
                <w:szCs w:val="20"/>
              </w:rPr>
              <w:t>Education and Training</w:t>
            </w:r>
            <w:r w:rsidRPr="00B42A3B">
              <w:rPr>
                <w:rFonts w:ascii="Arial" w:hAnsi="Arial"/>
                <w:sz w:val="18"/>
                <w:szCs w:val="20"/>
              </w:rPr>
              <w:t xml:space="preserve"> (unpublished); </w:t>
            </w:r>
            <w:r w:rsidRPr="007561D9">
              <w:rPr>
                <w:rFonts w:ascii="Arial" w:hAnsi="Arial"/>
                <w:sz w:val="18"/>
                <w:szCs w:val="20"/>
              </w:rPr>
              <w:t>table </w:t>
            </w:r>
            <w:proofErr w:type="spellStart"/>
            <w:r w:rsidR="00783B4C">
              <w:rPr>
                <w:rFonts w:ascii="Arial" w:hAnsi="Arial"/>
                <w:sz w:val="18"/>
                <w:szCs w:val="20"/>
              </w:rPr>
              <w:t>3A.3</w:t>
            </w:r>
            <w:r w:rsidR="002B57D2">
              <w:rPr>
                <w:rFonts w:ascii="Arial" w:hAnsi="Arial"/>
                <w:sz w:val="18"/>
                <w:szCs w:val="20"/>
              </w:rPr>
              <w:t>8</w:t>
            </w:r>
            <w:proofErr w:type="spellEnd"/>
            <w:r w:rsidRPr="007561D9">
              <w:rPr>
                <w:rFonts w:ascii="Arial" w:hAnsi="Arial"/>
                <w:sz w:val="18"/>
                <w:szCs w:val="20"/>
              </w:rPr>
              <w:t>.</w:t>
            </w:r>
          </w:p>
        </w:tc>
      </w:tr>
      <w:tr w:rsidR="00D230F6" w:rsidTr="002C08A9">
        <w:tc>
          <w:tcPr>
            <w:tcW w:w="8771" w:type="dxa"/>
            <w:tcBorders>
              <w:top w:val="nil"/>
              <w:left w:val="nil"/>
              <w:bottom w:val="single" w:sz="6" w:space="0" w:color="78A22F"/>
              <w:right w:val="nil"/>
            </w:tcBorders>
            <w:shd w:val="clear" w:color="auto" w:fill="auto"/>
          </w:tcPr>
          <w:p w:rsidR="00D230F6" w:rsidRDefault="00D230F6" w:rsidP="002C08A9">
            <w:pPr>
              <w:pStyle w:val="Figurespace"/>
            </w:pPr>
          </w:p>
        </w:tc>
      </w:tr>
      <w:tr w:rsidR="00D230F6" w:rsidRPr="000863A5" w:rsidTr="002C08A9">
        <w:tc>
          <w:tcPr>
            <w:tcW w:w="8771" w:type="dxa"/>
            <w:tcBorders>
              <w:top w:val="single" w:sz="6" w:space="0" w:color="78A22F"/>
              <w:left w:val="nil"/>
              <w:bottom w:val="nil"/>
              <w:right w:val="nil"/>
            </w:tcBorders>
          </w:tcPr>
          <w:p w:rsidR="00D230F6" w:rsidRPr="00626D32" w:rsidRDefault="00D230F6" w:rsidP="002C08A9">
            <w:pPr>
              <w:pStyle w:val="BoxSpaceBelow"/>
            </w:pPr>
          </w:p>
        </w:tc>
      </w:tr>
    </w:tbl>
    <w:p w:rsidR="002201C2" w:rsidRPr="00146AB8" w:rsidRDefault="00146AB8" w:rsidP="00F97852">
      <w:pPr>
        <w:pStyle w:val="Heading4"/>
      </w:pPr>
      <w:r w:rsidRPr="00146AB8">
        <w:t xml:space="preserve">Access — </w:t>
      </w:r>
      <w:r w:rsidR="0002405E">
        <w:t>Service availability</w:t>
      </w:r>
    </w:p>
    <w:p w:rsidR="00A50B9F" w:rsidRPr="00146AB8" w:rsidRDefault="002201C2" w:rsidP="008C57CB">
      <w:pPr>
        <w:pStyle w:val="BodyText"/>
      </w:pPr>
      <w:r w:rsidRPr="00146AB8">
        <w:t>‘</w:t>
      </w:r>
      <w:r w:rsidR="00A50B9F" w:rsidRPr="00146AB8">
        <w:t>Service availability</w:t>
      </w:r>
      <w:r w:rsidRPr="00146AB8">
        <w:t xml:space="preserve">’ is an indicator of governments’ objective to ensure </w:t>
      </w:r>
      <w:r w:rsidR="000C1336" w:rsidRPr="00146AB8">
        <w:t xml:space="preserve">that </w:t>
      </w:r>
      <w:r w:rsidRPr="00146AB8">
        <w:t xml:space="preserve">all families have equitable and adequate access to </w:t>
      </w:r>
      <w:proofErr w:type="spellStart"/>
      <w:r w:rsidR="0018407E">
        <w:t>ECEC</w:t>
      </w:r>
      <w:proofErr w:type="spellEnd"/>
      <w:r w:rsidR="00A50B9F" w:rsidRPr="00146AB8">
        <w:t xml:space="preserve"> services </w:t>
      </w:r>
      <w:r w:rsidR="00B76C5F" w:rsidRPr="006E3531">
        <w:t>(box </w:t>
      </w:r>
      <w:r w:rsidR="00146AB8" w:rsidRPr="006E3531">
        <w:t>3.</w:t>
      </w:r>
      <w:r w:rsidR="00B1432E">
        <w:t>12</w:t>
      </w:r>
      <w:r w:rsidRPr="006E3531">
        <w:t>)</w:t>
      </w:r>
      <w:r w:rsidR="00C719BA" w:rsidRPr="006E3531">
        <w:t>.</w:t>
      </w:r>
    </w:p>
    <w:p w:rsidR="0000080C" w:rsidRDefault="0000080C">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00080C" w:rsidTr="000F4D37">
        <w:tc>
          <w:tcPr>
            <w:tcW w:w="8771" w:type="dxa"/>
            <w:tcBorders>
              <w:top w:val="single" w:sz="6" w:space="0" w:color="78A22F"/>
              <w:left w:val="nil"/>
              <w:bottom w:val="nil"/>
              <w:right w:val="nil"/>
            </w:tcBorders>
            <w:shd w:val="clear" w:color="auto" w:fill="F2F2F2"/>
          </w:tcPr>
          <w:p w:rsidR="0000080C" w:rsidRDefault="0000080C" w:rsidP="00F26156">
            <w:pPr>
              <w:pStyle w:val="BoxTitle"/>
            </w:pPr>
            <w:r>
              <w:rPr>
                <w:b w:val="0"/>
              </w:rPr>
              <w:t xml:space="preserve">Box </w:t>
            </w:r>
            <w:r w:rsidR="00F26156">
              <w:rPr>
                <w:b w:val="0"/>
              </w:rPr>
              <w:t>3.</w:t>
            </w:r>
            <w:bookmarkStart w:id="64" w:name="OLE_LINK11"/>
            <w:r w:rsidR="00F26156">
              <w:rPr>
                <w:b w:val="0"/>
              </w:rPr>
              <w:t>1</w:t>
            </w:r>
            <w:bookmarkEnd w:id="64"/>
            <w:r w:rsidR="00B1432E">
              <w:rPr>
                <w:b w:val="0"/>
              </w:rPr>
              <w:t>2</w:t>
            </w:r>
            <w:r>
              <w:tab/>
            </w:r>
            <w:r w:rsidRPr="00146AB8">
              <w:t>Service availability</w:t>
            </w:r>
          </w:p>
        </w:tc>
      </w:tr>
      <w:tr w:rsidR="0000080C" w:rsidTr="000F4D37">
        <w:trPr>
          <w:cantSplit/>
        </w:trPr>
        <w:tc>
          <w:tcPr>
            <w:tcW w:w="8771" w:type="dxa"/>
            <w:tcBorders>
              <w:top w:val="nil"/>
              <w:left w:val="nil"/>
              <w:bottom w:val="nil"/>
              <w:right w:val="nil"/>
            </w:tcBorders>
            <w:shd w:val="clear" w:color="auto" w:fill="F2F2F2"/>
          </w:tcPr>
          <w:p w:rsidR="0000080C" w:rsidRDefault="0000080C" w:rsidP="004A532D">
            <w:pPr>
              <w:pStyle w:val="Box"/>
            </w:pPr>
            <w:r w:rsidRPr="00146AB8">
              <w:t>The Stee</w:t>
            </w:r>
            <w:r>
              <w:t>ring Committee has identified ‘s</w:t>
            </w:r>
            <w:r w:rsidRPr="00146AB8">
              <w:t xml:space="preserve">ervice availability’ for development and </w:t>
            </w:r>
            <w:r>
              <w:t>future reporting, to replace the ‘utilisation’ indicator from earlier reports</w:t>
            </w:r>
            <w:r w:rsidRPr="00146AB8">
              <w:t>.</w:t>
            </w:r>
            <w:r>
              <w:t xml:space="preserve"> </w:t>
            </w:r>
            <w:r w:rsidR="004A532D">
              <w:t>Measures and d</w:t>
            </w:r>
            <w:r w:rsidRPr="001E1784">
              <w:t xml:space="preserve">ata are </w:t>
            </w:r>
            <w:r w:rsidR="004A532D">
              <w:t>yet to be identified</w:t>
            </w:r>
            <w:r w:rsidRPr="001E1784">
              <w:t xml:space="preserve"> for ‘service availability’.</w:t>
            </w:r>
          </w:p>
        </w:tc>
      </w:tr>
      <w:tr w:rsidR="0000080C" w:rsidTr="000F4D37">
        <w:trPr>
          <w:cantSplit/>
        </w:trPr>
        <w:tc>
          <w:tcPr>
            <w:tcW w:w="8771" w:type="dxa"/>
            <w:tcBorders>
              <w:top w:val="nil"/>
              <w:left w:val="nil"/>
              <w:bottom w:val="single" w:sz="6" w:space="0" w:color="78A22F"/>
              <w:right w:val="nil"/>
            </w:tcBorders>
            <w:shd w:val="clear" w:color="auto" w:fill="F2F2F2"/>
          </w:tcPr>
          <w:p w:rsidR="0000080C" w:rsidRDefault="0000080C">
            <w:pPr>
              <w:pStyle w:val="Box"/>
              <w:spacing w:before="0" w:line="120" w:lineRule="exact"/>
            </w:pPr>
          </w:p>
        </w:tc>
      </w:tr>
      <w:tr w:rsidR="0000080C" w:rsidRPr="000863A5" w:rsidTr="000F4D37">
        <w:tc>
          <w:tcPr>
            <w:tcW w:w="8771" w:type="dxa"/>
            <w:tcBorders>
              <w:top w:val="single" w:sz="6" w:space="0" w:color="78A22F"/>
              <w:left w:val="nil"/>
              <w:bottom w:val="nil"/>
              <w:right w:val="nil"/>
            </w:tcBorders>
          </w:tcPr>
          <w:p w:rsidR="0000080C" w:rsidRPr="00626D32" w:rsidRDefault="0000080C" w:rsidP="000F4D37">
            <w:pPr>
              <w:pStyle w:val="BoxSpaceBelow"/>
            </w:pPr>
          </w:p>
        </w:tc>
      </w:tr>
    </w:tbl>
    <w:p w:rsidR="009547E5" w:rsidRDefault="00F921A8" w:rsidP="00F97852">
      <w:pPr>
        <w:pStyle w:val="Heading4"/>
      </w:pPr>
      <w:r>
        <w:t xml:space="preserve">Access </w:t>
      </w:r>
      <w:r w:rsidRPr="009547E5">
        <w:t xml:space="preserve">— </w:t>
      </w:r>
      <w:r w:rsidR="009B2657">
        <w:t>s</w:t>
      </w:r>
      <w:r w:rsidR="009547E5" w:rsidRPr="002B7DE1">
        <w:t>ervice affordability</w:t>
      </w:r>
      <w:r w:rsidR="009547E5" w:rsidRPr="009547E5">
        <w:t xml:space="preserve"> — </w:t>
      </w:r>
      <w:r w:rsidR="00C85D95">
        <w:t>child care</w:t>
      </w:r>
      <w:r w:rsidR="009547E5" w:rsidRPr="009547E5">
        <w:t xml:space="preserve"> service costs</w:t>
      </w:r>
    </w:p>
    <w:p w:rsidR="009547E5" w:rsidRDefault="00905EC0" w:rsidP="00C3586E">
      <w:pPr>
        <w:pStyle w:val="BodyText"/>
      </w:pPr>
      <w:r w:rsidRPr="00905EC0">
        <w:t xml:space="preserve">‘Child care service costs’ is an indicator of governments’ objective to ensure </w:t>
      </w:r>
      <w:r w:rsidR="000C1336">
        <w:t xml:space="preserve">that </w:t>
      </w:r>
      <w:r w:rsidRPr="00905EC0">
        <w:t xml:space="preserve">all families have equitable access to </w:t>
      </w:r>
      <w:proofErr w:type="spellStart"/>
      <w:r w:rsidR="0018407E">
        <w:t>ECEC</w:t>
      </w:r>
      <w:proofErr w:type="spellEnd"/>
      <w:r w:rsidR="00513CF0">
        <w:t>,</w:t>
      </w:r>
      <w:r w:rsidRPr="00905EC0">
        <w:t xml:space="preserve"> </w:t>
      </w:r>
      <w:r w:rsidR="00716839">
        <w:t>irrespective</w:t>
      </w:r>
      <w:r w:rsidRPr="00905EC0">
        <w:t xml:space="preserve"> of their financial circumstances </w:t>
      </w:r>
      <w:r w:rsidR="009547E5" w:rsidRPr="006E3531">
        <w:t>(box</w:t>
      </w:r>
      <w:r w:rsidR="00172534" w:rsidRPr="006E3531">
        <w:t> </w:t>
      </w:r>
      <w:r w:rsidR="00146AB8" w:rsidRPr="006E3531">
        <w:t>3.</w:t>
      </w:r>
      <w:r w:rsidR="00B1432E">
        <w:t>13</w:t>
      </w:r>
      <w:r w:rsidR="009547E5" w:rsidRPr="006E3531">
        <w:t>).</w:t>
      </w:r>
    </w:p>
    <w:p w:rsidR="0000080C" w:rsidRDefault="0000080C">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00080C" w:rsidTr="000F4D37">
        <w:tc>
          <w:tcPr>
            <w:tcW w:w="8771" w:type="dxa"/>
            <w:tcBorders>
              <w:top w:val="single" w:sz="6" w:space="0" w:color="78A22F"/>
              <w:left w:val="nil"/>
              <w:bottom w:val="nil"/>
              <w:right w:val="nil"/>
            </w:tcBorders>
            <w:shd w:val="clear" w:color="auto" w:fill="F2F2F2"/>
          </w:tcPr>
          <w:p w:rsidR="0000080C" w:rsidRDefault="0000080C" w:rsidP="00F26156">
            <w:pPr>
              <w:pStyle w:val="BoxTitle"/>
            </w:pPr>
            <w:r>
              <w:rPr>
                <w:b w:val="0"/>
              </w:rPr>
              <w:t xml:space="preserve">Box </w:t>
            </w:r>
            <w:r w:rsidR="00F26156">
              <w:rPr>
                <w:b w:val="0"/>
              </w:rPr>
              <w:t>3.</w:t>
            </w:r>
            <w:bookmarkStart w:id="65" w:name="OLE_LINK12"/>
            <w:r w:rsidR="00F26156">
              <w:rPr>
                <w:b w:val="0"/>
              </w:rPr>
              <w:t>1</w:t>
            </w:r>
            <w:bookmarkEnd w:id="65"/>
            <w:r w:rsidR="00B1432E">
              <w:rPr>
                <w:b w:val="0"/>
              </w:rPr>
              <w:t>3</w:t>
            </w:r>
            <w:r>
              <w:tab/>
            </w:r>
            <w:r w:rsidRPr="009547E5">
              <w:t>Child care service costs</w:t>
            </w:r>
          </w:p>
        </w:tc>
      </w:tr>
      <w:tr w:rsidR="0000080C" w:rsidTr="000F4D37">
        <w:trPr>
          <w:cantSplit/>
        </w:trPr>
        <w:tc>
          <w:tcPr>
            <w:tcW w:w="8771" w:type="dxa"/>
            <w:tcBorders>
              <w:top w:val="nil"/>
              <w:left w:val="nil"/>
              <w:bottom w:val="nil"/>
              <w:right w:val="nil"/>
            </w:tcBorders>
            <w:shd w:val="clear" w:color="auto" w:fill="F2F2F2"/>
          </w:tcPr>
          <w:p w:rsidR="0000080C" w:rsidRDefault="0000080C" w:rsidP="0000080C">
            <w:pPr>
              <w:pStyle w:val="Box"/>
            </w:pPr>
            <w:r>
              <w:t xml:space="preserve">‘Child care service costs’ is defined as the median weekly cost for 50 hours of </w:t>
            </w:r>
            <w:r w:rsidR="0036727F">
              <w:t xml:space="preserve">Australian Government </w:t>
            </w:r>
            <w:proofErr w:type="spellStart"/>
            <w:r w:rsidR="0036727F">
              <w:t>CCB</w:t>
            </w:r>
            <w:proofErr w:type="spellEnd"/>
            <w:r w:rsidR="0036727F">
              <w:t xml:space="preserve"> approved long day care and family day care</w:t>
            </w:r>
            <w:r>
              <w:t>. Median costs represent the middle value of the range of costs.</w:t>
            </w:r>
          </w:p>
          <w:p w:rsidR="0000080C" w:rsidRDefault="0000080C" w:rsidP="0000080C">
            <w:pPr>
              <w:pStyle w:val="Box"/>
            </w:pPr>
            <w:r>
              <w:t>Provided the service quality is held constant, lower service costs are desirable.</w:t>
            </w:r>
          </w:p>
          <w:p w:rsidR="0000080C" w:rsidRDefault="0000080C" w:rsidP="0000080C">
            <w:pPr>
              <w:pStyle w:val="Box"/>
            </w:pPr>
            <w:r>
              <w:t xml:space="preserve">Cost data need to be interpreted with care, because fees are </w:t>
            </w:r>
            <w:r w:rsidR="0085636E">
              <w:t xml:space="preserve">set independently </w:t>
            </w:r>
            <w:r>
              <w:t>by service providers. Charging practices, including fees, are commercial decisions made by individual services, so there is significan</w:t>
            </w:r>
            <w:r w:rsidR="0085636E">
              <w:t xml:space="preserve">t variation in the fees </w:t>
            </w:r>
            <w:r>
              <w:t>across services. Variation in costs occurs as a result of factors including State and Territory licensing requirements, award wages, and whether fees include charges for additional services such as nappies and meals.</w:t>
            </w:r>
          </w:p>
          <w:p w:rsidR="0000080C" w:rsidRPr="00146AB8" w:rsidRDefault="00A91405" w:rsidP="0000080C">
            <w:pPr>
              <w:pStyle w:val="Box"/>
            </w:pPr>
            <w:r>
              <w:t>Data reported for this measure</w:t>
            </w:r>
            <w:r w:rsidR="0000080C" w:rsidRPr="00146AB8">
              <w:t xml:space="preserve"> are:</w:t>
            </w:r>
          </w:p>
          <w:p w:rsidR="0000080C" w:rsidRPr="00146AB8" w:rsidRDefault="0000080C" w:rsidP="0000080C">
            <w:pPr>
              <w:pStyle w:val="BoxListBullet"/>
            </w:pPr>
            <w:r>
              <w:t>c</w:t>
            </w:r>
            <w:r w:rsidRPr="00146AB8">
              <w:t>omparable (subject to caveats) acr</w:t>
            </w:r>
            <w:r>
              <w:t>oss jurisdictions and over time</w:t>
            </w:r>
          </w:p>
          <w:p w:rsidR="0000080C" w:rsidRPr="00146AB8" w:rsidRDefault="0000080C" w:rsidP="0000080C">
            <w:pPr>
              <w:pStyle w:val="BoxListBullet"/>
            </w:pPr>
            <w:r>
              <w:t>c</w:t>
            </w:r>
            <w:r w:rsidRPr="00146AB8">
              <w:t xml:space="preserve">omplete </w:t>
            </w:r>
            <w:r>
              <w:t xml:space="preserve">(subject to caveats) </w:t>
            </w:r>
            <w:r w:rsidRPr="00146AB8">
              <w:t>for the current repor</w:t>
            </w:r>
            <w:r w:rsidR="009B2657">
              <w:t>ting period. All required 2015</w:t>
            </w:r>
            <w:r w:rsidRPr="00146AB8">
              <w:t xml:space="preserve"> data are available </w:t>
            </w:r>
            <w:r>
              <w:t>for all jurisdictions.</w:t>
            </w:r>
          </w:p>
          <w:p w:rsidR="0000080C" w:rsidRDefault="0000080C" w:rsidP="0000080C">
            <w:pPr>
              <w:pStyle w:val="Box"/>
            </w:pPr>
            <w:r>
              <w:rPr>
                <w:rFonts w:cs="Arial"/>
                <w:szCs w:val="26"/>
              </w:rPr>
              <w:t xml:space="preserve">Data quality information </w:t>
            </w:r>
            <w:r w:rsidRPr="00146AB8">
              <w:rPr>
                <w:rFonts w:cs="Arial"/>
                <w:szCs w:val="26"/>
              </w:rPr>
              <w:t xml:space="preserve">for this indicator is at </w:t>
            </w:r>
            <w:proofErr w:type="spellStart"/>
            <w:r w:rsidRPr="00146AB8">
              <w:rPr>
                <w:rFonts w:cs="Arial"/>
                <w:szCs w:val="26"/>
              </w:rPr>
              <w:t>www</w:t>
            </w:r>
            <w:r w:rsidR="003F4FDF">
              <w:rPr>
                <w:rFonts w:cs="Arial"/>
                <w:szCs w:val="26"/>
              </w:rPr>
              <w:t>.pc.gov.au</w:t>
            </w:r>
            <w:proofErr w:type="spellEnd"/>
            <w:r>
              <w:rPr>
                <w:rFonts w:cs="Arial"/>
                <w:szCs w:val="26"/>
              </w:rPr>
              <w:t>/</w:t>
            </w:r>
            <w:proofErr w:type="spellStart"/>
            <w:r>
              <w:rPr>
                <w:rFonts w:cs="Arial"/>
                <w:szCs w:val="26"/>
              </w:rPr>
              <w:t>rogs</w:t>
            </w:r>
            <w:proofErr w:type="spellEnd"/>
            <w:r>
              <w:rPr>
                <w:rFonts w:cs="Arial"/>
                <w:szCs w:val="26"/>
              </w:rPr>
              <w:t>/</w:t>
            </w:r>
            <w:r w:rsidR="00CB534C">
              <w:rPr>
                <w:rFonts w:cs="Arial"/>
                <w:szCs w:val="26"/>
              </w:rPr>
              <w:t>2016</w:t>
            </w:r>
            <w:r w:rsidRPr="00146AB8">
              <w:rPr>
                <w:rFonts w:cs="Arial"/>
                <w:szCs w:val="26"/>
              </w:rPr>
              <w:t>.</w:t>
            </w:r>
          </w:p>
        </w:tc>
      </w:tr>
      <w:tr w:rsidR="0000080C" w:rsidTr="000F4D37">
        <w:trPr>
          <w:cantSplit/>
        </w:trPr>
        <w:tc>
          <w:tcPr>
            <w:tcW w:w="8771" w:type="dxa"/>
            <w:tcBorders>
              <w:top w:val="nil"/>
              <w:left w:val="nil"/>
              <w:bottom w:val="single" w:sz="6" w:space="0" w:color="78A22F"/>
              <w:right w:val="nil"/>
            </w:tcBorders>
            <w:shd w:val="clear" w:color="auto" w:fill="F2F2F2"/>
          </w:tcPr>
          <w:p w:rsidR="0000080C" w:rsidRDefault="0000080C">
            <w:pPr>
              <w:pStyle w:val="Box"/>
              <w:spacing w:before="0" w:line="120" w:lineRule="exact"/>
            </w:pPr>
          </w:p>
        </w:tc>
      </w:tr>
      <w:tr w:rsidR="0000080C" w:rsidRPr="000863A5" w:rsidTr="000F4D37">
        <w:tc>
          <w:tcPr>
            <w:tcW w:w="8771" w:type="dxa"/>
            <w:tcBorders>
              <w:top w:val="single" w:sz="6" w:space="0" w:color="78A22F"/>
              <w:left w:val="nil"/>
              <w:bottom w:val="nil"/>
              <w:right w:val="nil"/>
            </w:tcBorders>
          </w:tcPr>
          <w:p w:rsidR="0000080C" w:rsidRPr="00626D32" w:rsidRDefault="0000080C" w:rsidP="000F4D37">
            <w:pPr>
              <w:pStyle w:val="BoxSpaceBelow"/>
            </w:pPr>
          </w:p>
        </w:tc>
      </w:tr>
    </w:tbl>
    <w:p w:rsidR="009547E5" w:rsidRPr="002B7DE1" w:rsidRDefault="006874D1" w:rsidP="00C3586E">
      <w:pPr>
        <w:pStyle w:val="BodyText"/>
      </w:pPr>
      <w:r>
        <w:t>Nationally</w:t>
      </w:r>
      <w:r w:rsidR="004E0593">
        <w:t>,</w:t>
      </w:r>
      <w:r>
        <w:t xml:space="preserve"> the</w:t>
      </w:r>
      <w:r w:rsidR="000A731A" w:rsidRPr="007E1DB2">
        <w:t xml:space="preserve"> </w:t>
      </w:r>
      <w:r w:rsidR="00050883" w:rsidRPr="007E1DB2">
        <w:t xml:space="preserve">median </w:t>
      </w:r>
      <w:r w:rsidR="000A731A" w:rsidRPr="007E1DB2">
        <w:t xml:space="preserve">weekly </w:t>
      </w:r>
      <w:r w:rsidR="00DA7E45" w:rsidRPr="007E1DB2">
        <w:t xml:space="preserve">cost </w:t>
      </w:r>
      <w:r w:rsidR="000A731A" w:rsidRPr="007E1DB2">
        <w:t xml:space="preserve">for 50 hours of care in </w:t>
      </w:r>
      <w:r w:rsidR="00050883" w:rsidRPr="007E1DB2">
        <w:t>20</w:t>
      </w:r>
      <w:r w:rsidR="00201B6B">
        <w:t>1</w:t>
      </w:r>
      <w:r w:rsidR="00E066AF">
        <w:t>5</w:t>
      </w:r>
      <w:r w:rsidR="00050883" w:rsidRPr="007E1DB2">
        <w:t xml:space="preserve"> </w:t>
      </w:r>
      <w:r w:rsidRPr="00A00D1F">
        <w:t>was</w:t>
      </w:r>
      <w:r w:rsidRPr="00235A42">
        <w:t xml:space="preserve"> </w:t>
      </w:r>
      <w:r w:rsidR="000A731A" w:rsidRPr="00235A42">
        <w:t xml:space="preserve">higher </w:t>
      </w:r>
      <w:r w:rsidR="007D4554">
        <w:t xml:space="preserve">for </w:t>
      </w:r>
      <w:r w:rsidR="000A731A" w:rsidRPr="00235A42">
        <w:t>long day care ($</w:t>
      </w:r>
      <w:r w:rsidR="009F3F0D" w:rsidRPr="009F3F0D">
        <w:t>400</w:t>
      </w:r>
      <w:r w:rsidR="000A731A" w:rsidRPr="009F3F0D">
        <w:t>) than for family day care ($</w:t>
      </w:r>
      <w:r w:rsidR="009F3F0D" w:rsidRPr="009F3F0D">
        <w:t>341</w:t>
      </w:r>
      <w:r w:rsidR="000A731A" w:rsidRPr="00235A42">
        <w:t>)</w:t>
      </w:r>
      <w:r w:rsidR="00721E1F" w:rsidRPr="00235A42">
        <w:t xml:space="preserve"> (</w:t>
      </w:r>
      <w:r w:rsidR="000A731A" w:rsidRPr="00235A42">
        <w:t>figure</w:t>
      </w:r>
      <w:r w:rsidR="00172534" w:rsidRPr="00235A42">
        <w:t> </w:t>
      </w:r>
      <w:r w:rsidR="005A64CD" w:rsidRPr="00235A42">
        <w:t>3.1</w:t>
      </w:r>
      <w:r w:rsidR="003B2788">
        <w:t>2</w:t>
      </w:r>
      <w:r w:rsidR="00721E1F" w:rsidRPr="00235A42">
        <w:t>)</w:t>
      </w:r>
      <w:r w:rsidR="00104E67" w:rsidRPr="00235A42">
        <w:t>.</w:t>
      </w:r>
      <w:r w:rsidR="00AB0248">
        <w:t xml:space="preserve"> The median weekly cost </w:t>
      </w:r>
      <w:r w:rsidR="0039280F">
        <w:t xml:space="preserve">increased </w:t>
      </w:r>
      <w:r w:rsidR="0039280F" w:rsidRPr="00907341">
        <w:t xml:space="preserve">by 4.9 per cent in real terms </w:t>
      </w:r>
      <w:r w:rsidR="00E066AF">
        <w:t xml:space="preserve">for long day care </w:t>
      </w:r>
      <w:r w:rsidR="00E066AF" w:rsidRPr="00907341">
        <w:t xml:space="preserve">from 2014 to 2015 and </w:t>
      </w:r>
      <w:r w:rsidR="00907341" w:rsidRPr="00907341">
        <w:t xml:space="preserve">decreased </w:t>
      </w:r>
      <w:r w:rsidR="00E066AF" w:rsidRPr="00907341">
        <w:t xml:space="preserve">by </w:t>
      </w:r>
      <w:r w:rsidR="00907341" w:rsidRPr="00907341">
        <w:t>0.7</w:t>
      </w:r>
      <w:r w:rsidR="00AB0248" w:rsidRPr="00907341">
        <w:t xml:space="preserve"> </w:t>
      </w:r>
      <w:r w:rsidR="00AB0248">
        <w:t>per cent for family day care</w:t>
      </w:r>
      <w:r w:rsidR="00100F54">
        <w:t xml:space="preserve"> over the same period</w:t>
      </w:r>
      <w:r w:rsidR="00AB0248">
        <w:t xml:space="preserve"> (table</w:t>
      </w:r>
      <w:r w:rsidR="00697D43">
        <w:t> </w:t>
      </w:r>
      <w:proofErr w:type="spellStart"/>
      <w:r w:rsidR="004D204C">
        <w:t>3A.39</w:t>
      </w:r>
      <w:proofErr w:type="spellEnd"/>
      <w:r w:rsidR="00AB0248">
        <w:t>).</w:t>
      </w:r>
    </w:p>
    <w:p w:rsidR="00696FF3" w:rsidRDefault="00696FF3" w:rsidP="002C08A9">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696FF3" w:rsidTr="002C08A9">
        <w:tc>
          <w:tcPr>
            <w:tcW w:w="8771" w:type="dxa"/>
            <w:tcBorders>
              <w:top w:val="single" w:sz="6" w:space="0" w:color="78A22F"/>
              <w:left w:val="nil"/>
              <w:bottom w:val="nil"/>
              <w:right w:val="nil"/>
            </w:tcBorders>
            <w:shd w:val="clear" w:color="auto" w:fill="auto"/>
          </w:tcPr>
          <w:p w:rsidR="005F2D34" w:rsidRPr="005F2D34" w:rsidRDefault="00696FF3" w:rsidP="005F2D34">
            <w:pPr>
              <w:pStyle w:val="FigureTitle"/>
              <w:rPr>
                <w:position w:val="6"/>
                <w:sz w:val="18"/>
              </w:rPr>
            </w:pPr>
            <w:r w:rsidRPr="00784A05">
              <w:rPr>
                <w:b w:val="0"/>
              </w:rPr>
              <w:t xml:space="preserve">Figure </w:t>
            </w:r>
            <w:r>
              <w:rPr>
                <w:b w:val="0"/>
              </w:rPr>
              <w:t>3.</w:t>
            </w:r>
            <w:r w:rsidR="000E3849">
              <w:rPr>
                <w:b w:val="0"/>
                <w:noProof/>
              </w:rPr>
              <w:t>12</w:t>
            </w:r>
            <w:r>
              <w:tab/>
            </w:r>
            <w:r w:rsidRPr="00696FF3">
              <w:t xml:space="preserve">Median cost of Australian Government </w:t>
            </w:r>
            <w:proofErr w:type="spellStart"/>
            <w:r w:rsidR="00D078E9">
              <w:t>CCB</w:t>
            </w:r>
            <w:proofErr w:type="spellEnd"/>
            <w:r w:rsidR="00D078E9">
              <w:t xml:space="preserve"> </w:t>
            </w:r>
            <w:r w:rsidRPr="00696FF3">
              <w:t>ap</w:t>
            </w:r>
            <w:r w:rsidR="00E066AF">
              <w:t xml:space="preserve">proved child care services, </w:t>
            </w:r>
            <w:r w:rsidR="0024022E">
              <w:t xml:space="preserve">by selected service types, </w:t>
            </w:r>
            <w:r w:rsidR="00E066AF">
              <w:t>2015</w:t>
            </w:r>
            <w:r w:rsidR="005F2D34">
              <w:rPr>
                <w:rStyle w:val="NoteLabel"/>
                <w:b/>
              </w:rPr>
              <w:t>a</w:t>
            </w:r>
          </w:p>
        </w:tc>
      </w:tr>
      <w:tr w:rsidR="00696FF3" w:rsidTr="002C08A9">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696FF3" w:rsidTr="002C08A9">
              <w:trPr>
                <w:jc w:val="center"/>
              </w:trPr>
              <w:tc>
                <w:tcPr>
                  <w:tcW w:w="5000" w:type="pct"/>
                  <w:tcBorders>
                    <w:top w:val="nil"/>
                    <w:bottom w:val="nil"/>
                  </w:tcBorders>
                </w:tcPr>
                <w:p w:rsidR="00696FF3" w:rsidRDefault="00B337E3" w:rsidP="002C08A9">
                  <w:pPr>
                    <w:pStyle w:val="Figure"/>
                    <w:spacing w:before="60" w:after="60"/>
                  </w:pPr>
                  <w:r>
                    <w:rPr>
                      <w:noProof/>
                    </w:rPr>
                    <w:drawing>
                      <wp:inline distT="0" distB="0" distL="0" distR="0">
                        <wp:extent cx="5380355" cy="2722245"/>
                        <wp:effectExtent l="0" t="0" r="0" b="1905"/>
                        <wp:docPr id="11" name="Picture 11" descr="Figure 3.12 Median cost of Australian Government CCB approved child care services, by selected service types, 2015&#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380355" cy="2722245"/>
                                </a:xfrm>
                                <a:prstGeom prst="rect">
                                  <a:avLst/>
                                </a:prstGeom>
                                <a:noFill/>
                                <a:ln>
                                  <a:noFill/>
                                </a:ln>
                              </pic:spPr>
                            </pic:pic>
                          </a:graphicData>
                        </a:graphic>
                      </wp:inline>
                    </w:drawing>
                  </w:r>
                </w:p>
              </w:tc>
            </w:tr>
          </w:tbl>
          <w:p w:rsidR="00696FF3" w:rsidRDefault="00696FF3" w:rsidP="002C08A9">
            <w:pPr>
              <w:pStyle w:val="Figure"/>
            </w:pPr>
          </w:p>
        </w:tc>
      </w:tr>
      <w:tr w:rsidR="00696FF3" w:rsidRPr="00176D3F" w:rsidTr="002C08A9">
        <w:tc>
          <w:tcPr>
            <w:tcW w:w="8771" w:type="dxa"/>
            <w:tcBorders>
              <w:top w:val="nil"/>
              <w:left w:val="nil"/>
              <w:bottom w:val="nil"/>
              <w:right w:val="nil"/>
            </w:tcBorders>
            <w:shd w:val="clear" w:color="auto" w:fill="auto"/>
          </w:tcPr>
          <w:p w:rsidR="00696FF3" w:rsidRPr="00696FF3" w:rsidRDefault="00696FF3" w:rsidP="007953F6">
            <w:pPr>
              <w:pStyle w:val="Note"/>
              <w:rPr>
                <w:position w:val="6"/>
              </w:rPr>
            </w:pPr>
            <w:r>
              <w:rPr>
                <w:rStyle w:val="NoteLabel"/>
              </w:rPr>
              <w:t>a</w:t>
            </w:r>
            <w:r w:rsidR="007953F6">
              <w:t xml:space="preserve"> </w:t>
            </w:r>
            <w:r w:rsidR="007A5AF7" w:rsidRPr="00AA1455">
              <w:rPr>
                <w:rStyle w:val="NoteChar"/>
              </w:rPr>
              <w:t>See box</w:t>
            </w:r>
            <w:r w:rsidR="00697D43">
              <w:rPr>
                <w:rStyle w:val="NoteChar"/>
              </w:rPr>
              <w:t> </w:t>
            </w:r>
            <w:r w:rsidR="007A5AF7" w:rsidRPr="00AA1455">
              <w:rPr>
                <w:rStyle w:val="NoteChar"/>
              </w:rPr>
              <w:t>3.1</w:t>
            </w:r>
            <w:r w:rsidR="007A5AF7">
              <w:rPr>
                <w:rStyle w:val="NoteChar"/>
              </w:rPr>
              <w:t>3</w:t>
            </w:r>
            <w:r w:rsidR="007A5AF7" w:rsidRPr="00AA1455">
              <w:rPr>
                <w:rStyle w:val="NoteChar"/>
              </w:rPr>
              <w:t xml:space="preserve"> and table</w:t>
            </w:r>
            <w:r w:rsidR="00697D43">
              <w:rPr>
                <w:rStyle w:val="NoteChar"/>
              </w:rPr>
              <w:t> </w:t>
            </w:r>
            <w:proofErr w:type="spellStart"/>
            <w:r w:rsidR="007A5AF7" w:rsidRPr="00AA1455">
              <w:rPr>
                <w:rStyle w:val="NoteChar"/>
              </w:rPr>
              <w:t>3A.</w:t>
            </w:r>
            <w:r w:rsidR="004D204C">
              <w:rPr>
                <w:rStyle w:val="NoteChar"/>
              </w:rPr>
              <w:t>39</w:t>
            </w:r>
            <w:proofErr w:type="spellEnd"/>
            <w:r w:rsidR="007A5AF7" w:rsidRPr="00AA1455">
              <w:rPr>
                <w:rStyle w:val="NoteChar"/>
              </w:rPr>
              <w:t xml:space="preserve"> for </w:t>
            </w:r>
            <w:r w:rsidR="00937F53">
              <w:rPr>
                <w:rStyle w:val="NoteChar"/>
              </w:rPr>
              <w:t>detailed definitions, footnotes and caveats.</w:t>
            </w:r>
          </w:p>
        </w:tc>
      </w:tr>
      <w:tr w:rsidR="00696FF3" w:rsidRPr="00176D3F" w:rsidTr="002C08A9">
        <w:tc>
          <w:tcPr>
            <w:tcW w:w="8771" w:type="dxa"/>
            <w:tcBorders>
              <w:top w:val="nil"/>
              <w:left w:val="nil"/>
              <w:bottom w:val="nil"/>
              <w:right w:val="nil"/>
            </w:tcBorders>
            <w:shd w:val="clear" w:color="auto" w:fill="auto"/>
          </w:tcPr>
          <w:p w:rsidR="00696FF3" w:rsidRPr="00176D3F" w:rsidRDefault="00696FF3" w:rsidP="00696FF3">
            <w:pPr>
              <w:pStyle w:val="Note"/>
            </w:pPr>
            <w:r>
              <w:rPr>
                <w:i/>
              </w:rPr>
              <w:t>S</w:t>
            </w:r>
            <w:r w:rsidRPr="00784A05">
              <w:rPr>
                <w:i/>
              </w:rPr>
              <w:t>ource</w:t>
            </w:r>
            <w:r w:rsidRPr="00176D3F">
              <w:t xml:space="preserve">: </w:t>
            </w:r>
            <w:r w:rsidR="007D4554">
              <w:t xml:space="preserve">Australian Government </w:t>
            </w:r>
            <w:r w:rsidR="00E066AF">
              <w:t xml:space="preserve">Department of </w:t>
            </w:r>
            <w:r w:rsidR="00ED4FA9">
              <w:t>Education and Training</w:t>
            </w:r>
            <w:r w:rsidR="00E066AF">
              <w:t xml:space="preserve"> </w:t>
            </w:r>
            <w:r>
              <w:t xml:space="preserve">(unpublished); </w:t>
            </w:r>
            <w:r w:rsidRPr="005E665B">
              <w:t>table </w:t>
            </w:r>
            <w:proofErr w:type="spellStart"/>
            <w:r w:rsidR="004D204C">
              <w:t>3A.39</w:t>
            </w:r>
            <w:proofErr w:type="spellEnd"/>
            <w:r w:rsidRPr="005E665B">
              <w:t>.</w:t>
            </w:r>
          </w:p>
        </w:tc>
      </w:tr>
      <w:tr w:rsidR="00696FF3" w:rsidTr="002C08A9">
        <w:tc>
          <w:tcPr>
            <w:tcW w:w="8771" w:type="dxa"/>
            <w:tcBorders>
              <w:top w:val="nil"/>
              <w:left w:val="nil"/>
              <w:bottom w:val="single" w:sz="6" w:space="0" w:color="78A22F"/>
              <w:right w:val="nil"/>
            </w:tcBorders>
            <w:shd w:val="clear" w:color="auto" w:fill="auto"/>
          </w:tcPr>
          <w:p w:rsidR="00696FF3" w:rsidRDefault="00696FF3" w:rsidP="002C08A9">
            <w:pPr>
              <w:pStyle w:val="Figurespace"/>
            </w:pPr>
          </w:p>
        </w:tc>
      </w:tr>
      <w:tr w:rsidR="00696FF3" w:rsidRPr="000863A5" w:rsidTr="002C08A9">
        <w:tc>
          <w:tcPr>
            <w:tcW w:w="8771" w:type="dxa"/>
            <w:tcBorders>
              <w:top w:val="single" w:sz="6" w:space="0" w:color="78A22F"/>
              <w:left w:val="nil"/>
              <w:bottom w:val="nil"/>
              <w:right w:val="nil"/>
            </w:tcBorders>
          </w:tcPr>
          <w:p w:rsidR="00696FF3" w:rsidRPr="00626D32" w:rsidRDefault="00696FF3" w:rsidP="002C08A9">
            <w:pPr>
              <w:pStyle w:val="BoxSpaceBelow"/>
            </w:pPr>
          </w:p>
        </w:tc>
      </w:tr>
    </w:tbl>
    <w:p w:rsidR="00192D54" w:rsidRPr="00A00D1F" w:rsidRDefault="004D068B" w:rsidP="00C3586E">
      <w:pPr>
        <w:pStyle w:val="BodyText"/>
      </w:pPr>
      <w:r>
        <w:lastRenderedPageBreak/>
        <w:t xml:space="preserve">Median weekly </w:t>
      </w:r>
      <w:r w:rsidR="00DA7E45">
        <w:t xml:space="preserve">costs paid to </w:t>
      </w:r>
      <w:r>
        <w:t xml:space="preserve">Australian Government </w:t>
      </w:r>
      <w:proofErr w:type="spellStart"/>
      <w:r w:rsidR="006B3006">
        <w:t>CCB</w:t>
      </w:r>
      <w:proofErr w:type="spellEnd"/>
      <w:r w:rsidR="006B3006">
        <w:t xml:space="preserve"> </w:t>
      </w:r>
      <w:r>
        <w:t>approved long day ca</w:t>
      </w:r>
      <w:r w:rsidR="009416E3">
        <w:t>re services, by remoteness area</w:t>
      </w:r>
      <w:r>
        <w:t xml:space="preserve"> are </w:t>
      </w:r>
      <w:r w:rsidR="004755BC">
        <w:t>presented in</w:t>
      </w:r>
      <w:r>
        <w:t xml:space="preserve"> </w:t>
      </w:r>
      <w:r w:rsidR="00721E1F" w:rsidRPr="00E30BAB">
        <w:t>table</w:t>
      </w:r>
      <w:r w:rsidR="00172534">
        <w:t> </w:t>
      </w:r>
      <w:proofErr w:type="spellStart"/>
      <w:r w:rsidR="005719CC" w:rsidRPr="00607F85">
        <w:t>3A.</w:t>
      </w:r>
      <w:r w:rsidR="004D204C">
        <w:t>40</w:t>
      </w:r>
      <w:proofErr w:type="spellEnd"/>
      <w:r w:rsidR="005719CC" w:rsidRPr="00607F85">
        <w:t>.</w:t>
      </w:r>
      <w:r w:rsidR="009416E3" w:rsidRPr="00607F85">
        <w:t xml:space="preserve"> </w:t>
      </w:r>
      <w:r w:rsidR="009416E3" w:rsidRPr="00A00D1F">
        <w:t>Nationally</w:t>
      </w:r>
      <w:r w:rsidR="009416E3" w:rsidRPr="005F2D34">
        <w:t xml:space="preserve"> in 20</w:t>
      </w:r>
      <w:r w:rsidR="00CB1373" w:rsidRPr="005F2D34">
        <w:t>1</w:t>
      </w:r>
      <w:r w:rsidR="009F657B" w:rsidRPr="005F2D34">
        <w:t>5</w:t>
      </w:r>
      <w:r w:rsidR="009416E3" w:rsidRPr="005F2D34">
        <w:t xml:space="preserve">, the median weekly cost of long day care in major cities and inner regional areas </w:t>
      </w:r>
      <w:r w:rsidR="009817FE" w:rsidRPr="005F2D34">
        <w:t>($</w:t>
      </w:r>
      <w:r w:rsidR="005F2D34" w:rsidRPr="005F2D34">
        <w:t>400</w:t>
      </w:r>
      <w:r w:rsidR="004E0593" w:rsidRPr="005F2D34">
        <w:t xml:space="preserve">) </w:t>
      </w:r>
      <w:r w:rsidR="009416E3" w:rsidRPr="005F2D34">
        <w:t xml:space="preserve">was higher than in </w:t>
      </w:r>
      <w:r w:rsidR="00100F54" w:rsidRPr="005F2D34">
        <w:t>outer regional and remote areas</w:t>
      </w:r>
      <w:r w:rsidR="009416E3" w:rsidRPr="005F2D34">
        <w:t xml:space="preserve"> </w:t>
      </w:r>
      <w:r w:rsidR="004E0593" w:rsidRPr="005F2D34">
        <w:t>(</w:t>
      </w:r>
      <w:r w:rsidR="009416E3" w:rsidRPr="005F2D34">
        <w:t>$</w:t>
      </w:r>
      <w:r w:rsidR="005F2D34" w:rsidRPr="005F2D34">
        <w:t>373</w:t>
      </w:r>
      <w:r w:rsidR="009416E3" w:rsidRPr="005F2D34">
        <w:t>).</w:t>
      </w:r>
      <w:r w:rsidR="00FA5A41" w:rsidRPr="005F2D34">
        <w:t xml:space="preserve"> </w:t>
      </w:r>
    </w:p>
    <w:p w:rsidR="000A731A" w:rsidRDefault="009B2657" w:rsidP="009B11B2">
      <w:pPr>
        <w:pStyle w:val="Heading4"/>
      </w:pPr>
      <w:r>
        <w:t>Access</w:t>
      </w:r>
      <w:r w:rsidR="002D438E">
        <w:t xml:space="preserve"> </w:t>
      </w:r>
      <w:r>
        <w:t>— s</w:t>
      </w:r>
      <w:r w:rsidR="000A731A" w:rsidRPr="000A731A">
        <w:t>ervice affordability — preschool service costs</w:t>
      </w:r>
    </w:p>
    <w:p w:rsidR="000A731A" w:rsidRDefault="00F30E68" w:rsidP="00C3586E">
      <w:pPr>
        <w:pStyle w:val="BodyText"/>
      </w:pPr>
      <w:r w:rsidRPr="00F30E68">
        <w:t xml:space="preserve">‘Preschool service costs’ is an indicator of </w:t>
      </w:r>
      <w:r w:rsidR="00F47588" w:rsidRPr="00F47588">
        <w:t xml:space="preserve">governments’ objective that all families have equitable access to </w:t>
      </w:r>
      <w:proofErr w:type="spellStart"/>
      <w:r w:rsidR="0018407E">
        <w:t>ECEC</w:t>
      </w:r>
      <w:proofErr w:type="spellEnd"/>
      <w:r w:rsidR="00513CF0">
        <w:t xml:space="preserve"> </w:t>
      </w:r>
      <w:r w:rsidR="00AE17BF">
        <w:t xml:space="preserve">irrespective </w:t>
      </w:r>
      <w:r w:rsidR="00F47588" w:rsidRPr="00F47588">
        <w:t xml:space="preserve">of their financial </w:t>
      </w:r>
      <w:r w:rsidR="00F47588" w:rsidRPr="006E3531">
        <w:t>circumstances</w:t>
      </w:r>
      <w:r w:rsidRPr="006E3531">
        <w:t xml:space="preserve"> (box</w:t>
      </w:r>
      <w:r w:rsidR="00172534" w:rsidRPr="006E3531">
        <w:t> </w:t>
      </w:r>
      <w:r w:rsidR="005A64CD" w:rsidRPr="006E3531">
        <w:t>3.</w:t>
      </w:r>
      <w:r w:rsidR="00B1432E">
        <w:t>14</w:t>
      </w:r>
      <w:r w:rsidRPr="006E3531">
        <w:t>).</w:t>
      </w:r>
    </w:p>
    <w:p w:rsidR="003E584D" w:rsidRDefault="003E584D">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3E584D" w:rsidTr="000F4D37">
        <w:tc>
          <w:tcPr>
            <w:tcW w:w="8771" w:type="dxa"/>
            <w:tcBorders>
              <w:top w:val="single" w:sz="6" w:space="0" w:color="78A22F"/>
              <w:left w:val="nil"/>
              <w:bottom w:val="nil"/>
              <w:right w:val="nil"/>
            </w:tcBorders>
            <w:shd w:val="clear" w:color="auto" w:fill="F2F2F2"/>
          </w:tcPr>
          <w:p w:rsidR="003E584D" w:rsidRDefault="003E584D" w:rsidP="00F26156">
            <w:pPr>
              <w:pStyle w:val="BoxTitle"/>
            </w:pPr>
            <w:r>
              <w:rPr>
                <w:b w:val="0"/>
              </w:rPr>
              <w:t xml:space="preserve">Box </w:t>
            </w:r>
            <w:r w:rsidR="00F26156">
              <w:rPr>
                <w:b w:val="0"/>
              </w:rPr>
              <w:t>3.</w:t>
            </w:r>
            <w:bookmarkStart w:id="66" w:name="OLE_LINK13"/>
            <w:r w:rsidR="00F26156">
              <w:rPr>
                <w:b w:val="0"/>
              </w:rPr>
              <w:t>1</w:t>
            </w:r>
            <w:bookmarkEnd w:id="66"/>
            <w:r w:rsidR="00B1432E">
              <w:rPr>
                <w:b w:val="0"/>
              </w:rPr>
              <w:t>4</w:t>
            </w:r>
            <w:r>
              <w:tab/>
            </w:r>
            <w:r w:rsidRPr="00F30E68">
              <w:t>Preschool service costs</w:t>
            </w:r>
          </w:p>
        </w:tc>
      </w:tr>
      <w:tr w:rsidR="003E584D" w:rsidTr="000F4D37">
        <w:trPr>
          <w:cantSplit/>
        </w:trPr>
        <w:tc>
          <w:tcPr>
            <w:tcW w:w="8771" w:type="dxa"/>
            <w:tcBorders>
              <w:top w:val="nil"/>
              <w:left w:val="nil"/>
              <w:bottom w:val="nil"/>
              <w:right w:val="nil"/>
            </w:tcBorders>
            <w:shd w:val="clear" w:color="auto" w:fill="F2F2F2"/>
          </w:tcPr>
          <w:p w:rsidR="003E584D" w:rsidRDefault="003E584D" w:rsidP="003E584D">
            <w:pPr>
              <w:pStyle w:val="Box"/>
            </w:pPr>
            <w:r>
              <w:t xml:space="preserve">‘Preschool service costs’ is defined as the </w:t>
            </w:r>
            <w:r w:rsidR="00695C5C">
              <w:t xml:space="preserve">median </w:t>
            </w:r>
            <w:r w:rsidR="007D52B5">
              <w:t xml:space="preserve">hourly cost of a preschool program (after subsidies), per child enrolled aged 4 and 5 years. </w:t>
            </w:r>
            <w:r>
              <w:t>Median costs represent the middle value of the range of costs.</w:t>
            </w:r>
          </w:p>
          <w:p w:rsidR="003E584D" w:rsidRDefault="003E584D" w:rsidP="003E584D">
            <w:pPr>
              <w:pStyle w:val="Box"/>
            </w:pPr>
            <w:r>
              <w:t>Provided the service quality and quantity is held constant, lower hourly costs represent more affordable preschool.</w:t>
            </w:r>
          </w:p>
          <w:p w:rsidR="003E584D" w:rsidRDefault="003E584D" w:rsidP="003E584D">
            <w:pPr>
              <w:pStyle w:val="Box"/>
            </w:pPr>
            <w:r>
              <w:t>Various factors influence preschool costs and care needs to be exercised when interpreting results, as:</w:t>
            </w:r>
          </w:p>
          <w:p w:rsidR="003E584D" w:rsidRDefault="003E584D" w:rsidP="003E584D">
            <w:pPr>
              <w:pStyle w:val="BoxListBullet"/>
            </w:pPr>
            <w:r>
              <w:t>preschool programs are provided by a mix of providers (community, private and government). Differences in charging practices</w:t>
            </w:r>
            <w:r w:rsidR="00045D77">
              <w:t xml:space="preserve"> </w:t>
            </w:r>
            <w:r>
              <w:t>can be due to commercial or cost recovery decisions made by individual services. Some preschool programs, particularly those offered at government preschools, have no tuition fees</w:t>
            </w:r>
          </w:p>
          <w:p w:rsidR="003E584D" w:rsidRDefault="003E584D" w:rsidP="003E584D">
            <w:pPr>
              <w:pStyle w:val="BoxListBullet"/>
            </w:pPr>
            <w:r>
              <w:t>fees can reflect higher land values and rental fees charged in major cities</w:t>
            </w:r>
          </w:p>
          <w:p w:rsidR="003E584D" w:rsidRDefault="003E584D" w:rsidP="003E584D">
            <w:pPr>
              <w:pStyle w:val="BoxListBullet"/>
            </w:pPr>
            <w:r>
              <w:t>some jurisdictions provide targeted fee relief that lowers fees for some children.</w:t>
            </w:r>
          </w:p>
          <w:p w:rsidR="003E584D" w:rsidRPr="00177789" w:rsidRDefault="00A91405" w:rsidP="003E584D">
            <w:pPr>
              <w:pStyle w:val="Box"/>
            </w:pPr>
            <w:r>
              <w:t>Data reported for this measure</w:t>
            </w:r>
            <w:r w:rsidR="003E584D" w:rsidRPr="00177789">
              <w:t xml:space="preserve"> are:</w:t>
            </w:r>
          </w:p>
          <w:p w:rsidR="003E584D" w:rsidRPr="006D2336" w:rsidRDefault="003E584D" w:rsidP="003E584D">
            <w:pPr>
              <w:pStyle w:val="BoxListBullet"/>
            </w:pPr>
            <w:r w:rsidRPr="006D2336">
              <w:t xml:space="preserve">comparable (subject to caveats) across jurisdictions </w:t>
            </w:r>
            <w:r w:rsidR="006D2336" w:rsidRPr="006D2336">
              <w:t>and over time</w:t>
            </w:r>
          </w:p>
          <w:p w:rsidR="003E584D" w:rsidRPr="006D2336" w:rsidRDefault="003E584D" w:rsidP="003E584D">
            <w:pPr>
              <w:pStyle w:val="BoxListBullet"/>
            </w:pPr>
            <w:r w:rsidRPr="006D2336">
              <w:t xml:space="preserve">complete </w:t>
            </w:r>
            <w:r w:rsidR="006D2336">
              <w:t xml:space="preserve">(subject to caveats) </w:t>
            </w:r>
            <w:r w:rsidRPr="006D2336">
              <w:t>for</w:t>
            </w:r>
            <w:r w:rsidR="0056717D" w:rsidRPr="006D2336">
              <w:t xml:space="preserve"> the current reporting period.</w:t>
            </w:r>
            <w:r w:rsidR="001B66BB">
              <w:t xml:space="preserve"> All required 2014</w:t>
            </w:r>
            <w:r w:rsidR="006D2336">
              <w:t xml:space="preserve"> data are available for all jurisdictions.</w:t>
            </w:r>
            <w:r w:rsidR="007B063C">
              <w:t xml:space="preserve"> </w:t>
            </w:r>
          </w:p>
          <w:p w:rsidR="003E584D" w:rsidRDefault="003E584D" w:rsidP="003F4FDF">
            <w:pPr>
              <w:pStyle w:val="Box"/>
            </w:pPr>
            <w:r>
              <w:t xml:space="preserve">Data quality information for this indicator is </w:t>
            </w:r>
            <w:r w:rsidR="003F4FDF">
              <w:t xml:space="preserve">at </w:t>
            </w:r>
            <w:proofErr w:type="spellStart"/>
            <w:r w:rsidR="003F4FDF">
              <w:t>www.pc.gov.au</w:t>
            </w:r>
            <w:proofErr w:type="spellEnd"/>
            <w:r w:rsidR="003F4FDF">
              <w:t>/</w:t>
            </w:r>
            <w:proofErr w:type="spellStart"/>
            <w:r w:rsidRPr="0091551E">
              <w:t>rogs</w:t>
            </w:r>
            <w:proofErr w:type="spellEnd"/>
            <w:r w:rsidRPr="0091551E">
              <w:t>/</w:t>
            </w:r>
            <w:r w:rsidR="00CB534C">
              <w:t>2016</w:t>
            </w:r>
            <w:r w:rsidRPr="0091551E">
              <w:t>.</w:t>
            </w:r>
          </w:p>
        </w:tc>
      </w:tr>
      <w:tr w:rsidR="003E584D" w:rsidTr="000F4D37">
        <w:trPr>
          <w:cantSplit/>
        </w:trPr>
        <w:tc>
          <w:tcPr>
            <w:tcW w:w="8771" w:type="dxa"/>
            <w:tcBorders>
              <w:top w:val="nil"/>
              <w:left w:val="nil"/>
              <w:bottom w:val="single" w:sz="6" w:space="0" w:color="78A22F"/>
              <w:right w:val="nil"/>
            </w:tcBorders>
            <w:shd w:val="clear" w:color="auto" w:fill="F2F2F2"/>
          </w:tcPr>
          <w:p w:rsidR="003E584D" w:rsidRDefault="003E584D">
            <w:pPr>
              <w:pStyle w:val="Box"/>
              <w:spacing w:before="0" w:line="120" w:lineRule="exact"/>
            </w:pPr>
          </w:p>
        </w:tc>
      </w:tr>
      <w:tr w:rsidR="003E584D" w:rsidRPr="000863A5" w:rsidTr="000F4D37">
        <w:tc>
          <w:tcPr>
            <w:tcW w:w="8771" w:type="dxa"/>
            <w:tcBorders>
              <w:top w:val="single" w:sz="6" w:space="0" w:color="78A22F"/>
              <w:left w:val="nil"/>
              <w:bottom w:val="nil"/>
              <w:right w:val="nil"/>
            </w:tcBorders>
          </w:tcPr>
          <w:p w:rsidR="003E584D" w:rsidRPr="00626D32" w:rsidRDefault="003E584D" w:rsidP="000F4D37">
            <w:pPr>
              <w:pStyle w:val="BoxSpaceBelow"/>
            </w:pPr>
          </w:p>
        </w:tc>
      </w:tr>
    </w:tbl>
    <w:p w:rsidR="00D56E02" w:rsidRDefault="00D56E02" w:rsidP="00D56E02">
      <w:pPr>
        <w:pStyle w:val="BodyText"/>
      </w:pPr>
      <w:r>
        <w:t xml:space="preserve">Nationally, the median cost </w:t>
      </w:r>
      <w:r w:rsidR="00D47E52">
        <w:t xml:space="preserve">per hour </w:t>
      </w:r>
      <w:r>
        <w:t>for a preschool program (af</w:t>
      </w:r>
      <w:r w:rsidR="009817FE">
        <w:t>ter subsidies) per child was $</w:t>
      </w:r>
      <w:r w:rsidR="00AE7BB8" w:rsidRPr="00AE7BB8">
        <w:t>2.20</w:t>
      </w:r>
      <w:r w:rsidR="009817FE" w:rsidRPr="00AE7BB8">
        <w:t xml:space="preserve"> </w:t>
      </w:r>
      <w:r w:rsidR="00DC4B2A">
        <w:t xml:space="preserve">in </w:t>
      </w:r>
      <w:r w:rsidR="00DC4B2A" w:rsidRPr="00C84C9D">
        <w:t>2014</w:t>
      </w:r>
      <w:r w:rsidR="00AE7BB8" w:rsidRPr="00C84C9D">
        <w:t>, a</w:t>
      </w:r>
      <w:r w:rsidR="00100F54" w:rsidRPr="00C84C9D">
        <w:t>n</w:t>
      </w:r>
      <w:r w:rsidR="00AE7BB8" w:rsidRPr="00C84C9D">
        <w:t xml:space="preserve"> increase </w:t>
      </w:r>
      <w:r w:rsidR="00100F54" w:rsidRPr="00C84C9D">
        <w:t xml:space="preserve">from </w:t>
      </w:r>
      <w:r w:rsidR="00E30F15" w:rsidRPr="00C84C9D">
        <w:t>$2.14</w:t>
      </w:r>
      <w:r w:rsidR="00100F54" w:rsidRPr="00C84C9D">
        <w:t xml:space="preserve"> in 2013</w:t>
      </w:r>
      <w:r w:rsidR="008526DF" w:rsidRPr="00C84C9D">
        <w:t xml:space="preserve"> </w:t>
      </w:r>
      <w:r w:rsidR="008526DF" w:rsidRPr="001E1784">
        <w:t>(</w:t>
      </w:r>
      <w:r w:rsidR="008526DF" w:rsidRPr="006D2336">
        <w:t>table 3.</w:t>
      </w:r>
      <w:r w:rsidR="00BF4CE7">
        <w:t>11</w:t>
      </w:r>
      <w:r w:rsidRPr="006D2336">
        <w:t xml:space="preserve">). </w:t>
      </w:r>
      <w:r w:rsidR="007D52B5">
        <w:t xml:space="preserve">Preschool is free for children </w:t>
      </w:r>
      <w:r w:rsidR="00E30F15">
        <w:t xml:space="preserve">attending a government preschool </w:t>
      </w:r>
      <w:r w:rsidR="00455422">
        <w:t xml:space="preserve">in </w:t>
      </w:r>
      <w:r w:rsidR="007D52B5">
        <w:t>WA, SA, Tasmania, the ACT and the NT.</w:t>
      </w:r>
    </w:p>
    <w:p w:rsidR="003C742C" w:rsidRDefault="003C742C" w:rsidP="00A559CF">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8832"/>
      </w:tblGrid>
      <w:tr w:rsidR="003C742C" w:rsidTr="00A559CF">
        <w:tc>
          <w:tcPr>
            <w:tcW w:w="8771" w:type="dxa"/>
            <w:tcBorders>
              <w:top w:val="single" w:sz="6" w:space="0" w:color="78A22F"/>
              <w:left w:val="nil"/>
              <w:bottom w:val="nil"/>
              <w:right w:val="nil"/>
            </w:tcBorders>
            <w:shd w:val="clear" w:color="auto" w:fill="auto"/>
          </w:tcPr>
          <w:p w:rsidR="003C742C" w:rsidRPr="00784A05" w:rsidRDefault="003C742C" w:rsidP="0035143C">
            <w:pPr>
              <w:pStyle w:val="TableTitle"/>
            </w:pPr>
            <w:r>
              <w:rPr>
                <w:b w:val="0"/>
              </w:rPr>
              <w:t xml:space="preserve">Table </w:t>
            </w:r>
            <w:r w:rsidR="00390830">
              <w:rPr>
                <w:b w:val="0"/>
              </w:rPr>
              <w:t>3.</w:t>
            </w:r>
            <w:r w:rsidR="00BF4CE7">
              <w:rPr>
                <w:b w:val="0"/>
              </w:rPr>
              <w:t>11</w:t>
            </w:r>
            <w:r>
              <w:tab/>
            </w:r>
            <w:r w:rsidR="002D3B60">
              <w:t>M</w:t>
            </w:r>
            <w:r w:rsidRPr="003C742C">
              <w:t xml:space="preserve">edian hourly cost </w:t>
            </w:r>
            <w:r w:rsidR="009F02D8">
              <w:t xml:space="preserve">of a preschool program </w:t>
            </w:r>
            <w:r w:rsidR="007A3853">
              <w:t>(after subsidies)</w:t>
            </w:r>
            <w:r w:rsidR="009F02D8">
              <w:t>,</w:t>
            </w:r>
            <w:r w:rsidR="007A3853">
              <w:t xml:space="preserve"> per child </w:t>
            </w:r>
            <w:r w:rsidR="002D3B60" w:rsidRPr="003C742C">
              <w:t>enrolled</w:t>
            </w:r>
            <w:r w:rsidR="009F02D8">
              <w:t xml:space="preserve"> aged 4 and 5 years (2014</w:t>
            </w:r>
            <w:r w:rsidR="002D438E">
              <w:noBreakHyphen/>
            </w:r>
            <w:r w:rsidR="009F02D8">
              <w:t>15 dollars)</w:t>
            </w:r>
            <w:r w:rsidR="006B236D">
              <w:rPr>
                <w:rStyle w:val="NoteLabel"/>
                <w:b/>
              </w:rPr>
              <w:t>a</w:t>
            </w:r>
          </w:p>
        </w:tc>
      </w:tr>
      <w:tr w:rsidR="003C742C" w:rsidRPr="0008693D" w:rsidTr="00A559CF">
        <w:trPr>
          <w:cantSplit/>
        </w:trPr>
        <w:tc>
          <w:tcPr>
            <w:tcW w:w="8771" w:type="dxa"/>
            <w:tcBorders>
              <w:top w:val="nil"/>
              <w:left w:val="nil"/>
              <w:bottom w:val="nil"/>
              <w:right w:val="nil"/>
            </w:tcBorders>
            <w:shd w:val="clear" w:color="auto" w:fill="auto"/>
          </w:tcPr>
          <w:tbl>
            <w:tblPr>
              <w:tblW w:w="8548" w:type="dxa"/>
              <w:tblBorders>
                <w:left w:val="single" w:sz="4" w:space="0" w:color="auto"/>
              </w:tblBorders>
              <w:tblCellMar>
                <w:left w:w="0" w:type="dxa"/>
                <w:right w:w="0" w:type="dxa"/>
              </w:tblCellMar>
              <w:tblLook w:val="0000" w:firstRow="0" w:lastRow="0" w:firstColumn="0" w:lastColumn="0" w:noHBand="0" w:noVBand="0"/>
            </w:tblPr>
            <w:tblGrid>
              <w:gridCol w:w="2486"/>
              <w:gridCol w:w="689"/>
              <w:gridCol w:w="689"/>
              <w:gridCol w:w="689"/>
              <w:gridCol w:w="689"/>
              <w:gridCol w:w="689"/>
              <w:gridCol w:w="689"/>
              <w:gridCol w:w="550"/>
              <w:gridCol w:w="687"/>
              <w:gridCol w:w="691"/>
            </w:tblGrid>
            <w:tr w:rsidR="003C742C" w:rsidRPr="0008693D" w:rsidTr="00AE7BB8">
              <w:tc>
                <w:tcPr>
                  <w:tcW w:w="1454" w:type="pct"/>
                  <w:tcBorders>
                    <w:top w:val="single" w:sz="6" w:space="0" w:color="BFBFBF"/>
                    <w:left w:val="nil"/>
                    <w:bottom w:val="single" w:sz="6" w:space="0" w:color="BFBFBF"/>
                  </w:tcBorders>
                </w:tcPr>
                <w:p w:rsidR="003C742C" w:rsidRPr="0008693D" w:rsidRDefault="003C742C" w:rsidP="00A559CF">
                  <w:pPr>
                    <w:pStyle w:val="TableColumnHeading"/>
                  </w:pPr>
                </w:p>
              </w:tc>
              <w:tc>
                <w:tcPr>
                  <w:tcW w:w="403" w:type="pct"/>
                  <w:tcBorders>
                    <w:top w:val="single" w:sz="6" w:space="0" w:color="BFBFBF"/>
                    <w:bottom w:val="single" w:sz="6" w:space="0" w:color="BFBFBF"/>
                  </w:tcBorders>
                </w:tcPr>
                <w:p w:rsidR="003C742C" w:rsidRPr="0008693D" w:rsidRDefault="003C742C" w:rsidP="00D6282E">
                  <w:pPr>
                    <w:pStyle w:val="TableColumnHeading"/>
                  </w:pPr>
                  <w:r w:rsidRPr="0008693D">
                    <w:t>NSW</w:t>
                  </w:r>
                </w:p>
              </w:tc>
              <w:tc>
                <w:tcPr>
                  <w:tcW w:w="403" w:type="pct"/>
                  <w:tcBorders>
                    <w:top w:val="single" w:sz="6" w:space="0" w:color="BFBFBF"/>
                    <w:bottom w:val="single" w:sz="6" w:space="0" w:color="BFBFBF"/>
                  </w:tcBorders>
                </w:tcPr>
                <w:p w:rsidR="003C742C" w:rsidRPr="0008693D" w:rsidRDefault="003C742C" w:rsidP="00D6282E">
                  <w:pPr>
                    <w:pStyle w:val="TableColumnHeading"/>
                  </w:pPr>
                  <w:r w:rsidRPr="0008693D">
                    <w:t>Vic</w:t>
                  </w:r>
                </w:p>
              </w:tc>
              <w:tc>
                <w:tcPr>
                  <w:tcW w:w="403" w:type="pct"/>
                  <w:tcBorders>
                    <w:top w:val="single" w:sz="6" w:space="0" w:color="BFBFBF"/>
                    <w:bottom w:val="single" w:sz="6" w:space="0" w:color="BFBFBF"/>
                  </w:tcBorders>
                </w:tcPr>
                <w:p w:rsidR="003C742C" w:rsidRPr="0008693D" w:rsidRDefault="003C742C" w:rsidP="00D6282E">
                  <w:pPr>
                    <w:pStyle w:val="TableColumnHeading"/>
                  </w:pPr>
                  <w:r w:rsidRPr="0008693D">
                    <w:t>Qld</w:t>
                  </w:r>
                </w:p>
              </w:tc>
              <w:tc>
                <w:tcPr>
                  <w:tcW w:w="403" w:type="pct"/>
                  <w:tcBorders>
                    <w:top w:val="single" w:sz="6" w:space="0" w:color="BFBFBF"/>
                    <w:bottom w:val="single" w:sz="6" w:space="0" w:color="BFBFBF"/>
                  </w:tcBorders>
                </w:tcPr>
                <w:p w:rsidR="003C742C" w:rsidRPr="0008693D" w:rsidRDefault="003C742C" w:rsidP="00D6282E">
                  <w:pPr>
                    <w:pStyle w:val="TableColumnHeading"/>
                  </w:pPr>
                  <w:r w:rsidRPr="0008693D">
                    <w:t>WA</w:t>
                  </w:r>
                </w:p>
              </w:tc>
              <w:tc>
                <w:tcPr>
                  <w:tcW w:w="403" w:type="pct"/>
                  <w:tcBorders>
                    <w:top w:val="single" w:sz="6" w:space="0" w:color="BFBFBF"/>
                    <w:bottom w:val="single" w:sz="6" w:space="0" w:color="BFBFBF"/>
                  </w:tcBorders>
                </w:tcPr>
                <w:p w:rsidR="003C742C" w:rsidRPr="0008693D" w:rsidRDefault="003C742C" w:rsidP="00D6282E">
                  <w:pPr>
                    <w:pStyle w:val="TableColumnHeading"/>
                  </w:pPr>
                  <w:r w:rsidRPr="0008693D">
                    <w:t>SA</w:t>
                  </w:r>
                </w:p>
              </w:tc>
              <w:tc>
                <w:tcPr>
                  <w:tcW w:w="403" w:type="pct"/>
                  <w:tcBorders>
                    <w:top w:val="single" w:sz="6" w:space="0" w:color="BFBFBF"/>
                    <w:bottom w:val="single" w:sz="6" w:space="0" w:color="BFBFBF"/>
                  </w:tcBorders>
                </w:tcPr>
                <w:p w:rsidR="003C742C" w:rsidRPr="0008693D" w:rsidRDefault="003C742C" w:rsidP="00D6282E">
                  <w:pPr>
                    <w:pStyle w:val="TableColumnHeading"/>
                  </w:pPr>
                  <w:proofErr w:type="spellStart"/>
                  <w:r w:rsidRPr="0008693D">
                    <w:t>Tas</w:t>
                  </w:r>
                  <w:proofErr w:type="spellEnd"/>
                </w:p>
              </w:tc>
              <w:tc>
                <w:tcPr>
                  <w:tcW w:w="322" w:type="pct"/>
                  <w:tcBorders>
                    <w:top w:val="single" w:sz="6" w:space="0" w:color="BFBFBF"/>
                    <w:bottom w:val="single" w:sz="6" w:space="0" w:color="BFBFBF"/>
                  </w:tcBorders>
                </w:tcPr>
                <w:p w:rsidR="003C742C" w:rsidRPr="0008693D" w:rsidRDefault="00CD2AEC" w:rsidP="00D6282E">
                  <w:pPr>
                    <w:pStyle w:val="TableColumnHeading"/>
                  </w:pPr>
                  <w:r w:rsidRPr="0008693D">
                    <w:t>ACT</w:t>
                  </w:r>
                </w:p>
              </w:tc>
              <w:tc>
                <w:tcPr>
                  <w:tcW w:w="402" w:type="pct"/>
                  <w:tcBorders>
                    <w:top w:val="single" w:sz="6" w:space="0" w:color="BFBFBF"/>
                    <w:bottom w:val="single" w:sz="6" w:space="0" w:color="BFBFBF"/>
                  </w:tcBorders>
                </w:tcPr>
                <w:p w:rsidR="003C742C" w:rsidRPr="0008693D" w:rsidRDefault="003C742C" w:rsidP="00D6282E">
                  <w:pPr>
                    <w:pStyle w:val="TableColumnHeading"/>
                  </w:pPr>
                  <w:r w:rsidRPr="0008693D">
                    <w:t>NT</w:t>
                  </w:r>
                </w:p>
              </w:tc>
              <w:tc>
                <w:tcPr>
                  <w:tcW w:w="404" w:type="pct"/>
                  <w:tcBorders>
                    <w:top w:val="single" w:sz="6" w:space="0" w:color="BFBFBF"/>
                    <w:bottom w:val="single" w:sz="6" w:space="0" w:color="BFBFBF"/>
                    <w:right w:val="nil"/>
                  </w:tcBorders>
                </w:tcPr>
                <w:p w:rsidR="003C742C" w:rsidRPr="0008693D" w:rsidRDefault="003C742C" w:rsidP="00D6282E">
                  <w:pPr>
                    <w:pStyle w:val="TableColumnHeading"/>
                  </w:pPr>
                  <w:proofErr w:type="spellStart"/>
                  <w:r w:rsidRPr="0008693D">
                    <w:t>Aust</w:t>
                  </w:r>
                  <w:proofErr w:type="spellEnd"/>
                </w:p>
              </w:tc>
            </w:tr>
            <w:tr w:rsidR="003C742C" w:rsidRPr="0008693D" w:rsidTr="00D6282E">
              <w:trPr>
                <w:cantSplit/>
              </w:trPr>
              <w:tc>
                <w:tcPr>
                  <w:tcW w:w="5000" w:type="pct"/>
                  <w:gridSpan w:val="10"/>
                  <w:tcBorders>
                    <w:top w:val="single" w:sz="6" w:space="0" w:color="BFBFBF"/>
                    <w:left w:val="nil"/>
                    <w:bottom w:val="nil"/>
                    <w:right w:val="nil"/>
                  </w:tcBorders>
                </w:tcPr>
                <w:p w:rsidR="003C742C" w:rsidRPr="0008693D" w:rsidRDefault="00AE7BB8" w:rsidP="00A559CF">
                  <w:pPr>
                    <w:pStyle w:val="TableBodyText"/>
                    <w:ind w:left="0"/>
                    <w:jc w:val="left"/>
                  </w:pPr>
                  <w:r w:rsidRPr="0008693D">
                    <w:t>Median cost per hour ($)</w:t>
                  </w:r>
                </w:p>
              </w:tc>
            </w:tr>
            <w:tr w:rsidR="00760E71" w:rsidRPr="0008693D" w:rsidTr="006B236D">
              <w:trPr>
                <w:trHeight w:val="270"/>
              </w:trPr>
              <w:tc>
                <w:tcPr>
                  <w:tcW w:w="1454" w:type="pct"/>
                  <w:tcBorders>
                    <w:left w:val="nil"/>
                  </w:tcBorders>
                </w:tcPr>
                <w:p w:rsidR="00760E71" w:rsidRPr="0008693D" w:rsidRDefault="00AE7BB8" w:rsidP="00A559CF">
                  <w:pPr>
                    <w:pStyle w:val="TableBodyText"/>
                    <w:jc w:val="left"/>
                  </w:pPr>
                  <w:r w:rsidRPr="0008693D">
                    <w:t>2013</w:t>
                  </w:r>
                </w:p>
              </w:tc>
              <w:tc>
                <w:tcPr>
                  <w:tcW w:w="403" w:type="pct"/>
                  <w:vAlign w:val="center"/>
                </w:tcPr>
                <w:p w:rsidR="00760E71" w:rsidRPr="0008693D" w:rsidRDefault="007B063C" w:rsidP="00760E71">
                  <w:pPr>
                    <w:pStyle w:val="TableBodyText"/>
                  </w:pPr>
                  <w:r w:rsidRPr="0008693D">
                    <w:t xml:space="preserve"> </w:t>
                  </w:r>
                  <w:r w:rsidR="006B236D" w:rsidRPr="0008693D">
                    <w:t>3.26</w:t>
                  </w:r>
                </w:p>
              </w:tc>
              <w:tc>
                <w:tcPr>
                  <w:tcW w:w="403" w:type="pct"/>
                  <w:shd w:val="clear" w:color="auto" w:fill="auto"/>
                  <w:vAlign w:val="center"/>
                </w:tcPr>
                <w:p w:rsidR="00760E71" w:rsidRPr="0008693D" w:rsidRDefault="007B063C" w:rsidP="00760E71">
                  <w:pPr>
                    <w:pStyle w:val="TableBodyText"/>
                  </w:pPr>
                  <w:r w:rsidRPr="0008693D">
                    <w:t xml:space="preserve"> </w:t>
                  </w:r>
                  <w:r w:rsidR="006B236D" w:rsidRPr="0008693D">
                    <w:t>2.14</w:t>
                  </w:r>
                </w:p>
              </w:tc>
              <w:tc>
                <w:tcPr>
                  <w:tcW w:w="403" w:type="pct"/>
                  <w:shd w:val="clear" w:color="auto" w:fill="auto"/>
                  <w:vAlign w:val="center"/>
                </w:tcPr>
                <w:p w:rsidR="00760E71" w:rsidRPr="0008693D" w:rsidRDefault="007B063C" w:rsidP="00760E71">
                  <w:pPr>
                    <w:pStyle w:val="TableBodyText"/>
                  </w:pPr>
                  <w:r w:rsidRPr="0008693D">
                    <w:t xml:space="preserve"> </w:t>
                  </w:r>
                  <w:r w:rsidR="006B236D" w:rsidRPr="0008693D">
                    <w:t>2.24</w:t>
                  </w:r>
                </w:p>
              </w:tc>
              <w:tc>
                <w:tcPr>
                  <w:tcW w:w="403" w:type="pct"/>
                  <w:shd w:val="clear" w:color="auto" w:fill="auto"/>
                  <w:vAlign w:val="center"/>
                </w:tcPr>
                <w:p w:rsidR="00760E71" w:rsidRPr="0008693D" w:rsidRDefault="009B11B2" w:rsidP="00760E71">
                  <w:pPr>
                    <w:pStyle w:val="TableBodyText"/>
                  </w:pPr>
                  <w:r w:rsidRPr="0008693D">
                    <w:t>–</w:t>
                  </w:r>
                </w:p>
              </w:tc>
              <w:tc>
                <w:tcPr>
                  <w:tcW w:w="403" w:type="pct"/>
                  <w:shd w:val="clear" w:color="auto" w:fill="auto"/>
                  <w:vAlign w:val="center"/>
                </w:tcPr>
                <w:p w:rsidR="00760E71" w:rsidRPr="0008693D" w:rsidRDefault="009B11B2" w:rsidP="00760E71">
                  <w:pPr>
                    <w:pStyle w:val="TableBodyText"/>
                  </w:pPr>
                  <w:r w:rsidRPr="0008693D">
                    <w:t>–</w:t>
                  </w:r>
                </w:p>
              </w:tc>
              <w:tc>
                <w:tcPr>
                  <w:tcW w:w="403" w:type="pct"/>
                  <w:shd w:val="clear" w:color="auto" w:fill="auto"/>
                  <w:vAlign w:val="center"/>
                </w:tcPr>
                <w:p w:rsidR="00760E71" w:rsidRPr="0008693D" w:rsidRDefault="009B11B2" w:rsidP="00760E71">
                  <w:pPr>
                    <w:pStyle w:val="TableBodyText"/>
                  </w:pPr>
                  <w:r w:rsidRPr="0008693D">
                    <w:t>–</w:t>
                  </w:r>
                </w:p>
              </w:tc>
              <w:tc>
                <w:tcPr>
                  <w:tcW w:w="322" w:type="pct"/>
                  <w:shd w:val="clear" w:color="auto" w:fill="auto"/>
                  <w:vAlign w:val="center"/>
                </w:tcPr>
                <w:p w:rsidR="00760E71" w:rsidRPr="0008693D" w:rsidRDefault="009B11B2" w:rsidP="00760E71">
                  <w:pPr>
                    <w:pStyle w:val="TableBodyText"/>
                  </w:pPr>
                  <w:r w:rsidRPr="0008693D">
                    <w:t>–</w:t>
                  </w:r>
                </w:p>
              </w:tc>
              <w:tc>
                <w:tcPr>
                  <w:tcW w:w="402" w:type="pct"/>
                  <w:shd w:val="clear" w:color="auto" w:fill="auto"/>
                  <w:vAlign w:val="center"/>
                </w:tcPr>
                <w:p w:rsidR="00760E71" w:rsidRPr="0008693D" w:rsidRDefault="009B11B2" w:rsidP="00760E71">
                  <w:pPr>
                    <w:pStyle w:val="TableBodyText"/>
                  </w:pPr>
                  <w:r w:rsidRPr="0008693D">
                    <w:t>–</w:t>
                  </w:r>
                </w:p>
              </w:tc>
              <w:tc>
                <w:tcPr>
                  <w:tcW w:w="404" w:type="pct"/>
                  <w:tcBorders>
                    <w:right w:val="nil"/>
                  </w:tcBorders>
                  <w:shd w:val="clear" w:color="auto" w:fill="auto"/>
                  <w:vAlign w:val="center"/>
                </w:tcPr>
                <w:p w:rsidR="00760E71" w:rsidRPr="0008693D" w:rsidRDefault="006B236D" w:rsidP="00760E71">
                  <w:pPr>
                    <w:pStyle w:val="TableBodyText"/>
                  </w:pPr>
                  <w:r w:rsidRPr="0008693D">
                    <w:t>2.14</w:t>
                  </w:r>
                </w:p>
              </w:tc>
            </w:tr>
            <w:tr w:rsidR="00AE7BB8" w:rsidRPr="0008693D" w:rsidTr="006B236D">
              <w:trPr>
                <w:trHeight w:val="270"/>
              </w:trPr>
              <w:tc>
                <w:tcPr>
                  <w:tcW w:w="1454" w:type="pct"/>
                  <w:tcBorders>
                    <w:left w:val="nil"/>
                    <w:bottom w:val="single" w:sz="6" w:space="0" w:color="BFBFBF"/>
                  </w:tcBorders>
                </w:tcPr>
                <w:p w:rsidR="00AE7BB8" w:rsidRPr="0008693D" w:rsidRDefault="00AE7BB8" w:rsidP="00A559CF">
                  <w:pPr>
                    <w:pStyle w:val="TableBodyText"/>
                    <w:jc w:val="left"/>
                  </w:pPr>
                  <w:r w:rsidRPr="0008693D">
                    <w:t>2014</w:t>
                  </w:r>
                </w:p>
              </w:tc>
              <w:tc>
                <w:tcPr>
                  <w:tcW w:w="403" w:type="pct"/>
                  <w:tcBorders>
                    <w:bottom w:val="single" w:sz="6" w:space="0" w:color="BFBFBF"/>
                  </w:tcBorders>
                  <w:vAlign w:val="center"/>
                </w:tcPr>
                <w:p w:rsidR="00AE7BB8" w:rsidRPr="0008693D" w:rsidRDefault="00AE7BB8" w:rsidP="0055233C">
                  <w:pPr>
                    <w:pStyle w:val="TableBodyText"/>
                  </w:pPr>
                  <w:r w:rsidRPr="0008693D">
                    <w:t xml:space="preserve"> 3.60</w:t>
                  </w:r>
                </w:p>
              </w:tc>
              <w:tc>
                <w:tcPr>
                  <w:tcW w:w="403" w:type="pct"/>
                  <w:tcBorders>
                    <w:bottom w:val="single" w:sz="6" w:space="0" w:color="BFBFBF"/>
                  </w:tcBorders>
                  <w:shd w:val="clear" w:color="auto" w:fill="auto"/>
                  <w:vAlign w:val="center"/>
                </w:tcPr>
                <w:p w:rsidR="00AE7BB8" w:rsidRPr="0008693D" w:rsidRDefault="00AE7BB8" w:rsidP="0055233C">
                  <w:pPr>
                    <w:pStyle w:val="TableBodyText"/>
                  </w:pPr>
                  <w:r w:rsidRPr="0008693D">
                    <w:t xml:space="preserve"> 2.20</w:t>
                  </w:r>
                </w:p>
              </w:tc>
              <w:tc>
                <w:tcPr>
                  <w:tcW w:w="403" w:type="pct"/>
                  <w:tcBorders>
                    <w:bottom w:val="single" w:sz="6" w:space="0" w:color="BFBFBF"/>
                  </w:tcBorders>
                  <w:shd w:val="clear" w:color="auto" w:fill="auto"/>
                  <w:vAlign w:val="center"/>
                </w:tcPr>
                <w:p w:rsidR="00AE7BB8" w:rsidRPr="0008693D" w:rsidRDefault="00AE7BB8" w:rsidP="0055233C">
                  <w:pPr>
                    <w:pStyle w:val="TableBodyText"/>
                  </w:pPr>
                  <w:r w:rsidRPr="0008693D">
                    <w:t xml:space="preserve"> 1.90</w:t>
                  </w:r>
                </w:p>
              </w:tc>
              <w:tc>
                <w:tcPr>
                  <w:tcW w:w="403" w:type="pct"/>
                  <w:tcBorders>
                    <w:bottom w:val="single" w:sz="6" w:space="0" w:color="BFBFBF"/>
                  </w:tcBorders>
                  <w:shd w:val="clear" w:color="auto" w:fill="auto"/>
                  <w:vAlign w:val="center"/>
                </w:tcPr>
                <w:p w:rsidR="00AE7BB8" w:rsidRPr="0008693D" w:rsidRDefault="00AE7BB8" w:rsidP="0055233C">
                  <w:pPr>
                    <w:pStyle w:val="TableBodyText"/>
                  </w:pPr>
                  <w:r w:rsidRPr="0008693D">
                    <w:t>–</w:t>
                  </w:r>
                </w:p>
              </w:tc>
              <w:tc>
                <w:tcPr>
                  <w:tcW w:w="403" w:type="pct"/>
                  <w:tcBorders>
                    <w:bottom w:val="single" w:sz="6" w:space="0" w:color="BFBFBF"/>
                  </w:tcBorders>
                  <w:shd w:val="clear" w:color="auto" w:fill="auto"/>
                  <w:vAlign w:val="center"/>
                </w:tcPr>
                <w:p w:rsidR="00AE7BB8" w:rsidRPr="0008693D" w:rsidRDefault="00AE7BB8" w:rsidP="0055233C">
                  <w:pPr>
                    <w:pStyle w:val="TableBodyText"/>
                  </w:pPr>
                  <w:r w:rsidRPr="0008693D">
                    <w:t>–</w:t>
                  </w:r>
                </w:p>
              </w:tc>
              <w:tc>
                <w:tcPr>
                  <w:tcW w:w="403" w:type="pct"/>
                  <w:tcBorders>
                    <w:bottom w:val="single" w:sz="6" w:space="0" w:color="BFBFBF"/>
                  </w:tcBorders>
                  <w:shd w:val="clear" w:color="auto" w:fill="auto"/>
                  <w:vAlign w:val="center"/>
                </w:tcPr>
                <w:p w:rsidR="00AE7BB8" w:rsidRPr="0008693D" w:rsidRDefault="00AE7BB8" w:rsidP="0055233C">
                  <w:pPr>
                    <w:pStyle w:val="TableBodyText"/>
                  </w:pPr>
                  <w:r w:rsidRPr="0008693D">
                    <w:t>–</w:t>
                  </w:r>
                </w:p>
              </w:tc>
              <w:tc>
                <w:tcPr>
                  <w:tcW w:w="322" w:type="pct"/>
                  <w:tcBorders>
                    <w:bottom w:val="single" w:sz="6" w:space="0" w:color="BFBFBF"/>
                  </w:tcBorders>
                  <w:shd w:val="clear" w:color="auto" w:fill="auto"/>
                  <w:vAlign w:val="center"/>
                </w:tcPr>
                <w:p w:rsidR="00AE7BB8" w:rsidRPr="0008693D" w:rsidRDefault="00AE7BB8" w:rsidP="0055233C">
                  <w:pPr>
                    <w:pStyle w:val="TableBodyText"/>
                  </w:pPr>
                  <w:r w:rsidRPr="0008693D">
                    <w:t>–</w:t>
                  </w:r>
                </w:p>
              </w:tc>
              <w:tc>
                <w:tcPr>
                  <w:tcW w:w="402" w:type="pct"/>
                  <w:tcBorders>
                    <w:bottom w:val="single" w:sz="6" w:space="0" w:color="BFBFBF"/>
                  </w:tcBorders>
                  <w:shd w:val="clear" w:color="auto" w:fill="auto"/>
                  <w:vAlign w:val="center"/>
                </w:tcPr>
                <w:p w:rsidR="00AE7BB8" w:rsidRPr="0008693D" w:rsidRDefault="00AE7BB8" w:rsidP="0055233C">
                  <w:pPr>
                    <w:pStyle w:val="TableBodyText"/>
                  </w:pPr>
                  <w:r w:rsidRPr="0008693D">
                    <w:t>–</w:t>
                  </w:r>
                </w:p>
              </w:tc>
              <w:tc>
                <w:tcPr>
                  <w:tcW w:w="404" w:type="pct"/>
                  <w:tcBorders>
                    <w:bottom w:val="single" w:sz="6" w:space="0" w:color="BFBFBF"/>
                    <w:right w:val="nil"/>
                  </w:tcBorders>
                  <w:shd w:val="clear" w:color="auto" w:fill="auto"/>
                  <w:vAlign w:val="center"/>
                </w:tcPr>
                <w:p w:rsidR="00AE7BB8" w:rsidRPr="0008693D" w:rsidRDefault="00AE7BB8" w:rsidP="0055233C">
                  <w:pPr>
                    <w:pStyle w:val="TableBodyText"/>
                  </w:pPr>
                  <w:r w:rsidRPr="0008693D">
                    <w:t>2.20</w:t>
                  </w:r>
                </w:p>
              </w:tc>
            </w:tr>
          </w:tbl>
          <w:p w:rsidR="003C742C" w:rsidRPr="0008693D" w:rsidRDefault="003C742C" w:rsidP="00A559CF">
            <w:pPr>
              <w:pStyle w:val="Box"/>
            </w:pPr>
          </w:p>
        </w:tc>
      </w:tr>
      <w:tr w:rsidR="003C742C" w:rsidRPr="0008693D" w:rsidTr="00A559CF">
        <w:trPr>
          <w:cantSplit/>
        </w:trPr>
        <w:tc>
          <w:tcPr>
            <w:tcW w:w="8771" w:type="dxa"/>
            <w:tcBorders>
              <w:top w:val="nil"/>
              <w:left w:val="nil"/>
              <w:bottom w:val="nil"/>
              <w:right w:val="nil"/>
            </w:tcBorders>
            <w:shd w:val="clear" w:color="auto" w:fill="auto"/>
          </w:tcPr>
          <w:p w:rsidR="003C742C" w:rsidRPr="0008693D" w:rsidRDefault="003C742C" w:rsidP="007628DA">
            <w:pPr>
              <w:pStyle w:val="Note"/>
            </w:pPr>
            <w:r w:rsidRPr="0008693D">
              <w:rPr>
                <w:rStyle w:val="NoteLabel"/>
              </w:rPr>
              <w:t>a</w:t>
            </w:r>
            <w:r w:rsidRPr="0008693D">
              <w:t xml:space="preserve"> </w:t>
            </w:r>
            <w:r w:rsidR="007A5AF7" w:rsidRPr="0008693D">
              <w:rPr>
                <w:rStyle w:val="NoteChar"/>
              </w:rPr>
              <w:t>See box</w:t>
            </w:r>
            <w:r w:rsidR="00697D43" w:rsidRPr="0008693D">
              <w:rPr>
                <w:rStyle w:val="NoteChar"/>
              </w:rPr>
              <w:t> </w:t>
            </w:r>
            <w:r w:rsidR="007A5AF7" w:rsidRPr="0008693D">
              <w:rPr>
                <w:rStyle w:val="NoteChar"/>
              </w:rPr>
              <w:t>3.14 and table</w:t>
            </w:r>
            <w:r w:rsidR="00697D43" w:rsidRPr="0008693D">
              <w:rPr>
                <w:rStyle w:val="NoteChar"/>
              </w:rPr>
              <w:t> </w:t>
            </w:r>
            <w:proofErr w:type="spellStart"/>
            <w:r w:rsidR="007A5AF7" w:rsidRPr="0008693D">
              <w:rPr>
                <w:rStyle w:val="NoteChar"/>
              </w:rPr>
              <w:t>3A.</w:t>
            </w:r>
            <w:r w:rsidR="004D204C" w:rsidRPr="0008693D">
              <w:rPr>
                <w:rStyle w:val="NoteChar"/>
              </w:rPr>
              <w:t>41</w:t>
            </w:r>
            <w:proofErr w:type="spellEnd"/>
            <w:r w:rsidR="007A5AF7" w:rsidRPr="0008693D">
              <w:rPr>
                <w:rStyle w:val="NoteChar"/>
              </w:rPr>
              <w:t xml:space="preserve"> for </w:t>
            </w:r>
            <w:r w:rsidR="00937F53" w:rsidRPr="0008693D">
              <w:rPr>
                <w:rStyle w:val="NoteChar"/>
              </w:rPr>
              <w:t>detailed definitions, footnotes and caveats.</w:t>
            </w:r>
            <w:r w:rsidR="00D474D1" w:rsidRPr="0008693D">
              <w:t xml:space="preserve"> – Nil or rounded to zero.</w:t>
            </w:r>
            <w:r w:rsidR="00D474D1" w:rsidRPr="0008693D">
              <w:rPr>
                <w:strike/>
                <w:shd w:val="clear" w:color="auto" w:fill="FFFF00"/>
              </w:rPr>
              <w:t xml:space="preserve"> </w:t>
            </w:r>
          </w:p>
        </w:tc>
      </w:tr>
      <w:tr w:rsidR="003C742C" w:rsidRPr="0008693D" w:rsidTr="00A559CF">
        <w:trPr>
          <w:cantSplit/>
        </w:trPr>
        <w:tc>
          <w:tcPr>
            <w:tcW w:w="8771" w:type="dxa"/>
            <w:tcBorders>
              <w:top w:val="nil"/>
              <w:left w:val="nil"/>
              <w:bottom w:val="nil"/>
              <w:right w:val="nil"/>
            </w:tcBorders>
            <w:shd w:val="clear" w:color="auto" w:fill="auto"/>
          </w:tcPr>
          <w:p w:rsidR="003C742C" w:rsidRPr="0008693D" w:rsidRDefault="00D474D1" w:rsidP="005A7C12">
            <w:pPr>
              <w:pStyle w:val="Source"/>
            </w:pPr>
            <w:r w:rsidRPr="0008693D">
              <w:rPr>
                <w:i/>
              </w:rPr>
              <w:t>Source</w:t>
            </w:r>
            <w:r w:rsidR="003C742C" w:rsidRPr="0008693D">
              <w:t xml:space="preserve">: </w:t>
            </w:r>
            <w:r w:rsidRPr="0008693D">
              <w:t xml:space="preserve">ABS (unpublished) </w:t>
            </w:r>
            <w:proofErr w:type="spellStart"/>
            <w:r w:rsidR="00170E9D" w:rsidRPr="0008693D">
              <w:rPr>
                <w:i/>
              </w:rPr>
              <w:t>Microdata</w:t>
            </w:r>
            <w:proofErr w:type="spellEnd"/>
            <w:r w:rsidR="00170E9D" w:rsidRPr="0008693D">
              <w:rPr>
                <w:i/>
              </w:rPr>
              <w:t>:</w:t>
            </w:r>
            <w:r w:rsidR="00170E9D" w:rsidRPr="0008693D">
              <w:t xml:space="preserve"> </w:t>
            </w:r>
            <w:r w:rsidRPr="0008693D">
              <w:rPr>
                <w:i/>
              </w:rPr>
              <w:t>Pres</w:t>
            </w:r>
            <w:r w:rsidR="00D47E52" w:rsidRPr="0008693D">
              <w:rPr>
                <w:i/>
              </w:rPr>
              <w:t>chool Education, Australia, 2013</w:t>
            </w:r>
            <w:r w:rsidR="001B66BB" w:rsidRPr="0008693D">
              <w:rPr>
                <w:i/>
              </w:rPr>
              <w:t xml:space="preserve"> and 2014</w:t>
            </w:r>
            <w:r w:rsidRPr="0008693D">
              <w:t>; Cat. no. 4240.0</w:t>
            </w:r>
            <w:r w:rsidR="00170E9D" w:rsidRPr="0008693D">
              <w:t>.55.003</w:t>
            </w:r>
            <w:r w:rsidRPr="0008693D">
              <w:t>; table</w:t>
            </w:r>
            <w:r w:rsidR="00611A1D" w:rsidRPr="0008693D">
              <w:t>s</w:t>
            </w:r>
            <w:r w:rsidRPr="0008693D">
              <w:t> </w:t>
            </w:r>
            <w:proofErr w:type="spellStart"/>
            <w:r w:rsidR="004D204C" w:rsidRPr="0008693D">
              <w:t>3A.41</w:t>
            </w:r>
            <w:proofErr w:type="spellEnd"/>
            <w:r w:rsidR="004D204C" w:rsidRPr="0008693D">
              <w:t xml:space="preserve"> and </w:t>
            </w:r>
            <w:proofErr w:type="spellStart"/>
            <w:r w:rsidR="004D204C" w:rsidRPr="0008693D">
              <w:t>3A.7</w:t>
            </w:r>
            <w:proofErr w:type="spellEnd"/>
            <w:r w:rsidR="005A7C12" w:rsidRPr="0008693D">
              <w:t>.</w:t>
            </w:r>
          </w:p>
        </w:tc>
      </w:tr>
      <w:tr w:rsidR="003C742C" w:rsidTr="00A559CF">
        <w:trPr>
          <w:cantSplit/>
        </w:trPr>
        <w:tc>
          <w:tcPr>
            <w:tcW w:w="8771" w:type="dxa"/>
            <w:tcBorders>
              <w:top w:val="nil"/>
              <w:left w:val="nil"/>
              <w:bottom w:val="single" w:sz="6" w:space="0" w:color="78A22F"/>
              <w:right w:val="nil"/>
            </w:tcBorders>
            <w:shd w:val="clear" w:color="auto" w:fill="auto"/>
          </w:tcPr>
          <w:p w:rsidR="003C742C" w:rsidRDefault="003C742C" w:rsidP="00A559CF">
            <w:pPr>
              <w:pStyle w:val="Box"/>
              <w:spacing w:before="0" w:line="120" w:lineRule="exact"/>
            </w:pPr>
          </w:p>
        </w:tc>
      </w:tr>
      <w:tr w:rsidR="003C742C" w:rsidRPr="000863A5" w:rsidTr="00A559CF">
        <w:tc>
          <w:tcPr>
            <w:tcW w:w="8771" w:type="dxa"/>
            <w:tcBorders>
              <w:top w:val="single" w:sz="6" w:space="0" w:color="78A22F"/>
              <w:left w:val="nil"/>
              <w:bottom w:val="nil"/>
              <w:right w:val="nil"/>
            </w:tcBorders>
          </w:tcPr>
          <w:p w:rsidR="003C742C" w:rsidRPr="00626D32" w:rsidRDefault="003C742C" w:rsidP="00A559CF">
            <w:pPr>
              <w:pStyle w:val="BoxSpaceBelow"/>
            </w:pPr>
          </w:p>
        </w:tc>
      </w:tr>
    </w:tbl>
    <w:p w:rsidR="005A193E" w:rsidRDefault="005A193E" w:rsidP="005A193E">
      <w:pPr>
        <w:pStyle w:val="BodyText"/>
      </w:pPr>
      <w:r>
        <w:t xml:space="preserve">Additional information </w:t>
      </w:r>
      <w:r w:rsidRPr="006E3531">
        <w:t xml:space="preserve">on the </w:t>
      </w:r>
      <w:r w:rsidR="00DA7693">
        <w:t>hourly cost</w:t>
      </w:r>
      <w:r w:rsidRPr="006E3531">
        <w:t xml:space="preserve"> of preschool programs for chi</w:t>
      </w:r>
      <w:r w:rsidR="001B66BB">
        <w:t>ldren by cost range for 2014</w:t>
      </w:r>
      <w:r w:rsidR="0002405E" w:rsidRPr="006E3531">
        <w:t xml:space="preserve"> is</w:t>
      </w:r>
      <w:r w:rsidR="00DC052C" w:rsidRPr="006E3531">
        <w:t xml:space="preserve"> presented in table</w:t>
      </w:r>
      <w:r w:rsidR="00172534" w:rsidRPr="006E3531">
        <w:t> </w:t>
      </w:r>
      <w:proofErr w:type="spellStart"/>
      <w:r w:rsidR="004D204C">
        <w:t>3A.43</w:t>
      </w:r>
      <w:proofErr w:type="spellEnd"/>
      <w:r w:rsidRPr="006E3531">
        <w:t>.</w:t>
      </w:r>
    </w:p>
    <w:p w:rsidR="005A193E" w:rsidRDefault="005A193E" w:rsidP="005A193E">
      <w:pPr>
        <w:pStyle w:val="BodyText"/>
      </w:pPr>
      <w:r>
        <w:t xml:space="preserve">Data on the median hourly cost of preschool </w:t>
      </w:r>
      <w:r w:rsidR="006E3531">
        <w:t xml:space="preserve">programs </w:t>
      </w:r>
      <w:r>
        <w:t xml:space="preserve">by remoteness area are presented in </w:t>
      </w:r>
      <w:r w:rsidRPr="006E3531">
        <w:t>table </w:t>
      </w:r>
      <w:proofErr w:type="spellStart"/>
      <w:r w:rsidRPr="006E3531">
        <w:t>3A.</w:t>
      </w:r>
      <w:r w:rsidR="004D204C">
        <w:t>42</w:t>
      </w:r>
      <w:proofErr w:type="spellEnd"/>
      <w:r w:rsidRPr="006E3531">
        <w:t xml:space="preserve">. </w:t>
      </w:r>
      <w:r w:rsidRPr="00F11631">
        <w:t>Nationally</w:t>
      </w:r>
      <w:r w:rsidR="00DC4B2A">
        <w:t xml:space="preserve"> in 2014</w:t>
      </w:r>
      <w:r>
        <w:t xml:space="preserve">, the median hourly cost of preschool in major cities was </w:t>
      </w:r>
      <w:r w:rsidRPr="007D52B5">
        <w:t>$</w:t>
      </w:r>
      <w:r w:rsidR="007D52B5" w:rsidRPr="007D52B5">
        <w:t>2.50</w:t>
      </w:r>
      <w:r w:rsidRPr="007D52B5">
        <w:t xml:space="preserve"> (after subsidies), compared to $</w:t>
      </w:r>
      <w:r w:rsidR="007D52B5" w:rsidRPr="007D52B5">
        <w:t>1.70</w:t>
      </w:r>
      <w:r w:rsidR="00A02A8E" w:rsidRPr="007D52B5">
        <w:t xml:space="preserve"> in regional areas and zero</w:t>
      </w:r>
      <w:r w:rsidRPr="007D52B5">
        <w:t xml:space="preserve"> </w:t>
      </w:r>
      <w:r w:rsidRPr="00D47E52">
        <w:t xml:space="preserve">in remote areas. </w:t>
      </w:r>
    </w:p>
    <w:p w:rsidR="00092F26" w:rsidRPr="006E32A6" w:rsidRDefault="00092F26" w:rsidP="009B11B2">
      <w:pPr>
        <w:pStyle w:val="Heading3"/>
      </w:pPr>
      <w:r w:rsidRPr="006E32A6">
        <w:t>Quality</w:t>
      </w:r>
    </w:p>
    <w:p w:rsidR="00092F26" w:rsidRPr="006E32A6" w:rsidRDefault="00092F26" w:rsidP="00092F26">
      <w:pPr>
        <w:pStyle w:val="BodyText"/>
        <w:shd w:val="clear" w:color="auto" w:fill="FFFFFF" w:themeFill="background1"/>
      </w:pPr>
      <w:r w:rsidRPr="006E32A6">
        <w:t>An important focus of Australian, State and Territory governments is to set and maintain appropriate quality standards in</w:t>
      </w:r>
      <w:r w:rsidR="000F5C2B">
        <w:t xml:space="preserve"> </w:t>
      </w:r>
      <w:proofErr w:type="spellStart"/>
      <w:r w:rsidR="000F5C2B">
        <w:t>ECEC</w:t>
      </w:r>
      <w:proofErr w:type="spellEnd"/>
      <w:r w:rsidR="000F5C2B">
        <w:t xml:space="preserve"> services</w:t>
      </w:r>
      <w:r w:rsidRPr="006E32A6">
        <w:t xml:space="preserve">. </w:t>
      </w:r>
    </w:p>
    <w:p w:rsidR="005A193E" w:rsidRPr="00121757" w:rsidRDefault="005A193E" w:rsidP="009B11B2">
      <w:pPr>
        <w:pStyle w:val="Heading4"/>
        <w:rPr>
          <w:b/>
          <w:i/>
          <w:u w:val="dotted"/>
        </w:rPr>
      </w:pPr>
      <w:r>
        <w:t xml:space="preserve">Staff — staff quality in </w:t>
      </w:r>
      <w:proofErr w:type="spellStart"/>
      <w:r w:rsidR="0018407E">
        <w:t>ECEC</w:t>
      </w:r>
      <w:proofErr w:type="spellEnd"/>
    </w:p>
    <w:p w:rsidR="008F7CD4" w:rsidRDefault="005A193E" w:rsidP="008F7CD4">
      <w:pPr>
        <w:pStyle w:val="BodyText"/>
      </w:pPr>
      <w:r>
        <w:t>‘Staff quality</w:t>
      </w:r>
      <w:r w:rsidRPr="0007374A">
        <w:t xml:space="preserve"> in </w:t>
      </w:r>
      <w:proofErr w:type="spellStart"/>
      <w:r w:rsidR="0018407E">
        <w:t>ECEC</w:t>
      </w:r>
      <w:proofErr w:type="spellEnd"/>
      <w:r>
        <w:t>’</w:t>
      </w:r>
      <w:r w:rsidRPr="0007374A">
        <w:t xml:space="preserve"> is an indicator of governments’ objective to ensure </w:t>
      </w:r>
      <w:r>
        <w:t xml:space="preserve">that </w:t>
      </w:r>
      <w:r w:rsidR="003525E1">
        <w:t>staff employed by</w:t>
      </w:r>
      <w:r w:rsidRPr="0007374A">
        <w:t xml:space="preserve"> </w:t>
      </w:r>
      <w:proofErr w:type="spellStart"/>
      <w:r w:rsidR="0018407E">
        <w:t>ECEC</w:t>
      </w:r>
      <w:proofErr w:type="spellEnd"/>
      <w:r w:rsidR="00094082">
        <w:t xml:space="preserve"> </w:t>
      </w:r>
      <w:r w:rsidR="0056717D">
        <w:t>service</w:t>
      </w:r>
      <w:r w:rsidR="00C34415">
        <w:t xml:space="preserve">s </w:t>
      </w:r>
      <w:r>
        <w:t>are able to provide services that reflect national qualification requirements under the</w:t>
      </w:r>
      <w:r w:rsidR="00727CFC">
        <w:t xml:space="preserve"> </w:t>
      </w:r>
      <w:proofErr w:type="spellStart"/>
      <w:r w:rsidR="00727CFC">
        <w:t>NQF</w:t>
      </w:r>
      <w:proofErr w:type="spellEnd"/>
      <w:r w:rsidR="00727CFC">
        <w:t xml:space="preserve"> and in doing so </w:t>
      </w:r>
      <w:r w:rsidRPr="0007374A">
        <w:t>meet the needs of children</w:t>
      </w:r>
      <w:r>
        <w:t xml:space="preserve">, although not all services fall in scope of the </w:t>
      </w:r>
      <w:proofErr w:type="spellStart"/>
      <w:r>
        <w:t>NQF</w:t>
      </w:r>
      <w:proofErr w:type="spellEnd"/>
      <w:r>
        <w:t xml:space="preserve"> (</w:t>
      </w:r>
      <w:r w:rsidRPr="00A92C53">
        <w:t>box</w:t>
      </w:r>
      <w:r w:rsidR="00172534" w:rsidRPr="00A92C53">
        <w:t> </w:t>
      </w:r>
      <w:r w:rsidR="00B1432E">
        <w:t>3.16</w:t>
      </w:r>
      <w:r w:rsidRPr="00A92C53">
        <w:t xml:space="preserve">). </w:t>
      </w:r>
      <w:r w:rsidRPr="0007374A">
        <w:t>In particular, this means ensuring staff have the training and experience to provide a safe and nurturing environment that fulfils the educational and development</w:t>
      </w:r>
      <w:r w:rsidR="0021264F">
        <w:t>al</w:t>
      </w:r>
      <w:r w:rsidRPr="0007374A">
        <w:t xml:space="preserve"> needs of </w:t>
      </w:r>
      <w:r w:rsidRPr="0056717D">
        <w:t>children (box 3.</w:t>
      </w:r>
      <w:r w:rsidR="00B1432E">
        <w:t>15</w:t>
      </w:r>
      <w:r w:rsidRPr="0056717D">
        <w:t>).</w:t>
      </w:r>
    </w:p>
    <w:p w:rsidR="004A7C5C" w:rsidRDefault="004A7C5C">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4A7C5C" w:rsidTr="00D26994">
        <w:tc>
          <w:tcPr>
            <w:tcW w:w="8771" w:type="dxa"/>
            <w:tcBorders>
              <w:top w:val="single" w:sz="6" w:space="0" w:color="78A22F"/>
              <w:left w:val="nil"/>
              <w:bottom w:val="nil"/>
              <w:right w:val="nil"/>
            </w:tcBorders>
            <w:shd w:val="clear" w:color="auto" w:fill="F2F2F2"/>
          </w:tcPr>
          <w:p w:rsidR="004A7C5C" w:rsidRDefault="004A7C5C" w:rsidP="00C94894">
            <w:pPr>
              <w:pStyle w:val="BoxTitle"/>
            </w:pPr>
            <w:r>
              <w:rPr>
                <w:b w:val="0"/>
              </w:rPr>
              <w:t xml:space="preserve">Box </w:t>
            </w:r>
            <w:r w:rsidR="00C94894">
              <w:rPr>
                <w:b w:val="0"/>
              </w:rPr>
              <w:t>3.15</w:t>
            </w:r>
            <w:r>
              <w:tab/>
            </w:r>
            <w:r w:rsidR="00C94894">
              <w:t xml:space="preserve">Staff quality in </w:t>
            </w:r>
            <w:proofErr w:type="spellStart"/>
            <w:r w:rsidR="00C94894">
              <w:t>ECEC</w:t>
            </w:r>
            <w:proofErr w:type="spellEnd"/>
          </w:p>
        </w:tc>
      </w:tr>
      <w:tr w:rsidR="00C94894" w:rsidTr="00D26994">
        <w:trPr>
          <w:cantSplit/>
        </w:trPr>
        <w:tc>
          <w:tcPr>
            <w:tcW w:w="8771" w:type="dxa"/>
            <w:tcBorders>
              <w:top w:val="nil"/>
              <w:left w:val="nil"/>
              <w:bottom w:val="nil"/>
              <w:right w:val="nil"/>
            </w:tcBorders>
            <w:shd w:val="clear" w:color="auto" w:fill="F2F2F2"/>
          </w:tcPr>
          <w:p w:rsidR="00C94894" w:rsidRPr="007F55DC" w:rsidRDefault="00C94894" w:rsidP="00D26994">
            <w:pPr>
              <w:pStyle w:val="Box"/>
            </w:pPr>
            <w:r w:rsidRPr="007F55DC">
              <w:t xml:space="preserve">‘Staff quality in </w:t>
            </w:r>
            <w:proofErr w:type="spellStart"/>
            <w:r>
              <w:t>ECEC</w:t>
            </w:r>
            <w:proofErr w:type="spellEnd"/>
            <w:r>
              <w:t xml:space="preserve">’ </w:t>
            </w:r>
            <w:r w:rsidR="00F6417E">
              <w:t>is defined by three</w:t>
            </w:r>
            <w:r w:rsidRPr="007F55DC">
              <w:t xml:space="preserve"> measures:</w:t>
            </w:r>
          </w:p>
          <w:p w:rsidR="00C94894" w:rsidRPr="007F55DC" w:rsidRDefault="00C94894" w:rsidP="00D26994">
            <w:pPr>
              <w:pStyle w:val="BoxListBullet"/>
            </w:pPr>
            <w:r>
              <w:t xml:space="preserve">the </w:t>
            </w:r>
            <w:r w:rsidRPr="007F55DC">
              <w:t>proportion of paid primary contact staff employed by Australian Government</w:t>
            </w:r>
            <w:r>
              <w:t xml:space="preserve"> </w:t>
            </w:r>
            <w:proofErr w:type="spellStart"/>
            <w:r>
              <w:t>CCB</w:t>
            </w:r>
            <w:proofErr w:type="spellEnd"/>
            <w:r w:rsidRPr="007F55DC">
              <w:t xml:space="preserve"> approved child care services, by relevant formal qualifications</w:t>
            </w:r>
            <w:r>
              <w:t>,</w:t>
            </w:r>
            <w:r w:rsidRPr="007F55DC">
              <w:t xml:space="preserve"> or three or more years of relevant experience. A relevant formal qualification relates to the highest level of qualification that a staff member has completed in an </w:t>
            </w:r>
            <w:proofErr w:type="spellStart"/>
            <w:r>
              <w:t>ECEC</w:t>
            </w:r>
            <w:proofErr w:type="spellEnd"/>
            <w:r w:rsidRPr="007F55DC">
              <w:t xml:space="preserve"> related field at a Certificate level III or above</w:t>
            </w:r>
          </w:p>
          <w:p w:rsidR="00F6417E" w:rsidRDefault="00C94894" w:rsidP="00D26994">
            <w:pPr>
              <w:pStyle w:val="BoxListBullet"/>
            </w:pPr>
            <w:r>
              <w:t xml:space="preserve">the </w:t>
            </w:r>
            <w:r w:rsidRPr="007F55DC">
              <w:t xml:space="preserve">proportion of workers delivering preschool programs who are at least three year university trained and early childhood qualified. Workers delivering preschool programs are defined as </w:t>
            </w:r>
            <w:proofErr w:type="spellStart"/>
            <w:r>
              <w:t>ECEC</w:t>
            </w:r>
            <w:proofErr w:type="spellEnd"/>
            <w:r w:rsidRPr="007F55DC">
              <w:t xml:space="preserve"> workers who are </w:t>
            </w:r>
            <w:r>
              <w:t xml:space="preserve">employed, and paid, by an </w:t>
            </w:r>
            <w:proofErr w:type="spellStart"/>
            <w:r>
              <w:t>ECEC</w:t>
            </w:r>
            <w:proofErr w:type="spellEnd"/>
            <w:r>
              <w:t xml:space="preserve"> service provider as a </w:t>
            </w:r>
            <w:r w:rsidRPr="007F55DC">
              <w:t>principal/director/coordinator/teacher</w:t>
            </w:r>
            <w:r>
              <w:noBreakHyphen/>
            </w:r>
            <w:r w:rsidRPr="007F55DC">
              <w:t>in</w:t>
            </w:r>
            <w:r>
              <w:noBreakHyphen/>
            </w:r>
            <w:r w:rsidRPr="007F55DC">
              <w:t xml:space="preserve">charge, group leader/teacher, assistant/aide or other contact worker to deliver a preschool program. Workers </w:t>
            </w:r>
            <w:r w:rsidR="00B172A5">
              <w:t>are counted as</w:t>
            </w:r>
            <w:r w:rsidRPr="007F55DC">
              <w:t xml:space="preserve"> early childhood qualified </w:t>
            </w:r>
            <w:r w:rsidR="00B172A5">
              <w:t>with the following</w:t>
            </w:r>
            <w:r w:rsidRPr="007F55DC">
              <w:t xml:space="preserve"> fields of qualification: teaching (early childhood related), teaching (primary), teaching (other) an</w:t>
            </w:r>
            <w:r w:rsidR="00F6417E">
              <w:t>d other early childhood related</w:t>
            </w:r>
          </w:p>
          <w:p w:rsidR="00C94894" w:rsidRPr="007F55DC" w:rsidRDefault="00F6417E" w:rsidP="005B1C40">
            <w:pPr>
              <w:pStyle w:val="BoxListBullet"/>
            </w:pPr>
            <w:r>
              <w:t>the proportion of teachers</w:t>
            </w:r>
            <w:r w:rsidRPr="007F55DC">
              <w:t xml:space="preserve"> delivering preschool programs who are at least three year university trained and ea</w:t>
            </w:r>
            <w:r>
              <w:t xml:space="preserve">rly childhood qualified. </w:t>
            </w:r>
            <w:r w:rsidR="005B1C40">
              <w:t xml:space="preserve">Teachers are defined using the following worker roles: </w:t>
            </w:r>
            <w:r w:rsidR="005B1C40" w:rsidRPr="005B1C40">
              <w:t>principal/director/coordinator/teacher</w:t>
            </w:r>
            <w:r w:rsidR="002D438E">
              <w:noBreakHyphen/>
            </w:r>
            <w:r w:rsidR="005B1C40" w:rsidRPr="005B1C40">
              <w:t>in</w:t>
            </w:r>
            <w:r w:rsidR="002D438E">
              <w:noBreakHyphen/>
            </w:r>
            <w:r w:rsidR="005B1C40" w:rsidRPr="005B1C40">
              <w:t>charge and group leader/teacher</w:t>
            </w:r>
            <w:r w:rsidR="005B1C40">
              <w:t xml:space="preserve">. </w:t>
            </w:r>
          </w:p>
          <w:p w:rsidR="00351D0E" w:rsidRDefault="00351D0E" w:rsidP="00D26994">
            <w:pPr>
              <w:pStyle w:val="Box"/>
            </w:pPr>
            <w:r>
              <w:t xml:space="preserve">At least three year university trained includes: </w:t>
            </w:r>
            <w:r w:rsidR="002D438E">
              <w:t>‘</w:t>
            </w:r>
            <w:r w:rsidRPr="00351D0E">
              <w:t>Bachelor degree (3 years or equivalent)</w:t>
            </w:r>
            <w:r w:rsidR="002D438E">
              <w:t>’</w:t>
            </w:r>
            <w:r w:rsidRPr="00351D0E">
              <w:t xml:space="preserve">, </w:t>
            </w:r>
            <w:r w:rsidR="002D438E">
              <w:t>‘</w:t>
            </w:r>
            <w:r w:rsidRPr="00351D0E">
              <w:t>Bachelor degree (4 years pass and honours)</w:t>
            </w:r>
            <w:r w:rsidR="002D438E">
              <w:t>’</w:t>
            </w:r>
            <w:r w:rsidRPr="00351D0E">
              <w:t xml:space="preserve">, </w:t>
            </w:r>
            <w:r w:rsidR="002D438E">
              <w:t>‘</w:t>
            </w:r>
            <w:r w:rsidRPr="00351D0E">
              <w:t>Graduate diploma/certificate and above</w:t>
            </w:r>
            <w:r w:rsidR="002D438E">
              <w:t>’</w:t>
            </w:r>
            <w:r w:rsidRPr="00351D0E">
              <w:t>.</w:t>
            </w:r>
          </w:p>
          <w:p w:rsidR="00C94894" w:rsidRPr="007F55DC" w:rsidRDefault="00C94894" w:rsidP="00D26994">
            <w:pPr>
              <w:pStyle w:val="Box"/>
            </w:pPr>
            <w:r w:rsidRPr="007F55DC">
              <w:t>Some studies and research (for example, OECD 2006) have shown a link between a higher proportion of qualified and experienced primary contact staff and a higher quality service, suggesting that a high or increasing proportion is desirable.</w:t>
            </w:r>
          </w:p>
          <w:p w:rsidR="00C94894" w:rsidRPr="007F55DC" w:rsidRDefault="00C94894" w:rsidP="00D26994">
            <w:pPr>
              <w:pStyle w:val="Box"/>
            </w:pPr>
            <w:r w:rsidRPr="007F55DC">
              <w:t>Data reported for these measures are:</w:t>
            </w:r>
            <w:r w:rsidR="00351D0E">
              <w:t xml:space="preserve"> </w:t>
            </w:r>
          </w:p>
          <w:p w:rsidR="00C94894" w:rsidRPr="00383212" w:rsidRDefault="00C94894" w:rsidP="00D26994">
            <w:pPr>
              <w:pStyle w:val="BoxListBullet"/>
            </w:pPr>
            <w:r w:rsidRPr="00383212">
              <w:t xml:space="preserve">comparable (subject to caveats) across jurisdictions and over time for paid primary contact staff employed by Australian Government </w:t>
            </w:r>
            <w:proofErr w:type="spellStart"/>
            <w:r>
              <w:t>CCB</w:t>
            </w:r>
            <w:proofErr w:type="spellEnd"/>
            <w:r>
              <w:t xml:space="preserve"> </w:t>
            </w:r>
            <w:r w:rsidRPr="00383212">
              <w:t>approved child care services</w:t>
            </w:r>
            <w:r w:rsidR="00CD2DFB">
              <w:t xml:space="preserve"> and teachers delivering preschool programs</w:t>
            </w:r>
            <w:r w:rsidRPr="00DE3CF3">
              <w:t xml:space="preserve">. Data </w:t>
            </w:r>
            <w:r w:rsidR="00CD2DFB">
              <w:t xml:space="preserve">for workers delivering preschool programs </w:t>
            </w:r>
            <w:r w:rsidRPr="00DE3CF3">
              <w:t xml:space="preserve">are </w:t>
            </w:r>
            <w:r w:rsidR="00CD2DFB">
              <w:t xml:space="preserve">comparable (subject to caveats) within jurisdictions over time but are </w:t>
            </w:r>
            <w:r w:rsidRPr="00DE3CF3">
              <w:t>not comparable across jurisdictions</w:t>
            </w:r>
            <w:r w:rsidR="00CD2DFB">
              <w:t xml:space="preserve"> </w:t>
            </w:r>
          </w:p>
          <w:p w:rsidR="00C94894" w:rsidRPr="006D2336" w:rsidRDefault="00C94894" w:rsidP="00D26994">
            <w:pPr>
              <w:pStyle w:val="BoxListBullet"/>
            </w:pPr>
            <w:r w:rsidRPr="006D2336">
              <w:t>complete (subject to caveats) for the current rep</w:t>
            </w:r>
            <w:r w:rsidR="00F6417E">
              <w:t xml:space="preserve">orting period. All required </w:t>
            </w:r>
            <w:r w:rsidR="00CD2DFB">
              <w:t xml:space="preserve">2013 and </w:t>
            </w:r>
            <w:r w:rsidR="00F6417E">
              <w:t>2014</w:t>
            </w:r>
            <w:r w:rsidRPr="006D2336">
              <w:t xml:space="preserve"> data are available for all jurisdictions. </w:t>
            </w:r>
          </w:p>
          <w:p w:rsidR="00C94894" w:rsidRDefault="00C94894" w:rsidP="00D26994">
            <w:pPr>
              <w:pStyle w:val="Box"/>
            </w:pPr>
            <w:r w:rsidRPr="007F55DC">
              <w:t xml:space="preserve">Data quality information for paid primary contact staff employed by Australian Government </w:t>
            </w:r>
            <w:proofErr w:type="spellStart"/>
            <w:r>
              <w:t>CCB</w:t>
            </w:r>
            <w:proofErr w:type="spellEnd"/>
            <w:r>
              <w:t xml:space="preserve"> </w:t>
            </w:r>
            <w:r w:rsidRPr="007F55DC">
              <w:t xml:space="preserve">approved child care services is under </w:t>
            </w:r>
            <w:r>
              <w:t>development. D</w:t>
            </w:r>
            <w:r w:rsidRPr="007F55DC">
              <w:t xml:space="preserve">ata quality </w:t>
            </w:r>
            <w:r>
              <w:t xml:space="preserve">information </w:t>
            </w:r>
            <w:r w:rsidRPr="007F55DC">
              <w:t xml:space="preserve">for workers </w:t>
            </w:r>
            <w:r w:rsidR="00F6417E">
              <w:t xml:space="preserve">and teachers </w:t>
            </w:r>
            <w:r w:rsidRPr="007F55DC">
              <w:t xml:space="preserve">delivering preschool programs is at </w:t>
            </w:r>
            <w:proofErr w:type="spellStart"/>
            <w:r w:rsidRPr="007F55DC">
              <w:t>www.</w:t>
            </w:r>
            <w:r>
              <w:t>pc.gov.au</w:t>
            </w:r>
            <w:proofErr w:type="spellEnd"/>
            <w:r>
              <w:t>/</w:t>
            </w:r>
            <w:proofErr w:type="spellStart"/>
            <w:r>
              <w:t>rogs</w:t>
            </w:r>
            <w:proofErr w:type="spellEnd"/>
            <w:r w:rsidR="00F6417E">
              <w:t>/2016</w:t>
            </w:r>
            <w:r>
              <w:t>.</w:t>
            </w:r>
          </w:p>
        </w:tc>
      </w:tr>
      <w:tr w:rsidR="00C94894" w:rsidTr="00D26994">
        <w:trPr>
          <w:cantSplit/>
        </w:trPr>
        <w:tc>
          <w:tcPr>
            <w:tcW w:w="8771" w:type="dxa"/>
            <w:tcBorders>
              <w:top w:val="nil"/>
              <w:left w:val="nil"/>
              <w:bottom w:val="single" w:sz="6" w:space="0" w:color="78A22F"/>
              <w:right w:val="nil"/>
            </w:tcBorders>
            <w:shd w:val="clear" w:color="auto" w:fill="F2F2F2"/>
          </w:tcPr>
          <w:p w:rsidR="00C94894" w:rsidRDefault="00C94894">
            <w:pPr>
              <w:pStyle w:val="Box"/>
              <w:spacing w:before="0" w:line="120" w:lineRule="exact"/>
            </w:pPr>
          </w:p>
        </w:tc>
      </w:tr>
      <w:tr w:rsidR="00C94894" w:rsidRPr="000863A5" w:rsidTr="00D26994">
        <w:tc>
          <w:tcPr>
            <w:tcW w:w="8771" w:type="dxa"/>
            <w:tcBorders>
              <w:top w:val="single" w:sz="6" w:space="0" w:color="78A22F"/>
              <w:left w:val="nil"/>
              <w:bottom w:val="nil"/>
              <w:right w:val="nil"/>
            </w:tcBorders>
          </w:tcPr>
          <w:p w:rsidR="00C94894" w:rsidRPr="00626D32" w:rsidRDefault="00C94894" w:rsidP="00D26994">
            <w:pPr>
              <w:pStyle w:val="BoxSpaceBelow"/>
            </w:pPr>
          </w:p>
        </w:tc>
      </w:tr>
    </w:tbl>
    <w:p w:rsidR="00323201" w:rsidRDefault="00966FB2" w:rsidP="009B11B2">
      <w:pPr>
        <w:pStyle w:val="Heading5"/>
      </w:pPr>
      <w:r>
        <w:t>Proportion of p</w:t>
      </w:r>
      <w:r w:rsidR="00323201">
        <w:t xml:space="preserve">aid primary contact staff employed by Australian Government </w:t>
      </w:r>
      <w:proofErr w:type="spellStart"/>
      <w:r w:rsidR="00D47E52">
        <w:t>CCB</w:t>
      </w:r>
      <w:proofErr w:type="spellEnd"/>
      <w:r w:rsidR="00D47E52">
        <w:t xml:space="preserve"> </w:t>
      </w:r>
      <w:r w:rsidR="00323201">
        <w:t>approved child care services, by relevant formal qualifications</w:t>
      </w:r>
      <w:r>
        <w:t>,</w:t>
      </w:r>
      <w:r w:rsidR="00323201">
        <w:t xml:space="preserve"> or three years or more relevant experience</w:t>
      </w:r>
    </w:p>
    <w:p w:rsidR="00623951" w:rsidRDefault="002C10E8" w:rsidP="00C3586E">
      <w:pPr>
        <w:pStyle w:val="BodyText"/>
      </w:pPr>
      <w:r>
        <w:t xml:space="preserve">Data for this measure are from the </w:t>
      </w:r>
      <w:proofErr w:type="spellStart"/>
      <w:r w:rsidRPr="0097637D">
        <w:t>NECECWC</w:t>
      </w:r>
      <w:proofErr w:type="spellEnd"/>
      <w:r>
        <w:t xml:space="preserve"> and new data are available every three years. The most recent data for this measure are for 2013. </w:t>
      </w:r>
      <w:r w:rsidR="00BB446C">
        <w:t>Contextual d</w:t>
      </w:r>
      <w:r w:rsidR="00623951">
        <w:t xml:space="preserve">ata on full time equivalent staff, family day carers and unpaid staff employed by Australian Government </w:t>
      </w:r>
      <w:proofErr w:type="spellStart"/>
      <w:r w:rsidR="00D47E52">
        <w:t>CCB</w:t>
      </w:r>
      <w:proofErr w:type="spellEnd"/>
      <w:r w:rsidR="00383212">
        <w:t xml:space="preserve"> </w:t>
      </w:r>
      <w:r w:rsidR="00623951">
        <w:t>approved child care services are presented in table</w:t>
      </w:r>
      <w:r w:rsidR="00172534">
        <w:t> </w:t>
      </w:r>
      <w:proofErr w:type="spellStart"/>
      <w:r w:rsidR="00623951" w:rsidRPr="00D85057">
        <w:t>3A.</w:t>
      </w:r>
      <w:r w:rsidR="008E12B6">
        <w:t>4</w:t>
      </w:r>
      <w:r w:rsidR="001739E3">
        <w:t>4</w:t>
      </w:r>
      <w:proofErr w:type="spellEnd"/>
      <w:r w:rsidR="002B57D2">
        <w:t>.</w:t>
      </w:r>
    </w:p>
    <w:p w:rsidR="004030D1" w:rsidRDefault="004030D1" w:rsidP="00966FB2">
      <w:pPr>
        <w:pStyle w:val="BodyText"/>
      </w:pPr>
      <w:r w:rsidRPr="00900809">
        <w:lastRenderedPageBreak/>
        <w:t>Nationally</w:t>
      </w:r>
      <w:r w:rsidR="00BF30E8">
        <w:t xml:space="preserve"> in 2013</w:t>
      </w:r>
      <w:r w:rsidRPr="00900809">
        <w:t xml:space="preserve">, there were </w:t>
      </w:r>
      <w:r w:rsidR="00D85057" w:rsidRPr="00D85057">
        <w:t>99</w:t>
      </w:r>
      <w:r w:rsidR="00E6372E" w:rsidRPr="00D85057">
        <w:t> </w:t>
      </w:r>
      <w:r w:rsidR="00D85057" w:rsidRPr="00D85057">
        <w:t>655</w:t>
      </w:r>
      <w:r w:rsidRPr="00D85057">
        <w:t xml:space="preserve"> </w:t>
      </w:r>
      <w:r w:rsidR="00267F4D" w:rsidRPr="00900809">
        <w:t xml:space="preserve">paid </w:t>
      </w:r>
      <w:r w:rsidRPr="00900809">
        <w:t xml:space="preserve">primary contact staff employed </w:t>
      </w:r>
      <w:r w:rsidR="00FB4D66" w:rsidRPr="00900809">
        <w:t>by</w:t>
      </w:r>
      <w:r w:rsidRPr="00900809">
        <w:t xml:space="preserve"> Australian Government </w:t>
      </w:r>
      <w:proofErr w:type="spellStart"/>
      <w:r w:rsidR="00D47E52">
        <w:t>CCB</w:t>
      </w:r>
      <w:proofErr w:type="spellEnd"/>
      <w:r w:rsidR="00383212">
        <w:t xml:space="preserve"> </w:t>
      </w:r>
      <w:r w:rsidRPr="00900809">
        <w:t xml:space="preserve">approved child care </w:t>
      </w:r>
      <w:r w:rsidR="00FB4D66" w:rsidRPr="00900809">
        <w:t xml:space="preserve">services </w:t>
      </w:r>
      <w:r w:rsidRPr="00900809">
        <w:t>(table</w:t>
      </w:r>
      <w:r w:rsidR="00172534">
        <w:t> </w:t>
      </w:r>
      <w:proofErr w:type="spellStart"/>
      <w:r w:rsidRPr="00D85057">
        <w:t>3A.</w:t>
      </w:r>
      <w:r w:rsidR="001739E3">
        <w:t>45</w:t>
      </w:r>
      <w:proofErr w:type="spellEnd"/>
      <w:r w:rsidRPr="00D85057">
        <w:t>)</w:t>
      </w:r>
      <w:r w:rsidR="00B172A5">
        <w:t xml:space="preserve">, of whom 82.6 per cent had </w:t>
      </w:r>
      <w:r w:rsidR="00F63F96">
        <w:t>a relevant formal qualification or three or more years relevant experience</w:t>
      </w:r>
      <w:r w:rsidR="009A74D9">
        <w:t>. This comprised 74</w:t>
      </w:r>
      <w:r w:rsidR="00D43CB2" w:rsidRPr="00D43CB2">
        <w:t>.1</w:t>
      </w:r>
      <w:r w:rsidR="00713462" w:rsidRPr="00D43CB2">
        <w:t> </w:t>
      </w:r>
      <w:r w:rsidR="009A74D9">
        <w:t xml:space="preserve">per cent with </w:t>
      </w:r>
      <w:r w:rsidR="00267F4D" w:rsidRPr="00D43CB2">
        <w:t xml:space="preserve">a </w:t>
      </w:r>
      <w:r w:rsidR="00B211A9" w:rsidRPr="00D43CB2">
        <w:t xml:space="preserve">relevant </w:t>
      </w:r>
      <w:r w:rsidR="00267F4D" w:rsidRPr="00D43CB2">
        <w:t>formal qualification</w:t>
      </w:r>
      <w:r w:rsidR="00B211A9" w:rsidRPr="00D43CB2">
        <w:t xml:space="preserve"> at</w:t>
      </w:r>
      <w:r w:rsidR="009A74D9">
        <w:t xml:space="preserve"> or above Certificate level III </w:t>
      </w:r>
      <w:r w:rsidR="006C159D" w:rsidRPr="00D43CB2">
        <w:t xml:space="preserve">and </w:t>
      </w:r>
      <w:r w:rsidR="00D43CB2" w:rsidRPr="00D43CB2">
        <w:t>8.5</w:t>
      </w:r>
      <w:r w:rsidR="00267F4D" w:rsidRPr="00D43CB2">
        <w:t xml:space="preserve"> per cent</w:t>
      </w:r>
      <w:r w:rsidR="009A74D9">
        <w:t xml:space="preserve"> with</w:t>
      </w:r>
      <w:r w:rsidR="00D06E10" w:rsidRPr="00D43CB2">
        <w:t xml:space="preserve"> no rel</w:t>
      </w:r>
      <w:r w:rsidR="009A74D9">
        <w:t xml:space="preserve">evant formal qualification, but </w:t>
      </w:r>
      <w:r w:rsidR="00267F4D" w:rsidRPr="00D43CB2">
        <w:t xml:space="preserve">three or more years </w:t>
      </w:r>
      <w:r w:rsidR="00D06E10" w:rsidRPr="00D43CB2">
        <w:t xml:space="preserve">of </w:t>
      </w:r>
      <w:r w:rsidR="00060F9B" w:rsidRPr="00D43CB2">
        <w:t xml:space="preserve">relevant experience </w:t>
      </w:r>
      <w:r w:rsidR="00267F4D" w:rsidRPr="00D43CB2">
        <w:t>(</w:t>
      </w:r>
      <w:r w:rsidRPr="00D43CB2">
        <w:t>figure</w:t>
      </w:r>
      <w:r w:rsidR="00172534" w:rsidRPr="00D43CB2">
        <w:t> </w:t>
      </w:r>
      <w:r w:rsidR="007C216A" w:rsidRPr="00D43CB2">
        <w:t>3.1</w:t>
      </w:r>
      <w:r w:rsidR="003B2788">
        <w:t>3</w:t>
      </w:r>
      <w:r w:rsidR="00267F4D" w:rsidRPr="00D43CB2">
        <w:t>)</w:t>
      </w:r>
      <w:r w:rsidR="00415855" w:rsidRPr="00D43CB2">
        <w:t>.</w:t>
      </w:r>
    </w:p>
    <w:p w:rsidR="00F5145A" w:rsidRDefault="00F5145A" w:rsidP="00FD50DC">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F5145A" w:rsidTr="00FD50DC">
        <w:tc>
          <w:tcPr>
            <w:tcW w:w="8771" w:type="dxa"/>
            <w:tcBorders>
              <w:top w:val="single" w:sz="6" w:space="0" w:color="78A22F"/>
              <w:left w:val="nil"/>
              <w:bottom w:val="nil"/>
              <w:right w:val="nil"/>
            </w:tcBorders>
            <w:shd w:val="clear" w:color="auto" w:fill="auto"/>
          </w:tcPr>
          <w:p w:rsidR="00F5145A" w:rsidRPr="00176D3F" w:rsidRDefault="00F5145A" w:rsidP="008E12B6">
            <w:pPr>
              <w:pStyle w:val="FigureTitle"/>
            </w:pPr>
            <w:r w:rsidRPr="00784A05">
              <w:rPr>
                <w:b w:val="0"/>
              </w:rPr>
              <w:t xml:space="preserve">Figure </w:t>
            </w:r>
            <w:r>
              <w:rPr>
                <w:b w:val="0"/>
              </w:rPr>
              <w:t>3.</w:t>
            </w:r>
            <w:r w:rsidR="000E3849">
              <w:rPr>
                <w:b w:val="0"/>
                <w:noProof/>
              </w:rPr>
              <w:t>13</w:t>
            </w:r>
            <w:r>
              <w:tab/>
            </w:r>
            <w:r w:rsidRPr="00696FF3">
              <w:t>Paid primary contact staff employed by Au</w:t>
            </w:r>
            <w:r>
              <w:t xml:space="preserve">stralian Government </w:t>
            </w:r>
            <w:proofErr w:type="spellStart"/>
            <w:r>
              <w:t>CCB</w:t>
            </w:r>
            <w:proofErr w:type="spellEnd"/>
            <w:r w:rsidRPr="00696FF3">
              <w:t xml:space="preserve"> a</w:t>
            </w:r>
            <w:r w:rsidR="008E12B6">
              <w:t xml:space="preserve">pproved child care services with </w:t>
            </w:r>
            <w:r w:rsidRPr="00696FF3">
              <w:t>relevant qualification</w:t>
            </w:r>
            <w:r w:rsidR="008E12B6">
              <w:t xml:space="preserve"> or three or more years </w:t>
            </w:r>
            <w:r w:rsidR="00390752">
              <w:t xml:space="preserve">of </w:t>
            </w:r>
            <w:r w:rsidR="008E12B6">
              <w:t>experience</w:t>
            </w:r>
            <w:r w:rsidRPr="00696FF3">
              <w:t>, 2013</w:t>
            </w:r>
            <w:r w:rsidRPr="00696FF3">
              <w:rPr>
                <w:rStyle w:val="NoteLabel"/>
                <w:b/>
              </w:rPr>
              <w:t>a</w:t>
            </w:r>
          </w:p>
        </w:tc>
      </w:tr>
      <w:tr w:rsidR="00F5145A" w:rsidTr="00FD50DC">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F5145A" w:rsidTr="00FD50DC">
              <w:trPr>
                <w:jc w:val="center"/>
              </w:trPr>
              <w:tc>
                <w:tcPr>
                  <w:tcW w:w="5000" w:type="pct"/>
                  <w:tcBorders>
                    <w:top w:val="nil"/>
                    <w:bottom w:val="nil"/>
                  </w:tcBorders>
                </w:tcPr>
                <w:p w:rsidR="00F5145A" w:rsidRDefault="00B337E3" w:rsidP="00FD50DC">
                  <w:pPr>
                    <w:pStyle w:val="Figure"/>
                    <w:spacing w:before="60" w:after="60"/>
                  </w:pPr>
                  <w:r>
                    <w:rPr>
                      <w:noProof/>
                    </w:rPr>
                    <w:drawing>
                      <wp:inline distT="0" distB="0" distL="0" distR="0">
                        <wp:extent cx="5422900" cy="2604770"/>
                        <wp:effectExtent l="0" t="0" r="6350" b="5080"/>
                        <wp:docPr id="12" name="Picture 12" descr="Figure 3.13 Paid primary contact staff employed by Australian Government CCB approved child care services with relevant qualification or three or more years of experience, 2013&#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422900" cy="2604770"/>
                                </a:xfrm>
                                <a:prstGeom prst="rect">
                                  <a:avLst/>
                                </a:prstGeom>
                                <a:noFill/>
                                <a:ln>
                                  <a:noFill/>
                                </a:ln>
                              </pic:spPr>
                            </pic:pic>
                          </a:graphicData>
                        </a:graphic>
                      </wp:inline>
                    </w:drawing>
                  </w:r>
                </w:p>
              </w:tc>
            </w:tr>
          </w:tbl>
          <w:p w:rsidR="00F5145A" w:rsidRDefault="00F5145A" w:rsidP="00FD50DC">
            <w:pPr>
              <w:pStyle w:val="Figure"/>
            </w:pPr>
          </w:p>
        </w:tc>
      </w:tr>
      <w:tr w:rsidR="00F5145A" w:rsidRPr="00176D3F" w:rsidTr="00FD50DC">
        <w:tc>
          <w:tcPr>
            <w:tcW w:w="8771" w:type="dxa"/>
            <w:tcBorders>
              <w:top w:val="nil"/>
              <w:left w:val="nil"/>
              <w:bottom w:val="nil"/>
              <w:right w:val="nil"/>
            </w:tcBorders>
            <w:shd w:val="clear" w:color="auto" w:fill="auto"/>
          </w:tcPr>
          <w:p w:rsidR="00F5145A" w:rsidRPr="00176D3F" w:rsidRDefault="00F5145A" w:rsidP="00193F49">
            <w:pPr>
              <w:pStyle w:val="Note"/>
            </w:pPr>
            <w:r>
              <w:rPr>
                <w:rStyle w:val="NoteLabel"/>
              </w:rPr>
              <w:t>a</w:t>
            </w:r>
            <w:r w:rsidR="003413EB">
              <w:t xml:space="preserve"> </w:t>
            </w:r>
            <w:r w:rsidR="00EE27F0" w:rsidRPr="00AA1455">
              <w:rPr>
                <w:rStyle w:val="NoteChar"/>
              </w:rPr>
              <w:t>See box</w:t>
            </w:r>
            <w:r w:rsidR="00697D43">
              <w:rPr>
                <w:rStyle w:val="NoteChar"/>
              </w:rPr>
              <w:t> </w:t>
            </w:r>
            <w:r w:rsidR="00EE27F0" w:rsidRPr="00AA1455">
              <w:rPr>
                <w:rStyle w:val="NoteChar"/>
              </w:rPr>
              <w:t>3.1</w:t>
            </w:r>
            <w:r w:rsidR="00EE27F0">
              <w:rPr>
                <w:rStyle w:val="NoteChar"/>
              </w:rPr>
              <w:t>5</w:t>
            </w:r>
            <w:r w:rsidR="00EE27F0" w:rsidRPr="00AA1455">
              <w:rPr>
                <w:rStyle w:val="NoteChar"/>
              </w:rPr>
              <w:t xml:space="preserve"> and table</w:t>
            </w:r>
            <w:r w:rsidR="00697D43">
              <w:rPr>
                <w:rStyle w:val="NoteChar"/>
              </w:rPr>
              <w:t> </w:t>
            </w:r>
            <w:proofErr w:type="spellStart"/>
            <w:r w:rsidR="00EE27F0" w:rsidRPr="00AA1455">
              <w:rPr>
                <w:rStyle w:val="NoteChar"/>
              </w:rPr>
              <w:t>3A.</w:t>
            </w:r>
            <w:r w:rsidR="000C15C8">
              <w:rPr>
                <w:rStyle w:val="NoteChar"/>
              </w:rPr>
              <w:t>4</w:t>
            </w:r>
            <w:r w:rsidR="00193F49">
              <w:rPr>
                <w:rStyle w:val="NoteChar"/>
              </w:rPr>
              <w:t>5</w:t>
            </w:r>
            <w:proofErr w:type="spellEnd"/>
            <w:r w:rsidR="00EE27F0" w:rsidRPr="00AA1455">
              <w:rPr>
                <w:rStyle w:val="NoteChar"/>
              </w:rPr>
              <w:t xml:space="preserve"> for </w:t>
            </w:r>
            <w:r w:rsidR="00937F53">
              <w:rPr>
                <w:rStyle w:val="NoteChar"/>
              </w:rPr>
              <w:t>detailed definitions, footnotes and caveats.</w:t>
            </w:r>
          </w:p>
        </w:tc>
      </w:tr>
      <w:tr w:rsidR="00F5145A" w:rsidRPr="00176D3F" w:rsidTr="00FD50DC">
        <w:tc>
          <w:tcPr>
            <w:tcW w:w="8771" w:type="dxa"/>
            <w:tcBorders>
              <w:top w:val="nil"/>
              <w:left w:val="nil"/>
              <w:bottom w:val="nil"/>
              <w:right w:val="nil"/>
            </w:tcBorders>
            <w:shd w:val="clear" w:color="auto" w:fill="auto"/>
          </w:tcPr>
          <w:p w:rsidR="00F5145A" w:rsidRPr="00176D3F" w:rsidRDefault="00F5145A" w:rsidP="00FD50DC">
            <w:pPr>
              <w:pStyle w:val="Source"/>
            </w:pPr>
            <w:r>
              <w:rPr>
                <w:i/>
              </w:rPr>
              <w:t>S</w:t>
            </w:r>
            <w:r w:rsidRPr="00784A05">
              <w:rPr>
                <w:i/>
              </w:rPr>
              <w:t>ource</w:t>
            </w:r>
            <w:r w:rsidRPr="00176D3F">
              <w:t xml:space="preserve">: </w:t>
            </w:r>
            <w:r>
              <w:t>Australian Go</w:t>
            </w:r>
            <w:r w:rsidR="002C10E8">
              <w:t xml:space="preserve">vernment Department of </w:t>
            </w:r>
            <w:r w:rsidR="00ED4FA9">
              <w:t>Education and Training</w:t>
            </w:r>
            <w:r>
              <w:t>,</w:t>
            </w:r>
            <w:r w:rsidRPr="008C5B8D">
              <w:t xml:space="preserve"> </w:t>
            </w:r>
            <w:r w:rsidRPr="0072701E">
              <w:rPr>
                <w:i/>
              </w:rPr>
              <w:t>National Early Childhood Education and Care Workforce Census</w:t>
            </w:r>
            <w:r>
              <w:t>,</w:t>
            </w:r>
            <w:r w:rsidRPr="00383212">
              <w:rPr>
                <w:i/>
              </w:rPr>
              <w:t xml:space="preserve"> 2013</w:t>
            </w:r>
            <w:r w:rsidRPr="00C40398">
              <w:rPr>
                <w:i/>
              </w:rPr>
              <w:t>;</w:t>
            </w:r>
            <w:r w:rsidRPr="008C5B8D">
              <w:t xml:space="preserve"> </w:t>
            </w:r>
            <w:r w:rsidR="001739E3">
              <w:t>table </w:t>
            </w:r>
            <w:proofErr w:type="spellStart"/>
            <w:r w:rsidR="001739E3">
              <w:t>3A.45</w:t>
            </w:r>
            <w:proofErr w:type="spellEnd"/>
            <w:r w:rsidRPr="00F5145A">
              <w:t>.</w:t>
            </w:r>
          </w:p>
        </w:tc>
      </w:tr>
      <w:tr w:rsidR="00F5145A" w:rsidTr="00FD50DC">
        <w:tc>
          <w:tcPr>
            <w:tcW w:w="8771" w:type="dxa"/>
            <w:tcBorders>
              <w:top w:val="nil"/>
              <w:left w:val="nil"/>
              <w:bottom w:val="single" w:sz="6" w:space="0" w:color="78A22F"/>
              <w:right w:val="nil"/>
            </w:tcBorders>
            <w:shd w:val="clear" w:color="auto" w:fill="auto"/>
          </w:tcPr>
          <w:p w:rsidR="00F5145A" w:rsidRDefault="00F5145A" w:rsidP="00FD50DC">
            <w:pPr>
              <w:pStyle w:val="Figurespace"/>
            </w:pPr>
          </w:p>
        </w:tc>
      </w:tr>
      <w:tr w:rsidR="00F5145A" w:rsidRPr="000863A5" w:rsidTr="00FD50DC">
        <w:tc>
          <w:tcPr>
            <w:tcW w:w="8771" w:type="dxa"/>
            <w:tcBorders>
              <w:top w:val="single" w:sz="6" w:space="0" w:color="78A22F"/>
              <w:left w:val="nil"/>
              <w:bottom w:val="nil"/>
              <w:right w:val="nil"/>
            </w:tcBorders>
          </w:tcPr>
          <w:p w:rsidR="00F5145A" w:rsidRPr="00626D32" w:rsidRDefault="00F5145A" w:rsidP="00FD50DC">
            <w:pPr>
              <w:pStyle w:val="BoxSpaceBelow"/>
            </w:pPr>
          </w:p>
        </w:tc>
      </w:tr>
    </w:tbl>
    <w:p w:rsidR="00BA6592" w:rsidRDefault="007F60E0" w:rsidP="00C3586E">
      <w:pPr>
        <w:pStyle w:val="BodyText"/>
      </w:pPr>
      <w:r>
        <w:t>N</w:t>
      </w:r>
      <w:r w:rsidR="005A2A2C">
        <w:t>ationally</w:t>
      </w:r>
      <w:r w:rsidR="0008765A">
        <w:t xml:space="preserve"> in 2013</w:t>
      </w:r>
      <w:r w:rsidR="005A2A2C">
        <w:t>,</w:t>
      </w:r>
      <w:r w:rsidR="00CC6589">
        <w:t xml:space="preserve"> </w:t>
      </w:r>
      <w:r>
        <w:t xml:space="preserve">the majority of </w:t>
      </w:r>
      <w:r w:rsidR="00CC6589">
        <w:t xml:space="preserve">paid primary contact staff with </w:t>
      </w:r>
      <w:r w:rsidR="006D6EB6">
        <w:t xml:space="preserve">relevant </w:t>
      </w:r>
      <w:r w:rsidR="00CC6589">
        <w:t xml:space="preserve">formal qualifications in </w:t>
      </w:r>
      <w:r w:rsidR="00246271">
        <w:t xml:space="preserve">Australian Government </w:t>
      </w:r>
      <w:proofErr w:type="spellStart"/>
      <w:r w:rsidR="006B6517">
        <w:t>CCB</w:t>
      </w:r>
      <w:proofErr w:type="spellEnd"/>
      <w:r w:rsidR="006B6517">
        <w:t xml:space="preserve"> </w:t>
      </w:r>
      <w:r w:rsidR="00CC6589">
        <w:t xml:space="preserve">approved </w:t>
      </w:r>
      <w:r w:rsidR="00CC6589" w:rsidRPr="00900809">
        <w:t>child care services</w:t>
      </w:r>
      <w:r w:rsidRPr="00900809">
        <w:t xml:space="preserve"> held a </w:t>
      </w:r>
      <w:r w:rsidR="00F7662D" w:rsidRPr="00900809">
        <w:t>c</w:t>
      </w:r>
      <w:r w:rsidR="00B556E4" w:rsidRPr="00900809">
        <w:t>ertificate III or IV</w:t>
      </w:r>
      <w:r w:rsidR="00D06E10" w:rsidRPr="00900809">
        <w:t>,</w:t>
      </w:r>
      <w:r w:rsidR="00B556E4" w:rsidRPr="00900809">
        <w:t xml:space="preserve"> or a </w:t>
      </w:r>
      <w:r w:rsidR="00F7662D" w:rsidRPr="00900809">
        <w:t>d</w:t>
      </w:r>
      <w:r w:rsidR="00B556E4" w:rsidRPr="00900809">
        <w:t xml:space="preserve">iploma or </w:t>
      </w:r>
      <w:r w:rsidR="00F7662D" w:rsidRPr="00900809">
        <w:t>a</w:t>
      </w:r>
      <w:r w:rsidR="00B556E4" w:rsidRPr="00900809">
        <w:t xml:space="preserve">dvanced </w:t>
      </w:r>
      <w:r w:rsidR="00F7662D" w:rsidRPr="00900809">
        <w:t>d</w:t>
      </w:r>
      <w:r w:rsidR="00B556E4" w:rsidRPr="00900809">
        <w:t>iploma</w:t>
      </w:r>
      <w:r w:rsidRPr="00900809">
        <w:t xml:space="preserve"> (</w:t>
      </w:r>
      <w:r w:rsidR="00E448AB" w:rsidRPr="00E448AB">
        <w:t>44.4</w:t>
      </w:r>
      <w:r w:rsidR="00DC7AAB" w:rsidRPr="00E448AB">
        <w:t xml:space="preserve"> </w:t>
      </w:r>
      <w:r w:rsidRPr="00E448AB">
        <w:t>per cent</w:t>
      </w:r>
      <w:r w:rsidR="00B556E4" w:rsidRPr="00E448AB">
        <w:t xml:space="preserve"> and </w:t>
      </w:r>
      <w:r w:rsidR="00E448AB" w:rsidRPr="00E448AB">
        <w:t>40.1</w:t>
      </w:r>
      <w:r w:rsidR="00713462" w:rsidRPr="00E448AB">
        <w:t> </w:t>
      </w:r>
      <w:r w:rsidR="00E602DE" w:rsidRPr="00900809">
        <w:t>per </w:t>
      </w:r>
      <w:r w:rsidR="00B556E4" w:rsidRPr="00900809">
        <w:t>cent, respectively</w:t>
      </w:r>
      <w:r w:rsidRPr="00900809">
        <w:t>)</w:t>
      </w:r>
      <w:r w:rsidR="00B556E4" w:rsidRPr="00900809">
        <w:t xml:space="preserve"> </w:t>
      </w:r>
      <w:r w:rsidR="000B2D26" w:rsidRPr="00900809">
        <w:t>(table</w:t>
      </w:r>
      <w:r w:rsidR="00B556E4" w:rsidRPr="00900809">
        <w:t> </w:t>
      </w:r>
      <w:proofErr w:type="spellStart"/>
      <w:r w:rsidR="000B2D26" w:rsidRPr="00E448AB">
        <w:t>3A.</w:t>
      </w:r>
      <w:r w:rsidR="001739E3">
        <w:t>46</w:t>
      </w:r>
      <w:proofErr w:type="spellEnd"/>
      <w:r w:rsidR="000B2D26" w:rsidRPr="00E448AB">
        <w:t xml:space="preserve">). </w:t>
      </w:r>
      <w:r w:rsidR="000B2D26" w:rsidRPr="00900809">
        <w:t xml:space="preserve">Of the </w:t>
      </w:r>
      <w:r w:rsidR="00E448AB" w:rsidRPr="00E448AB">
        <w:t>11</w:t>
      </w:r>
      <w:r w:rsidR="00CC43FD" w:rsidRPr="00E448AB">
        <w:t> </w:t>
      </w:r>
      <w:r w:rsidR="00E448AB" w:rsidRPr="00E448AB">
        <w:t>477</w:t>
      </w:r>
      <w:r w:rsidR="000E74ED" w:rsidRPr="00E448AB">
        <w:t xml:space="preserve"> (</w:t>
      </w:r>
      <w:r w:rsidR="000E74ED" w:rsidRPr="000F07E1">
        <w:t xml:space="preserve">or </w:t>
      </w:r>
      <w:r w:rsidR="00E448AB" w:rsidRPr="00E448AB">
        <w:t>15.5</w:t>
      </w:r>
      <w:r w:rsidR="00B556E4" w:rsidRPr="00E448AB">
        <w:t xml:space="preserve"> </w:t>
      </w:r>
      <w:r w:rsidR="00B556E4" w:rsidRPr="00900809">
        <w:t>per cent</w:t>
      </w:r>
      <w:r w:rsidR="000E74ED" w:rsidRPr="00900809">
        <w:t>)</w:t>
      </w:r>
      <w:r w:rsidR="00B556E4" w:rsidRPr="00900809">
        <w:t xml:space="preserve"> </w:t>
      </w:r>
      <w:r w:rsidR="000B2D26" w:rsidRPr="00900809">
        <w:t xml:space="preserve">paid primary contact staff with a bachelor degree or above, </w:t>
      </w:r>
      <w:r w:rsidR="00E448AB" w:rsidRPr="00E448AB">
        <w:t>82.8</w:t>
      </w:r>
      <w:r w:rsidR="000B2D26" w:rsidRPr="00E448AB">
        <w:t xml:space="preserve"> per cent held university qualifications in the field of </w:t>
      </w:r>
      <w:r w:rsidR="00E12AA6" w:rsidRPr="00E448AB">
        <w:t>e</w:t>
      </w:r>
      <w:r w:rsidR="000B2D26" w:rsidRPr="00E448AB">
        <w:t xml:space="preserve">arly </w:t>
      </w:r>
      <w:r w:rsidR="00E12AA6" w:rsidRPr="00E448AB">
        <w:t>c</w:t>
      </w:r>
      <w:r w:rsidR="000B2D26" w:rsidRPr="00E448AB">
        <w:t>hildhood education (table</w:t>
      </w:r>
      <w:r w:rsidR="00172534" w:rsidRPr="00E448AB">
        <w:t> </w:t>
      </w:r>
      <w:proofErr w:type="spellStart"/>
      <w:r w:rsidR="000B2D26" w:rsidRPr="00E448AB">
        <w:t>3A.</w:t>
      </w:r>
      <w:r w:rsidR="001739E3">
        <w:t>46</w:t>
      </w:r>
      <w:proofErr w:type="spellEnd"/>
      <w:r w:rsidR="000B2D26" w:rsidRPr="00E448AB">
        <w:t>).</w:t>
      </w:r>
    </w:p>
    <w:p w:rsidR="00E1515B" w:rsidRPr="00900809" w:rsidRDefault="00E1515B" w:rsidP="00C3586E">
      <w:pPr>
        <w:pStyle w:val="BodyText"/>
      </w:pPr>
      <w:r w:rsidRPr="003A14C9">
        <w:t xml:space="preserve">Nationally in 2013, </w:t>
      </w:r>
      <w:r w:rsidR="00E448AB" w:rsidRPr="00E448AB">
        <w:t>80.9</w:t>
      </w:r>
      <w:r w:rsidRPr="00E448AB">
        <w:t xml:space="preserve"> </w:t>
      </w:r>
      <w:r w:rsidRPr="003A14C9">
        <w:t xml:space="preserve">per cent of paid primary contact staff in Australian Government </w:t>
      </w:r>
      <w:proofErr w:type="spellStart"/>
      <w:r w:rsidR="006B6517">
        <w:t>CCB</w:t>
      </w:r>
      <w:proofErr w:type="spellEnd"/>
      <w:r w:rsidR="006B6517">
        <w:t xml:space="preserve"> </w:t>
      </w:r>
      <w:r w:rsidRPr="003A14C9">
        <w:t>approved child care services undertook relevant in</w:t>
      </w:r>
      <w:r w:rsidR="00172534">
        <w:noBreakHyphen/>
      </w:r>
      <w:r w:rsidRPr="003A14C9">
        <w:t xml:space="preserve">service training in the previous </w:t>
      </w:r>
      <w:r w:rsidR="009150E2">
        <w:br/>
      </w:r>
      <w:r w:rsidRPr="003A14C9">
        <w:t>12 months</w:t>
      </w:r>
      <w:r w:rsidR="001739E3">
        <w:t xml:space="preserve"> (table</w:t>
      </w:r>
      <w:r w:rsidR="00697D43">
        <w:t> </w:t>
      </w:r>
      <w:proofErr w:type="spellStart"/>
      <w:r w:rsidR="001739E3">
        <w:t>3A.47</w:t>
      </w:r>
      <w:proofErr w:type="spellEnd"/>
      <w:r w:rsidR="00045D77">
        <w:t xml:space="preserve">). </w:t>
      </w:r>
    </w:p>
    <w:p w:rsidR="001D32F6" w:rsidRDefault="00666BFC" w:rsidP="001D32F6">
      <w:pPr>
        <w:pStyle w:val="BodyText"/>
      </w:pPr>
      <w:r w:rsidRPr="001D32F6">
        <w:rPr>
          <w:rStyle w:val="BodyTextChar"/>
        </w:rPr>
        <w:t>Additional contextual d</w:t>
      </w:r>
      <w:r w:rsidR="00794598" w:rsidRPr="001D32F6">
        <w:rPr>
          <w:rStyle w:val="BodyTextChar"/>
        </w:rPr>
        <w:t>ata</w:t>
      </w:r>
      <w:r w:rsidRPr="001D32F6">
        <w:rPr>
          <w:rStyle w:val="BodyTextChar"/>
        </w:rPr>
        <w:t xml:space="preserve"> </w:t>
      </w:r>
      <w:r w:rsidR="006C159D" w:rsidRPr="001D32F6">
        <w:rPr>
          <w:rStyle w:val="BodyTextChar"/>
        </w:rPr>
        <w:t xml:space="preserve">on staff tenure </w:t>
      </w:r>
      <w:r w:rsidR="00794598" w:rsidRPr="001D32F6">
        <w:rPr>
          <w:rStyle w:val="BodyTextChar"/>
        </w:rPr>
        <w:t>in Australian Government approved child c</w:t>
      </w:r>
      <w:r w:rsidR="008F46FC" w:rsidRPr="001D32F6">
        <w:rPr>
          <w:rStyle w:val="BodyTextChar"/>
        </w:rPr>
        <w:t xml:space="preserve">are services </w:t>
      </w:r>
      <w:r w:rsidR="00D06E10" w:rsidRPr="001D32F6">
        <w:rPr>
          <w:rStyle w:val="BodyTextChar"/>
        </w:rPr>
        <w:t xml:space="preserve">are reported in </w:t>
      </w:r>
      <w:r w:rsidR="00916691" w:rsidRPr="001D32F6">
        <w:rPr>
          <w:rStyle w:val="BodyTextChar"/>
        </w:rPr>
        <w:t>table</w:t>
      </w:r>
      <w:r w:rsidR="00172534" w:rsidRPr="001D32F6">
        <w:rPr>
          <w:rStyle w:val="BodyTextChar"/>
        </w:rPr>
        <w:t> </w:t>
      </w:r>
      <w:proofErr w:type="spellStart"/>
      <w:r w:rsidR="001739E3">
        <w:rPr>
          <w:rStyle w:val="BodyTextChar"/>
        </w:rPr>
        <w:t>3A.48</w:t>
      </w:r>
      <w:proofErr w:type="spellEnd"/>
      <w:r w:rsidR="00B172A5" w:rsidRPr="001D32F6">
        <w:rPr>
          <w:rStyle w:val="BodyTextChar"/>
        </w:rPr>
        <w:t>. Additional contextual data on staff numbers, qualifications and in</w:t>
      </w:r>
      <w:r w:rsidR="002D438E">
        <w:rPr>
          <w:rStyle w:val="BodyTextChar"/>
        </w:rPr>
        <w:noBreakHyphen/>
      </w:r>
      <w:r w:rsidR="00B172A5" w:rsidRPr="001D32F6">
        <w:rPr>
          <w:rStyle w:val="BodyTextChar"/>
        </w:rPr>
        <w:t xml:space="preserve">service training in State and Territory </w:t>
      </w:r>
      <w:r w:rsidR="00E2445B">
        <w:rPr>
          <w:rStyle w:val="BodyTextChar"/>
        </w:rPr>
        <w:t xml:space="preserve">government </w:t>
      </w:r>
      <w:r w:rsidR="00B172A5" w:rsidRPr="001D32F6">
        <w:rPr>
          <w:rStyle w:val="BodyTextChar"/>
        </w:rPr>
        <w:t>funded (only) child care services are available in table</w:t>
      </w:r>
      <w:r w:rsidR="00697D43">
        <w:rPr>
          <w:rStyle w:val="BodyTextChar"/>
        </w:rPr>
        <w:t> </w:t>
      </w:r>
      <w:proofErr w:type="spellStart"/>
      <w:r w:rsidR="00B172A5" w:rsidRPr="001D32F6">
        <w:rPr>
          <w:rStyle w:val="BodyTextChar"/>
        </w:rPr>
        <w:t>3A.</w:t>
      </w:r>
      <w:r w:rsidR="001739E3">
        <w:rPr>
          <w:rStyle w:val="BodyTextChar"/>
        </w:rPr>
        <w:t>49</w:t>
      </w:r>
      <w:proofErr w:type="spellEnd"/>
      <w:r w:rsidR="00B172A5" w:rsidRPr="001D32F6">
        <w:rPr>
          <w:rStyle w:val="BodyTextChar"/>
        </w:rPr>
        <w:t xml:space="preserve"> and </w:t>
      </w:r>
      <w:proofErr w:type="spellStart"/>
      <w:r w:rsidR="00B172A5" w:rsidRPr="001D32F6">
        <w:rPr>
          <w:rStyle w:val="BodyTextChar"/>
        </w:rPr>
        <w:t>3A.5</w:t>
      </w:r>
      <w:r w:rsidR="001739E3">
        <w:rPr>
          <w:rStyle w:val="BodyTextChar"/>
        </w:rPr>
        <w:t>0</w:t>
      </w:r>
      <w:proofErr w:type="spellEnd"/>
      <w:r w:rsidR="00B172A5" w:rsidRPr="001D32F6">
        <w:rPr>
          <w:rStyle w:val="BodyTextChar"/>
        </w:rPr>
        <w:t>.</w:t>
      </w:r>
      <w:r w:rsidR="00B172A5">
        <w:t xml:space="preserve"> </w:t>
      </w:r>
    </w:p>
    <w:p w:rsidR="00DB2B6B" w:rsidRDefault="00DB2B6B" w:rsidP="009B11B2">
      <w:pPr>
        <w:pStyle w:val="Heading5"/>
      </w:pPr>
      <w:r>
        <w:lastRenderedPageBreak/>
        <w:t>Proportion of workers delivering preschool programs who are at least three year university trained and early childhood qualified</w:t>
      </w:r>
    </w:p>
    <w:p w:rsidR="00DB2B6B" w:rsidRDefault="00A83E1E" w:rsidP="00DB2B6B">
      <w:pPr>
        <w:pStyle w:val="BodyText"/>
      </w:pPr>
      <w:r w:rsidRPr="00A83E1E">
        <w:t>Nationally</w:t>
      </w:r>
      <w:r w:rsidR="00351D0E">
        <w:t xml:space="preserve"> in 2014</w:t>
      </w:r>
      <w:r w:rsidR="00EA27A6" w:rsidRPr="00A83E1E">
        <w:t>,</w:t>
      </w:r>
      <w:r w:rsidR="00390752">
        <w:t xml:space="preserve"> there were 43 120</w:t>
      </w:r>
      <w:r w:rsidR="00DB2B6B" w:rsidRPr="00A83E1E">
        <w:t xml:space="preserve"> workers deliv</w:t>
      </w:r>
      <w:r w:rsidR="00390752">
        <w:t>ering preschool programs</w:t>
      </w:r>
      <w:r w:rsidR="00351D0E">
        <w:t>,</w:t>
      </w:r>
      <w:r w:rsidR="00390752">
        <w:t xml:space="preserve"> </w:t>
      </w:r>
      <w:r w:rsidR="00351D0E">
        <w:t xml:space="preserve">of whom 40.5 per cent were </w:t>
      </w:r>
      <w:r w:rsidR="00DB2B6B" w:rsidRPr="00A83E1E">
        <w:t>at least three year university trained and e</w:t>
      </w:r>
      <w:r w:rsidR="00390752">
        <w:t>arly childhood qualified</w:t>
      </w:r>
      <w:r w:rsidR="00DB2B6B" w:rsidRPr="00A83E1E">
        <w:t xml:space="preserve"> </w:t>
      </w:r>
      <w:r w:rsidR="0032575C">
        <w:t>(figure</w:t>
      </w:r>
      <w:r w:rsidR="00697D43">
        <w:t> </w:t>
      </w:r>
      <w:r w:rsidR="0032575C">
        <w:t>3.14</w:t>
      </w:r>
      <w:r w:rsidR="00DB2B6B" w:rsidRPr="00A83E1E">
        <w:t>).</w:t>
      </w:r>
    </w:p>
    <w:p w:rsidR="008528B0" w:rsidRDefault="008528B0" w:rsidP="00EB1E9C">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8528B0" w:rsidTr="00EB1E9C">
        <w:tc>
          <w:tcPr>
            <w:tcW w:w="8771" w:type="dxa"/>
            <w:tcBorders>
              <w:top w:val="single" w:sz="6" w:space="0" w:color="78A22F"/>
              <w:left w:val="nil"/>
              <w:bottom w:val="nil"/>
              <w:right w:val="nil"/>
            </w:tcBorders>
            <w:shd w:val="clear" w:color="auto" w:fill="auto"/>
          </w:tcPr>
          <w:p w:rsidR="008528B0" w:rsidRPr="00176D3F" w:rsidRDefault="008528B0" w:rsidP="00351D0E">
            <w:pPr>
              <w:pStyle w:val="FigureTitle"/>
            </w:pPr>
            <w:r w:rsidRPr="00784A05">
              <w:rPr>
                <w:b w:val="0"/>
              </w:rPr>
              <w:t xml:space="preserve">Figure </w:t>
            </w:r>
            <w:r>
              <w:rPr>
                <w:b w:val="0"/>
              </w:rPr>
              <w:t>3.</w:t>
            </w:r>
            <w:r w:rsidR="000E3849">
              <w:rPr>
                <w:b w:val="0"/>
                <w:noProof/>
              </w:rPr>
              <w:t>14</w:t>
            </w:r>
            <w:r>
              <w:tab/>
              <w:t>Proportion of workers delivering preschool programs who are at least three year university trained and early childhood qualified</w:t>
            </w:r>
            <w:r w:rsidR="00390752">
              <w:t>, 2014</w:t>
            </w:r>
            <w:r w:rsidR="003679B9" w:rsidRPr="00500E16">
              <w:rPr>
                <w:rStyle w:val="NoteLabel"/>
                <w:b/>
              </w:rPr>
              <w:t>a</w:t>
            </w:r>
          </w:p>
        </w:tc>
      </w:tr>
      <w:tr w:rsidR="008528B0" w:rsidTr="00EB1E9C">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8528B0" w:rsidTr="00EB1E9C">
              <w:trPr>
                <w:jc w:val="center"/>
              </w:trPr>
              <w:tc>
                <w:tcPr>
                  <w:tcW w:w="5000" w:type="pct"/>
                  <w:tcBorders>
                    <w:top w:val="nil"/>
                    <w:bottom w:val="nil"/>
                  </w:tcBorders>
                </w:tcPr>
                <w:p w:rsidR="008528B0" w:rsidRDefault="00B337E3" w:rsidP="00EB1E9C">
                  <w:pPr>
                    <w:pStyle w:val="Figure"/>
                    <w:spacing w:before="60" w:after="60"/>
                  </w:pPr>
                  <w:r>
                    <w:rPr>
                      <w:noProof/>
                    </w:rPr>
                    <w:drawing>
                      <wp:inline distT="0" distB="0" distL="0" distR="0">
                        <wp:extent cx="5390515" cy="2679700"/>
                        <wp:effectExtent l="0" t="0" r="635" b="6350"/>
                        <wp:docPr id="13" name="Picture 13" descr="Figure 3.14 Proportion of workers delivering preschool programs who are at least three year university trained and early childhood qualified, 2014&#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390515" cy="2679700"/>
                                </a:xfrm>
                                <a:prstGeom prst="rect">
                                  <a:avLst/>
                                </a:prstGeom>
                                <a:noFill/>
                                <a:ln>
                                  <a:noFill/>
                                </a:ln>
                              </pic:spPr>
                            </pic:pic>
                          </a:graphicData>
                        </a:graphic>
                      </wp:inline>
                    </w:drawing>
                  </w:r>
                </w:p>
              </w:tc>
            </w:tr>
          </w:tbl>
          <w:p w:rsidR="008528B0" w:rsidRDefault="008528B0" w:rsidP="00EB1E9C">
            <w:pPr>
              <w:pStyle w:val="Figure"/>
            </w:pPr>
          </w:p>
        </w:tc>
      </w:tr>
      <w:tr w:rsidR="008528B0" w:rsidRPr="00176D3F" w:rsidTr="00EB1E9C">
        <w:tc>
          <w:tcPr>
            <w:tcW w:w="8771" w:type="dxa"/>
            <w:tcBorders>
              <w:top w:val="nil"/>
              <w:left w:val="nil"/>
              <w:bottom w:val="nil"/>
              <w:right w:val="nil"/>
            </w:tcBorders>
            <w:shd w:val="clear" w:color="auto" w:fill="auto"/>
          </w:tcPr>
          <w:p w:rsidR="008528B0" w:rsidRPr="00176D3F" w:rsidRDefault="008528B0" w:rsidP="00D23873">
            <w:pPr>
              <w:pStyle w:val="Note"/>
            </w:pPr>
            <w:r w:rsidRPr="00F34D75">
              <w:rPr>
                <w:rStyle w:val="NoteLabel"/>
              </w:rPr>
              <w:t>a</w:t>
            </w:r>
            <w:r w:rsidRPr="00F34D75">
              <w:t xml:space="preserve"> </w:t>
            </w:r>
            <w:r w:rsidR="00EE27F0" w:rsidRPr="00AA1455">
              <w:rPr>
                <w:rStyle w:val="NoteChar"/>
              </w:rPr>
              <w:t>See box</w:t>
            </w:r>
            <w:r w:rsidR="00697D43">
              <w:rPr>
                <w:rStyle w:val="NoteChar"/>
              </w:rPr>
              <w:t> </w:t>
            </w:r>
            <w:r w:rsidR="00EE27F0" w:rsidRPr="00AA1455">
              <w:rPr>
                <w:rStyle w:val="NoteChar"/>
              </w:rPr>
              <w:t>3.1</w:t>
            </w:r>
            <w:r w:rsidR="00EE27F0">
              <w:rPr>
                <w:rStyle w:val="NoteChar"/>
              </w:rPr>
              <w:t>5</w:t>
            </w:r>
            <w:r w:rsidR="00EE27F0" w:rsidRPr="00AA1455">
              <w:rPr>
                <w:rStyle w:val="NoteChar"/>
              </w:rPr>
              <w:t xml:space="preserve"> and table</w:t>
            </w:r>
            <w:r w:rsidR="00697D43">
              <w:rPr>
                <w:rStyle w:val="NoteChar"/>
              </w:rPr>
              <w:t> </w:t>
            </w:r>
            <w:proofErr w:type="spellStart"/>
            <w:r w:rsidR="00EE27F0" w:rsidRPr="00AA1455">
              <w:rPr>
                <w:rStyle w:val="NoteChar"/>
              </w:rPr>
              <w:t>3A.</w:t>
            </w:r>
            <w:r w:rsidR="001739E3">
              <w:rPr>
                <w:rStyle w:val="NoteChar"/>
              </w:rPr>
              <w:t>51</w:t>
            </w:r>
            <w:proofErr w:type="spellEnd"/>
            <w:r w:rsidR="00EE27F0" w:rsidRPr="00AA1455">
              <w:rPr>
                <w:rStyle w:val="NoteChar"/>
              </w:rPr>
              <w:t xml:space="preserve"> for </w:t>
            </w:r>
            <w:r w:rsidR="00937F53">
              <w:rPr>
                <w:rStyle w:val="NoteChar"/>
              </w:rPr>
              <w:t>detailed definitions, footnotes and caveats.</w:t>
            </w:r>
          </w:p>
        </w:tc>
      </w:tr>
      <w:tr w:rsidR="008528B0" w:rsidRPr="00176D3F" w:rsidTr="00EB1E9C">
        <w:tc>
          <w:tcPr>
            <w:tcW w:w="8771" w:type="dxa"/>
            <w:tcBorders>
              <w:top w:val="nil"/>
              <w:left w:val="nil"/>
              <w:bottom w:val="nil"/>
              <w:right w:val="nil"/>
            </w:tcBorders>
            <w:shd w:val="clear" w:color="auto" w:fill="auto"/>
          </w:tcPr>
          <w:p w:rsidR="008528B0" w:rsidRPr="00176D3F" w:rsidRDefault="008528B0" w:rsidP="00170E9D">
            <w:pPr>
              <w:pStyle w:val="Source"/>
            </w:pPr>
            <w:r>
              <w:rPr>
                <w:i/>
              </w:rPr>
              <w:t>S</w:t>
            </w:r>
            <w:r w:rsidRPr="00784A05">
              <w:rPr>
                <w:i/>
              </w:rPr>
              <w:t>ource</w:t>
            </w:r>
            <w:r w:rsidRPr="00176D3F">
              <w:t xml:space="preserve">: </w:t>
            </w:r>
            <w:r w:rsidR="00390752">
              <w:t>ABS (unpublished</w:t>
            </w:r>
            <w:r w:rsidR="005B340A" w:rsidRPr="005B340A">
              <w:t xml:space="preserve">) </w:t>
            </w:r>
            <w:proofErr w:type="spellStart"/>
            <w:r w:rsidR="00170E9D" w:rsidRPr="00170E9D">
              <w:rPr>
                <w:i/>
              </w:rPr>
              <w:t>Microdata</w:t>
            </w:r>
            <w:proofErr w:type="spellEnd"/>
            <w:r w:rsidR="00170E9D" w:rsidRPr="00170E9D">
              <w:rPr>
                <w:i/>
              </w:rPr>
              <w:t>:</w:t>
            </w:r>
            <w:r w:rsidR="00170E9D">
              <w:t xml:space="preserve"> </w:t>
            </w:r>
            <w:r w:rsidR="005B340A" w:rsidRPr="005B340A">
              <w:rPr>
                <w:i/>
              </w:rPr>
              <w:t>Pres</w:t>
            </w:r>
            <w:r w:rsidR="001A1D30">
              <w:rPr>
                <w:i/>
              </w:rPr>
              <w:t>chool Education, Australia, 2014</w:t>
            </w:r>
            <w:r w:rsidR="005B340A" w:rsidRPr="005B340A">
              <w:rPr>
                <w:i/>
              </w:rPr>
              <w:t>,</w:t>
            </w:r>
            <w:r w:rsidR="001D453B">
              <w:t xml:space="preserve"> Cat. n</w:t>
            </w:r>
            <w:r w:rsidR="00390752">
              <w:t>o. 4240.0</w:t>
            </w:r>
            <w:r w:rsidR="00170E9D">
              <w:t>.55.003</w:t>
            </w:r>
            <w:r w:rsidR="001739E3">
              <w:t>; table</w:t>
            </w:r>
            <w:r w:rsidR="00697D43">
              <w:t> </w:t>
            </w:r>
            <w:proofErr w:type="spellStart"/>
            <w:r w:rsidR="001739E3">
              <w:t>3A.51</w:t>
            </w:r>
            <w:proofErr w:type="spellEnd"/>
            <w:r w:rsidR="001D453B">
              <w:t>.</w:t>
            </w:r>
          </w:p>
        </w:tc>
      </w:tr>
      <w:tr w:rsidR="008528B0" w:rsidTr="00EB1E9C">
        <w:tc>
          <w:tcPr>
            <w:tcW w:w="8771" w:type="dxa"/>
            <w:tcBorders>
              <w:top w:val="nil"/>
              <w:left w:val="nil"/>
              <w:bottom w:val="single" w:sz="6" w:space="0" w:color="78A22F"/>
              <w:right w:val="nil"/>
            </w:tcBorders>
            <w:shd w:val="clear" w:color="auto" w:fill="auto"/>
          </w:tcPr>
          <w:p w:rsidR="008528B0" w:rsidRDefault="008528B0" w:rsidP="00EB1E9C">
            <w:pPr>
              <w:pStyle w:val="Figurespace"/>
            </w:pPr>
          </w:p>
        </w:tc>
      </w:tr>
      <w:tr w:rsidR="008528B0" w:rsidRPr="000863A5" w:rsidTr="00EB1E9C">
        <w:tc>
          <w:tcPr>
            <w:tcW w:w="8771" w:type="dxa"/>
            <w:tcBorders>
              <w:top w:val="single" w:sz="6" w:space="0" w:color="78A22F"/>
              <w:left w:val="nil"/>
              <w:bottom w:val="nil"/>
              <w:right w:val="nil"/>
            </w:tcBorders>
          </w:tcPr>
          <w:p w:rsidR="008528B0" w:rsidRPr="00626D32" w:rsidRDefault="008528B0" w:rsidP="00EB1E9C">
            <w:pPr>
              <w:pStyle w:val="BoxSpaceBelow"/>
            </w:pPr>
          </w:p>
        </w:tc>
      </w:tr>
    </w:tbl>
    <w:p w:rsidR="0037565D" w:rsidRDefault="00DB2B6B" w:rsidP="0037565D">
      <w:pPr>
        <w:pStyle w:val="BodyText"/>
      </w:pPr>
      <w:r w:rsidRPr="00A83E1E">
        <w:t xml:space="preserve">Data on workers who are </w:t>
      </w:r>
      <w:r w:rsidR="00134B8D">
        <w:t xml:space="preserve">at least early childhood certificate, diploma or advanced diploma level qualified and </w:t>
      </w:r>
      <w:r w:rsidRPr="00A83E1E">
        <w:t>four year university trained and early childhood qualif</w:t>
      </w:r>
      <w:r w:rsidR="00916691" w:rsidRPr="00A83E1E">
        <w:t xml:space="preserve">ied are </w:t>
      </w:r>
      <w:r w:rsidR="00134B8D">
        <w:t xml:space="preserve">also </w:t>
      </w:r>
      <w:r w:rsidR="00916691" w:rsidRPr="00A83E1E">
        <w:t>presented in table</w:t>
      </w:r>
      <w:r w:rsidR="00172534" w:rsidRPr="00A83E1E">
        <w:t> </w:t>
      </w:r>
      <w:proofErr w:type="spellStart"/>
      <w:r w:rsidR="001739E3">
        <w:t>3A.51</w:t>
      </w:r>
      <w:proofErr w:type="spellEnd"/>
      <w:r w:rsidR="00A83E1E" w:rsidRPr="00A83E1E">
        <w:t xml:space="preserve">. </w:t>
      </w:r>
      <w:r w:rsidR="0037565D">
        <w:t>Additional contextual data on staff numbers and in</w:t>
      </w:r>
      <w:r w:rsidR="002D438E">
        <w:noBreakHyphen/>
      </w:r>
      <w:r w:rsidR="0037565D">
        <w:t>service trainin</w:t>
      </w:r>
      <w:r w:rsidR="00AA1634">
        <w:t xml:space="preserve">g in State and Territory funded </w:t>
      </w:r>
      <w:r w:rsidR="0037565D">
        <w:t>(only) preschool services are available in table</w:t>
      </w:r>
      <w:r w:rsidR="00BA54AD">
        <w:t>s</w:t>
      </w:r>
      <w:r w:rsidR="00697D43">
        <w:t> </w:t>
      </w:r>
      <w:proofErr w:type="spellStart"/>
      <w:r w:rsidR="0037565D">
        <w:t>3A.</w:t>
      </w:r>
      <w:r w:rsidR="001739E3">
        <w:t>49</w:t>
      </w:r>
      <w:proofErr w:type="spellEnd"/>
      <w:r w:rsidR="001739E3">
        <w:t xml:space="preserve"> and </w:t>
      </w:r>
      <w:proofErr w:type="spellStart"/>
      <w:r w:rsidR="001739E3">
        <w:t>3A.50</w:t>
      </w:r>
      <w:proofErr w:type="spellEnd"/>
      <w:r w:rsidR="0037565D">
        <w:t>.</w:t>
      </w:r>
    </w:p>
    <w:p w:rsidR="0004244F" w:rsidRDefault="0004244F" w:rsidP="0004244F">
      <w:pPr>
        <w:pStyle w:val="Heading5"/>
      </w:pPr>
      <w:r>
        <w:t>Proportion of teachers delivering preschool programs who are at least three year university trained and early childhood qualified</w:t>
      </w:r>
    </w:p>
    <w:p w:rsidR="0004244F" w:rsidRDefault="0004244F" w:rsidP="0004244F">
      <w:pPr>
        <w:pStyle w:val="BodyText"/>
      </w:pPr>
      <w:r w:rsidRPr="00A83E1E">
        <w:t>Nationally</w:t>
      </w:r>
      <w:r w:rsidR="00351D0E">
        <w:t xml:space="preserve"> in 2014</w:t>
      </w:r>
      <w:r w:rsidRPr="00A83E1E">
        <w:t>,</w:t>
      </w:r>
      <w:r w:rsidR="00734DF6">
        <w:t xml:space="preserve"> there were 18</w:t>
      </w:r>
      <w:r>
        <w:t> </w:t>
      </w:r>
      <w:r w:rsidR="00734DF6">
        <w:t>993 teachers</w:t>
      </w:r>
      <w:r w:rsidRPr="00A83E1E">
        <w:t xml:space="preserve"> deliv</w:t>
      </w:r>
      <w:r>
        <w:t>ering preschool programs</w:t>
      </w:r>
      <w:r w:rsidR="00351D0E">
        <w:t>, of whom 88.2 per cent had teacher qualifications</w:t>
      </w:r>
      <w:r w:rsidR="00734DF6">
        <w:t xml:space="preserve"> (i.e. at least three year university trained in field of early childhood) </w:t>
      </w:r>
      <w:r w:rsidR="003B2788">
        <w:t>(fi</w:t>
      </w:r>
      <w:r w:rsidR="0032575C">
        <w:t>gure</w:t>
      </w:r>
      <w:r w:rsidR="00697D43">
        <w:t> </w:t>
      </w:r>
      <w:r w:rsidR="0032575C">
        <w:t>3.15</w:t>
      </w:r>
      <w:r w:rsidRPr="00A83E1E">
        <w:t>).</w:t>
      </w:r>
    </w:p>
    <w:p w:rsidR="00734DF6" w:rsidRDefault="00734DF6" w:rsidP="00BC20C8">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734DF6" w:rsidTr="00BC20C8">
        <w:tc>
          <w:tcPr>
            <w:tcW w:w="8771" w:type="dxa"/>
            <w:tcBorders>
              <w:top w:val="single" w:sz="6" w:space="0" w:color="78A22F"/>
              <w:left w:val="nil"/>
              <w:bottom w:val="nil"/>
              <w:right w:val="nil"/>
            </w:tcBorders>
            <w:shd w:val="clear" w:color="auto" w:fill="auto"/>
          </w:tcPr>
          <w:p w:rsidR="00734DF6" w:rsidRPr="00176D3F" w:rsidRDefault="00734DF6" w:rsidP="00734DF6">
            <w:pPr>
              <w:pStyle w:val="FigureTitle"/>
            </w:pPr>
            <w:r w:rsidRPr="00784A05">
              <w:rPr>
                <w:b w:val="0"/>
              </w:rPr>
              <w:t xml:space="preserve">Figure </w:t>
            </w:r>
            <w:r>
              <w:rPr>
                <w:b w:val="0"/>
              </w:rPr>
              <w:t>3.</w:t>
            </w:r>
            <w:r w:rsidR="000E3849">
              <w:rPr>
                <w:b w:val="0"/>
                <w:noProof/>
              </w:rPr>
              <w:t>15</w:t>
            </w:r>
            <w:r>
              <w:tab/>
              <w:t>Proportion of teachers delivering preschool programs who are at least three year university trained and early childhood qualified, 2014</w:t>
            </w:r>
            <w:r w:rsidRPr="00500E16">
              <w:rPr>
                <w:rStyle w:val="NoteLabel"/>
                <w:b/>
              </w:rPr>
              <w:t>a</w:t>
            </w:r>
          </w:p>
        </w:tc>
      </w:tr>
      <w:tr w:rsidR="00734DF6" w:rsidTr="00BC20C8">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734DF6" w:rsidTr="00BC20C8">
              <w:trPr>
                <w:jc w:val="center"/>
              </w:trPr>
              <w:tc>
                <w:tcPr>
                  <w:tcW w:w="5000" w:type="pct"/>
                  <w:tcBorders>
                    <w:top w:val="nil"/>
                    <w:bottom w:val="nil"/>
                  </w:tcBorders>
                </w:tcPr>
                <w:p w:rsidR="00734DF6" w:rsidRDefault="0048402A" w:rsidP="0048402A">
                  <w:pPr>
                    <w:pStyle w:val="Figure"/>
                    <w:tabs>
                      <w:tab w:val="left" w:pos="690"/>
                    </w:tabs>
                    <w:spacing w:before="60" w:after="60"/>
                    <w:jc w:val="left"/>
                  </w:pPr>
                  <w:r>
                    <w:tab/>
                  </w:r>
                  <w:r w:rsidR="00B337E3">
                    <w:rPr>
                      <w:noProof/>
                    </w:rPr>
                    <w:drawing>
                      <wp:inline distT="0" distB="0" distL="0" distR="0">
                        <wp:extent cx="5390515" cy="2679700"/>
                        <wp:effectExtent l="0" t="0" r="635" b="6350"/>
                        <wp:docPr id="14" name="Picture 14" descr="Figure 3.15 Proportion of teachers delivering preschool programs who are at least three year university trained and early childhood qualified, 2014&#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390515" cy="2679700"/>
                                </a:xfrm>
                                <a:prstGeom prst="rect">
                                  <a:avLst/>
                                </a:prstGeom>
                                <a:noFill/>
                                <a:ln>
                                  <a:noFill/>
                                </a:ln>
                              </pic:spPr>
                            </pic:pic>
                          </a:graphicData>
                        </a:graphic>
                      </wp:inline>
                    </w:drawing>
                  </w:r>
                </w:p>
              </w:tc>
            </w:tr>
          </w:tbl>
          <w:p w:rsidR="00734DF6" w:rsidRDefault="00734DF6" w:rsidP="00BC20C8">
            <w:pPr>
              <w:pStyle w:val="Figure"/>
            </w:pPr>
          </w:p>
        </w:tc>
      </w:tr>
      <w:tr w:rsidR="00734DF6" w:rsidRPr="00176D3F" w:rsidTr="00BC20C8">
        <w:tc>
          <w:tcPr>
            <w:tcW w:w="8771" w:type="dxa"/>
            <w:tcBorders>
              <w:top w:val="nil"/>
              <w:left w:val="nil"/>
              <w:bottom w:val="nil"/>
              <w:right w:val="nil"/>
            </w:tcBorders>
            <w:shd w:val="clear" w:color="auto" w:fill="auto"/>
          </w:tcPr>
          <w:p w:rsidR="00734DF6" w:rsidRPr="00176D3F" w:rsidRDefault="00734DF6" w:rsidP="003D0CCB">
            <w:pPr>
              <w:pStyle w:val="Note"/>
            </w:pPr>
            <w:r>
              <w:rPr>
                <w:rStyle w:val="NoteLabel"/>
              </w:rPr>
              <w:t>a</w:t>
            </w:r>
            <w:r w:rsidR="00EC5CAF">
              <w:t xml:space="preserve"> </w:t>
            </w:r>
            <w:r w:rsidR="00EE27F0" w:rsidRPr="00AA1455">
              <w:rPr>
                <w:rStyle w:val="NoteChar"/>
              </w:rPr>
              <w:t>See box</w:t>
            </w:r>
            <w:r w:rsidR="00697D43">
              <w:rPr>
                <w:rStyle w:val="NoteChar"/>
              </w:rPr>
              <w:t> </w:t>
            </w:r>
            <w:r w:rsidR="00EE27F0" w:rsidRPr="00AA1455">
              <w:rPr>
                <w:rStyle w:val="NoteChar"/>
              </w:rPr>
              <w:t>3.1</w:t>
            </w:r>
            <w:r w:rsidR="00EE27F0">
              <w:rPr>
                <w:rStyle w:val="NoteChar"/>
              </w:rPr>
              <w:t>5</w:t>
            </w:r>
            <w:r w:rsidR="00EE27F0" w:rsidRPr="00AA1455">
              <w:rPr>
                <w:rStyle w:val="NoteChar"/>
              </w:rPr>
              <w:t xml:space="preserve"> and table</w:t>
            </w:r>
            <w:r w:rsidR="00697D43">
              <w:rPr>
                <w:rStyle w:val="NoteChar"/>
              </w:rPr>
              <w:t> </w:t>
            </w:r>
            <w:proofErr w:type="spellStart"/>
            <w:r w:rsidR="00EE27F0" w:rsidRPr="00AA1455">
              <w:rPr>
                <w:rStyle w:val="NoteChar"/>
              </w:rPr>
              <w:t>3A.</w:t>
            </w:r>
            <w:r w:rsidR="00EE27F0">
              <w:rPr>
                <w:rStyle w:val="NoteChar"/>
              </w:rPr>
              <w:t>5</w:t>
            </w:r>
            <w:r w:rsidR="003D0CCB">
              <w:rPr>
                <w:rStyle w:val="NoteChar"/>
              </w:rPr>
              <w:t>2</w:t>
            </w:r>
            <w:proofErr w:type="spellEnd"/>
            <w:r w:rsidR="00EE27F0" w:rsidRPr="00AA1455">
              <w:rPr>
                <w:rStyle w:val="NoteChar"/>
              </w:rPr>
              <w:t xml:space="preserve"> for </w:t>
            </w:r>
            <w:r w:rsidR="00937F53">
              <w:rPr>
                <w:rStyle w:val="NoteChar"/>
              </w:rPr>
              <w:t>detailed definitions, footnotes and caveats.</w:t>
            </w:r>
          </w:p>
        </w:tc>
      </w:tr>
      <w:tr w:rsidR="00734DF6" w:rsidRPr="00176D3F" w:rsidTr="00BC20C8">
        <w:tc>
          <w:tcPr>
            <w:tcW w:w="8771" w:type="dxa"/>
            <w:tcBorders>
              <w:top w:val="nil"/>
              <w:left w:val="nil"/>
              <w:bottom w:val="nil"/>
              <w:right w:val="nil"/>
            </w:tcBorders>
            <w:shd w:val="clear" w:color="auto" w:fill="auto"/>
          </w:tcPr>
          <w:p w:rsidR="00734DF6" w:rsidRPr="00176D3F" w:rsidRDefault="00734DF6" w:rsidP="00170E9D">
            <w:pPr>
              <w:pStyle w:val="Source"/>
            </w:pPr>
            <w:r>
              <w:rPr>
                <w:i/>
              </w:rPr>
              <w:t>S</w:t>
            </w:r>
            <w:r w:rsidRPr="00784A05">
              <w:rPr>
                <w:i/>
              </w:rPr>
              <w:t>ource</w:t>
            </w:r>
            <w:r w:rsidRPr="00176D3F">
              <w:t xml:space="preserve">: </w:t>
            </w:r>
            <w:r w:rsidR="007540AF">
              <w:t>ABS (unpublished</w:t>
            </w:r>
            <w:r w:rsidR="007540AF" w:rsidRPr="005B340A">
              <w:t xml:space="preserve">) </w:t>
            </w:r>
            <w:proofErr w:type="spellStart"/>
            <w:r w:rsidR="00170E9D" w:rsidRPr="00170E9D">
              <w:rPr>
                <w:i/>
              </w:rPr>
              <w:t>Microdata</w:t>
            </w:r>
            <w:proofErr w:type="spellEnd"/>
            <w:r w:rsidR="00170E9D" w:rsidRPr="00170E9D">
              <w:rPr>
                <w:i/>
              </w:rPr>
              <w:t>:</w:t>
            </w:r>
            <w:r w:rsidR="00170E9D">
              <w:t xml:space="preserve"> </w:t>
            </w:r>
            <w:r w:rsidR="007540AF" w:rsidRPr="005B340A">
              <w:rPr>
                <w:i/>
              </w:rPr>
              <w:t>Pres</w:t>
            </w:r>
            <w:r w:rsidR="007540AF">
              <w:rPr>
                <w:i/>
              </w:rPr>
              <w:t>chool Education, Australia, 2014</w:t>
            </w:r>
            <w:r w:rsidR="007540AF" w:rsidRPr="005B340A">
              <w:rPr>
                <w:i/>
              </w:rPr>
              <w:t>,</w:t>
            </w:r>
            <w:r w:rsidR="007540AF">
              <w:t xml:space="preserve"> Cat. no. 4240.0</w:t>
            </w:r>
            <w:r w:rsidR="00170E9D">
              <w:t>.55.003</w:t>
            </w:r>
            <w:r w:rsidR="001739E3">
              <w:t>; table</w:t>
            </w:r>
            <w:r w:rsidR="00697D43">
              <w:t> </w:t>
            </w:r>
            <w:proofErr w:type="spellStart"/>
            <w:r w:rsidR="001739E3">
              <w:t>3A.52</w:t>
            </w:r>
            <w:proofErr w:type="spellEnd"/>
            <w:r w:rsidR="007540AF">
              <w:t>.</w:t>
            </w:r>
          </w:p>
        </w:tc>
      </w:tr>
      <w:tr w:rsidR="00734DF6" w:rsidTr="00BC20C8">
        <w:tc>
          <w:tcPr>
            <w:tcW w:w="8771" w:type="dxa"/>
            <w:tcBorders>
              <w:top w:val="nil"/>
              <w:left w:val="nil"/>
              <w:bottom w:val="single" w:sz="6" w:space="0" w:color="78A22F"/>
              <w:right w:val="nil"/>
            </w:tcBorders>
            <w:shd w:val="clear" w:color="auto" w:fill="auto"/>
          </w:tcPr>
          <w:p w:rsidR="00734DF6" w:rsidRDefault="00734DF6" w:rsidP="00BC20C8">
            <w:pPr>
              <w:pStyle w:val="Figurespace"/>
            </w:pPr>
          </w:p>
        </w:tc>
      </w:tr>
      <w:tr w:rsidR="00734DF6" w:rsidRPr="000863A5" w:rsidTr="00BC20C8">
        <w:tc>
          <w:tcPr>
            <w:tcW w:w="8771" w:type="dxa"/>
            <w:tcBorders>
              <w:top w:val="single" w:sz="6" w:space="0" w:color="78A22F"/>
              <w:left w:val="nil"/>
              <w:bottom w:val="nil"/>
              <w:right w:val="nil"/>
            </w:tcBorders>
          </w:tcPr>
          <w:p w:rsidR="00734DF6" w:rsidRPr="00626D32" w:rsidRDefault="00734DF6" w:rsidP="00BC20C8">
            <w:pPr>
              <w:pStyle w:val="BoxSpaceBelow"/>
            </w:pPr>
          </w:p>
        </w:tc>
      </w:tr>
    </w:tbl>
    <w:p w:rsidR="0004244F" w:rsidRDefault="0004244F" w:rsidP="0004244F">
      <w:pPr>
        <w:pStyle w:val="BodyText"/>
      </w:pPr>
      <w:r w:rsidRPr="00A83E1E">
        <w:t xml:space="preserve">Nationally, </w:t>
      </w:r>
      <w:r>
        <w:t>the proportion of teachers</w:t>
      </w:r>
      <w:r w:rsidRPr="00A83E1E">
        <w:t xml:space="preserve"> delivering preschool programs who are four year university trained and early childhood qualified was </w:t>
      </w:r>
      <w:r>
        <w:t>61.2</w:t>
      </w:r>
      <w:r w:rsidRPr="00A83E1E">
        <w:t xml:space="preserve"> per cent</w:t>
      </w:r>
      <w:r w:rsidR="001739E3">
        <w:t xml:space="preserve"> (table</w:t>
      </w:r>
      <w:r w:rsidR="00697D43">
        <w:t> </w:t>
      </w:r>
      <w:proofErr w:type="spellStart"/>
      <w:r w:rsidR="001739E3">
        <w:t>3A.52</w:t>
      </w:r>
      <w:proofErr w:type="spellEnd"/>
      <w:r w:rsidR="00BA54AD">
        <w:t>)</w:t>
      </w:r>
      <w:r w:rsidRPr="00A83E1E">
        <w:t>.</w:t>
      </w:r>
    </w:p>
    <w:p w:rsidR="0040209E" w:rsidRPr="008B42D1" w:rsidRDefault="0064069A" w:rsidP="009B11B2">
      <w:pPr>
        <w:pStyle w:val="Heading3"/>
        <w:rPr>
          <w:rStyle w:val="BoxChar"/>
        </w:rPr>
      </w:pPr>
      <w:r w:rsidRPr="006E32A6">
        <w:t>Standards</w:t>
      </w:r>
      <w:r w:rsidR="00705BAA" w:rsidRPr="006E32A6">
        <w:t xml:space="preserve"> </w:t>
      </w:r>
    </w:p>
    <w:p w:rsidR="00D73B33" w:rsidRDefault="00794598" w:rsidP="002C46BF">
      <w:pPr>
        <w:pStyle w:val="BodyText"/>
      </w:pPr>
      <w:r w:rsidRPr="006E32A6">
        <w:t xml:space="preserve">Under the </w:t>
      </w:r>
      <w:r w:rsidR="009150E2" w:rsidRPr="009150E2">
        <w:t xml:space="preserve">NP </w:t>
      </w:r>
      <w:proofErr w:type="spellStart"/>
      <w:r w:rsidR="009150E2" w:rsidRPr="009150E2">
        <w:t>NQAECEC</w:t>
      </w:r>
      <w:proofErr w:type="spellEnd"/>
      <w:r w:rsidR="009A1225" w:rsidRPr="009150E2">
        <w:t>,</w:t>
      </w:r>
      <w:r w:rsidR="009A1225" w:rsidRPr="006E32A6">
        <w:t xml:space="preserve"> </w:t>
      </w:r>
      <w:proofErr w:type="spellStart"/>
      <w:r w:rsidR="009A1225" w:rsidRPr="006E32A6">
        <w:t>COAG</w:t>
      </w:r>
      <w:proofErr w:type="spellEnd"/>
      <w:r w:rsidR="009A1225" w:rsidRPr="006E32A6">
        <w:t xml:space="preserve"> </w:t>
      </w:r>
      <w:r w:rsidR="00D73B33" w:rsidRPr="006E32A6">
        <w:t>has established</w:t>
      </w:r>
      <w:r w:rsidR="009A1225" w:rsidRPr="006E32A6">
        <w:t xml:space="preserve"> a jointly governed </w:t>
      </w:r>
      <w:proofErr w:type="spellStart"/>
      <w:r w:rsidR="004369F9">
        <w:t>NQF</w:t>
      </w:r>
      <w:proofErr w:type="spellEnd"/>
      <w:r w:rsidR="004369F9">
        <w:t xml:space="preserve"> </w:t>
      </w:r>
      <w:r w:rsidR="009A1225" w:rsidRPr="00D11F76">
        <w:t>for</w:t>
      </w:r>
      <w:r w:rsidR="00E602DE">
        <w:t xml:space="preserve"> </w:t>
      </w:r>
      <w:proofErr w:type="spellStart"/>
      <w:r w:rsidR="0018407E">
        <w:t>ECEC</w:t>
      </w:r>
      <w:proofErr w:type="spellEnd"/>
      <w:r w:rsidR="00267F4D">
        <w:t xml:space="preserve">, which </w:t>
      </w:r>
      <w:r w:rsidR="009A1225" w:rsidRPr="00D11F76">
        <w:t>replace</w:t>
      </w:r>
      <w:r w:rsidR="00D73B33">
        <w:t>d</w:t>
      </w:r>
      <w:r w:rsidR="009A1225" w:rsidRPr="00D11F76">
        <w:t xml:space="preserve"> </w:t>
      </w:r>
      <w:r w:rsidR="00D73B33">
        <w:t xml:space="preserve">previous </w:t>
      </w:r>
      <w:r w:rsidR="009A1225" w:rsidRPr="00D11F76">
        <w:t>separate licensing and quality assuran</w:t>
      </w:r>
      <w:r w:rsidR="000F4D37" w:rsidRPr="000F4D37">
        <w:t>c</w:t>
      </w:r>
      <w:r w:rsidR="009A1225" w:rsidRPr="00D11F76">
        <w:t xml:space="preserve">e </w:t>
      </w:r>
      <w:r w:rsidR="009A1225" w:rsidRPr="00F34D75">
        <w:t xml:space="preserve">processes </w:t>
      </w:r>
      <w:r w:rsidR="00267F4D" w:rsidRPr="00F34D75">
        <w:t>(</w:t>
      </w:r>
      <w:r w:rsidR="009A1225" w:rsidRPr="00F34D75">
        <w:t>box</w:t>
      </w:r>
      <w:r w:rsidR="00172534" w:rsidRPr="00F34D75">
        <w:t> </w:t>
      </w:r>
      <w:r w:rsidR="00937775" w:rsidRPr="00F34D75">
        <w:t>3.</w:t>
      </w:r>
      <w:r w:rsidR="00B1432E">
        <w:t>16</w:t>
      </w:r>
      <w:r w:rsidR="00267F4D" w:rsidRPr="00F34D75">
        <w:t>)</w:t>
      </w:r>
      <w:r w:rsidR="009A1225" w:rsidRPr="00F34D75">
        <w:t>.</w:t>
      </w:r>
    </w:p>
    <w:p w:rsidR="000F4D37" w:rsidRDefault="000F4D37">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0F4D37" w:rsidTr="000F4D37">
        <w:tc>
          <w:tcPr>
            <w:tcW w:w="8771" w:type="dxa"/>
            <w:tcBorders>
              <w:top w:val="single" w:sz="6" w:space="0" w:color="78A22F"/>
              <w:left w:val="nil"/>
              <w:bottom w:val="nil"/>
              <w:right w:val="nil"/>
            </w:tcBorders>
            <w:shd w:val="clear" w:color="auto" w:fill="F2F2F2"/>
          </w:tcPr>
          <w:p w:rsidR="000F4D37" w:rsidRDefault="000F4D37" w:rsidP="00122BD2">
            <w:pPr>
              <w:pStyle w:val="BoxTitle"/>
            </w:pPr>
            <w:r>
              <w:rPr>
                <w:b w:val="0"/>
              </w:rPr>
              <w:t xml:space="preserve">Box </w:t>
            </w:r>
            <w:r w:rsidR="00F26156">
              <w:rPr>
                <w:b w:val="0"/>
              </w:rPr>
              <w:t>3.</w:t>
            </w:r>
            <w:bookmarkStart w:id="67" w:name="OLE_LINK16"/>
            <w:r w:rsidR="00F26156">
              <w:rPr>
                <w:b w:val="0"/>
              </w:rPr>
              <w:t>1</w:t>
            </w:r>
            <w:bookmarkEnd w:id="67"/>
            <w:r w:rsidR="00B1432E">
              <w:rPr>
                <w:b w:val="0"/>
              </w:rPr>
              <w:t>6</w:t>
            </w:r>
            <w:r>
              <w:tab/>
            </w:r>
            <w:r w:rsidR="00435597">
              <w:t>National Quality Framework</w:t>
            </w:r>
          </w:p>
        </w:tc>
      </w:tr>
      <w:tr w:rsidR="000F4D37" w:rsidTr="000F4D37">
        <w:trPr>
          <w:cantSplit/>
        </w:trPr>
        <w:tc>
          <w:tcPr>
            <w:tcW w:w="8771" w:type="dxa"/>
            <w:tcBorders>
              <w:top w:val="nil"/>
              <w:left w:val="nil"/>
              <w:bottom w:val="nil"/>
              <w:right w:val="nil"/>
            </w:tcBorders>
            <w:shd w:val="clear" w:color="auto" w:fill="F2F2F2"/>
          </w:tcPr>
          <w:p w:rsidR="000F4D37" w:rsidRPr="001C559F" w:rsidRDefault="000F4D37" w:rsidP="000F4D37">
            <w:pPr>
              <w:pStyle w:val="Box"/>
            </w:pPr>
            <w:r w:rsidRPr="001C559F">
              <w:t>On 7</w:t>
            </w:r>
            <w:r>
              <w:t> </w:t>
            </w:r>
            <w:r w:rsidRPr="001C559F">
              <w:t xml:space="preserve">December 2009 </w:t>
            </w:r>
            <w:proofErr w:type="spellStart"/>
            <w:r w:rsidRPr="001C559F">
              <w:t>C</w:t>
            </w:r>
            <w:r>
              <w:t>OAG</w:t>
            </w:r>
            <w:proofErr w:type="spellEnd"/>
            <w:r>
              <w:t xml:space="preserve"> endorsed a </w:t>
            </w:r>
            <w:proofErr w:type="spellStart"/>
            <w:r w:rsidR="00122BD2">
              <w:t>NQF</w:t>
            </w:r>
            <w:proofErr w:type="spellEnd"/>
            <w:r w:rsidRPr="00881966">
              <w:t xml:space="preserve"> </w:t>
            </w:r>
            <w:r w:rsidRPr="001C559F">
              <w:t>(se</w:t>
            </w:r>
            <w:r>
              <w:t xml:space="preserve">e also </w:t>
            </w:r>
            <w:r w:rsidR="00881B51">
              <w:t>box 3.2</w:t>
            </w:r>
            <w:r w:rsidRPr="00A92C53">
              <w:t xml:space="preserve">). </w:t>
            </w:r>
            <w:r>
              <w:t xml:space="preserve">The </w:t>
            </w:r>
            <w:proofErr w:type="spellStart"/>
            <w:r>
              <w:t>NQF</w:t>
            </w:r>
            <w:proofErr w:type="spellEnd"/>
            <w:r>
              <w:t xml:space="preserve"> is</w:t>
            </w:r>
            <w:r w:rsidRPr="001C559F">
              <w:t xml:space="preserve"> a uniform national system join</w:t>
            </w:r>
            <w:r>
              <w:t>tly governed by the Australian Government</w:t>
            </w:r>
            <w:r w:rsidRPr="001C559F">
              <w:t xml:space="preserve"> and </w:t>
            </w:r>
            <w:r w:rsidR="0074385C">
              <w:t>S</w:t>
            </w:r>
            <w:r w:rsidRPr="001C559F">
              <w:t>tate</w:t>
            </w:r>
            <w:r>
              <w:t>s</w:t>
            </w:r>
            <w:r w:rsidRPr="001C559F">
              <w:t xml:space="preserve"> and </w:t>
            </w:r>
            <w:r w:rsidR="0074385C">
              <w:t>Territory governments</w:t>
            </w:r>
            <w:r w:rsidRPr="001C559F">
              <w:t>.</w:t>
            </w:r>
          </w:p>
          <w:p w:rsidR="000F4D37" w:rsidRPr="001C559F" w:rsidRDefault="000F4D37" w:rsidP="000F4D37">
            <w:pPr>
              <w:pStyle w:val="Box"/>
            </w:pPr>
            <w:r w:rsidRPr="001C559F">
              <w:t xml:space="preserve">The new framework aims to raise quality and enable continuous improvement in </w:t>
            </w:r>
            <w:proofErr w:type="spellStart"/>
            <w:r w:rsidR="0018407E">
              <w:t>ECEC</w:t>
            </w:r>
            <w:proofErr w:type="spellEnd"/>
            <w:r w:rsidRPr="001C559F">
              <w:t xml:space="preserve"> through</w:t>
            </w:r>
            <w:r>
              <w:t xml:space="preserve"> </w:t>
            </w:r>
            <w:r w:rsidRPr="00493DF4">
              <w:t>a national applied law regulatory scheme that includes:</w:t>
            </w:r>
          </w:p>
          <w:p w:rsidR="000F4D37" w:rsidRPr="001C559F" w:rsidRDefault="000F4D37" w:rsidP="000F4D37">
            <w:pPr>
              <w:pStyle w:val="BoxListBullet"/>
            </w:pPr>
            <w:r>
              <w:t xml:space="preserve">a </w:t>
            </w:r>
            <w:proofErr w:type="spellStart"/>
            <w:r w:rsidR="00072F94">
              <w:t>NQS</w:t>
            </w:r>
            <w:proofErr w:type="spellEnd"/>
          </w:p>
          <w:p w:rsidR="000F4D37" w:rsidRPr="001C559F" w:rsidRDefault="000F4D37" w:rsidP="000F4D37">
            <w:pPr>
              <w:pStyle w:val="BoxListBullet"/>
            </w:pPr>
            <w:r w:rsidRPr="001C559F">
              <w:t xml:space="preserve">a new rating system to complement the </w:t>
            </w:r>
            <w:proofErr w:type="spellStart"/>
            <w:r w:rsidRPr="001C559F">
              <w:t>NQS</w:t>
            </w:r>
            <w:proofErr w:type="spellEnd"/>
          </w:p>
          <w:p w:rsidR="000F4D37" w:rsidRPr="001C559F" w:rsidRDefault="000F4D37" w:rsidP="000F4D37">
            <w:pPr>
              <w:pStyle w:val="BoxListBullet"/>
            </w:pPr>
            <w:r>
              <w:t xml:space="preserve">a </w:t>
            </w:r>
            <w:r w:rsidRPr="001C559F">
              <w:t>streamlined regulatory system</w:t>
            </w:r>
          </w:p>
          <w:p w:rsidR="000F4D37" w:rsidRDefault="0048388F" w:rsidP="000F4D37">
            <w:pPr>
              <w:pStyle w:val="BoxListBullet"/>
            </w:pPr>
            <w:proofErr w:type="spellStart"/>
            <w:r>
              <w:t>ACECQA</w:t>
            </w:r>
            <w:proofErr w:type="spellEnd"/>
            <w:r w:rsidR="000F4D37">
              <w:t xml:space="preserve"> —</w:t>
            </w:r>
            <w:r w:rsidR="000F4D37" w:rsidRPr="00DE681B">
              <w:t xml:space="preserve"> the national body responsible for providing oversight of the new system and ensuring consistency of approach.</w:t>
            </w:r>
          </w:p>
          <w:p w:rsidR="000F4D37" w:rsidRPr="00FD1B8A" w:rsidRDefault="000F4D37" w:rsidP="000F4D37">
            <w:pPr>
              <w:pStyle w:val="Box"/>
            </w:pPr>
            <w:r w:rsidRPr="000F4D37">
              <w:t xml:space="preserve">The </w:t>
            </w:r>
            <w:proofErr w:type="spellStart"/>
            <w:r w:rsidRPr="000F4D37">
              <w:t>NQF</w:t>
            </w:r>
            <w:proofErr w:type="spellEnd"/>
            <w:r w:rsidRPr="000F4D37">
              <w:t xml:space="preserve"> came into effect from 1 January 2012 </w:t>
            </w:r>
            <w:r w:rsidRPr="00DE681B">
              <w:t xml:space="preserve">and applies </w:t>
            </w:r>
            <w:r w:rsidRPr="000F4D37">
              <w:t>to long</w:t>
            </w:r>
            <w:r w:rsidRPr="001C559F">
              <w:t xml:space="preserve"> day care, family day care, </w:t>
            </w:r>
            <w:r>
              <w:t xml:space="preserve">and </w:t>
            </w:r>
            <w:proofErr w:type="spellStart"/>
            <w:r w:rsidR="00A54883">
              <w:t>OSHC</w:t>
            </w:r>
            <w:proofErr w:type="spellEnd"/>
            <w:r w:rsidRPr="001C559F">
              <w:t xml:space="preserve"> services and preschools, with the gradual introduction over subsequent years of improved ratios and qualificatio</w:t>
            </w:r>
            <w:r>
              <w:t xml:space="preserve">ns. The </w:t>
            </w:r>
            <w:proofErr w:type="spellStart"/>
            <w:r>
              <w:t>NQS</w:t>
            </w:r>
            <w:proofErr w:type="spellEnd"/>
            <w:r w:rsidRPr="001C559F">
              <w:t xml:space="preserve"> comprises guiding principles, quality areas, standards and elements. </w:t>
            </w:r>
            <w:r w:rsidRPr="00FD1B8A">
              <w:t>There are seven quality areas:</w:t>
            </w:r>
          </w:p>
          <w:p w:rsidR="000F4D37" w:rsidRPr="00FD1B8A" w:rsidRDefault="000F4D37" w:rsidP="000F4D37">
            <w:pPr>
              <w:pStyle w:val="BoxListBullet"/>
            </w:pPr>
            <w:r w:rsidRPr="00FD1B8A">
              <w:t>Educational program and practice</w:t>
            </w:r>
          </w:p>
          <w:p w:rsidR="000F4D37" w:rsidRPr="00FD1B8A" w:rsidRDefault="000F4D37" w:rsidP="000F4D37">
            <w:pPr>
              <w:pStyle w:val="BoxListBullet"/>
            </w:pPr>
            <w:r w:rsidRPr="00FD1B8A">
              <w:t xml:space="preserve">Children’s health and safety </w:t>
            </w:r>
          </w:p>
          <w:p w:rsidR="000F4D37" w:rsidRPr="00FD1B8A" w:rsidRDefault="000F4D37" w:rsidP="000F4D37">
            <w:pPr>
              <w:pStyle w:val="BoxListBullet"/>
            </w:pPr>
            <w:r w:rsidRPr="00FD1B8A">
              <w:t>Physical environment</w:t>
            </w:r>
          </w:p>
          <w:p w:rsidR="000F4D37" w:rsidRPr="00FD1B8A" w:rsidRDefault="000F4D37" w:rsidP="000F4D37">
            <w:pPr>
              <w:pStyle w:val="BoxListBullet"/>
            </w:pPr>
            <w:r w:rsidRPr="00FD1B8A">
              <w:t xml:space="preserve">Staffing </w:t>
            </w:r>
            <w:r w:rsidRPr="000F4D37">
              <w:t>arrangements</w:t>
            </w:r>
          </w:p>
          <w:p w:rsidR="000F4D37" w:rsidRPr="00FD1B8A" w:rsidRDefault="000F4D37" w:rsidP="000F4D37">
            <w:pPr>
              <w:pStyle w:val="BoxListBullet"/>
            </w:pPr>
            <w:r w:rsidRPr="00FD1B8A">
              <w:t>Relationships with children</w:t>
            </w:r>
          </w:p>
          <w:p w:rsidR="000F4D37" w:rsidRPr="00FD1B8A" w:rsidRDefault="000F4D37" w:rsidP="000F4D37">
            <w:pPr>
              <w:pStyle w:val="BoxListBullet"/>
            </w:pPr>
            <w:r w:rsidRPr="00FD1B8A">
              <w:t>Partnerships with families and communities</w:t>
            </w:r>
          </w:p>
          <w:p w:rsidR="000F4D37" w:rsidRPr="00FD1B8A" w:rsidRDefault="000F4D37" w:rsidP="000F4D37">
            <w:pPr>
              <w:pStyle w:val="BoxListBullet"/>
            </w:pPr>
            <w:r w:rsidRPr="00FD1B8A">
              <w:t>Leadership and service management.</w:t>
            </w:r>
          </w:p>
          <w:p w:rsidR="000F4D37" w:rsidRDefault="000F4D37" w:rsidP="000F4D37">
            <w:pPr>
              <w:pStyle w:val="Box"/>
            </w:pPr>
            <w:r w:rsidRPr="000F4D37">
              <w:t xml:space="preserve">The </w:t>
            </w:r>
            <w:proofErr w:type="spellStart"/>
            <w:r w:rsidRPr="000F4D37">
              <w:t>NQF</w:t>
            </w:r>
            <w:proofErr w:type="spellEnd"/>
            <w:r w:rsidRPr="000F4D37">
              <w:t xml:space="preserve"> creates a jointly governed uniform national approach to the regulation and quality assessment of education and care services. It replaces the previously sep</w:t>
            </w:r>
            <w:r w:rsidR="005D0612">
              <w:t>arate state and t</w:t>
            </w:r>
            <w:r w:rsidRPr="000F4D37">
              <w:t xml:space="preserve">erritory licensing and </w:t>
            </w:r>
            <w:r w:rsidRPr="00493DF4">
              <w:t xml:space="preserve">national </w:t>
            </w:r>
            <w:r w:rsidRPr="000F4D37">
              <w:t xml:space="preserve">quality assurance processes for those services under the </w:t>
            </w:r>
            <w:proofErr w:type="spellStart"/>
            <w:r w:rsidRPr="000F4D37">
              <w:t>NQF</w:t>
            </w:r>
            <w:proofErr w:type="spellEnd"/>
            <w:r w:rsidRPr="000F4D37">
              <w:t xml:space="preserve">. </w:t>
            </w:r>
            <w:proofErr w:type="spellStart"/>
            <w:r w:rsidRPr="000F4D37">
              <w:t>ACECQA</w:t>
            </w:r>
            <w:proofErr w:type="spellEnd"/>
            <w:r w:rsidRPr="000F4D37">
              <w:t xml:space="preserve"> oversees the </w:t>
            </w:r>
            <w:proofErr w:type="spellStart"/>
            <w:r w:rsidRPr="000F4D37">
              <w:t>NQS</w:t>
            </w:r>
            <w:proofErr w:type="spellEnd"/>
            <w:r w:rsidRPr="000F4D37">
              <w:t xml:space="preserve"> and its application across jurisdictions to ensure that it is implemented in a nationally consistent way.</w:t>
            </w:r>
          </w:p>
        </w:tc>
      </w:tr>
      <w:tr w:rsidR="000F4D37" w:rsidTr="000F4D37">
        <w:trPr>
          <w:cantSplit/>
        </w:trPr>
        <w:tc>
          <w:tcPr>
            <w:tcW w:w="8771" w:type="dxa"/>
            <w:tcBorders>
              <w:top w:val="nil"/>
              <w:left w:val="nil"/>
              <w:bottom w:val="nil"/>
              <w:right w:val="nil"/>
            </w:tcBorders>
            <w:shd w:val="clear" w:color="auto" w:fill="F2F2F2"/>
          </w:tcPr>
          <w:p w:rsidR="000F4D37" w:rsidRDefault="000F4D37" w:rsidP="000F4D37">
            <w:pPr>
              <w:pStyle w:val="BoxSource"/>
            </w:pPr>
            <w:r w:rsidRPr="001C559F">
              <w:rPr>
                <w:i/>
              </w:rPr>
              <w:t>Source</w:t>
            </w:r>
            <w:r w:rsidR="00435597">
              <w:t xml:space="preserve">: </w:t>
            </w:r>
            <w:r w:rsidR="007B318D">
              <w:t xml:space="preserve">Australian Government </w:t>
            </w:r>
            <w:r w:rsidR="006212EF">
              <w:t xml:space="preserve">Department of </w:t>
            </w:r>
            <w:r w:rsidR="00435597">
              <w:t>Social Services</w:t>
            </w:r>
            <w:r w:rsidR="006212EF">
              <w:t xml:space="preserve"> (2015</w:t>
            </w:r>
            <w:r w:rsidR="0074385C">
              <w:t xml:space="preserve"> </w:t>
            </w:r>
            <w:r w:rsidRPr="001C559F">
              <w:t>and unpublished)</w:t>
            </w:r>
            <w:r>
              <w:t>.</w:t>
            </w:r>
          </w:p>
        </w:tc>
      </w:tr>
      <w:tr w:rsidR="000F4D37" w:rsidTr="000F4D37">
        <w:trPr>
          <w:cantSplit/>
        </w:trPr>
        <w:tc>
          <w:tcPr>
            <w:tcW w:w="8771" w:type="dxa"/>
            <w:tcBorders>
              <w:top w:val="nil"/>
              <w:left w:val="nil"/>
              <w:bottom w:val="single" w:sz="6" w:space="0" w:color="78A22F"/>
              <w:right w:val="nil"/>
            </w:tcBorders>
            <w:shd w:val="clear" w:color="auto" w:fill="F2F2F2"/>
          </w:tcPr>
          <w:p w:rsidR="000F4D37" w:rsidRDefault="000F4D37">
            <w:pPr>
              <w:pStyle w:val="Box"/>
              <w:spacing w:before="0" w:line="120" w:lineRule="exact"/>
            </w:pPr>
          </w:p>
        </w:tc>
      </w:tr>
      <w:tr w:rsidR="000F4D37" w:rsidRPr="000863A5" w:rsidTr="000F4D37">
        <w:tc>
          <w:tcPr>
            <w:tcW w:w="8771" w:type="dxa"/>
            <w:tcBorders>
              <w:top w:val="single" w:sz="6" w:space="0" w:color="78A22F"/>
              <w:left w:val="nil"/>
              <w:bottom w:val="nil"/>
              <w:right w:val="nil"/>
            </w:tcBorders>
          </w:tcPr>
          <w:p w:rsidR="000F4D37" w:rsidRPr="00626D32" w:rsidRDefault="000F4D37" w:rsidP="000F4D37">
            <w:pPr>
              <w:pStyle w:val="BoxSpaceBelow"/>
            </w:pPr>
          </w:p>
        </w:tc>
      </w:tr>
    </w:tbl>
    <w:p w:rsidR="0064069A" w:rsidRPr="00C941CD" w:rsidRDefault="0064069A" w:rsidP="009B11B2">
      <w:pPr>
        <w:pStyle w:val="Heading4"/>
      </w:pPr>
      <w:r w:rsidRPr="00C941CD">
        <w:t xml:space="preserve">Standards — </w:t>
      </w:r>
      <w:r w:rsidR="0092466A">
        <w:t>service approvals and licensing</w:t>
      </w:r>
    </w:p>
    <w:p w:rsidR="0064069A" w:rsidRDefault="00071E61" w:rsidP="002C46BF">
      <w:pPr>
        <w:pStyle w:val="BodyText"/>
      </w:pPr>
      <w:r w:rsidRPr="00071E61">
        <w:t>‘</w:t>
      </w:r>
      <w:r w:rsidR="0092466A">
        <w:t xml:space="preserve">Service approvals and </w:t>
      </w:r>
      <w:r w:rsidR="00705BAA">
        <w:t>l</w:t>
      </w:r>
      <w:r w:rsidRPr="00071E61">
        <w:t>icensing’ is an indicator of governments’ objective to ensure</w:t>
      </w:r>
      <w:r w:rsidR="000C1336">
        <w:t xml:space="preserve"> </w:t>
      </w:r>
      <w:r w:rsidR="00DF1B1A">
        <w:t xml:space="preserve">that </w:t>
      </w:r>
      <w:proofErr w:type="spellStart"/>
      <w:r w:rsidR="0018407E">
        <w:t>ECEC</w:t>
      </w:r>
      <w:proofErr w:type="spellEnd"/>
      <w:r w:rsidRPr="00071E61">
        <w:t xml:space="preserve"> services meet the minimum standards </w:t>
      </w:r>
      <w:r w:rsidR="00C40560">
        <w:t>deemed</w:t>
      </w:r>
      <w:r w:rsidRPr="00071E61">
        <w:t xml:space="preserve"> necessary to provide a safe and nurturing environment, and to meet the educational and development</w:t>
      </w:r>
      <w:r w:rsidR="0021264F">
        <w:t>al</w:t>
      </w:r>
      <w:r w:rsidRPr="00071E61">
        <w:t xml:space="preserve"> needs of children.</w:t>
      </w:r>
      <w:r>
        <w:t xml:space="preserve"> </w:t>
      </w:r>
      <w:r w:rsidR="0064069A" w:rsidRPr="0064069A">
        <w:t xml:space="preserve">State and Territory governments are responsible for </w:t>
      </w:r>
      <w:r w:rsidR="0092466A">
        <w:t xml:space="preserve">service approvals of </w:t>
      </w:r>
      <w:proofErr w:type="spellStart"/>
      <w:r w:rsidR="0018407E">
        <w:t>ECEC</w:t>
      </w:r>
      <w:proofErr w:type="spellEnd"/>
      <w:r w:rsidR="0064069A" w:rsidRPr="0064069A">
        <w:t xml:space="preserve"> services </w:t>
      </w:r>
      <w:r w:rsidR="0092466A">
        <w:t>unde</w:t>
      </w:r>
      <w:r w:rsidR="00006A76">
        <w:t xml:space="preserve">r the </w:t>
      </w:r>
      <w:proofErr w:type="spellStart"/>
      <w:r w:rsidR="00006A76">
        <w:t>NQF</w:t>
      </w:r>
      <w:proofErr w:type="spellEnd"/>
      <w:r w:rsidR="0092466A">
        <w:t xml:space="preserve"> and for licensing those out of scope </w:t>
      </w:r>
      <w:r w:rsidR="00910306">
        <w:t xml:space="preserve">of the </w:t>
      </w:r>
      <w:proofErr w:type="spellStart"/>
      <w:r w:rsidR="00910306">
        <w:t>NQF</w:t>
      </w:r>
      <w:proofErr w:type="spellEnd"/>
      <w:r w:rsidR="00910306">
        <w:t xml:space="preserve"> </w:t>
      </w:r>
      <w:r w:rsidR="0064069A" w:rsidRPr="0064069A">
        <w:t xml:space="preserve">in their </w:t>
      </w:r>
      <w:r w:rsidR="0064069A" w:rsidRPr="007B318D">
        <w:t>jurisdiction</w:t>
      </w:r>
      <w:r w:rsidR="00D25608" w:rsidRPr="007B318D">
        <w:t>s</w:t>
      </w:r>
      <w:r w:rsidR="0064069A" w:rsidRPr="007B318D">
        <w:t xml:space="preserve"> (box</w:t>
      </w:r>
      <w:r w:rsidR="00172534" w:rsidRPr="007B318D">
        <w:t> </w:t>
      </w:r>
      <w:r w:rsidR="00923A1C" w:rsidRPr="007B318D">
        <w:t>3.</w:t>
      </w:r>
      <w:r w:rsidR="00B1432E">
        <w:t>17</w:t>
      </w:r>
      <w:r w:rsidR="0064069A" w:rsidRPr="007B318D">
        <w:t>).</w:t>
      </w:r>
    </w:p>
    <w:p w:rsidR="000F4D37" w:rsidRDefault="000F4D37">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0F4D37" w:rsidTr="000F4D37">
        <w:tc>
          <w:tcPr>
            <w:tcW w:w="8771" w:type="dxa"/>
            <w:tcBorders>
              <w:top w:val="single" w:sz="6" w:space="0" w:color="78A22F"/>
              <w:left w:val="nil"/>
              <w:bottom w:val="nil"/>
              <w:right w:val="nil"/>
            </w:tcBorders>
            <w:shd w:val="clear" w:color="auto" w:fill="F2F2F2"/>
          </w:tcPr>
          <w:p w:rsidR="000F4D37" w:rsidRDefault="000F4D37" w:rsidP="00F26156">
            <w:pPr>
              <w:pStyle w:val="BoxTitle"/>
            </w:pPr>
            <w:r>
              <w:rPr>
                <w:b w:val="0"/>
              </w:rPr>
              <w:t xml:space="preserve">Box </w:t>
            </w:r>
            <w:r w:rsidR="00F26156">
              <w:rPr>
                <w:b w:val="0"/>
              </w:rPr>
              <w:t>3.</w:t>
            </w:r>
            <w:bookmarkStart w:id="68" w:name="OLE_LINK18"/>
            <w:r w:rsidR="00F26156">
              <w:rPr>
                <w:b w:val="0"/>
              </w:rPr>
              <w:t>1</w:t>
            </w:r>
            <w:bookmarkEnd w:id="68"/>
            <w:r w:rsidR="00B1432E">
              <w:rPr>
                <w:b w:val="0"/>
              </w:rPr>
              <w:t>7</w:t>
            </w:r>
            <w:r>
              <w:tab/>
              <w:t>Service approvals and l</w:t>
            </w:r>
            <w:r w:rsidRPr="00C941CD">
              <w:t>icensing</w:t>
            </w:r>
          </w:p>
        </w:tc>
      </w:tr>
      <w:tr w:rsidR="000F4D37" w:rsidTr="000F4D37">
        <w:trPr>
          <w:cantSplit/>
        </w:trPr>
        <w:tc>
          <w:tcPr>
            <w:tcW w:w="8771" w:type="dxa"/>
            <w:tcBorders>
              <w:top w:val="nil"/>
              <w:left w:val="nil"/>
              <w:bottom w:val="nil"/>
              <w:right w:val="nil"/>
            </w:tcBorders>
            <w:shd w:val="clear" w:color="auto" w:fill="F2F2F2"/>
          </w:tcPr>
          <w:p w:rsidR="000F4D37" w:rsidRDefault="000F4D37" w:rsidP="000F4D37">
            <w:pPr>
              <w:pStyle w:val="Box"/>
            </w:pPr>
            <w:r>
              <w:t>‘Service approvals and licensing’ is defined as complying with regulations covering operational requirements, such as the number of children services can care for, safety standards and the qualification of carers. It has been identified for development and reporting in future. Descriptive information is reported in the interim on State and Territory monitoring and inspect</w:t>
            </w:r>
            <w:r w:rsidR="007B318D">
              <w:t xml:space="preserve">ion regimes for </w:t>
            </w:r>
            <w:proofErr w:type="spellStart"/>
            <w:r w:rsidR="007B318D">
              <w:t>NQF</w:t>
            </w:r>
            <w:proofErr w:type="spellEnd"/>
            <w:r w:rsidR="007B318D">
              <w:t xml:space="preserve"> approved and </w:t>
            </w:r>
            <w:r>
              <w:t>State and Territory government licensed</w:t>
            </w:r>
            <w:r w:rsidR="007B318D">
              <w:t xml:space="preserve"> or registered</w:t>
            </w:r>
            <w:r>
              <w:t xml:space="preserve"> services. The profile section also includes descriptive information on the number and type of services approved and licensed by State and Territory governments.</w:t>
            </w:r>
          </w:p>
          <w:p w:rsidR="000F4D37" w:rsidRDefault="000F4D37" w:rsidP="000F4D37">
            <w:pPr>
              <w:pStyle w:val="Box"/>
            </w:pPr>
            <w:r>
              <w:t xml:space="preserve">This indicator does not provide information on the degree to which service approvals and licensing translates into higher quality service outcomes above the minimum standards of care. State and Territory governments also undertake other activities aimed at the promotion of quality, such as publishing curriculum materials and other resources, and </w:t>
            </w:r>
            <w:r w:rsidRPr="00493DF4">
              <w:t>providing education</w:t>
            </w:r>
            <w:r>
              <w:t xml:space="preserve"> to</w:t>
            </w:r>
            <w:r w:rsidRPr="00493DF4">
              <w:t xml:space="preserve"> the sector.</w:t>
            </w:r>
          </w:p>
          <w:p w:rsidR="000F4D37" w:rsidRDefault="000F4D37" w:rsidP="000F4D37">
            <w:pPr>
              <w:pStyle w:val="Box"/>
            </w:pPr>
            <w:r w:rsidRPr="00E53376">
              <w:rPr>
                <w:rFonts w:ascii="ArialMT" w:hAnsi="ArialMT" w:cs="ArialMT"/>
                <w:szCs w:val="22"/>
              </w:rPr>
              <w:t xml:space="preserve">Data for this indicator are not available for the </w:t>
            </w:r>
            <w:r w:rsidR="00CB534C">
              <w:rPr>
                <w:rFonts w:ascii="ArialMT" w:hAnsi="ArialMT" w:cs="ArialMT"/>
                <w:szCs w:val="22"/>
              </w:rPr>
              <w:t>2016</w:t>
            </w:r>
            <w:r w:rsidRPr="00E53376">
              <w:rPr>
                <w:rFonts w:ascii="ArialMT" w:hAnsi="ArialMT" w:cs="ArialMT"/>
                <w:szCs w:val="22"/>
              </w:rPr>
              <w:t xml:space="preserve"> Report</w:t>
            </w:r>
            <w:r w:rsidRPr="00E53376">
              <w:t>.</w:t>
            </w:r>
          </w:p>
        </w:tc>
      </w:tr>
      <w:tr w:rsidR="000F4D37" w:rsidTr="000F4D37">
        <w:trPr>
          <w:cantSplit/>
        </w:trPr>
        <w:tc>
          <w:tcPr>
            <w:tcW w:w="8771" w:type="dxa"/>
            <w:tcBorders>
              <w:top w:val="nil"/>
              <w:left w:val="nil"/>
              <w:bottom w:val="single" w:sz="6" w:space="0" w:color="78A22F"/>
              <w:right w:val="nil"/>
            </w:tcBorders>
            <w:shd w:val="clear" w:color="auto" w:fill="F2F2F2"/>
          </w:tcPr>
          <w:p w:rsidR="000F4D37" w:rsidRDefault="000F4D37">
            <w:pPr>
              <w:pStyle w:val="Box"/>
              <w:spacing w:before="0" w:line="120" w:lineRule="exact"/>
            </w:pPr>
          </w:p>
        </w:tc>
      </w:tr>
      <w:tr w:rsidR="000F4D37" w:rsidRPr="000863A5" w:rsidTr="000F4D37">
        <w:tc>
          <w:tcPr>
            <w:tcW w:w="8771" w:type="dxa"/>
            <w:tcBorders>
              <w:top w:val="single" w:sz="6" w:space="0" w:color="78A22F"/>
              <w:left w:val="nil"/>
              <w:bottom w:val="nil"/>
              <w:right w:val="nil"/>
            </w:tcBorders>
          </w:tcPr>
          <w:p w:rsidR="000F4D37" w:rsidRPr="00626D32" w:rsidRDefault="000F4D37" w:rsidP="000F4D37">
            <w:pPr>
              <w:pStyle w:val="BoxSpaceBelow"/>
            </w:pPr>
          </w:p>
        </w:tc>
      </w:tr>
    </w:tbl>
    <w:p w:rsidR="00355E3A" w:rsidRDefault="007268A1" w:rsidP="002C46BF">
      <w:pPr>
        <w:pStyle w:val="BodyText"/>
      </w:pPr>
      <w:r>
        <w:t>S</w:t>
      </w:r>
      <w:r w:rsidR="005F2C69">
        <w:t xml:space="preserve">tate and </w:t>
      </w:r>
      <w:r>
        <w:t>T</w:t>
      </w:r>
      <w:r w:rsidR="002D58C6">
        <w:t>erritory governments</w:t>
      </w:r>
      <w:r>
        <w:t xml:space="preserve"> monitor and </w:t>
      </w:r>
      <w:r w:rsidR="005F2C69">
        <w:t>inspect</w:t>
      </w:r>
      <w:r w:rsidR="00D60998">
        <w:t xml:space="preserve"> </w:t>
      </w:r>
      <w:proofErr w:type="spellStart"/>
      <w:r w:rsidR="00145257">
        <w:t>NQF</w:t>
      </w:r>
      <w:proofErr w:type="spellEnd"/>
      <w:r w:rsidR="00145257">
        <w:t xml:space="preserve"> approved and State and Territory government licensed </w:t>
      </w:r>
      <w:r w:rsidR="00226DE5">
        <w:t xml:space="preserve">or registered </w:t>
      </w:r>
      <w:proofErr w:type="spellStart"/>
      <w:r w:rsidR="0018407E">
        <w:t>ECEC</w:t>
      </w:r>
      <w:proofErr w:type="spellEnd"/>
      <w:r w:rsidR="005F2C69">
        <w:t xml:space="preserve"> services.</w:t>
      </w:r>
      <w:r w:rsidR="00355E3A">
        <w:t xml:space="preserve"> </w:t>
      </w:r>
      <w:r w:rsidR="00355E3A" w:rsidRPr="007B318D">
        <w:t>Table</w:t>
      </w:r>
      <w:r w:rsidRPr="007B318D">
        <w:t> </w:t>
      </w:r>
      <w:r w:rsidR="00492DFD" w:rsidRPr="007B318D">
        <w:t>3.</w:t>
      </w:r>
      <w:r w:rsidR="00BF4CE7">
        <w:t>12</w:t>
      </w:r>
      <w:r w:rsidR="00E20214" w:rsidRPr="007B318D">
        <w:t xml:space="preserve"> </w:t>
      </w:r>
      <w:r w:rsidR="00355E3A">
        <w:t xml:space="preserve">provides an overview of the monitoring and inspection regimes that operate </w:t>
      </w:r>
      <w:r w:rsidR="0003475D">
        <w:t>across</w:t>
      </w:r>
      <w:r w:rsidR="002F3AE7">
        <w:t xml:space="preserve"> jurisdictions.</w:t>
      </w:r>
    </w:p>
    <w:p w:rsidR="001738B3" w:rsidRDefault="004C7DAE" w:rsidP="00C3586E">
      <w:pPr>
        <w:pStyle w:val="BodyText"/>
      </w:pPr>
      <w:r>
        <w:t>T</w:t>
      </w:r>
      <w:r w:rsidR="00355E3A">
        <w:t xml:space="preserve">here are broad commonalities in the monitoring and inspection regimes across jurisdictions. However, variability in the recording of breaches and </w:t>
      </w:r>
      <w:r w:rsidR="005A2A2C">
        <w:t>the</w:t>
      </w:r>
      <w:r w:rsidR="00355E3A">
        <w:t xml:space="preserve"> penalties applied for breaches</w:t>
      </w:r>
      <w:r w:rsidR="005A2A2C">
        <w:t xml:space="preserve"> affect</w:t>
      </w:r>
      <w:r w:rsidR="00F741FA">
        <w:t>s</w:t>
      </w:r>
      <w:r w:rsidR="005A2A2C">
        <w:t xml:space="preserve"> </w:t>
      </w:r>
      <w:r w:rsidR="00F741FA">
        <w:t xml:space="preserve">comparability and has hindered comparable reporting </w:t>
      </w:r>
      <w:r w:rsidR="005A2A2C">
        <w:t>across jurisdictions</w:t>
      </w:r>
      <w:r w:rsidR="00F741FA">
        <w:t xml:space="preserve"> </w:t>
      </w:r>
      <w:r w:rsidR="003D7973">
        <w:t>for monitoring and inspection.</w:t>
      </w:r>
    </w:p>
    <w:p w:rsidR="00D474D1" w:rsidRDefault="00D474D1" w:rsidP="00A559CF">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8771"/>
      </w:tblGrid>
      <w:tr w:rsidR="00D474D1" w:rsidTr="00A559CF">
        <w:tc>
          <w:tcPr>
            <w:tcW w:w="8771" w:type="dxa"/>
            <w:tcBorders>
              <w:top w:val="single" w:sz="6" w:space="0" w:color="78A22F"/>
              <w:left w:val="nil"/>
              <w:bottom w:val="nil"/>
              <w:right w:val="nil"/>
            </w:tcBorders>
            <w:shd w:val="clear" w:color="auto" w:fill="auto"/>
          </w:tcPr>
          <w:p w:rsidR="00D474D1" w:rsidRPr="00784A05" w:rsidRDefault="00D474D1" w:rsidP="0035143C">
            <w:pPr>
              <w:pStyle w:val="TableTitle"/>
            </w:pPr>
            <w:r>
              <w:rPr>
                <w:b w:val="0"/>
              </w:rPr>
              <w:t xml:space="preserve">Table </w:t>
            </w:r>
            <w:r w:rsidR="00390830">
              <w:rPr>
                <w:b w:val="0"/>
              </w:rPr>
              <w:t>3.</w:t>
            </w:r>
            <w:r w:rsidR="00BF4CE7">
              <w:rPr>
                <w:b w:val="0"/>
              </w:rPr>
              <w:t>12</w:t>
            </w:r>
            <w:r>
              <w:tab/>
            </w:r>
            <w:r w:rsidRPr="00D474D1">
              <w:t xml:space="preserve">State and Territory monitoring and inspection regimes, for </w:t>
            </w:r>
            <w:proofErr w:type="spellStart"/>
            <w:r w:rsidRPr="00D474D1">
              <w:t>NQF</w:t>
            </w:r>
            <w:proofErr w:type="spellEnd"/>
            <w:r w:rsidRPr="00D474D1">
              <w:t xml:space="preserve"> approved and State and Territory government licensed </w:t>
            </w:r>
            <w:r w:rsidR="00226DE5">
              <w:t xml:space="preserve">or registered </w:t>
            </w:r>
            <w:proofErr w:type="spellStart"/>
            <w:r w:rsidR="0018407E">
              <w:t>ECEC</w:t>
            </w:r>
            <w:proofErr w:type="spellEnd"/>
            <w:r w:rsidR="00586255">
              <w:t xml:space="preserve"> services, 2014</w:t>
            </w:r>
            <w:r w:rsidR="00586255">
              <w:noBreakHyphen/>
              <w:t>15</w:t>
            </w:r>
          </w:p>
        </w:tc>
      </w:tr>
      <w:tr w:rsidR="00D474D1" w:rsidTr="00A559CF">
        <w:trPr>
          <w:cantSplit/>
        </w:trPr>
        <w:tc>
          <w:tcPr>
            <w:tcW w:w="8771" w:type="dxa"/>
            <w:tcBorders>
              <w:top w:val="nil"/>
              <w:left w:val="nil"/>
              <w:bottom w:val="nil"/>
              <w:right w:val="nil"/>
            </w:tcBorders>
            <w:shd w:val="clear" w:color="auto" w:fill="auto"/>
          </w:tcPr>
          <w:tbl>
            <w:tblPr>
              <w:tblW w:w="5000" w:type="pct"/>
              <w:tblCellMar>
                <w:left w:w="0" w:type="dxa"/>
                <w:right w:w="0" w:type="dxa"/>
              </w:tblCellMar>
              <w:tblLook w:val="0000" w:firstRow="0" w:lastRow="0" w:firstColumn="0" w:lastColumn="0" w:noHBand="0" w:noVBand="0"/>
            </w:tblPr>
            <w:tblGrid>
              <w:gridCol w:w="2219"/>
              <w:gridCol w:w="440"/>
              <w:gridCol w:w="582"/>
              <w:gridCol w:w="626"/>
              <w:gridCol w:w="624"/>
              <w:gridCol w:w="960"/>
              <w:gridCol w:w="712"/>
              <w:gridCol w:w="910"/>
              <w:gridCol w:w="644"/>
              <w:gridCol w:w="770"/>
            </w:tblGrid>
            <w:tr w:rsidR="006B1681" w:rsidRPr="006B1681" w:rsidTr="00860254">
              <w:tc>
                <w:tcPr>
                  <w:tcW w:w="1343" w:type="pct"/>
                  <w:tcBorders>
                    <w:top w:val="single" w:sz="6" w:space="0" w:color="BFBFBF"/>
                    <w:bottom w:val="single" w:sz="6" w:space="0" w:color="BFBFBF"/>
                  </w:tcBorders>
                  <w:shd w:val="clear" w:color="auto" w:fill="auto"/>
                </w:tcPr>
                <w:p w:rsidR="00D474D1" w:rsidRPr="006B1681" w:rsidRDefault="00D474D1" w:rsidP="00A559CF">
                  <w:pPr>
                    <w:pStyle w:val="TableColumnHeading"/>
                    <w:jc w:val="left"/>
                  </w:pPr>
                  <w:r w:rsidRPr="006B1681">
                    <w:t>Monitoring activities</w:t>
                  </w:r>
                </w:p>
              </w:tc>
              <w:tc>
                <w:tcPr>
                  <w:tcW w:w="270" w:type="pct"/>
                  <w:tcBorders>
                    <w:top w:val="single" w:sz="6" w:space="0" w:color="BFBFBF"/>
                    <w:bottom w:val="single" w:sz="6" w:space="0" w:color="BFBFBF"/>
                  </w:tcBorders>
                  <w:shd w:val="clear" w:color="auto" w:fill="auto"/>
                </w:tcPr>
                <w:p w:rsidR="00D474D1" w:rsidRPr="006B1681" w:rsidRDefault="00D474D1" w:rsidP="00A559CF">
                  <w:pPr>
                    <w:pStyle w:val="TableColumnHeading"/>
                  </w:pPr>
                  <w:r w:rsidRPr="006B1681">
                    <w:t>Unit</w:t>
                  </w:r>
                </w:p>
              </w:tc>
              <w:tc>
                <w:tcPr>
                  <w:tcW w:w="403" w:type="pct"/>
                  <w:tcBorders>
                    <w:top w:val="single" w:sz="6" w:space="0" w:color="BFBFBF"/>
                    <w:bottom w:val="single" w:sz="6" w:space="0" w:color="BFBFBF"/>
                  </w:tcBorders>
                  <w:shd w:val="clear" w:color="auto" w:fill="auto"/>
                </w:tcPr>
                <w:p w:rsidR="00D474D1" w:rsidRPr="006B1681" w:rsidRDefault="00D474D1" w:rsidP="00A559CF">
                  <w:pPr>
                    <w:pStyle w:val="TableColumnHeading"/>
                  </w:pPr>
                  <w:r w:rsidRPr="006B1681">
                    <w:t>NSW</w:t>
                  </w:r>
                </w:p>
              </w:tc>
              <w:tc>
                <w:tcPr>
                  <w:tcW w:w="404" w:type="pct"/>
                  <w:tcBorders>
                    <w:top w:val="single" w:sz="6" w:space="0" w:color="BFBFBF"/>
                    <w:bottom w:val="single" w:sz="6" w:space="0" w:color="BFBFBF"/>
                  </w:tcBorders>
                  <w:shd w:val="clear" w:color="auto" w:fill="auto"/>
                </w:tcPr>
                <w:p w:rsidR="00D474D1" w:rsidRPr="006B1681" w:rsidRDefault="00D474D1" w:rsidP="00A559CF">
                  <w:pPr>
                    <w:pStyle w:val="TableColumnHeading"/>
                  </w:pPr>
                  <w:r w:rsidRPr="006B1681">
                    <w:t>Vic</w:t>
                  </w:r>
                </w:p>
              </w:tc>
              <w:tc>
                <w:tcPr>
                  <w:tcW w:w="403" w:type="pct"/>
                  <w:tcBorders>
                    <w:top w:val="single" w:sz="6" w:space="0" w:color="BFBFBF"/>
                    <w:bottom w:val="single" w:sz="6" w:space="0" w:color="BFBFBF"/>
                  </w:tcBorders>
                  <w:shd w:val="clear" w:color="auto" w:fill="auto"/>
                </w:tcPr>
                <w:p w:rsidR="00D474D1" w:rsidRPr="006B1681" w:rsidRDefault="00D474D1" w:rsidP="00A559CF">
                  <w:pPr>
                    <w:pStyle w:val="TableColumnHeading"/>
                  </w:pPr>
                  <w:r w:rsidRPr="006B1681">
                    <w:t>Qld</w:t>
                  </w:r>
                </w:p>
              </w:tc>
              <w:tc>
                <w:tcPr>
                  <w:tcW w:w="402" w:type="pct"/>
                  <w:tcBorders>
                    <w:top w:val="single" w:sz="6" w:space="0" w:color="BFBFBF"/>
                    <w:bottom w:val="single" w:sz="6" w:space="0" w:color="BFBFBF"/>
                  </w:tcBorders>
                  <w:shd w:val="clear" w:color="auto" w:fill="auto"/>
                </w:tcPr>
                <w:p w:rsidR="00D474D1" w:rsidRPr="006B1681" w:rsidRDefault="00D474D1" w:rsidP="00A559CF">
                  <w:pPr>
                    <w:pStyle w:val="TableColumnHeading"/>
                  </w:pPr>
                  <w:r w:rsidRPr="006B1681">
                    <w:t>WA</w:t>
                  </w:r>
                </w:p>
              </w:tc>
              <w:tc>
                <w:tcPr>
                  <w:tcW w:w="455" w:type="pct"/>
                  <w:tcBorders>
                    <w:top w:val="single" w:sz="6" w:space="0" w:color="BFBFBF"/>
                    <w:bottom w:val="single" w:sz="6" w:space="0" w:color="BFBFBF"/>
                  </w:tcBorders>
                  <w:shd w:val="clear" w:color="auto" w:fill="auto"/>
                </w:tcPr>
                <w:p w:rsidR="00D474D1" w:rsidRPr="006B1681" w:rsidRDefault="00D474D1" w:rsidP="00A559CF">
                  <w:pPr>
                    <w:pStyle w:val="TableColumnHeading"/>
                  </w:pPr>
                  <w:r w:rsidRPr="006B1681">
                    <w:t>SA</w:t>
                  </w:r>
                </w:p>
              </w:tc>
              <w:tc>
                <w:tcPr>
                  <w:tcW w:w="415" w:type="pct"/>
                  <w:tcBorders>
                    <w:top w:val="single" w:sz="6" w:space="0" w:color="BFBFBF"/>
                    <w:bottom w:val="single" w:sz="6" w:space="0" w:color="BFBFBF"/>
                  </w:tcBorders>
                  <w:shd w:val="clear" w:color="auto" w:fill="auto"/>
                </w:tcPr>
                <w:p w:rsidR="00D474D1" w:rsidRPr="006B1681" w:rsidRDefault="00D474D1" w:rsidP="00A559CF">
                  <w:pPr>
                    <w:pStyle w:val="TableColumnHeading"/>
                  </w:pPr>
                  <w:proofErr w:type="spellStart"/>
                  <w:r w:rsidRPr="006B1681">
                    <w:t>Tas</w:t>
                  </w:r>
                  <w:proofErr w:type="spellEnd"/>
                </w:p>
              </w:tc>
              <w:tc>
                <w:tcPr>
                  <w:tcW w:w="415" w:type="pct"/>
                  <w:tcBorders>
                    <w:top w:val="single" w:sz="6" w:space="0" w:color="BFBFBF"/>
                    <w:bottom w:val="single" w:sz="6" w:space="0" w:color="BFBFBF"/>
                  </w:tcBorders>
                  <w:shd w:val="clear" w:color="auto" w:fill="auto"/>
                </w:tcPr>
                <w:p w:rsidR="00D474D1" w:rsidRPr="006B1681" w:rsidRDefault="00D474D1" w:rsidP="00A559CF">
                  <w:pPr>
                    <w:pStyle w:val="TableColumnHeading"/>
                  </w:pPr>
                  <w:r w:rsidRPr="006B1681">
                    <w:t>ACT</w:t>
                  </w:r>
                </w:p>
              </w:tc>
              <w:tc>
                <w:tcPr>
                  <w:tcW w:w="489" w:type="pct"/>
                  <w:tcBorders>
                    <w:top w:val="single" w:sz="6" w:space="0" w:color="BFBFBF"/>
                    <w:bottom w:val="single" w:sz="6" w:space="0" w:color="BFBFBF"/>
                  </w:tcBorders>
                  <w:shd w:val="clear" w:color="auto" w:fill="auto"/>
                </w:tcPr>
                <w:p w:rsidR="00D474D1" w:rsidRPr="006B1681" w:rsidRDefault="00D474D1" w:rsidP="00E96A3B">
                  <w:pPr>
                    <w:pStyle w:val="TableColumnHeading"/>
                  </w:pPr>
                  <w:r w:rsidRPr="006B1681">
                    <w:t>NT</w:t>
                  </w:r>
                </w:p>
              </w:tc>
            </w:tr>
            <w:tr w:rsidR="006B1681" w:rsidRPr="006B1681" w:rsidTr="00860254">
              <w:tc>
                <w:tcPr>
                  <w:tcW w:w="1343" w:type="pct"/>
                  <w:tcBorders>
                    <w:top w:val="single" w:sz="6" w:space="0" w:color="BFBFBF"/>
                  </w:tcBorders>
                </w:tcPr>
                <w:p w:rsidR="00D474D1" w:rsidRPr="006B1681" w:rsidRDefault="00D474D1" w:rsidP="00A559CF">
                  <w:pPr>
                    <w:pStyle w:val="TableColumnHeading"/>
                    <w:jc w:val="left"/>
                  </w:pPr>
                  <w:r w:rsidRPr="006B1681">
                    <w:t>Proactive monitoring</w:t>
                  </w:r>
                  <w:r w:rsidRPr="006B1681">
                    <w:rPr>
                      <w:rStyle w:val="NoteLabel"/>
                      <w:i w:val="0"/>
                    </w:rPr>
                    <w:t>a</w:t>
                  </w:r>
                </w:p>
              </w:tc>
              <w:tc>
                <w:tcPr>
                  <w:tcW w:w="270" w:type="pct"/>
                  <w:tcBorders>
                    <w:top w:val="single" w:sz="6" w:space="0" w:color="BFBFBF"/>
                  </w:tcBorders>
                </w:tcPr>
                <w:p w:rsidR="00D474D1" w:rsidRPr="006B1681" w:rsidRDefault="00D474D1" w:rsidP="00A559CF">
                  <w:pPr>
                    <w:pStyle w:val="TableBodyText"/>
                  </w:pPr>
                </w:p>
              </w:tc>
              <w:tc>
                <w:tcPr>
                  <w:tcW w:w="403" w:type="pct"/>
                  <w:tcBorders>
                    <w:top w:val="single" w:sz="6" w:space="0" w:color="BFBFBF"/>
                  </w:tcBorders>
                  <w:vAlign w:val="center"/>
                </w:tcPr>
                <w:p w:rsidR="00D474D1" w:rsidRPr="006B1681" w:rsidRDefault="00D474D1" w:rsidP="00A559CF">
                  <w:pPr>
                    <w:pStyle w:val="TableBodyText"/>
                  </w:pPr>
                  <w:r w:rsidRPr="006B1681">
                    <w:rPr>
                      <w:szCs w:val="24"/>
                    </w:rPr>
                    <w:sym w:font="Wingdings" w:char="F0FC"/>
                  </w:r>
                </w:p>
              </w:tc>
              <w:tc>
                <w:tcPr>
                  <w:tcW w:w="404" w:type="pct"/>
                  <w:tcBorders>
                    <w:top w:val="single" w:sz="6" w:space="0" w:color="BFBFBF"/>
                  </w:tcBorders>
                  <w:vAlign w:val="center"/>
                </w:tcPr>
                <w:p w:rsidR="00D474D1" w:rsidRPr="006B1681" w:rsidRDefault="00D474D1" w:rsidP="00A559CF">
                  <w:pPr>
                    <w:pStyle w:val="TableBodyText"/>
                  </w:pPr>
                  <w:r w:rsidRPr="006B1681">
                    <w:rPr>
                      <w:szCs w:val="24"/>
                    </w:rPr>
                    <w:sym w:font="Wingdings" w:char="F0FC"/>
                  </w:r>
                </w:p>
              </w:tc>
              <w:tc>
                <w:tcPr>
                  <w:tcW w:w="403" w:type="pct"/>
                  <w:tcBorders>
                    <w:top w:val="single" w:sz="6" w:space="0" w:color="BFBFBF"/>
                  </w:tcBorders>
                  <w:vAlign w:val="center"/>
                </w:tcPr>
                <w:p w:rsidR="00D474D1" w:rsidRPr="006B1681" w:rsidRDefault="00D474D1" w:rsidP="00A559CF">
                  <w:pPr>
                    <w:pStyle w:val="TableBodyText"/>
                  </w:pPr>
                  <w:r w:rsidRPr="006B1681">
                    <w:rPr>
                      <w:szCs w:val="24"/>
                    </w:rPr>
                    <w:sym w:font="Wingdings" w:char="F0FC"/>
                  </w:r>
                </w:p>
              </w:tc>
              <w:tc>
                <w:tcPr>
                  <w:tcW w:w="402" w:type="pct"/>
                  <w:tcBorders>
                    <w:top w:val="single" w:sz="6" w:space="0" w:color="BFBFBF"/>
                  </w:tcBorders>
                  <w:vAlign w:val="center"/>
                </w:tcPr>
                <w:p w:rsidR="00D474D1" w:rsidRPr="006B1681" w:rsidRDefault="00D474D1" w:rsidP="00A559CF">
                  <w:pPr>
                    <w:pStyle w:val="TableBodyText"/>
                  </w:pPr>
                  <w:r w:rsidRPr="006B1681">
                    <w:rPr>
                      <w:szCs w:val="24"/>
                    </w:rPr>
                    <w:sym w:font="Wingdings" w:char="F0FC"/>
                  </w:r>
                </w:p>
              </w:tc>
              <w:tc>
                <w:tcPr>
                  <w:tcW w:w="455" w:type="pct"/>
                  <w:tcBorders>
                    <w:top w:val="single" w:sz="6" w:space="0" w:color="BFBFBF"/>
                  </w:tcBorders>
                  <w:vAlign w:val="center"/>
                </w:tcPr>
                <w:p w:rsidR="00D474D1" w:rsidRPr="006B1681" w:rsidRDefault="00D474D1" w:rsidP="00A559CF">
                  <w:pPr>
                    <w:pStyle w:val="TableBodyText"/>
                  </w:pPr>
                  <w:r w:rsidRPr="006B1681">
                    <w:rPr>
                      <w:szCs w:val="24"/>
                    </w:rPr>
                    <w:sym w:font="Wingdings" w:char="F0FC"/>
                  </w:r>
                </w:p>
              </w:tc>
              <w:tc>
                <w:tcPr>
                  <w:tcW w:w="415" w:type="pct"/>
                  <w:tcBorders>
                    <w:top w:val="single" w:sz="6" w:space="0" w:color="BFBFBF"/>
                  </w:tcBorders>
                  <w:vAlign w:val="center"/>
                </w:tcPr>
                <w:p w:rsidR="00D474D1" w:rsidRPr="006B1681" w:rsidRDefault="00D474D1" w:rsidP="00A559CF">
                  <w:pPr>
                    <w:pStyle w:val="TableBodyText"/>
                  </w:pPr>
                  <w:r w:rsidRPr="006B1681">
                    <w:rPr>
                      <w:szCs w:val="24"/>
                    </w:rPr>
                    <w:sym w:font="Wingdings" w:char="F0FC"/>
                  </w:r>
                </w:p>
              </w:tc>
              <w:tc>
                <w:tcPr>
                  <w:tcW w:w="415" w:type="pct"/>
                  <w:tcBorders>
                    <w:top w:val="single" w:sz="6" w:space="0" w:color="BFBFBF"/>
                  </w:tcBorders>
                  <w:vAlign w:val="center"/>
                </w:tcPr>
                <w:p w:rsidR="00D474D1" w:rsidRPr="006B1681" w:rsidRDefault="00D474D1" w:rsidP="00A559CF">
                  <w:pPr>
                    <w:pStyle w:val="TableBodyText"/>
                  </w:pPr>
                  <w:r w:rsidRPr="006B1681">
                    <w:rPr>
                      <w:szCs w:val="24"/>
                    </w:rPr>
                    <w:sym w:font="Wingdings" w:char="F0FC"/>
                  </w:r>
                </w:p>
              </w:tc>
              <w:tc>
                <w:tcPr>
                  <w:tcW w:w="489" w:type="pct"/>
                  <w:tcBorders>
                    <w:top w:val="single" w:sz="6" w:space="0" w:color="BFBFBF"/>
                  </w:tcBorders>
                  <w:vAlign w:val="center"/>
                </w:tcPr>
                <w:p w:rsidR="00D474D1" w:rsidRPr="006B1681" w:rsidRDefault="00D474D1" w:rsidP="00D12C2A">
                  <w:pPr>
                    <w:pStyle w:val="TableBodyText"/>
                  </w:pPr>
                  <w:r w:rsidRPr="006B1681">
                    <w:rPr>
                      <w:szCs w:val="24"/>
                    </w:rPr>
                    <w:sym w:font="Wingdings" w:char="F0FC"/>
                  </w:r>
                </w:p>
              </w:tc>
            </w:tr>
            <w:tr w:rsidR="006B1681" w:rsidRPr="006B1681" w:rsidTr="003D7730">
              <w:tc>
                <w:tcPr>
                  <w:tcW w:w="1343" w:type="pct"/>
                  <w:shd w:val="clear" w:color="auto" w:fill="auto"/>
                </w:tcPr>
                <w:p w:rsidR="00D474D1" w:rsidRPr="006B1681" w:rsidRDefault="00D474D1" w:rsidP="000D2A34">
                  <w:pPr>
                    <w:pStyle w:val="TableBodyText"/>
                    <w:ind w:left="142"/>
                    <w:jc w:val="left"/>
                  </w:pPr>
                  <w:r w:rsidRPr="006B1681">
                    <w:t>Required frequency of inspections</w:t>
                  </w:r>
                </w:p>
              </w:tc>
              <w:tc>
                <w:tcPr>
                  <w:tcW w:w="270" w:type="pct"/>
                  <w:shd w:val="clear" w:color="auto" w:fill="auto"/>
                </w:tcPr>
                <w:p w:rsidR="00D474D1" w:rsidRPr="006B1681" w:rsidRDefault="00D474D1" w:rsidP="00A559CF">
                  <w:pPr>
                    <w:pStyle w:val="TableBodyText"/>
                    <w:jc w:val="center"/>
                  </w:pPr>
                </w:p>
              </w:tc>
              <w:tc>
                <w:tcPr>
                  <w:tcW w:w="403" w:type="pct"/>
                  <w:shd w:val="clear" w:color="auto" w:fill="auto"/>
                </w:tcPr>
                <w:p w:rsidR="00D474D1" w:rsidRPr="006B1681" w:rsidRDefault="00586255" w:rsidP="00A559CF">
                  <w:pPr>
                    <w:pStyle w:val="TableBodyText"/>
                    <w:rPr>
                      <w:szCs w:val="18"/>
                    </w:rPr>
                  </w:pPr>
                  <w:proofErr w:type="spellStart"/>
                  <w:r w:rsidRPr="006B1681">
                    <w:rPr>
                      <w:szCs w:val="18"/>
                    </w:rPr>
                    <w:t>na</w:t>
                  </w:r>
                  <w:proofErr w:type="spellEnd"/>
                </w:p>
              </w:tc>
              <w:tc>
                <w:tcPr>
                  <w:tcW w:w="404" w:type="pct"/>
                  <w:shd w:val="clear" w:color="auto" w:fill="auto"/>
                </w:tcPr>
                <w:p w:rsidR="00D474D1" w:rsidRPr="006B1681" w:rsidRDefault="00D474D1" w:rsidP="00A559CF">
                  <w:pPr>
                    <w:pStyle w:val="TableBodyText"/>
                    <w:rPr>
                      <w:szCs w:val="18"/>
                    </w:rPr>
                  </w:pPr>
                  <w:r w:rsidRPr="006B1681">
                    <w:rPr>
                      <w:szCs w:val="18"/>
                    </w:rPr>
                    <w:t>Risk based</w:t>
                  </w:r>
                </w:p>
              </w:tc>
              <w:tc>
                <w:tcPr>
                  <w:tcW w:w="403" w:type="pct"/>
                  <w:shd w:val="clear" w:color="auto" w:fill="auto"/>
                </w:tcPr>
                <w:p w:rsidR="00D474D1" w:rsidRPr="006B1681" w:rsidRDefault="00D474D1" w:rsidP="00A559CF">
                  <w:pPr>
                    <w:pStyle w:val="TableBodyText"/>
                    <w:rPr>
                      <w:szCs w:val="18"/>
                    </w:rPr>
                  </w:pPr>
                  <w:r w:rsidRPr="006B1681">
                    <w:rPr>
                      <w:szCs w:val="18"/>
                    </w:rPr>
                    <w:t>..</w:t>
                  </w:r>
                </w:p>
              </w:tc>
              <w:tc>
                <w:tcPr>
                  <w:tcW w:w="402" w:type="pct"/>
                  <w:shd w:val="clear" w:color="auto" w:fill="auto"/>
                </w:tcPr>
                <w:p w:rsidR="00D474D1" w:rsidRPr="006B1681" w:rsidRDefault="00D474D1" w:rsidP="00A559CF">
                  <w:pPr>
                    <w:pStyle w:val="TableBodyText"/>
                    <w:rPr>
                      <w:szCs w:val="18"/>
                    </w:rPr>
                  </w:pPr>
                  <w:r w:rsidRPr="006B1681">
                    <w:rPr>
                      <w:szCs w:val="18"/>
                    </w:rPr>
                    <w:t>1</w:t>
                  </w:r>
                  <w:r w:rsidRPr="006B1681">
                    <w:rPr>
                      <w:szCs w:val="18"/>
                    </w:rPr>
                    <w:noBreakHyphen/>
                    <w:t>3 years depending on prior rating</w:t>
                  </w:r>
                </w:p>
              </w:tc>
              <w:tc>
                <w:tcPr>
                  <w:tcW w:w="455" w:type="pct"/>
                  <w:shd w:val="clear" w:color="auto" w:fill="auto"/>
                </w:tcPr>
                <w:p w:rsidR="00D474D1" w:rsidRPr="006B1681" w:rsidRDefault="00D474D1" w:rsidP="00A559CF">
                  <w:pPr>
                    <w:pStyle w:val="TableBodyText"/>
                    <w:rPr>
                      <w:szCs w:val="18"/>
                    </w:rPr>
                  </w:pPr>
                  <w:proofErr w:type="spellStart"/>
                  <w:r w:rsidRPr="006B1681">
                    <w:rPr>
                      <w:szCs w:val="18"/>
                    </w:rPr>
                    <w:t>na</w:t>
                  </w:r>
                  <w:proofErr w:type="spellEnd"/>
                </w:p>
              </w:tc>
              <w:tc>
                <w:tcPr>
                  <w:tcW w:w="415" w:type="pct"/>
                  <w:shd w:val="clear" w:color="auto" w:fill="auto"/>
                </w:tcPr>
                <w:p w:rsidR="00D474D1" w:rsidRPr="006B1681" w:rsidRDefault="00D474D1" w:rsidP="00A559CF">
                  <w:pPr>
                    <w:pStyle w:val="TableBodyText"/>
                    <w:rPr>
                      <w:szCs w:val="18"/>
                    </w:rPr>
                  </w:pPr>
                  <w:r w:rsidRPr="006B1681">
                    <w:rPr>
                      <w:szCs w:val="18"/>
                    </w:rPr>
                    <w:t>Various based on the principle of earned autonomy</w:t>
                  </w:r>
                </w:p>
              </w:tc>
              <w:tc>
                <w:tcPr>
                  <w:tcW w:w="415" w:type="pct"/>
                  <w:shd w:val="clear" w:color="auto" w:fill="auto"/>
                </w:tcPr>
                <w:p w:rsidR="00D474D1" w:rsidRPr="006B1681" w:rsidRDefault="00D474D1" w:rsidP="00A559CF">
                  <w:pPr>
                    <w:pStyle w:val="TableBodyText"/>
                    <w:rPr>
                      <w:szCs w:val="18"/>
                    </w:rPr>
                  </w:pPr>
                  <w:r w:rsidRPr="006B1681">
                    <w:rPr>
                      <w:szCs w:val="18"/>
                    </w:rPr>
                    <w:t>Yearly</w:t>
                  </w:r>
                </w:p>
              </w:tc>
              <w:tc>
                <w:tcPr>
                  <w:tcW w:w="489" w:type="pct"/>
                  <w:shd w:val="clear" w:color="auto" w:fill="FFFFFF" w:themeFill="background1"/>
                </w:tcPr>
                <w:p w:rsidR="00D474D1" w:rsidRPr="006B1681" w:rsidRDefault="00586255" w:rsidP="00D12C2A">
                  <w:pPr>
                    <w:pStyle w:val="TableBodyText"/>
                    <w:rPr>
                      <w:szCs w:val="18"/>
                    </w:rPr>
                  </w:pPr>
                  <w:r w:rsidRPr="006B1681">
                    <w:rPr>
                      <w:szCs w:val="18"/>
                    </w:rPr>
                    <w:t>A</w:t>
                  </w:r>
                  <w:r w:rsidR="00D474D1" w:rsidRPr="006B1681">
                    <w:rPr>
                      <w:szCs w:val="18"/>
                    </w:rPr>
                    <w:t>nnual</w:t>
                  </w:r>
                </w:p>
              </w:tc>
            </w:tr>
            <w:tr w:rsidR="006B1681" w:rsidRPr="006B1681" w:rsidTr="003D7730">
              <w:tc>
                <w:tcPr>
                  <w:tcW w:w="1343" w:type="pct"/>
                  <w:shd w:val="clear" w:color="auto" w:fill="auto"/>
                </w:tcPr>
                <w:p w:rsidR="00D474D1" w:rsidRPr="006B1681" w:rsidRDefault="00D474D1" w:rsidP="00A559CF">
                  <w:pPr>
                    <w:pStyle w:val="TableBodyText"/>
                    <w:ind w:left="142"/>
                    <w:jc w:val="left"/>
                  </w:pPr>
                  <w:r w:rsidRPr="006B1681">
                    <w:t>Estimated share announced visits</w:t>
                  </w:r>
                  <w:r w:rsidRPr="006B1681">
                    <w:rPr>
                      <w:rStyle w:val="NoteLabel"/>
                    </w:rPr>
                    <w:t>b</w:t>
                  </w:r>
                </w:p>
              </w:tc>
              <w:tc>
                <w:tcPr>
                  <w:tcW w:w="270" w:type="pct"/>
                  <w:shd w:val="clear" w:color="auto" w:fill="auto"/>
                  <w:vAlign w:val="center"/>
                </w:tcPr>
                <w:p w:rsidR="00D474D1" w:rsidRPr="006B1681" w:rsidRDefault="00D474D1" w:rsidP="00A559CF">
                  <w:pPr>
                    <w:pStyle w:val="TableBodyText"/>
                    <w:jc w:val="center"/>
                  </w:pPr>
                  <w:r w:rsidRPr="006B1681">
                    <w:t>%</w:t>
                  </w:r>
                </w:p>
              </w:tc>
              <w:tc>
                <w:tcPr>
                  <w:tcW w:w="403" w:type="pct"/>
                  <w:shd w:val="clear" w:color="auto" w:fill="auto"/>
                  <w:vAlign w:val="center"/>
                </w:tcPr>
                <w:p w:rsidR="00D474D1" w:rsidRPr="006B1681" w:rsidRDefault="00586255" w:rsidP="00A559CF">
                  <w:pPr>
                    <w:pStyle w:val="TableBodyText"/>
                  </w:pPr>
                  <w:r w:rsidRPr="006B1681">
                    <w:t>33</w:t>
                  </w:r>
                </w:p>
              </w:tc>
              <w:tc>
                <w:tcPr>
                  <w:tcW w:w="404" w:type="pct"/>
                  <w:shd w:val="clear" w:color="auto" w:fill="auto"/>
                  <w:vAlign w:val="center"/>
                </w:tcPr>
                <w:p w:rsidR="00D474D1" w:rsidRPr="006B1681" w:rsidRDefault="00681635" w:rsidP="00A559CF">
                  <w:pPr>
                    <w:pStyle w:val="TableBodyText"/>
                  </w:pPr>
                  <w:r w:rsidRPr="006B1681">
                    <w:t>42</w:t>
                  </w:r>
                </w:p>
              </w:tc>
              <w:tc>
                <w:tcPr>
                  <w:tcW w:w="403" w:type="pct"/>
                  <w:shd w:val="clear" w:color="auto" w:fill="auto"/>
                  <w:vAlign w:val="center"/>
                </w:tcPr>
                <w:p w:rsidR="00D474D1" w:rsidRPr="006B1681" w:rsidRDefault="00586255" w:rsidP="00A559CF">
                  <w:pPr>
                    <w:pStyle w:val="TableBodyText"/>
                  </w:pPr>
                  <w:r w:rsidRPr="006B1681">
                    <w:t>80</w:t>
                  </w:r>
                </w:p>
              </w:tc>
              <w:tc>
                <w:tcPr>
                  <w:tcW w:w="402" w:type="pct"/>
                  <w:shd w:val="clear" w:color="auto" w:fill="auto"/>
                  <w:vAlign w:val="center"/>
                </w:tcPr>
                <w:p w:rsidR="00D474D1" w:rsidRPr="006B1681" w:rsidRDefault="00586255" w:rsidP="00A559CF">
                  <w:pPr>
                    <w:pStyle w:val="TableBodyText"/>
                  </w:pPr>
                  <w:r w:rsidRPr="006B1681">
                    <w:t>31</w:t>
                  </w:r>
                </w:p>
              </w:tc>
              <w:tc>
                <w:tcPr>
                  <w:tcW w:w="455" w:type="pct"/>
                  <w:shd w:val="clear" w:color="auto" w:fill="auto"/>
                  <w:vAlign w:val="center"/>
                </w:tcPr>
                <w:p w:rsidR="00D474D1" w:rsidRPr="006B1681" w:rsidRDefault="00586255" w:rsidP="00A559CF">
                  <w:pPr>
                    <w:pStyle w:val="TableBodyText"/>
                  </w:pPr>
                  <w:r w:rsidRPr="006B1681">
                    <w:t>55</w:t>
                  </w:r>
                </w:p>
              </w:tc>
              <w:tc>
                <w:tcPr>
                  <w:tcW w:w="415" w:type="pct"/>
                  <w:shd w:val="clear" w:color="auto" w:fill="auto"/>
                  <w:vAlign w:val="center"/>
                </w:tcPr>
                <w:p w:rsidR="00D474D1" w:rsidRPr="006B1681" w:rsidRDefault="00D474D1" w:rsidP="00A559CF">
                  <w:pPr>
                    <w:pStyle w:val="TableBodyText"/>
                  </w:pPr>
                  <w:r w:rsidRPr="006B1681">
                    <w:t>70</w:t>
                  </w:r>
                </w:p>
              </w:tc>
              <w:tc>
                <w:tcPr>
                  <w:tcW w:w="415" w:type="pct"/>
                  <w:shd w:val="clear" w:color="auto" w:fill="auto"/>
                  <w:vAlign w:val="center"/>
                </w:tcPr>
                <w:p w:rsidR="00D474D1" w:rsidRPr="006B1681" w:rsidRDefault="00071058" w:rsidP="00A559CF">
                  <w:pPr>
                    <w:pStyle w:val="TableBodyText"/>
                  </w:pPr>
                  <w:r w:rsidRPr="006B1681">
                    <w:t>75</w:t>
                  </w:r>
                </w:p>
              </w:tc>
              <w:tc>
                <w:tcPr>
                  <w:tcW w:w="489" w:type="pct"/>
                  <w:shd w:val="clear" w:color="auto" w:fill="auto"/>
                  <w:vAlign w:val="center"/>
                </w:tcPr>
                <w:p w:rsidR="00D474D1" w:rsidRPr="006B1681" w:rsidRDefault="00071058" w:rsidP="00D12C2A">
                  <w:pPr>
                    <w:pStyle w:val="TableBodyText"/>
                  </w:pPr>
                  <w:r w:rsidRPr="006B1681">
                    <w:t>70</w:t>
                  </w:r>
                </w:p>
              </w:tc>
            </w:tr>
            <w:tr w:rsidR="006B1681" w:rsidRPr="006B1681" w:rsidTr="003D7730">
              <w:tc>
                <w:tcPr>
                  <w:tcW w:w="1343" w:type="pct"/>
                  <w:shd w:val="clear" w:color="auto" w:fill="auto"/>
                </w:tcPr>
                <w:p w:rsidR="00D474D1" w:rsidRPr="006B1681" w:rsidRDefault="00D474D1" w:rsidP="00A559CF">
                  <w:pPr>
                    <w:pStyle w:val="TableBodyText"/>
                    <w:ind w:left="142"/>
                    <w:jc w:val="left"/>
                  </w:pPr>
                  <w:r w:rsidRPr="006B1681">
                    <w:t>Estimated share unannounced inspections</w:t>
                  </w:r>
                  <w:r w:rsidRPr="006B1681">
                    <w:rPr>
                      <w:rStyle w:val="NoteLabel"/>
                    </w:rPr>
                    <w:t>c</w:t>
                  </w:r>
                </w:p>
              </w:tc>
              <w:tc>
                <w:tcPr>
                  <w:tcW w:w="270" w:type="pct"/>
                  <w:shd w:val="clear" w:color="auto" w:fill="auto"/>
                  <w:vAlign w:val="center"/>
                </w:tcPr>
                <w:p w:rsidR="00D474D1" w:rsidRPr="006B1681" w:rsidRDefault="00D474D1" w:rsidP="00A559CF">
                  <w:pPr>
                    <w:pStyle w:val="TableBodyText"/>
                    <w:jc w:val="center"/>
                  </w:pPr>
                  <w:r w:rsidRPr="006B1681">
                    <w:t>%</w:t>
                  </w:r>
                </w:p>
              </w:tc>
              <w:tc>
                <w:tcPr>
                  <w:tcW w:w="403" w:type="pct"/>
                  <w:shd w:val="clear" w:color="auto" w:fill="auto"/>
                  <w:vAlign w:val="center"/>
                </w:tcPr>
                <w:p w:rsidR="00D474D1" w:rsidRPr="006B1681" w:rsidRDefault="00586255" w:rsidP="00A559CF">
                  <w:pPr>
                    <w:pStyle w:val="TableBodyText"/>
                  </w:pPr>
                  <w:r w:rsidRPr="006B1681">
                    <w:t>68</w:t>
                  </w:r>
                </w:p>
              </w:tc>
              <w:tc>
                <w:tcPr>
                  <w:tcW w:w="404" w:type="pct"/>
                  <w:shd w:val="clear" w:color="auto" w:fill="auto"/>
                  <w:vAlign w:val="center"/>
                </w:tcPr>
                <w:p w:rsidR="00D474D1" w:rsidRPr="006B1681" w:rsidRDefault="00681635" w:rsidP="00A559CF">
                  <w:pPr>
                    <w:pStyle w:val="TableBodyText"/>
                  </w:pPr>
                  <w:r w:rsidRPr="006B1681">
                    <w:t>58</w:t>
                  </w:r>
                </w:p>
              </w:tc>
              <w:tc>
                <w:tcPr>
                  <w:tcW w:w="403" w:type="pct"/>
                  <w:shd w:val="clear" w:color="auto" w:fill="auto"/>
                  <w:vAlign w:val="center"/>
                </w:tcPr>
                <w:p w:rsidR="00D474D1" w:rsidRPr="006B1681" w:rsidRDefault="00586255" w:rsidP="00A559CF">
                  <w:pPr>
                    <w:pStyle w:val="TableBodyText"/>
                  </w:pPr>
                  <w:r w:rsidRPr="006B1681">
                    <w:t>20</w:t>
                  </w:r>
                </w:p>
              </w:tc>
              <w:tc>
                <w:tcPr>
                  <w:tcW w:w="402" w:type="pct"/>
                  <w:shd w:val="clear" w:color="auto" w:fill="auto"/>
                  <w:vAlign w:val="center"/>
                </w:tcPr>
                <w:p w:rsidR="00D474D1" w:rsidRPr="006B1681" w:rsidRDefault="00586255" w:rsidP="00A559CF">
                  <w:pPr>
                    <w:pStyle w:val="TableBodyText"/>
                  </w:pPr>
                  <w:r w:rsidRPr="006B1681">
                    <w:t>69</w:t>
                  </w:r>
                </w:p>
              </w:tc>
              <w:tc>
                <w:tcPr>
                  <w:tcW w:w="455" w:type="pct"/>
                  <w:shd w:val="clear" w:color="auto" w:fill="auto"/>
                  <w:vAlign w:val="center"/>
                </w:tcPr>
                <w:p w:rsidR="00D474D1" w:rsidRPr="006B1681" w:rsidRDefault="00586255" w:rsidP="00A559CF">
                  <w:pPr>
                    <w:pStyle w:val="TableBodyText"/>
                  </w:pPr>
                  <w:r w:rsidRPr="006B1681">
                    <w:t>45</w:t>
                  </w:r>
                </w:p>
              </w:tc>
              <w:tc>
                <w:tcPr>
                  <w:tcW w:w="415" w:type="pct"/>
                  <w:shd w:val="clear" w:color="auto" w:fill="auto"/>
                  <w:vAlign w:val="center"/>
                </w:tcPr>
                <w:p w:rsidR="00D474D1" w:rsidRPr="006B1681" w:rsidRDefault="00D474D1" w:rsidP="00A559CF">
                  <w:pPr>
                    <w:pStyle w:val="TableBodyText"/>
                  </w:pPr>
                  <w:r w:rsidRPr="006B1681">
                    <w:t>30</w:t>
                  </w:r>
                </w:p>
              </w:tc>
              <w:tc>
                <w:tcPr>
                  <w:tcW w:w="415" w:type="pct"/>
                  <w:shd w:val="clear" w:color="auto" w:fill="auto"/>
                  <w:vAlign w:val="center"/>
                </w:tcPr>
                <w:p w:rsidR="00D474D1" w:rsidRPr="006B1681" w:rsidRDefault="00071058" w:rsidP="00A559CF">
                  <w:pPr>
                    <w:pStyle w:val="TableBodyText"/>
                  </w:pPr>
                  <w:r w:rsidRPr="006B1681">
                    <w:t>25</w:t>
                  </w:r>
                </w:p>
              </w:tc>
              <w:tc>
                <w:tcPr>
                  <w:tcW w:w="489" w:type="pct"/>
                  <w:shd w:val="clear" w:color="auto" w:fill="auto"/>
                  <w:vAlign w:val="center"/>
                </w:tcPr>
                <w:p w:rsidR="00D474D1" w:rsidRPr="006B1681" w:rsidRDefault="00071058" w:rsidP="00D12C2A">
                  <w:pPr>
                    <w:pStyle w:val="TableBodyText"/>
                  </w:pPr>
                  <w:r w:rsidRPr="006B1681">
                    <w:t>30</w:t>
                  </w:r>
                </w:p>
              </w:tc>
            </w:tr>
            <w:tr w:rsidR="006B1681" w:rsidRPr="006B1681" w:rsidTr="00D7666E">
              <w:tc>
                <w:tcPr>
                  <w:tcW w:w="1343" w:type="pct"/>
                  <w:shd w:val="clear" w:color="auto" w:fill="auto"/>
                </w:tcPr>
                <w:p w:rsidR="00D474D1" w:rsidRPr="006B1681" w:rsidRDefault="00D474D1" w:rsidP="00A559CF">
                  <w:pPr>
                    <w:pStyle w:val="TableColumnHeading"/>
                    <w:jc w:val="left"/>
                  </w:pPr>
                  <w:r w:rsidRPr="006B1681">
                    <w:t>Reactive monitoring</w:t>
                  </w:r>
                  <w:r w:rsidRPr="006B1681">
                    <w:rPr>
                      <w:rStyle w:val="NoteLabel"/>
                      <w:i w:val="0"/>
                    </w:rPr>
                    <w:t>d</w:t>
                  </w:r>
                </w:p>
              </w:tc>
              <w:tc>
                <w:tcPr>
                  <w:tcW w:w="270" w:type="pct"/>
                  <w:shd w:val="clear" w:color="auto" w:fill="auto"/>
                </w:tcPr>
                <w:p w:rsidR="00D474D1" w:rsidRPr="006B1681" w:rsidRDefault="00D474D1" w:rsidP="00A559CF">
                  <w:pPr>
                    <w:pStyle w:val="TableBodyText"/>
                    <w:jc w:val="center"/>
                  </w:pPr>
                </w:p>
              </w:tc>
              <w:tc>
                <w:tcPr>
                  <w:tcW w:w="403" w:type="pct"/>
                  <w:shd w:val="clear" w:color="auto" w:fill="auto"/>
                  <w:vAlign w:val="center"/>
                </w:tcPr>
                <w:p w:rsidR="00D474D1" w:rsidRPr="006B1681" w:rsidRDefault="00D474D1" w:rsidP="00A559CF">
                  <w:pPr>
                    <w:pStyle w:val="TableBodyText"/>
                  </w:pPr>
                  <w:r w:rsidRPr="006B1681">
                    <w:rPr>
                      <w:szCs w:val="24"/>
                    </w:rPr>
                    <w:sym w:font="Wingdings" w:char="F0FC"/>
                  </w:r>
                </w:p>
              </w:tc>
              <w:tc>
                <w:tcPr>
                  <w:tcW w:w="404" w:type="pct"/>
                  <w:shd w:val="clear" w:color="auto" w:fill="auto"/>
                  <w:vAlign w:val="center"/>
                </w:tcPr>
                <w:p w:rsidR="00D474D1" w:rsidRPr="006B1681" w:rsidRDefault="00D474D1" w:rsidP="00A559CF">
                  <w:pPr>
                    <w:pStyle w:val="TableBodyText"/>
                  </w:pPr>
                  <w:r w:rsidRPr="006B1681">
                    <w:rPr>
                      <w:szCs w:val="24"/>
                    </w:rPr>
                    <w:sym w:font="Wingdings" w:char="F0FC"/>
                  </w:r>
                </w:p>
              </w:tc>
              <w:tc>
                <w:tcPr>
                  <w:tcW w:w="403" w:type="pct"/>
                  <w:shd w:val="clear" w:color="auto" w:fill="auto"/>
                  <w:vAlign w:val="center"/>
                </w:tcPr>
                <w:p w:rsidR="00D474D1" w:rsidRPr="006B1681" w:rsidRDefault="00D474D1" w:rsidP="00A559CF">
                  <w:pPr>
                    <w:pStyle w:val="TableBodyText"/>
                  </w:pPr>
                  <w:r w:rsidRPr="006B1681">
                    <w:rPr>
                      <w:szCs w:val="24"/>
                    </w:rPr>
                    <w:sym w:font="Wingdings" w:char="F0FC"/>
                  </w:r>
                </w:p>
              </w:tc>
              <w:tc>
                <w:tcPr>
                  <w:tcW w:w="402" w:type="pct"/>
                  <w:shd w:val="clear" w:color="auto" w:fill="auto"/>
                  <w:vAlign w:val="center"/>
                </w:tcPr>
                <w:p w:rsidR="00D474D1" w:rsidRPr="006B1681" w:rsidRDefault="00D474D1" w:rsidP="00A559CF">
                  <w:pPr>
                    <w:pStyle w:val="TableBodyText"/>
                  </w:pPr>
                  <w:r w:rsidRPr="006B1681">
                    <w:rPr>
                      <w:szCs w:val="24"/>
                    </w:rPr>
                    <w:sym w:font="Wingdings" w:char="F0FC"/>
                  </w:r>
                </w:p>
              </w:tc>
              <w:tc>
                <w:tcPr>
                  <w:tcW w:w="455" w:type="pct"/>
                  <w:shd w:val="clear" w:color="auto" w:fill="auto"/>
                  <w:vAlign w:val="center"/>
                </w:tcPr>
                <w:p w:rsidR="00D474D1" w:rsidRPr="006B1681" w:rsidRDefault="00D474D1" w:rsidP="00A559CF">
                  <w:pPr>
                    <w:pStyle w:val="TableBodyText"/>
                  </w:pPr>
                  <w:r w:rsidRPr="006B1681">
                    <w:rPr>
                      <w:szCs w:val="24"/>
                    </w:rPr>
                    <w:sym w:font="Wingdings" w:char="F0FC"/>
                  </w:r>
                </w:p>
              </w:tc>
              <w:tc>
                <w:tcPr>
                  <w:tcW w:w="415" w:type="pct"/>
                  <w:shd w:val="clear" w:color="auto" w:fill="auto"/>
                  <w:vAlign w:val="center"/>
                </w:tcPr>
                <w:p w:rsidR="00D474D1" w:rsidRPr="006B1681" w:rsidRDefault="00D474D1" w:rsidP="00A559CF">
                  <w:pPr>
                    <w:pStyle w:val="TableBodyText"/>
                  </w:pPr>
                  <w:r w:rsidRPr="006B1681">
                    <w:rPr>
                      <w:szCs w:val="24"/>
                    </w:rPr>
                    <w:sym w:font="Wingdings" w:char="F0FC"/>
                  </w:r>
                </w:p>
              </w:tc>
              <w:tc>
                <w:tcPr>
                  <w:tcW w:w="415" w:type="pct"/>
                  <w:shd w:val="clear" w:color="auto" w:fill="auto"/>
                  <w:vAlign w:val="center"/>
                </w:tcPr>
                <w:p w:rsidR="00D474D1" w:rsidRPr="006B1681" w:rsidRDefault="00D474D1" w:rsidP="00A559CF">
                  <w:pPr>
                    <w:pStyle w:val="TableBodyText"/>
                  </w:pPr>
                  <w:r w:rsidRPr="006B1681">
                    <w:rPr>
                      <w:szCs w:val="24"/>
                    </w:rPr>
                    <w:sym w:font="Wingdings" w:char="F0FC"/>
                  </w:r>
                </w:p>
              </w:tc>
              <w:tc>
                <w:tcPr>
                  <w:tcW w:w="489" w:type="pct"/>
                  <w:shd w:val="clear" w:color="auto" w:fill="auto"/>
                  <w:vAlign w:val="center"/>
                </w:tcPr>
                <w:p w:rsidR="00D474D1" w:rsidRPr="006B1681" w:rsidRDefault="00D474D1" w:rsidP="00D12C2A">
                  <w:pPr>
                    <w:pStyle w:val="TableBodyText"/>
                    <w:rPr>
                      <w:szCs w:val="24"/>
                    </w:rPr>
                  </w:pPr>
                  <w:r w:rsidRPr="006B1681">
                    <w:rPr>
                      <w:szCs w:val="24"/>
                    </w:rPr>
                    <w:sym w:font="Wingdings" w:char="F0FC"/>
                  </w:r>
                </w:p>
              </w:tc>
            </w:tr>
            <w:tr w:rsidR="006B1681" w:rsidRPr="006B1681" w:rsidTr="00D7666E">
              <w:tc>
                <w:tcPr>
                  <w:tcW w:w="1343" w:type="pct"/>
                  <w:shd w:val="clear" w:color="auto" w:fill="auto"/>
                </w:tcPr>
                <w:p w:rsidR="00D474D1" w:rsidRPr="006B1681" w:rsidRDefault="00D474D1" w:rsidP="00A559CF">
                  <w:pPr>
                    <w:pStyle w:val="TableBodyText"/>
                    <w:ind w:left="142"/>
                    <w:jc w:val="left"/>
                    <w:rPr>
                      <w:b/>
                    </w:rPr>
                  </w:pPr>
                  <w:r w:rsidRPr="006B1681">
                    <w:t>Data on substantiated breaches arising from complaints</w:t>
                  </w:r>
                  <w:r w:rsidRPr="006B1681">
                    <w:rPr>
                      <w:rStyle w:val="NoteLabel"/>
                    </w:rPr>
                    <w:t>e</w:t>
                  </w:r>
                </w:p>
              </w:tc>
              <w:tc>
                <w:tcPr>
                  <w:tcW w:w="270" w:type="pct"/>
                  <w:shd w:val="clear" w:color="auto" w:fill="auto"/>
                </w:tcPr>
                <w:p w:rsidR="00D474D1" w:rsidRPr="006B1681" w:rsidRDefault="00D474D1" w:rsidP="00A559CF">
                  <w:pPr>
                    <w:pStyle w:val="TableBodyText"/>
                    <w:jc w:val="center"/>
                  </w:pPr>
                </w:p>
              </w:tc>
              <w:tc>
                <w:tcPr>
                  <w:tcW w:w="403" w:type="pct"/>
                  <w:shd w:val="clear" w:color="auto" w:fill="auto"/>
                  <w:vAlign w:val="center"/>
                </w:tcPr>
                <w:p w:rsidR="00D474D1" w:rsidRPr="006B1681" w:rsidRDefault="00D474D1" w:rsidP="00A559CF">
                  <w:pPr>
                    <w:pStyle w:val="TableBodyText"/>
                  </w:pPr>
                  <w:r w:rsidRPr="006B1681">
                    <w:rPr>
                      <w:szCs w:val="24"/>
                    </w:rPr>
                    <w:sym w:font="Wingdings" w:char="F0FC"/>
                  </w:r>
                </w:p>
              </w:tc>
              <w:tc>
                <w:tcPr>
                  <w:tcW w:w="404" w:type="pct"/>
                  <w:shd w:val="clear" w:color="auto" w:fill="auto"/>
                  <w:vAlign w:val="center"/>
                </w:tcPr>
                <w:p w:rsidR="00D474D1" w:rsidRPr="006B1681" w:rsidRDefault="00D474D1" w:rsidP="00A559CF">
                  <w:pPr>
                    <w:pStyle w:val="TableBodyText"/>
                  </w:pPr>
                  <w:r w:rsidRPr="006B1681">
                    <w:rPr>
                      <w:szCs w:val="24"/>
                    </w:rPr>
                    <w:sym w:font="Wingdings" w:char="F0FC"/>
                  </w:r>
                </w:p>
              </w:tc>
              <w:tc>
                <w:tcPr>
                  <w:tcW w:w="403" w:type="pct"/>
                  <w:shd w:val="clear" w:color="auto" w:fill="auto"/>
                  <w:vAlign w:val="center"/>
                </w:tcPr>
                <w:p w:rsidR="00D474D1" w:rsidRPr="006B1681" w:rsidRDefault="00AD3103" w:rsidP="00A559CF">
                  <w:pPr>
                    <w:pStyle w:val="TableBodyText"/>
                  </w:pPr>
                  <w:r w:rsidRPr="006B1681">
                    <w:rPr>
                      <w:szCs w:val="24"/>
                    </w:rPr>
                    <w:sym w:font="Wingdings" w:char="F0FC"/>
                  </w:r>
                </w:p>
              </w:tc>
              <w:tc>
                <w:tcPr>
                  <w:tcW w:w="402" w:type="pct"/>
                  <w:shd w:val="clear" w:color="auto" w:fill="auto"/>
                  <w:vAlign w:val="center"/>
                </w:tcPr>
                <w:p w:rsidR="00D474D1" w:rsidRPr="006B1681" w:rsidRDefault="00D474D1" w:rsidP="00A559CF">
                  <w:pPr>
                    <w:pStyle w:val="TableBodyText"/>
                  </w:pPr>
                  <w:r w:rsidRPr="006B1681">
                    <w:rPr>
                      <w:szCs w:val="24"/>
                    </w:rPr>
                    <w:sym w:font="Wingdings" w:char="F0FC"/>
                  </w:r>
                </w:p>
              </w:tc>
              <w:tc>
                <w:tcPr>
                  <w:tcW w:w="455" w:type="pct"/>
                  <w:shd w:val="clear" w:color="auto" w:fill="auto"/>
                  <w:vAlign w:val="center"/>
                </w:tcPr>
                <w:p w:rsidR="00D474D1" w:rsidRPr="006B1681" w:rsidRDefault="00071058" w:rsidP="00A559CF">
                  <w:pPr>
                    <w:pStyle w:val="TableBodyText"/>
                  </w:pPr>
                  <w:r w:rsidRPr="006B1681">
                    <w:rPr>
                      <w:szCs w:val="24"/>
                    </w:rPr>
                    <w:sym w:font="Wingdings" w:char="F0FC"/>
                  </w:r>
                </w:p>
              </w:tc>
              <w:tc>
                <w:tcPr>
                  <w:tcW w:w="415" w:type="pct"/>
                  <w:shd w:val="clear" w:color="auto" w:fill="auto"/>
                  <w:vAlign w:val="center"/>
                </w:tcPr>
                <w:p w:rsidR="00D474D1" w:rsidRPr="006B1681" w:rsidRDefault="00D474D1" w:rsidP="00A559CF">
                  <w:pPr>
                    <w:pStyle w:val="TableBodyText"/>
                  </w:pPr>
                  <w:r w:rsidRPr="006B1681">
                    <w:rPr>
                      <w:szCs w:val="24"/>
                    </w:rPr>
                    <w:sym w:font="Wingdings" w:char="F0FC"/>
                  </w:r>
                </w:p>
              </w:tc>
              <w:tc>
                <w:tcPr>
                  <w:tcW w:w="415" w:type="pct"/>
                  <w:shd w:val="clear" w:color="auto" w:fill="auto"/>
                  <w:vAlign w:val="center"/>
                </w:tcPr>
                <w:p w:rsidR="00D474D1" w:rsidRPr="006B1681" w:rsidRDefault="00D474D1" w:rsidP="00A559CF">
                  <w:pPr>
                    <w:pStyle w:val="TableBodyText"/>
                  </w:pPr>
                  <w:r w:rsidRPr="006B1681">
                    <w:rPr>
                      <w:szCs w:val="24"/>
                    </w:rPr>
                    <w:sym w:font="Wingdings" w:char="F0FC"/>
                  </w:r>
                </w:p>
              </w:tc>
              <w:tc>
                <w:tcPr>
                  <w:tcW w:w="489" w:type="pct"/>
                  <w:shd w:val="clear" w:color="auto" w:fill="auto"/>
                  <w:vAlign w:val="center"/>
                </w:tcPr>
                <w:p w:rsidR="00D474D1" w:rsidRPr="006B1681" w:rsidRDefault="00D474D1" w:rsidP="00D12C2A">
                  <w:pPr>
                    <w:pStyle w:val="TableBodyText"/>
                    <w:rPr>
                      <w:szCs w:val="24"/>
                    </w:rPr>
                  </w:pPr>
                  <w:r w:rsidRPr="006B1681">
                    <w:rPr>
                      <w:szCs w:val="24"/>
                    </w:rPr>
                    <w:sym w:font="Wingdings" w:char="F0FC"/>
                  </w:r>
                </w:p>
              </w:tc>
            </w:tr>
            <w:tr w:rsidR="006B1681" w:rsidRPr="006B1681" w:rsidTr="00D7666E">
              <w:tc>
                <w:tcPr>
                  <w:tcW w:w="1343" w:type="pct"/>
                  <w:shd w:val="clear" w:color="auto" w:fill="auto"/>
                </w:tcPr>
                <w:p w:rsidR="00D474D1" w:rsidRPr="006B1681" w:rsidRDefault="00D474D1" w:rsidP="00A559CF">
                  <w:pPr>
                    <w:pStyle w:val="TableColumnHeading"/>
                    <w:jc w:val="left"/>
                  </w:pPr>
                  <w:r w:rsidRPr="006B1681">
                    <w:t>Sanctions for breaches</w:t>
                  </w:r>
                  <w:r w:rsidRPr="006B1681">
                    <w:rPr>
                      <w:rStyle w:val="NoteLabel"/>
                      <w:i w:val="0"/>
                    </w:rPr>
                    <w:t>f</w:t>
                  </w:r>
                </w:p>
              </w:tc>
              <w:tc>
                <w:tcPr>
                  <w:tcW w:w="270" w:type="pct"/>
                  <w:shd w:val="clear" w:color="auto" w:fill="auto"/>
                </w:tcPr>
                <w:p w:rsidR="00D474D1" w:rsidRPr="006B1681" w:rsidRDefault="00D474D1" w:rsidP="00A559CF">
                  <w:pPr>
                    <w:pStyle w:val="TableBodyText"/>
                    <w:jc w:val="center"/>
                  </w:pPr>
                </w:p>
              </w:tc>
              <w:tc>
                <w:tcPr>
                  <w:tcW w:w="403" w:type="pct"/>
                  <w:shd w:val="clear" w:color="auto" w:fill="auto"/>
                  <w:vAlign w:val="center"/>
                </w:tcPr>
                <w:p w:rsidR="00D474D1" w:rsidRPr="006B1681" w:rsidRDefault="00D474D1" w:rsidP="00A559CF">
                  <w:pPr>
                    <w:pStyle w:val="TableBodyText"/>
                  </w:pPr>
                  <w:r w:rsidRPr="006B1681">
                    <w:rPr>
                      <w:szCs w:val="24"/>
                    </w:rPr>
                    <w:sym w:font="Wingdings" w:char="F0FC"/>
                  </w:r>
                </w:p>
              </w:tc>
              <w:tc>
                <w:tcPr>
                  <w:tcW w:w="404" w:type="pct"/>
                  <w:shd w:val="clear" w:color="auto" w:fill="auto"/>
                  <w:vAlign w:val="center"/>
                </w:tcPr>
                <w:p w:rsidR="00D474D1" w:rsidRPr="006B1681" w:rsidRDefault="00D474D1" w:rsidP="00A559CF">
                  <w:pPr>
                    <w:pStyle w:val="TableBodyText"/>
                  </w:pPr>
                  <w:r w:rsidRPr="006B1681">
                    <w:rPr>
                      <w:szCs w:val="24"/>
                    </w:rPr>
                    <w:sym w:font="Wingdings" w:char="F0FC"/>
                  </w:r>
                </w:p>
              </w:tc>
              <w:tc>
                <w:tcPr>
                  <w:tcW w:w="403" w:type="pct"/>
                  <w:shd w:val="clear" w:color="auto" w:fill="auto"/>
                  <w:vAlign w:val="center"/>
                </w:tcPr>
                <w:p w:rsidR="00D474D1" w:rsidRPr="006B1681" w:rsidRDefault="00D474D1" w:rsidP="00A559CF">
                  <w:pPr>
                    <w:pStyle w:val="TableBodyText"/>
                  </w:pPr>
                  <w:r w:rsidRPr="006B1681">
                    <w:rPr>
                      <w:szCs w:val="24"/>
                    </w:rPr>
                    <w:sym w:font="Wingdings" w:char="F0FC"/>
                  </w:r>
                </w:p>
              </w:tc>
              <w:tc>
                <w:tcPr>
                  <w:tcW w:w="402" w:type="pct"/>
                  <w:shd w:val="clear" w:color="auto" w:fill="auto"/>
                  <w:vAlign w:val="center"/>
                </w:tcPr>
                <w:p w:rsidR="00D474D1" w:rsidRPr="006B1681" w:rsidRDefault="00D474D1" w:rsidP="00A559CF">
                  <w:pPr>
                    <w:pStyle w:val="TableBodyText"/>
                  </w:pPr>
                  <w:r w:rsidRPr="006B1681">
                    <w:rPr>
                      <w:szCs w:val="24"/>
                    </w:rPr>
                    <w:sym w:font="Wingdings" w:char="F0FC"/>
                  </w:r>
                </w:p>
              </w:tc>
              <w:tc>
                <w:tcPr>
                  <w:tcW w:w="455" w:type="pct"/>
                  <w:shd w:val="clear" w:color="auto" w:fill="auto"/>
                  <w:vAlign w:val="center"/>
                </w:tcPr>
                <w:p w:rsidR="00D474D1" w:rsidRPr="006B1681" w:rsidRDefault="00D474D1" w:rsidP="00A559CF">
                  <w:pPr>
                    <w:pStyle w:val="TableBodyText"/>
                  </w:pPr>
                  <w:r w:rsidRPr="006B1681">
                    <w:rPr>
                      <w:szCs w:val="24"/>
                    </w:rPr>
                    <w:sym w:font="Wingdings" w:char="F0FC"/>
                  </w:r>
                </w:p>
              </w:tc>
              <w:tc>
                <w:tcPr>
                  <w:tcW w:w="415" w:type="pct"/>
                  <w:shd w:val="clear" w:color="auto" w:fill="auto"/>
                  <w:vAlign w:val="center"/>
                </w:tcPr>
                <w:p w:rsidR="00D474D1" w:rsidRPr="006B1681" w:rsidRDefault="00D474D1" w:rsidP="00A559CF">
                  <w:pPr>
                    <w:pStyle w:val="TableBodyText"/>
                  </w:pPr>
                  <w:r w:rsidRPr="006B1681">
                    <w:rPr>
                      <w:szCs w:val="24"/>
                    </w:rPr>
                    <w:sym w:font="Wingdings" w:char="F0FC"/>
                  </w:r>
                </w:p>
              </w:tc>
              <w:tc>
                <w:tcPr>
                  <w:tcW w:w="415" w:type="pct"/>
                  <w:shd w:val="clear" w:color="auto" w:fill="auto"/>
                  <w:vAlign w:val="center"/>
                </w:tcPr>
                <w:p w:rsidR="00D474D1" w:rsidRPr="006B1681" w:rsidRDefault="00D474D1" w:rsidP="00A559CF">
                  <w:pPr>
                    <w:pStyle w:val="TableBodyText"/>
                  </w:pPr>
                  <w:r w:rsidRPr="006B1681">
                    <w:rPr>
                      <w:szCs w:val="24"/>
                    </w:rPr>
                    <w:sym w:font="Wingdings" w:char="F0FC"/>
                  </w:r>
                </w:p>
              </w:tc>
              <w:tc>
                <w:tcPr>
                  <w:tcW w:w="489" w:type="pct"/>
                  <w:shd w:val="clear" w:color="auto" w:fill="auto"/>
                  <w:vAlign w:val="center"/>
                </w:tcPr>
                <w:p w:rsidR="00D474D1" w:rsidRPr="006B1681" w:rsidRDefault="00D474D1" w:rsidP="00D12C2A">
                  <w:pPr>
                    <w:pStyle w:val="TableBodyText"/>
                    <w:rPr>
                      <w:szCs w:val="24"/>
                    </w:rPr>
                  </w:pPr>
                  <w:r w:rsidRPr="006B1681">
                    <w:rPr>
                      <w:szCs w:val="24"/>
                    </w:rPr>
                    <w:sym w:font="Wingdings" w:char="F0FC"/>
                  </w:r>
                </w:p>
              </w:tc>
            </w:tr>
            <w:tr w:rsidR="006B1681" w:rsidRPr="006B1681" w:rsidTr="00860254">
              <w:tc>
                <w:tcPr>
                  <w:tcW w:w="1343" w:type="pct"/>
                  <w:shd w:val="clear" w:color="auto" w:fill="auto"/>
                </w:tcPr>
                <w:p w:rsidR="00D474D1" w:rsidRPr="006B1681" w:rsidRDefault="00D474D1" w:rsidP="00A559CF">
                  <w:pPr>
                    <w:pStyle w:val="TableBodyText"/>
                    <w:ind w:left="142"/>
                    <w:jc w:val="left"/>
                    <w:rPr>
                      <w:highlight w:val="yellow"/>
                    </w:rPr>
                  </w:pPr>
                  <w:r w:rsidRPr="006B1681">
                    <w:t>Under</w:t>
                  </w:r>
                  <w:r w:rsidRPr="006B1681">
                    <w:noBreakHyphen/>
                    <w:t xml:space="preserve">performing services incur </w:t>
                  </w:r>
                  <w:r w:rsidRPr="006B1681">
                    <w:br/>
                    <w:t>follow</w:t>
                  </w:r>
                  <w:r w:rsidRPr="006B1681">
                    <w:noBreakHyphen/>
                    <w:t>up or more frequent inspections</w:t>
                  </w:r>
                </w:p>
              </w:tc>
              <w:tc>
                <w:tcPr>
                  <w:tcW w:w="270" w:type="pct"/>
                  <w:shd w:val="clear" w:color="auto" w:fill="auto"/>
                </w:tcPr>
                <w:p w:rsidR="00D474D1" w:rsidRPr="006B1681" w:rsidRDefault="00D474D1" w:rsidP="00A559CF">
                  <w:pPr>
                    <w:pStyle w:val="TableBodyText"/>
                    <w:jc w:val="center"/>
                  </w:pPr>
                </w:p>
              </w:tc>
              <w:tc>
                <w:tcPr>
                  <w:tcW w:w="403" w:type="pct"/>
                  <w:shd w:val="clear" w:color="auto" w:fill="auto"/>
                  <w:vAlign w:val="center"/>
                </w:tcPr>
                <w:p w:rsidR="00D474D1" w:rsidRPr="006B1681" w:rsidRDefault="00D474D1" w:rsidP="00A559CF">
                  <w:pPr>
                    <w:pStyle w:val="TableBodyText"/>
                  </w:pPr>
                  <w:r w:rsidRPr="006B1681">
                    <w:rPr>
                      <w:szCs w:val="24"/>
                    </w:rPr>
                    <w:sym w:font="Wingdings" w:char="F0FC"/>
                  </w:r>
                </w:p>
              </w:tc>
              <w:tc>
                <w:tcPr>
                  <w:tcW w:w="404" w:type="pct"/>
                  <w:shd w:val="clear" w:color="auto" w:fill="auto"/>
                  <w:vAlign w:val="center"/>
                </w:tcPr>
                <w:p w:rsidR="00D474D1" w:rsidRPr="006B1681" w:rsidRDefault="00D474D1" w:rsidP="00A559CF">
                  <w:pPr>
                    <w:pStyle w:val="TableBodyText"/>
                  </w:pPr>
                  <w:r w:rsidRPr="006B1681">
                    <w:rPr>
                      <w:szCs w:val="24"/>
                    </w:rPr>
                    <w:sym w:font="Wingdings" w:char="F0FC"/>
                  </w:r>
                </w:p>
              </w:tc>
              <w:tc>
                <w:tcPr>
                  <w:tcW w:w="403" w:type="pct"/>
                  <w:shd w:val="clear" w:color="auto" w:fill="auto"/>
                  <w:vAlign w:val="center"/>
                </w:tcPr>
                <w:p w:rsidR="00D474D1" w:rsidRPr="006B1681" w:rsidRDefault="00D474D1" w:rsidP="00A559CF">
                  <w:pPr>
                    <w:pStyle w:val="TableBodyText"/>
                  </w:pPr>
                  <w:r w:rsidRPr="006B1681">
                    <w:rPr>
                      <w:szCs w:val="24"/>
                    </w:rPr>
                    <w:sym w:font="Wingdings" w:char="F0FC"/>
                  </w:r>
                </w:p>
              </w:tc>
              <w:tc>
                <w:tcPr>
                  <w:tcW w:w="402" w:type="pct"/>
                  <w:shd w:val="clear" w:color="auto" w:fill="auto"/>
                  <w:vAlign w:val="center"/>
                </w:tcPr>
                <w:p w:rsidR="00D474D1" w:rsidRPr="006B1681" w:rsidRDefault="00D474D1" w:rsidP="00A559CF">
                  <w:pPr>
                    <w:pStyle w:val="TableBodyText"/>
                  </w:pPr>
                  <w:r w:rsidRPr="006B1681">
                    <w:rPr>
                      <w:szCs w:val="24"/>
                    </w:rPr>
                    <w:sym w:font="Wingdings" w:char="F0FC"/>
                  </w:r>
                </w:p>
              </w:tc>
              <w:tc>
                <w:tcPr>
                  <w:tcW w:w="455" w:type="pct"/>
                  <w:shd w:val="clear" w:color="auto" w:fill="auto"/>
                  <w:vAlign w:val="center"/>
                </w:tcPr>
                <w:p w:rsidR="00D474D1" w:rsidRPr="006B1681" w:rsidRDefault="00D474D1" w:rsidP="00A559CF">
                  <w:pPr>
                    <w:pStyle w:val="TableBodyText"/>
                  </w:pPr>
                  <w:r w:rsidRPr="006B1681">
                    <w:rPr>
                      <w:szCs w:val="24"/>
                    </w:rPr>
                    <w:sym w:font="Wingdings" w:char="F0FC"/>
                  </w:r>
                </w:p>
              </w:tc>
              <w:tc>
                <w:tcPr>
                  <w:tcW w:w="415" w:type="pct"/>
                  <w:shd w:val="clear" w:color="auto" w:fill="auto"/>
                  <w:vAlign w:val="center"/>
                </w:tcPr>
                <w:p w:rsidR="00D474D1" w:rsidRPr="006B1681" w:rsidRDefault="00D474D1" w:rsidP="00A559CF">
                  <w:pPr>
                    <w:pStyle w:val="TableBodyText"/>
                  </w:pPr>
                  <w:r w:rsidRPr="006B1681">
                    <w:rPr>
                      <w:szCs w:val="24"/>
                    </w:rPr>
                    <w:sym w:font="Wingdings" w:char="F0FC"/>
                  </w:r>
                </w:p>
              </w:tc>
              <w:tc>
                <w:tcPr>
                  <w:tcW w:w="415" w:type="pct"/>
                  <w:shd w:val="clear" w:color="auto" w:fill="auto"/>
                  <w:vAlign w:val="center"/>
                </w:tcPr>
                <w:p w:rsidR="00D474D1" w:rsidRPr="006B1681" w:rsidRDefault="00D474D1" w:rsidP="00A559CF">
                  <w:pPr>
                    <w:pStyle w:val="TableBodyText"/>
                  </w:pPr>
                  <w:r w:rsidRPr="006B1681">
                    <w:rPr>
                      <w:szCs w:val="24"/>
                    </w:rPr>
                    <w:sym w:font="Wingdings" w:char="F0FC"/>
                  </w:r>
                </w:p>
              </w:tc>
              <w:tc>
                <w:tcPr>
                  <w:tcW w:w="489" w:type="pct"/>
                  <w:shd w:val="clear" w:color="auto" w:fill="auto"/>
                  <w:vAlign w:val="center"/>
                </w:tcPr>
                <w:p w:rsidR="00D474D1" w:rsidRPr="006B1681" w:rsidRDefault="00D474D1" w:rsidP="00D12C2A">
                  <w:pPr>
                    <w:pStyle w:val="TableBodyText"/>
                    <w:rPr>
                      <w:szCs w:val="24"/>
                    </w:rPr>
                  </w:pPr>
                  <w:r w:rsidRPr="006B1681">
                    <w:rPr>
                      <w:szCs w:val="24"/>
                    </w:rPr>
                    <w:sym w:font="Wingdings" w:char="F0FC"/>
                  </w:r>
                </w:p>
              </w:tc>
            </w:tr>
            <w:tr w:rsidR="006B1681" w:rsidRPr="006B1681" w:rsidTr="00860254">
              <w:tc>
                <w:tcPr>
                  <w:tcW w:w="1343" w:type="pct"/>
                  <w:tcBorders>
                    <w:bottom w:val="single" w:sz="6" w:space="0" w:color="BFBFBF"/>
                  </w:tcBorders>
                  <w:shd w:val="clear" w:color="auto" w:fill="auto"/>
                </w:tcPr>
                <w:p w:rsidR="00D474D1" w:rsidRPr="006B1681" w:rsidRDefault="00D474D1" w:rsidP="00A559CF">
                  <w:pPr>
                    <w:pStyle w:val="TableBodyText"/>
                    <w:ind w:left="142"/>
                    <w:jc w:val="left"/>
                    <w:rPr>
                      <w:highlight w:val="yellow"/>
                    </w:rPr>
                  </w:pPr>
                  <w:r w:rsidRPr="006B1681">
                    <w:t xml:space="preserve">Prosecutions initiated against services during </w:t>
                  </w:r>
                  <w:r w:rsidRPr="006B1681">
                    <w:rPr>
                      <w:shd w:val="clear" w:color="auto" w:fill="FFFFFF" w:themeFill="background1"/>
                    </w:rPr>
                    <w:t>201</w:t>
                  </w:r>
                  <w:r w:rsidR="002B7234" w:rsidRPr="006B1681">
                    <w:rPr>
                      <w:shd w:val="clear" w:color="auto" w:fill="FFFFFF" w:themeFill="background1"/>
                    </w:rPr>
                    <w:t>4</w:t>
                  </w:r>
                  <w:r w:rsidRPr="006B1681">
                    <w:rPr>
                      <w:shd w:val="clear" w:color="auto" w:fill="FFFFFF" w:themeFill="background1"/>
                    </w:rPr>
                    <w:noBreakHyphen/>
                    <w:t>1</w:t>
                  </w:r>
                  <w:r w:rsidR="002B7234" w:rsidRPr="006B1681">
                    <w:rPr>
                      <w:shd w:val="clear" w:color="auto" w:fill="FFFFFF" w:themeFill="background1"/>
                    </w:rPr>
                    <w:t>5</w:t>
                  </w:r>
                  <w:r w:rsidRPr="006B1681">
                    <w:rPr>
                      <w:rStyle w:val="NoteLabel"/>
                      <w:szCs w:val="18"/>
                    </w:rPr>
                    <w:t>g</w:t>
                  </w:r>
                </w:p>
              </w:tc>
              <w:tc>
                <w:tcPr>
                  <w:tcW w:w="270" w:type="pct"/>
                  <w:tcBorders>
                    <w:bottom w:val="single" w:sz="6" w:space="0" w:color="BFBFBF"/>
                  </w:tcBorders>
                  <w:shd w:val="clear" w:color="auto" w:fill="auto"/>
                  <w:vAlign w:val="center"/>
                </w:tcPr>
                <w:p w:rsidR="00D474D1" w:rsidRPr="006B1681" w:rsidRDefault="00D474D1" w:rsidP="00A559CF">
                  <w:pPr>
                    <w:pStyle w:val="TableBodyText"/>
                    <w:jc w:val="center"/>
                  </w:pPr>
                  <w:r w:rsidRPr="006B1681">
                    <w:t>no.</w:t>
                  </w:r>
                </w:p>
              </w:tc>
              <w:tc>
                <w:tcPr>
                  <w:tcW w:w="403" w:type="pct"/>
                  <w:tcBorders>
                    <w:bottom w:val="single" w:sz="6" w:space="0" w:color="BFBFBF"/>
                  </w:tcBorders>
                  <w:shd w:val="clear" w:color="auto" w:fill="auto"/>
                  <w:vAlign w:val="center"/>
                </w:tcPr>
                <w:p w:rsidR="00D474D1" w:rsidRPr="006B1681" w:rsidRDefault="00AD3103" w:rsidP="00A559CF">
                  <w:pPr>
                    <w:pStyle w:val="TableBodyText"/>
                  </w:pPr>
                  <w:r w:rsidRPr="006B1681">
                    <w:t>2</w:t>
                  </w:r>
                </w:p>
              </w:tc>
              <w:tc>
                <w:tcPr>
                  <w:tcW w:w="404" w:type="pct"/>
                  <w:tcBorders>
                    <w:bottom w:val="single" w:sz="6" w:space="0" w:color="BFBFBF"/>
                  </w:tcBorders>
                  <w:shd w:val="clear" w:color="auto" w:fill="auto"/>
                  <w:vAlign w:val="center"/>
                </w:tcPr>
                <w:p w:rsidR="00D474D1" w:rsidRPr="006B1681" w:rsidRDefault="00586255" w:rsidP="00A559CF">
                  <w:pPr>
                    <w:pStyle w:val="TableBodyText"/>
                  </w:pPr>
                  <w:r w:rsidRPr="006B1681">
                    <w:t>1</w:t>
                  </w:r>
                </w:p>
              </w:tc>
              <w:tc>
                <w:tcPr>
                  <w:tcW w:w="403" w:type="pct"/>
                  <w:tcBorders>
                    <w:bottom w:val="single" w:sz="6" w:space="0" w:color="BFBFBF"/>
                  </w:tcBorders>
                  <w:shd w:val="clear" w:color="auto" w:fill="auto"/>
                  <w:vAlign w:val="center"/>
                </w:tcPr>
                <w:p w:rsidR="00D474D1" w:rsidRPr="006B1681" w:rsidRDefault="00AD3103" w:rsidP="00A559CF">
                  <w:pPr>
                    <w:pStyle w:val="TableBodyText"/>
                  </w:pPr>
                  <w:r w:rsidRPr="006B1681">
                    <w:t>–</w:t>
                  </w:r>
                </w:p>
              </w:tc>
              <w:tc>
                <w:tcPr>
                  <w:tcW w:w="402" w:type="pct"/>
                  <w:tcBorders>
                    <w:bottom w:val="single" w:sz="6" w:space="0" w:color="BFBFBF"/>
                  </w:tcBorders>
                  <w:shd w:val="clear" w:color="auto" w:fill="auto"/>
                  <w:vAlign w:val="center"/>
                </w:tcPr>
                <w:p w:rsidR="00D474D1" w:rsidRPr="006B1681" w:rsidRDefault="00586255" w:rsidP="00A559CF">
                  <w:pPr>
                    <w:pStyle w:val="TableBodyText"/>
                  </w:pPr>
                  <w:r w:rsidRPr="006B1681">
                    <w:t>8</w:t>
                  </w:r>
                </w:p>
              </w:tc>
              <w:tc>
                <w:tcPr>
                  <w:tcW w:w="455" w:type="pct"/>
                  <w:tcBorders>
                    <w:bottom w:val="single" w:sz="6" w:space="0" w:color="BFBFBF"/>
                  </w:tcBorders>
                  <w:shd w:val="clear" w:color="auto" w:fill="auto"/>
                  <w:vAlign w:val="center"/>
                </w:tcPr>
                <w:p w:rsidR="00D474D1" w:rsidRPr="006B1681" w:rsidRDefault="00D474D1" w:rsidP="00A559CF">
                  <w:pPr>
                    <w:pStyle w:val="TableBodyText"/>
                  </w:pPr>
                  <w:proofErr w:type="spellStart"/>
                  <w:r w:rsidRPr="006B1681">
                    <w:t>na</w:t>
                  </w:r>
                  <w:proofErr w:type="spellEnd"/>
                </w:p>
              </w:tc>
              <w:tc>
                <w:tcPr>
                  <w:tcW w:w="415" w:type="pct"/>
                  <w:tcBorders>
                    <w:bottom w:val="single" w:sz="6" w:space="0" w:color="BFBFBF"/>
                  </w:tcBorders>
                  <w:shd w:val="clear" w:color="auto" w:fill="auto"/>
                  <w:vAlign w:val="center"/>
                </w:tcPr>
                <w:p w:rsidR="00D474D1" w:rsidRPr="006B1681" w:rsidRDefault="00D474D1" w:rsidP="00A559CF">
                  <w:pPr>
                    <w:pStyle w:val="TableBodyText"/>
                  </w:pPr>
                  <w:r w:rsidRPr="006B1681">
                    <w:t>–</w:t>
                  </w:r>
                </w:p>
              </w:tc>
              <w:tc>
                <w:tcPr>
                  <w:tcW w:w="415" w:type="pct"/>
                  <w:tcBorders>
                    <w:bottom w:val="single" w:sz="6" w:space="0" w:color="BFBFBF"/>
                  </w:tcBorders>
                  <w:shd w:val="clear" w:color="auto" w:fill="auto"/>
                  <w:vAlign w:val="center"/>
                </w:tcPr>
                <w:p w:rsidR="00D474D1" w:rsidRPr="006B1681" w:rsidRDefault="00071058" w:rsidP="00A559CF">
                  <w:pPr>
                    <w:pStyle w:val="TableBodyText"/>
                  </w:pPr>
                  <w:r w:rsidRPr="006B1681">
                    <w:t>–</w:t>
                  </w:r>
                </w:p>
              </w:tc>
              <w:tc>
                <w:tcPr>
                  <w:tcW w:w="489" w:type="pct"/>
                  <w:tcBorders>
                    <w:bottom w:val="single" w:sz="6" w:space="0" w:color="BFBFBF"/>
                  </w:tcBorders>
                  <w:shd w:val="clear" w:color="auto" w:fill="auto"/>
                  <w:vAlign w:val="center"/>
                </w:tcPr>
                <w:p w:rsidR="00D474D1" w:rsidRPr="006B1681" w:rsidRDefault="00D474D1" w:rsidP="00D12C2A">
                  <w:pPr>
                    <w:pStyle w:val="TableBodyText"/>
                  </w:pPr>
                  <w:r w:rsidRPr="006B1681">
                    <w:t>–</w:t>
                  </w:r>
                </w:p>
              </w:tc>
            </w:tr>
          </w:tbl>
          <w:p w:rsidR="00D474D1" w:rsidRDefault="00D474D1" w:rsidP="00A559CF">
            <w:pPr>
              <w:pStyle w:val="Box"/>
            </w:pPr>
          </w:p>
        </w:tc>
      </w:tr>
      <w:tr w:rsidR="00D474D1" w:rsidTr="00A559CF">
        <w:trPr>
          <w:cantSplit/>
        </w:trPr>
        <w:tc>
          <w:tcPr>
            <w:tcW w:w="8771" w:type="dxa"/>
            <w:tcBorders>
              <w:top w:val="nil"/>
              <w:left w:val="nil"/>
              <w:bottom w:val="nil"/>
              <w:right w:val="nil"/>
            </w:tcBorders>
            <w:shd w:val="clear" w:color="auto" w:fill="auto"/>
          </w:tcPr>
          <w:p w:rsidR="00D474D1" w:rsidRPr="00D474D1" w:rsidRDefault="00D474D1" w:rsidP="00F60DD8">
            <w:pPr>
              <w:pStyle w:val="Note"/>
            </w:pPr>
            <w:r w:rsidRPr="008E77FE">
              <w:rPr>
                <w:rStyle w:val="NoteLabel"/>
              </w:rPr>
              <w:t>a</w:t>
            </w:r>
            <w:r>
              <w:t xml:space="preserve"> </w:t>
            </w:r>
            <w:r w:rsidRPr="007069F4">
              <w:t xml:space="preserve">Proactive monitoring refers to the ongoing program of visits/inspections to services that are determined by legislation and/or the monitoring policies in each jurisdiction. </w:t>
            </w:r>
            <w:r w:rsidRPr="007069F4">
              <w:rPr>
                <w:rStyle w:val="NoteLabel"/>
              </w:rPr>
              <w:t xml:space="preserve">b </w:t>
            </w:r>
            <w:r w:rsidRPr="000E6AF8">
              <w:t xml:space="preserve">Announced visits are scheduled with the service provider including but not limited to consultative and advisory meetings. </w:t>
            </w:r>
            <w:r w:rsidRPr="00493DF4">
              <w:t xml:space="preserve">Assessment and rating visits under the </w:t>
            </w:r>
            <w:proofErr w:type="spellStart"/>
            <w:r w:rsidRPr="00493DF4">
              <w:t>NQS</w:t>
            </w:r>
            <w:proofErr w:type="spellEnd"/>
            <w:r w:rsidRPr="00493DF4">
              <w:t xml:space="preserve"> are included.</w:t>
            </w:r>
            <w:r>
              <w:t xml:space="preserve"> </w:t>
            </w:r>
            <w:r w:rsidRPr="0018652C">
              <w:rPr>
                <w:rStyle w:val="NoteLabel"/>
              </w:rPr>
              <w:t xml:space="preserve">c </w:t>
            </w:r>
            <w:r w:rsidRPr="0018652C">
              <w:t xml:space="preserve">Unannounced inspections of services are used to assess performance against licence conditions including, but not limited to, investigations of complaints. Unannounced inspections allow the operation of the service to be monitored under normal operational circumstances. </w:t>
            </w:r>
            <w:r w:rsidRPr="007069F4">
              <w:rPr>
                <w:rStyle w:val="NoteLabel"/>
              </w:rPr>
              <w:t xml:space="preserve">d </w:t>
            </w:r>
            <w:r w:rsidRPr="007069F4">
              <w:t>A</w:t>
            </w:r>
            <w:r w:rsidRPr="007069F4">
              <w:rPr>
                <w:rFonts w:ascii="Helvetica" w:hAnsi="Helvetica"/>
                <w:position w:val="6"/>
                <w:szCs w:val="18"/>
              </w:rPr>
              <w:t xml:space="preserve"> </w:t>
            </w:r>
            <w:r w:rsidRPr="007069F4">
              <w:t>reactive monitoring regime can be triggered by either a complaint or a service’s failure to comply with legislative requirements.</w:t>
            </w:r>
            <w:proofErr w:type="spellStart"/>
            <w:r w:rsidRPr="007069F4">
              <w:rPr>
                <w:rStyle w:val="NoteLabel"/>
              </w:rPr>
              <w:t>e</w:t>
            </w:r>
            <w:proofErr w:type="spellEnd"/>
            <w:r w:rsidRPr="007069F4">
              <w:t xml:space="preserve"> See detaile</w:t>
            </w:r>
            <w:r>
              <w:t>d data in tables </w:t>
            </w:r>
            <w:proofErr w:type="spellStart"/>
            <w:r w:rsidR="004811A3" w:rsidRPr="00F60DD8">
              <w:t>3A.6</w:t>
            </w:r>
            <w:r w:rsidR="007332F1">
              <w:t>1</w:t>
            </w:r>
            <w:proofErr w:type="spellEnd"/>
            <w:r w:rsidR="007332F1">
              <w:t xml:space="preserve"> and </w:t>
            </w:r>
            <w:proofErr w:type="spellStart"/>
            <w:r w:rsidR="007332F1">
              <w:t>3A.62</w:t>
            </w:r>
            <w:proofErr w:type="spellEnd"/>
            <w:r w:rsidRPr="00F60DD8">
              <w:t>.</w:t>
            </w:r>
            <w:r w:rsidR="00D12C2A" w:rsidRPr="00F60DD8">
              <w:t xml:space="preserve"> </w:t>
            </w:r>
            <w:r w:rsidRPr="007069F4">
              <w:rPr>
                <w:rStyle w:val="NoteLabel"/>
              </w:rPr>
              <w:t xml:space="preserve">f </w:t>
            </w:r>
            <w:r w:rsidRPr="007069F4">
              <w:t>Jurisdictions can apply a range of actions to underperforming services</w:t>
            </w:r>
            <w:r>
              <w:t>, which</w:t>
            </w:r>
            <w:r w:rsidRPr="007069F4">
              <w:t xml:space="preserve"> can include administrative and/or statutory sanctions including</w:t>
            </w:r>
            <w:r>
              <w:t xml:space="preserve"> prosecution. Not all sanctions </w:t>
            </w:r>
            <w:r w:rsidRPr="007069F4">
              <w:t xml:space="preserve">are included. </w:t>
            </w:r>
            <w:r w:rsidRPr="007069F4">
              <w:rPr>
                <w:rStyle w:val="NoteLabel"/>
              </w:rPr>
              <w:t xml:space="preserve">g </w:t>
            </w:r>
            <w:r w:rsidRPr="007069F4">
              <w:t>Prosecutions refer to all prosecutions against services that are brought under the</w:t>
            </w:r>
            <w:r w:rsidR="007911E0">
              <w:t xml:space="preserve"> </w:t>
            </w:r>
            <w:r w:rsidR="007911E0" w:rsidRPr="007116F0">
              <w:t>National Law or the</w:t>
            </w:r>
            <w:r w:rsidRPr="007069F4">
              <w:t xml:space="preserve"> relevant children’s services Act in each jurisdiction. </w:t>
            </w:r>
            <w:proofErr w:type="spellStart"/>
            <w:r w:rsidRPr="007069F4">
              <w:rPr>
                <w:b/>
              </w:rPr>
              <w:t>na</w:t>
            </w:r>
            <w:proofErr w:type="spellEnd"/>
            <w:r w:rsidRPr="007069F4">
              <w:rPr>
                <w:b/>
              </w:rPr>
              <w:t> </w:t>
            </w:r>
            <w:r w:rsidR="00A8316D">
              <w:t>Not available.</w:t>
            </w:r>
            <w:r w:rsidR="00710D6E">
              <w:t xml:space="preserve"> .. Not applicable.</w:t>
            </w:r>
            <w:r w:rsidRPr="007069F4">
              <w:t xml:space="preserve"> –</w:t>
            </w:r>
            <w:r w:rsidRPr="007069F4">
              <w:rPr>
                <w:b/>
              </w:rPr>
              <w:t> </w:t>
            </w:r>
            <w:r w:rsidRPr="007069F4">
              <w:t>Nil or rounded to zero.</w:t>
            </w:r>
            <w:r>
              <w:t xml:space="preserve"> </w:t>
            </w:r>
          </w:p>
        </w:tc>
      </w:tr>
      <w:tr w:rsidR="00D474D1" w:rsidTr="00A559CF">
        <w:trPr>
          <w:cantSplit/>
        </w:trPr>
        <w:tc>
          <w:tcPr>
            <w:tcW w:w="8771" w:type="dxa"/>
            <w:tcBorders>
              <w:top w:val="nil"/>
              <w:left w:val="nil"/>
              <w:bottom w:val="nil"/>
              <w:right w:val="nil"/>
            </w:tcBorders>
            <w:shd w:val="clear" w:color="auto" w:fill="auto"/>
          </w:tcPr>
          <w:p w:rsidR="00D474D1" w:rsidRDefault="00D474D1" w:rsidP="00D474D1">
            <w:pPr>
              <w:pStyle w:val="Source"/>
            </w:pPr>
            <w:r>
              <w:rPr>
                <w:i/>
              </w:rPr>
              <w:t>Source</w:t>
            </w:r>
            <w:r w:rsidRPr="00167F06">
              <w:t xml:space="preserve">: </w:t>
            </w:r>
            <w:r w:rsidRPr="00D474D1">
              <w:t>State and Territory governments (unpublished).</w:t>
            </w:r>
          </w:p>
        </w:tc>
      </w:tr>
      <w:tr w:rsidR="00D474D1" w:rsidTr="00A559CF">
        <w:trPr>
          <w:cantSplit/>
        </w:trPr>
        <w:tc>
          <w:tcPr>
            <w:tcW w:w="8771" w:type="dxa"/>
            <w:tcBorders>
              <w:top w:val="nil"/>
              <w:left w:val="nil"/>
              <w:bottom w:val="single" w:sz="6" w:space="0" w:color="78A22F"/>
              <w:right w:val="nil"/>
            </w:tcBorders>
            <w:shd w:val="clear" w:color="auto" w:fill="auto"/>
          </w:tcPr>
          <w:p w:rsidR="00D474D1" w:rsidRDefault="00D474D1" w:rsidP="00A559CF">
            <w:pPr>
              <w:pStyle w:val="Box"/>
              <w:spacing w:before="0" w:line="120" w:lineRule="exact"/>
            </w:pPr>
          </w:p>
        </w:tc>
      </w:tr>
      <w:tr w:rsidR="00D474D1" w:rsidRPr="000863A5" w:rsidTr="00A559CF">
        <w:tc>
          <w:tcPr>
            <w:tcW w:w="8771" w:type="dxa"/>
            <w:tcBorders>
              <w:top w:val="single" w:sz="6" w:space="0" w:color="78A22F"/>
              <w:left w:val="nil"/>
              <w:bottom w:val="nil"/>
              <w:right w:val="nil"/>
            </w:tcBorders>
          </w:tcPr>
          <w:p w:rsidR="00D474D1" w:rsidRPr="00626D32" w:rsidRDefault="00D474D1" w:rsidP="00A559CF">
            <w:pPr>
              <w:pStyle w:val="BoxSpaceBelow"/>
            </w:pPr>
          </w:p>
        </w:tc>
      </w:tr>
    </w:tbl>
    <w:p w:rsidR="0064069A" w:rsidRPr="008B42D1" w:rsidRDefault="007E3F1D" w:rsidP="009B11B2">
      <w:pPr>
        <w:pStyle w:val="Heading4"/>
        <w:rPr>
          <w:rStyle w:val="BoxChar"/>
        </w:rPr>
      </w:pPr>
      <w:r>
        <w:t xml:space="preserve">Standards — achievement </w:t>
      </w:r>
      <w:r w:rsidR="000F436F">
        <w:t xml:space="preserve">of the </w:t>
      </w:r>
      <w:proofErr w:type="spellStart"/>
      <w:r w:rsidR="000F436F">
        <w:t>NQS</w:t>
      </w:r>
      <w:proofErr w:type="spellEnd"/>
    </w:p>
    <w:p w:rsidR="00FF061E" w:rsidRDefault="007E3F1D" w:rsidP="00FF061E">
      <w:pPr>
        <w:pStyle w:val="BodyText"/>
      </w:pPr>
      <w:r>
        <w:t xml:space="preserve">‘Achievement of the </w:t>
      </w:r>
      <w:proofErr w:type="spellStart"/>
      <w:r w:rsidR="000F436F">
        <w:t>NQS</w:t>
      </w:r>
      <w:proofErr w:type="spellEnd"/>
      <w:r w:rsidR="00C472EB" w:rsidRPr="000922E4">
        <w:t>’</w:t>
      </w:r>
      <w:r w:rsidR="00C472EB" w:rsidRPr="00A827B8">
        <w:t xml:space="preserve"> is an indicator </w:t>
      </w:r>
      <w:r w:rsidR="00C472EB" w:rsidRPr="00C472EB">
        <w:t xml:space="preserve">of </w:t>
      </w:r>
      <w:r w:rsidR="005A2A2C">
        <w:t>g</w:t>
      </w:r>
      <w:r>
        <w:t>overnment</w:t>
      </w:r>
      <w:r w:rsidR="00C472EB" w:rsidRPr="00C472EB">
        <w:t>s</w:t>
      </w:r>
      <w:r>
        <w:t>’</w:t>
      </w:r>
      <w:r w:rsidR="00C472EB" w:rsidRPr="00C472EB">
        <w:t xml:space="preserve"> objective to ensure</w:t>
      </w:r>
      <w:r w:rsidR="000C1336">
        <w:t xml:space="preserve"> that</w:t>
      </w:r>
      <w:r>
        <w:t xml:space="preserve"> </w:t>
      </w:r>
      <w:proofErr w:type="spellStart"/>
      <w:r w:rsidR="0018407E">
        <w:t>ECEC</w:t>
      </w:r>
      <w:proofErr w:type="spellEnd"/>
      <w:r>
        <w:t xml:space="preserve"> services </w:t>
      </w:r>
      <w:r w:rsidR="00C472EB" w:rsidRPr="00C472EB">
        <w:t xml:space="preserve">meet the standards </w:t>
      </w:r>
      <w:r w:rsidR="00537B69">
        <w:t>deemed</w:t>
      </w:r>
      <w:r w:rsidR="00C472EB" w:rsidRPr="00C472EB">
        <w:t xml:space="preserve"> necessary to provide a safe and nurturing environment</w:t>
      </w:r>
      <w:r>
        <w:t>, and to meet</w:t>
      </w:r>
      <w:r w:rsidR="00DB6F80">
        <w:t xml:space="preserve"> the educational and developmental needs of children</w:t>
      </w:r>
      <w:r w:rsidR="00C472EB" w:rsidRPr="00C472EB">
        <w:t xml:space="preserve"> </w:t>
      </w:r>
      <w:r w:rsidR="001C521F" w:rsidRPr="007B318D">
        <w:t>(box 3.</w:t>
      </w:r>
      <w:r w:rsidR="00B1432E">
        <w:t>18</w:t>
      </w:r>
      <w:r w:rsidR="001C521F" w:rsidRPr="007B318D">
        <w:t>).</w:t>
      </w:r>
    </w:p>
    <w:p w:rsidR="00226DE5" w:rsidRDefault="00226DE5" w:rsidP="009939A7">
      <w:pPr>
        <w:pStyle w:val="BodyText"/>
        <w:keepNext/>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226DE5" w:rsidTr="00DB16AF">
        <w:tc>
          <w:tcPr>
            <w:tcW w:w="8771" w:type="dxa"/>
            <w:tcBorders>
              <w:top w:val="single" w:sz="6" w:space="0" w:color="78A22F"/>
              <w:left w:val="nil"/>
              <w:bottom w:val="nil"/>
              <w:right w:val="nil"/>
            </w:tcBorders>
            <w:shd w:val="clear" w:color="auto" w:fill="F2F2F2"/>
          </w:tcPr>
          <w:p w:rsidR="00226DE5" w:rsidRDefault="00226DE5" w:rsidP="00F26156">
            <w:pPr>
              <w:pStyle w:val="BoxTitle"/>
            </w:pPr>
            <w:r>
              <w:rPr>
                <w:b w:val="0"/>
              </w:rPr>
              <w:t xml:space="preserve">Box </w:t>
            </w:r>
            <w:r w:rsidR="00F26156">
              <w:rPr>
                <w:b w:val="0"/>
              </w:rPr>
              <w:t>3.</w:t>
            </w:r>
            <w:bookmarkStart w:id="69" w:name="OLE_LINK19"/>
            <w:r w:rsidR="00F26156">
              <w:rPr>
                <w:b w:val="0"/>
              </w:rPr>
              <w:t>1</w:t>
            </w:r>
            <w:bookmarkEnd w:id="69"/>
            <w:r w:rsidR="00B1432E">
              <w:rPr>
                <w:b w:val="0"/>
              </w:rPr>
              <w:t>8</w:t>
            </w:r>
            <w:r>
              <w:tab/>
              <w:t xml:space="preserve">Achievement of the </w:t>
            </w:r>
            <w:proofErr w:type="spellStart"/>
            <w:r w:rsidR="00072F94">
              <w:t>NQS</w:t>
            </w:r>
            <w:proofErr w:type="spellEnd"/>
          </w:p>
        </w:tc>
      </w:tr>
      <w:tr w:rsidR="00226DE5" w:rsidTr="00DB16AF">
        <w:trPr>
          <w:cantSplit/>
        </w:trPr>
        <w:tc>
          <w:tcPr>
            <w:tcW w:w="8771" w:type="dxa"/>
            <w:tcBorders>
              <w:top w:val="nil"/>
              <w:left w:val="nil"/>
              <w:bottom w:val="nil"/>
              <w:right w:val="nil"/>
            </w:tcBorders>
            <w:shd w:val="clear" w:color="auto" w:fill="F2F2F2"/>
          </w:tcPr>
          <w:p w:rsidR="00226DE5" w:rsidRDefault="00226DE5" w:rsidP="007757DB">
            <w:pPr>
              <w:pStyle w:val="Box"/>
            </w:pPr>
            <w:r>
              <w:t xml:space="preserve">‘Achievement of the </w:t>
            </w:r>
            <w:proofErr w:type="spellStart"/>
            <w:r w:rsidR="00072F94">
              <w:t>NQS</w:t>
            </w:r>
            <w:proofErr w:type="spellEnd"/>
            <w:r w:rsidRPr="0064213D">
              <w:t>’</w:t>
            </w:r>
            <w:r>
              <w:t xml:space="preserve"> is defined as the proportion</w:t>
            </w:r>
            <w:r w:rsidR="00C20FE6">
              <w:t xml:space="preserve"> of </w:t>
            </w:r>
            <w:proofErr w:type="spellStart"/>
            <w:r w:rsidR="00C20FE6">
              <w:t>NQF</w:t>
            </w:r>
            <w:proofErr w:type="spellEnd"/>
            <w:r w:rsidR="00C20FE6">
              <w:t xml:space="preserve"> approved services with a quality rating, whose </w:t>
            </w:r>
            <w:r w:rsidR="00C01AC2">
              <w:t xml:space="preserve">overall </w:t>
            </w:r>
            <w:r w:rsidR="00C20FE6">
              <w:t xml:space="preserve">rating is Meeting </w:t>
            </w:r>
            <w:proofErr w:type="spellStart"/>
            <w:r w:rsidR="00C20FE6">
              <w:t>NQS</w:t>
            </w:r>
            <w:proofErr w:type="spellEnd"/>
            <w:r w:rsidR="00C20FE6">
              <w:t xml:space="preserve"> or Exceeding </w:t>
            </w:r>
            <w:proofErr w:type="spellStart"/>
            <w:r w:rsidR="00C20FE6">
              <w:t>NQS</w:t>
            </w:r>
            <w:proofErr w:type="spellEnd"/>
            <w:r w:rsidR="00C22854">
              <w:t xml:space="preserve">. </w:t>
            </w:r>
          </w:p>
          <w:p w:rsidR="00CF4F5D" w:rsidRDefault="00CF4F5D" w:rsidP="00226DE5">
            <w:pPr>
              <w:pStyle w:val="Box"/>
            </w:pPr>
            <w:r w:rsidRPr="00C27DA5">
              <w:t xml:space="preserve">Services that receive an overall rating of Meeting </w:t>
            </w:r>
            <w:proofErr w:type="spellStart"/>
            <w:r w:rsidRPr="00C27DA5">
              <w:t>NQS</w:t>
            </w:r>
            <w:proofErr w:type="spellEnd"/>
            <w:r w:rsidRPr="00C27DA5">
              <w:t xml:space="preserve"> can be rated as Meeting </w:t>
            </w:r>
            <w:proofErr w:type="spellStart"/>
            <w:r w:rsidRPr="00C27DA5">
              <w:t>NQS</w:t>
            </w:r>
            <w:proofErr w:type="spellEnd"/>
            <w:r w:rsidRPr="00C27DA5">
              <w:t xml:space="preserve"> in all seven quality areas</w:t>
            </w:r>
            <w:r>
              <w:t xml:space="preserve"> (see box</w:t>
            </w:r>
            <w:r w:rsidR="00697D43">
              <w:t> </w:t>
            </w:r>
            <w:r>
              <w:t>3.16 for areas)</w:t>
            </w:r>
            <w:r w:rsidRPr="00C27DA5">
              <w:t xml:space="preserve"> or have a mix of quality areas rated Meeting </w:t>
            </w:r>
            <w:proofErr w:type="spellStart"/>
            <w:r w:rsidRPr="00C27DA5">
              <w:t>NQS</w:t>
            </w:r>
            <w:proofErr w:type="spellEnd"/>
            <w:r w:rsidRPr="00C27DA5">
              <w:t xml:space="preserve"> and Exceeding </w:t>
            </w:r>
            <w:proofErr w:type="spellStart"/>
            <w:r w:rsidRPr="00C27DA5">
              <w:t>NQS</w:t>
            </w:r>
            <w:proofErr w:type="spellEnd"/>
            <w:r w:rsidRPr="00C27DA5">
              <w:t>.</w:t>
            </w:r>
          </w:p>
          <w:p w:rsidR="00226DE5" w:rsidRDefault="00226DE5" w:rsidP="00226DE5">
            <w:pPr>
              <w:pStyle w:val="Box"/>
            </w:pPr>
            <w:r w:rsidRPr="00975605">
              <w:t>To determine a rating</w:t>
            </w:r>
            <w:r>
              <w:t xml:space="preserve"> for each quality area within a service</w:t>
            </w:r>
            <w:r w:rsidRPr="00975605">
              <w:t>, first all 58 elements</w:t>
            </w:r>
            <w:r>
              <w:t>, located across the 18 standards,</w:t>
            </w:r>
            <w:r w:rsidR="0064213D">
              <w:t xml:space="preserve"> are assessed as being ‘met or not met</w:t>
            </w:r>
            <w:r w:rsidRPr="00975605">
              <w:t>. If all elements in a standard are met, the standard will</w:t>
            </w:r>
            <w:r w:rsidR="0064213D">
              <w:t xml:space="preserve"> be rated as Meeting </w:t>
            </w:r>
            <w:proofErr w:type="spellStart"/>
            <w:r w:rsidR="0064213D">
              <w:t>NQS</w:t>
            </w:r>
            <w:proofErr w:type="spellEnd"/>
            <w:r w:rsidR="0064213D">
              <w:t xml:space="preserve"> or </w:t>
            </w:r>
            <w:r>
              <w:t>E</w:t>
            </w:r>
            <w:r w:rsidRPr="00975605">
              <w:t>xce</w:t>
            </w:r>
            <w:r w:rsidR="0064213D">
              <w:t xml:space="preserve">eding </w:t>
            </w:r>
            <w:proofErr w:type="spellStart"/>
            <w:r w:rsidR="0064213D">
              <w:t>NQS</w:t>
            </w:r>
            <w:proofErr w:type="spellEnd"/>
            <w:r>
              <w:t xml:space="preserve">. Each quality </w:t>
            </w:r>
            <w:r w:rsidRPr="00975605">
              <w:t>area is then rated by calculating the rating of all of the standards within th</w:t>
            </w:r>
            <w:r>
              <w:t>at</w:t>
            </w:r>
            <w:r w:rsidRPr="00975605">
              <w:t xml:space="preserve"> quality area. If all standards are met, the q</w:t>
            </w:r>
            <w:r w:rsidR="0064213D">
              <w:t xml:space="preserve">uality area will be rated as </w:t>
            </w:r>
            <w:r>
              <w:t>Me</w:t>
            </w:r>
            <w:r w:rsidR="0064213D">
              <w:t xml:space="preserve">eting </w:t>
            </w:r>
            <w:proofErr w:type="spellStart"/>
            <w:r w:rsidR="0064213D">
              <w:t>NQS</w:t>
            </w:r>
            <w:proofErr w:type="spellEnd"/>
            <w:r w:rsidRPr="00975605">
              <w:t>. If at least t</w:t>
            </w:r>
            <w:r w:rsidR="0064213D">
              <w:t xml:space="preserve">wo of the standards are rated </w:t>
            </w:r>
            <w:r>
              <w:t>E</w:t>
            </w:r>
            <w:r w:rsidR="0064213D">
              <w:t xml:space="preserve">xceeding </w:t>
            </w:r>
            <w:proofErr w:type="spellStart"/>
            <w:r w:rsidR="0064213D">
              <w:t>NQS</w:t>
            </w:r>
            <w:proofErr w:type="spellEnd"/>
            <w:r w:rsidRPr="00975605">
              <w:t xml:space="preserve"> and all other standards are met, the quality a</w:t>
            </w:r>
            <w:r w:rsidR="0064213D">
              <w:t xml:space="preserve">rea will be rated </w:t>
            </w:r>
            <w:r>
              <w:t>E</w:t>
            </w:r>
            <w:r w:rsidRPr="00975605">
              <w:t>xcee</w:t>
            </w:r>
            <w:r w:rsidR="0064213D">
              <w:t xml:space="preserve">ding </w:t>
            </w:r>
            <w:proofErr w:type="spellStart"/>
            <w:r w:rsidR="0064213D">
              <w:t>NQS</w:t>
            </w:r>
            <w:proofErr w:type="spellEnd"/>
            <w:r>
              <w:t>.</w:t>
            </w:r>
            <w:r w:rsidRPr="00975605">
              <w:t xml:space="preserve"> A large numbe</w:t>
            </w:r>
            <w:r w:rsidR="0064213D">
              <w:t xml:space="preserve">r of services have a rating of </w:t>
            </w:r>
            <w:r>
              <w:t>Working T</w:t>
            </w:r>
            <w:r w:rsidR="0064213D">
              <w:t xml:space="preserve">owards </w:t>
            </w:r>
            <w:proofErr w:type="spellStart"/>
            <w:r w:rsidR="0064213D">
              <w:t>NQS</w:t>
            </w:r>
            <w:proofErr w:type="spellEnd"/>
            <w:r w:rsidRPr="00975605">
              <w:t xml:space="preserve"> as the </w:t>
            </w:r>
            <w:proofErr w:type="spellStart"/>
            <w:r w:rsidRPr="00975605">
              <w:t>NQS</w:t>
            </w:r>
            <w:proofErr w:type="spellEnd"/>
            <w:r w:rsidRPr="00975605">
              <w:t xml:space="preserve"> sets a high</w:t>
            </w:r>
            <w:r>
              <w:t>er</w:t>
            </w:r>
            <w:r w:rsidRPr="00975605">
              <w:t xml:space="preserve"> benchmark for all children’s education an</w:t>
            </w:r>
            <w:r w:rsidR="00BC0A04">
              <w:t>d care services</w:t>
            </w:r>
            <w:r w:rsidRPr="00975605">
              <w:t>. Services are expected to work towards meeting the higher benchmark.</w:t>
            </w:r>
          </w:p>
          <w:p w:rsidR="00DB16AF" w:rsidRDefault="0064213D" w:rsidP="00226DE5">
            <w:pPr>
              <w:pStyle w:val="Box"/>
            </w:pPr>
            <w:r w:rsidRPr="00C27DA5">
              <w:t xml:space="preserve">Services receive an overall rating of Exceeding </w:t>
            </w:r>
            <w:proofErr w:type="spellStart"/>
            <w:r w:rsidRPr="00C27DA5">
              <w:t>NQS</w:t>
            </w:r>
            <w:proofErr w:type="spellEnd"/>
            <w:r w:rsidRPr="00C27DA5">
              <w:t xml:space="preserve"> if four or more quality areas are rated as Exceeding </w:t>
            </w:r>
            <w:proofErr w:type="spellStart"/>
            <w:r w:rsidRPr="00C27DA5">
              <w:t>NQS</w:t>
            </w:r>
            <w:proofErr w:type="spellEnd"/>
            <w:r w:rsidRPr="00C27DA5">
              <w:t>, including two of the four following quality areas: Quality Area 1, Quality Area 5, Quality Area 6 and Quality A</w:t>
            </w:r>
            <w:r>
              <w:t>rea 7 (</w:t>
            </w:r>
            <w:proofErr w:type="spellStart"/>
            <w:r>
              <w:t>ACECQA</w:t>
            </w:r>
            <w:proofErr w:type="spellEnd"/>
            <w:r>
              <w:t xml:space="preserve"> 2013). </w:t>
            </w:r>
            <w:r w:rsidR="00DB16AF">
              <w:t>Services wi</w:t>
            </w:r>
            <w:r>
              <w:t xml:space="preserve">th an overall rating of Exceeding </w:t>
            </w:r>
            <w:proofErr w:type="spellStart"/>
            <w:r>
              <w:t>NQS</w:t>
            </w:r>
            <w:proofErr w:type="spellEnd"/>
            <w:r w:rsidR="00DB16AF">
              <w:t xml:space="preserve"> can ap</w:t>
            </w:r>
            <w:r>
              <w:t xml:space="preserve">ply to </w:t>
            </w:r>
            <w:proofErr w:type="spellStart"/>
            <w:r>
              <w:t>ACECQA</w:t>
            </w:r>
            <w:proofErr w:type="spellEnd"/>
            <w:r>
              <w:t xml:space="preserve"> to be awarded an Excellent</w:t>
            </w:r>
            <w:r w:rsidR="00DB16AF">
              <w:t xml:space="preserve"> rating. Serv</w:t>
            </w:r>
            <w:r>
              <w:t>ices with an overall rating of Excellent</w:t>
            </w:r>
            <w:r w:rsidR="00DB16AF">
              <w:t xml:space="preserve"> are include</w:t>
            </w:r>
            <w:r>
              <w:t xml:space="preserve">d in data for services with an Exceeding </w:t>
            </w:r>
            <w:proofErr w:type="spellStart"/>
            <w:r>
              <w:t>NQS</w:t>
            </w:r>
            <w:proofErr w:type="spellEnd"/>
            <w:r w:rsidR="00DB16AF">
              <w:t xml:space="preserve"> rating. </w:t>
            </w:r>
          </w:p>
          <w:p w:rsidR="00C01AC2" w:rsidRDefault="00226DE5" w:rsidP="00226DE5">
            <w:pPr>
              <w:pStyle w:val="Box"/>
            </w:pPr>
            <w:r w:rsidRPr="00A522AC">
              <w:t xml:space="preserve">A high proportion of services </w:t>
            </w:r>
            <w:r w:rsidR="00FB7CA7" w:rsidRPr="007116F0">
              <w:t>with</w:t>
            </w:r>
            <w:r w:rsidR="00C22854">
              <w:t xml:space="preserve"> quality areas M</w:t>
            </w:r>
            <w:r w:rsidR="0064213D">
              <w:t xml:space="preserve">eeting </w:t>
            </w:r>
            <w:proofErr w:type="spellStart"/>
            <w:r w:rsidR="00C22854">
              <w:t>NQS</w:t>
            </w:r>
            <w:proofErr w:type="spellEnd"/>
            <w:r w:rsidR="00C22854">
              <w:t xml:space="preserve"> or E</w:t>
            </w:r>
            <w:r w:rsidRPr="00A522AC">
              <w:t xml:space="preserve">xceeding </w:t>
            </w:r>
            <w:proofErr w:type="spellStart"/>
            <w:r w:rsidRPr="00A522AC">
              <w:t>NQ</w:t>
            </w:r>
            <w:r>
              <w:t>S</w:t>
            </w:r>
            <w:proofErr w:type="spellEnd"/>
            <w:r>
              <w:t xml:space="preserve"> suggests a high quality of service to child</w:t>
            </w:r>
            <w:r w:rsidR="00BC0A04">
              <w:t xml:space="preserve">ren and parents. </w:t>
            </w:r>
          </w:p>
          <w:p w:rsidR="00226DE5" w:rsidRPr="00B62E45" w:rsidRDefault="00A91405" w:rsidP="00226DE5">
            <w:pPr>
              <w:pStyle w:val="Box"/>
            </w:pPr>
            <w:r>
              <w:t>Data reported for this measure</w:t>
            </w:r>
            <w:r w:rsidR="00C01AC2">
              <w:t xml:space="preserve"> are:</w:t>
            </w:r>
          </w:p>
          <w:p w:rsidR="00226DE5" w:rsidRPr="00B62E45" w:rsidRDefault="00226DE5" w:rsidP="00226DE5">
            <w:pPr>
              <w:pStyle w:val="BoxListBullet"/>
            </w:pPr>
            <w:r>
              <w:t>c</w:t>
            </w:r>
            <w:r w:rsidRPr="00B62E45">
              <w:t>omparable (subject to caveats) ac</w:t>
            </w:r>
            <w:r>
              <w:t>ross jurisdictions</w:t>
            </w:r>
            <w:r w:rsidR="00A91405">
              <w:t xml:space="preserve"> and over time</w:t>
            </w:r>
          </w:p>
          <w:p w:rsidR="00226DE5" w:rsidRDefault="00226DE5" w:rsidP="00226DE5">
            <w:pPr>
              <w:pStyle w:val="BoxListBullet"/>
            </w:pPr>
            <w:r>
              <w:t>c</w:t>
            </w:r>
            <w:r w:rsidRPr="00B62E45">
              <w:t xml:space="preserve">omplete </w:t>
            </w:r>
            <w:r>
              <w:t xml:space="preserve">(subject to caveats) </w:t>
            </w:r>
            <w:r w:rsidRPr="00B62E45">
              <w:t>for the current reporting period. All required data as at 30</w:t>
            </w:r>
            <w:r>
              <w:t> June 201</w:t>
            </w:r>
            <w:r w:rsidR="00CB534C">
              <w:t>5</w:t>
            </w:r>
            <w:r w:rsidRPr="00B62E45">
              <w:t xml:space="preserve"> are available for all jur</w:t>
            </w:r>
            <w:r>
              <w:t>isdictions</w:t>
            </w:r>
            <w:r w:rsidRPr="00B62E45">
              <w:t>.</w:t>
            </w:r>
          </w:p>
          <w:p w:rsidR="00226DE5" w:rsidRDefault="00226DE5" w:rsidP="00DB16AF">
            <w:pPr>
              <w:pStyle w:val="Box"/>
            </w:pPr>
            <w:r>
              <w:rPr>
                <w:rFonts w:cs="Arial"/>
                <w:szCs w:val="26"/>
              </w:rPr>
              <w:t>Data quality information for this indicator</w:t>
            </w:r>
            <w:r w:rsidRPr="00BC652D">
              <w:rPr>
                <w:rFonts w:cs="Arial"/>
                <w:szCs w:val="26"/>
              </w:rPr>
              <w:t xml:space="preserve"> is at </w:t>
            </w:r>
            <w:proofErr w:type="spellStart"/>
            <w:r w:rsidRPr="00BC652D">
              <w:rPr>
                <w:rFonts w:cs="Arial"/>
                <w:szCs w:val="26"/>
              </w:rPr>
              <w:t>www</w:t>
            </w:r>
            <w:r w:rsidR="003F4FDF">
              <w:rPr>
                <w:rFonts w:cs="Arial"/>
                <w:szCs w:val="26"/>
              </w:rPr>
              <w:t>.pc.gov.au</w:t>
            </w:r>
            <w:proofErr w:type="spellEnd"/>
            <w:r w:rsidR="003F4FDF">
              <w:rPr>
                <w:rFonts w:cs="Arial"/>
                <w:szCs w:val="26"/>
              </w:rPr>
              <w:t>/</w:t>
            </w:r>
            <w:proofErr w:type="spellStart"/>
            <w:r w:rsidR="00CB534C">
              <w:rPr>
                <w:rFonts w:cs="Arial"/>
                <w:szCs w:val="26"/>
              </w:rPr>
              <w:t>rogs</w:t>
            </w:r>
            <w:proofErr w:type="spellEnd"/>
            <w:r w:rsidR="00CB534C">
              <w:rPr>
                <w:rFonts w:cs="Arial"/>
                <w:szCs w:val="26"/>
              </w:rPr>
              <w:t>/2016</w:t>
            </w:r>
            <w:r w:rsidRPr="00BC652D">
              <w:rPr>
                <w:rFonts w:cs="Arial"/>
                <w:szCs w:val="26"/>
              </w:rPr>
              <w:t>.</w:t>
            </w:r>
          </w:p>
        </w:tc>
      </w:tr>
      <w:tr w:rsidR="00226DE5" w:rsidTr="00DB16AF">
        <w:trPr>
          <w:cantSplit/>
        </w:trPr>
        <w:tc>
          <w:tcPr>
            <w:tcW w:w="8771" w:type="dxa"/>
            <w:tcBorders>
              <w:top w:val="nil"/>
              <w:left w:val="nil"/>
              <w:bottom w:val="nil"/>
              <w:right w:val="nil"/>
            </w:tcBorders>
            <w:shd w:val="clear" w:color="auto" w:fill="F2F2F2"/>
          </w:tcPr>
          <w:p w:rsidR="00226DE5" w:rsidRDefault="00226DE5" w:rsidP="00DB16AF">
            <w:pPr>
              <w:pStyle w:val="BoxSource"/>
            </w:pPr>
            <w:r>
              <w:rPr>
                <w:i/>
              </w:rPr>
              <w:t>Source</w:t>
            </w:r>
            <w:r w:rsidRPr="00167F06">
              <w:t xml:space="preserve">: </w:t>
            </w:r>
            <w:proofErr w:type="spellStart"/>
            <w:r>
              <w:t>ACECQA</w:t>
            </w:r>
            <w:proofErr w:type="spellEnd"/>
            <w:r>
              <w:t xml:space="preserve"> (2013).</w:t>
            </w:r>
          </w:p>
        </w:tc>
      </w:tr>
      <w:tr w:rsidR="00226DE5" w:rsidTr="00DB16AF">
        <w:trPr>
          <w:cantSplit/>
        </w:trPr>
        <w:tc>
          <w:tcPr>
            <w:tcW w:w="8771" w:type="dxa"/>
            <w:tcBorders>
              <w:top w:val="nil"/>
              <w:left w:val="nil"/>
              <w:bottom w:val="single" w:sz="6" w:space="0" w:color="78A22F"/>
              <w:right w:val="nil"/>
            </w:tcBorders>
            <w:shd w:val="clear" w:color="auto" w:fill="F2F2F2"/>
          </w:tcPr>
          <w:p w:rsidR="00226DE5" w:rsidRDefault="00226DE5">
            <w:pPr>
              <w:pStyle w:val="Box"/>
              <w:spacing w:before="0" w:line="120" w:lineRule="exact"/>
            </w:pPr>
          </w:p>
        </w:tc>
      </w:tr>
      <w:tr w:rsidR="00226DE5" w:rsidRPr="000863A5" w:rsidTr="00DB16AF">
        <w:tc>
          <w:tcPr>
            <w:tcW w:w="8771" w:type="dxa"/>
            <w:tcBorders>
              <w:top w:val="single" w:sz="6" w:space="0" w:color="78A22F"/>
              <w:left w:val="nil"/>
              <w:bottom w:val="nil"/>
              <w:right w:val="nil"/>
            </w:tcBorders>
          </w:tcPr>
          <w:p w:rsidR="00226DE5" w:rsidRPr="00626D32" w:rsidRDefault="00226DE5" w:rsidP="00DB16AF">
            <w:pPr>
              <w:pStyle w:val="BoxSpaceBelow"/>
            </w:pPr>
          </w:p>
        </w:tc>
      </w:tr>
    </w:tbl>
    <w:p w:rsidR="009E33D6" w:rsidRDefault="009E33D6" w:rsidP="009E33D6">
      <w:pPr>
        <w:pStyle w:val="BodyText"/>
      </w:pPr>
      <w:r w:rsidRPr="008F396A">
        <w:t xml:space="preserve">Data on </w:t>
      </w:r>
      <w:r>
        <w:t xml:space="preserve">the numbers and proportions of </w:t>
      </w:r>
      <w:proofErr w:type="spellStart"/>
      <w:r w:rsidR="00225974">
        <w:t>NQF</w:t>
      </w:r>
      <w:proofErr w:type="spellEnd"/>
      <w:r w:rsidR="00225974">
        <w:t xml:space="preserve"> </w:t>
      </w:r>
      <w:r w:rsidRPr="008F396A">
        <w:t xml:space="preserve">approved services with a quality rating by service type are provided in </w:t>
      </w:r>
      <w:r w:rsidR="00086C53">
        <w:t>table</w:t>
      </w:r>
      <w:r w:rsidR="00172534">
        <w:t> </w:t>
      </w:r>
      <w:r w:rsidR="00086C53" w:rsidRPr="007B318D">
        <w:t>3.</w:t>
      </w:r>
      <w:r w:rsidR="00BF4CE7">
        <w:t>13</w:t>
      </w:r>
      <w:r w:rsidRPr="007B318D">
        <w:t xml:space="preserve">. </w:t>
      </w:r>
      <w:r w:rsidR="0059336D">
        <w:t>Nationally</w:t>
      </w:r>
      <w:r w:rsidR="0059336D" w:rsidRPr="006661AE">
        <w:t xml:space="preserve">, </w:t>
      </w:r>
      <w:r w:rsidR="006661AE" w:rsidRPr="006661AE">
        <w:t>62.7</w:t>
      </w:r>
      <w:r w:rsidRPr="006661AE">
        <w:t xml:space="preserve"> per </w:t>
      </w:r>
      <w:r w:rsidR="001B681D">
        <w:t xml:space="preserve">cent of </w:t>
      </w:r>
      <w:proofErr w:type="spellStart"/>
      <w:r w:rsidR="006661AE">
        <w:t>NQF</w:t>
      </w:r>
      <w:proofErr w:type="spellEnd"/>
      <w:r w:rsidR="006661AE">
        <w:t xml:space="preserve"> approved </w:t>
      </w:r>
      <w:r w:rsidRPr="007069F4">
        <w:t>services had received a quality rating at 30</w:t>
      </w:r>
      <w:r w:rsidR="00172534">
        <w:t> </w:t>
      </w:r>
      <w:r w:rsidR="00C249DA">
        <w:t>June 2015</w:t>
      </w:r>
      <w:r w:rsidRPr="007069F4">
        <w:t xml:space="preserve">. </w:t>
      </w:r>
      <w:r w:rsidR="00D704AB">
        <w:t>A higher proportion of centre</w:t>
      </w:r>
      <w:r w:rsidR="002D438E">
        <w:noBreakHyphen/>
      </w:r>
      <w:r w:rsidR="00D704AB">
        <w:t xml:space="preserve">based care services received a quality rating than family day care services. </w:t>
      </w:r>
    </w:p>
    <w:p w:rsidR="004E130D" w:rsidRDefault="004E130D" w:rsidP="00E97924">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8771"/>
      </w:tblGrid>
      <w:tr w:rsidR="004E130D" w:rsidTr="00E97924">
        <w:tc>
          <w:tcPr>
            <w:tcW w:w="8771" w:type="dxa"/>
            <w:tcBorders>
              <w:top w:val="single" w:sz="6" w:space="0" w:color="78A22F"/>
              <w:left w:val="nil"/>
              <w:bottom w:val="nil"/>
              <w:right w:val="nil"/>
            </w:tcBorders>
            <w:shd w:val="clear" w:color="auto" w:fill="auto"/>
          </w:tcPr>
          <w:p w:rsidR="004E130D" w:rsidRPr="00784A05" w:rsidRDefault="004E130D" w:rsidP="004E130D">
            <w:pPr>
              <w:pStyle w:val="TableTitle"/>
            </w:pPr>
            <w:r>
              <w:rPr>
                <w:b w:val="0"/>
              </w:rPr>
              <w:t xml:space="preserve">Table </w:t>
            </w:r>
            <w:r w:rsidR="006661AE">
              <w:rPr>
                <w:b w:val="0"/>
              </w:rPr>
              <w:t>3.</w:t>
            </w:r>
            <w:r w:rsidR="0035143C">
              <w:rPr>
                <w:b w:val="0"/>
              </w:rPr>
              <w:t>1</w:t>
            </w:r>
            <w:r w:rsidR="000E3849">
              <w:rPr>
                <w:b w:val="0"/>
                <w:noProof/>
              </w:rPr>
              <w:t>3</w:t>
            </w:r>
            <w:r>
              <w:tab/>
            </w:r>
            <w:proofErr w:type="spellStart"/>
            <w:r>
              <w:t>NQF</w:t>
            </w:r>
            <w:proofErr w:type="spellEnd"/>
            <w:r>
              <w:t xml:space="preserve"> approved services with a quality rating, by servi</w:t>
            </w:r>
            <w:r w:rsidR="00BC2494">
              <w:t>ce ty</w:t>
            </w:r>
            <w:r w:rsidR="00281697">
              <w:t>pe,</w:t>
            </w:r>
            <w:r w:rsidR="00BC2494">
              <w:t xml:space="preserve"> 30</w:t>
            </w:r>
            <w:r w:rsidR="002D438E">
              <w:t> </w:t>
            </w:r>
            <w:r w:rsidR="00BC2494">
              <w:t>June 2015</w:t>
            </w:r>
            <w:r w:rsidR="00B742BA">
              <w:rPr>
                <w:rStyle w:val="NoteLabel"/>
                <w:b/>
              </w:rPr>
              <w:t>a</w:t>
            </w:r>
          </w:p>
        </w:tc>
      </w:tr>
      <w:tr w:rsidR="004E130D" w:rsidTr="00E97924">
        <w:trPr>
          <w:cantSplit/>
        </w:trPr>
        <w:tc>
          <w:tcPr>
            <w:tcW w:w="8771" w:type="dxa"/>
            <w:tcBorders>
              <w:top w:val="nil"/>
              <w:left w:val="nil"/>
              <w:bottom w:val="nil"/>
              <w:right w:val="nil"/>
            </w:tcBorders>
            <w:shd w:val="clear" w:color="auto" w:fill="auto"/>
          </w:tcPr>
          <w:tbl>
            <w:tblPr>
              <w:tblW w:w="5000" w:type="pct"/>
              <w:tblCellMar>
                <w:top w:w="28" w:type="dxa"/>
                <w:left w:w="0" w:type="dxa"/>
                <w:right w:w="0" w:type="dxa"/>
              </w:tblCellMar>
              <w:tblLook w:val="0000" w:firstRow="0" w:lastRow="0" w:firstColumn="0" w:lastColumn="0" w:noHBand="0" w:noVBand="0"/>
            </w:tblPr>
            <w:tblGrid>
              <w:gridCol w:w="1534"/>
              <w:gridCol w:w="441"/>
              <w:gridCol w:w="726"/>
              <w:gridCol w:w="723"/>
              <w:gridCol w:w="723"/>
              <w:gridCol w:w="723"/>
              <w:gridCol w:w="723"/>
              <w:gridCol w:w="723"/>
              <w:gridCol w:w="724"/>
              <w:gridCol w:w="723"/>
              <w:gridCol w:w="724"/>
            </w:tblGrid>
            <w:tr w:rsidR="000D56EF" w:rsidTr="001952DE">
              <w:tc>
                <w:tcPr>
                  <w:tcW w:w="1537" w:type="dxa"/>
                  <w:tcBorders>
                    <w:top w:val="single" w:sz="6" w:space="0" w:color="BFBFBF"/>
                    <w:bottom w:val="single" w:sz="6" w:space="0" w:color="BFBFBF"/>
                  </w:tcBorders>
                  <w:shd w:val="clear" w:color="auto" w:fill="auto"/>
                  <w:tcMar>
                    <w:top w:w="28" w:type="dxa"/>
                  </w:tcMar>
                </w:tcPr>
                <w:p w:rsidR="000D56EF" w:rsidRDefault="000D56EF" w:rsidP="00E97924">
                  <w:pPr>
                    <w:pStyle w:val="TableColumnHeading"/>
                    <w:jc w:val="left"/>
                  </w:pPr>
                </w:p>
              </w:tc>
              <w:tc>
                <w:tcPr>
                  <w:tcW w:w="379" w:type="dxa"/>
                  <w:tcBorders>
                    <w:top w:val="single" w:sz="6" w:space="0" w:color="BFBFBF"/>
                    <w:bottom w:val="single" w:sz="6" w:space="0" w:color="BFBFBF"/>
                  </w:tcBorders>
                </w:tcPr>
                <w:p w:rsidR="000D56EF" w:rsidRPr="00C80DF5" w:rsidRDefault="000D56EF" w:rsidP="00E97924">
                  <w:pPr>
                    <w:pStyle w:val="TableColumnHeading"/>
                  </w:pPr>
                  <w:r>
                    <w:t>Unit</w:t>
                  </w:r>
                </w:p>
              </w:tc>
              <w:tc>
                <w:tcPr>
                  <w:tcW w:w="731" w:type="dxa"/>
                  <w:tcBorders>
                    <w:top w:val="single" w:sz="6" w:space="0" w:color="BFBFBF"/>
                    <w:bottom w:val="single" w:sz="6" w:space="0" w:color="BFBFBF"/>
                  </w:tcBorders>
                  <w:shd w:val="clear" w:color="auto" w:fill="auto"/>
                  <w:tcMar>
                    <w:top w:w="28" w:type="dxa"/>
                  </w:tcMar>
                </w:tcPr>
                <w:p w:rsidR="000D56EF" w:rsidRPr="00C80DF5" w:rsidRDefault="000D56EF" w:rsidP="00E97924">
                  <w:pPr>
                    <w:pStyle w:val="TableColumnHeading"/>
                  </w:pPr>
                  <w:r w:rsidRPr="00C80DF5">
                    <w:t>NSW</w:t>
                  </w:r>
                </w:p>
              </w:tc>
              <w:tc>
                <w:tcPr>
                  <w:tcW w:w="730" w:type="dxa"/>
                  <w:tcBorders>
                    <w:top w:val="single" w:sz="6" w:space="0" w:color="BFBFBF"/>
                    <w:bottom w:val="single" w:sz="6" w:space="0" w:color="BFBFBF"/>
                  </w:tcBorders>
                </w:tcPr>
                <w:p w:rsidR="000D56EF" w:rsidRPr="00C80DF5" w:rsidRDefault="000D56EF" w:rsidP="00E97924">
                  <w:pPr>
                    <w:pStyle w:val="TableColumnHeading"/>
                  </w:pPr>
                  <w:r w:rsidRPr="00C80DF5">
                    <w:t>Vic</w:t>
                  </w:r>
                </w:p>
              </w:tc>
              <w:tc>
                <w:tcPr>
                  <w:tcW w:w="730" w:type="dxa"/>
                  <w:tcBorders>
                    <w:top w:val="single" w:sz="6" w:space="0" w:color="BFBFBF"/>
                    <w:bottom w:val="single" w:sz="6" w:space="0" w:color="BFBFBF"/>
                  </w:tcBorders>
                </w:tcPr>
                <w:p w:rsidR="000D56EF" w:rsidRPr="00C80DF5" w:rsidRDefault="000D56EF" w:rsidP="00E97924">
                  <w:pPr>
                    <w:pStyle w:val="TableColumnHeading"/>
                  </w:pPr>
                  <w:r w:rsidRPr="00C80DF5">
                    <w:t>Qld</w:t>
                  </w:r>
                </w:p>
              </w:tc>
              <w:tc>
                <w:tcPr>
                  <w:tcW w:w="730" w:type="dxa"/>
                  <w:tcBorders>
                    <w:top w:val="single" w:sz="6" w:space="0" w:color="BFBFBF"/>
                    <w:bottom w:val="single" w:sz="6" w:space="0" w:color="BFBFBF"/>
                  </w:tcBorders>
                </w:tcPr>
                <w:p w:rsidR="000D56EF" w:rsidRPr="00C80DF5" w:rsidRDefault="000D56EF" w:rsidP="00E97924">
                  <w:pPr>
                    <w:pStyle w:val="TableColumnHeading"/>
                  </w:pPr>
                  <w:r w:rsidRPr="00C80DF5">
                    <w:t>WA</w:t>
                  </w:r>
                </w:p>
              </w:tc>
              <w:tc>
                <w:tcPr>
                  <w:tcW w:w="730" w:type="dxa"/>
                  <w:tcBorders>
                    <w:top w:val="single" w:sz="6" w:space="0" w:color="BFBFBF"/>
                    <w:bottom w:val="single" w:sz="6" w:space="0" w:color="BFBFBF"/>
                  </w:tcBorders>
                </w:tcPr>
                <w:p w:rsidR="000D56EF" w:rsidRPr="00C80DF5" w:rsidRDefault="000D56EF" w:rsidP="00E97924">
                  <w:pPr>
                    <w:pStyle w:val="TableColumnHeading"/>
                  </w:pPr>
                  <w:r w:rsidRPr="00397D8C">
                    <w:t>SA</w:t>
                  </w:r>
                </w:p>
              </w:tc>
              <w:tc>
                <w:tcPr>
                  <w:tcW w:w="730" w:type="dxa"/>
                  <w:tcBorders>
                    <w:top w:val="single" w:sz="6" w:space="0" w:color="BFBFBF"/>
                    <w:bottom w:val="single" w:sz="6" w:space="0" w:color="BFBFBF"/>
                  </w:tcBorders>
                </w:tcPr>
                <w:p w:rsidR="000D56EF" w:rsidRPr="00C80DF5" w:rsidRDefault="000D56EF" w:rsidP="00E97924">
                  <w:pPr>
                    <w:pStyle w:val="TableColumnHeading"/>
                  </w:pPr>
                  <w:proofErr w:type="spellStart"/>
                  <w:r w:rsidRPr="00C80DF5">
                    <w:t>Tas</w:t>
                  </w:r>
                  <w:proofErr w:type="spellEnd"/>
                </w:p>
              </w:tc>
              <w:tc>
                <w:tcPr>
                  <w:tcW w:w="730" w:type="dxa"/>
                  <w:tcBorders>
                    <w:top w:val="single" w:sz="6" w:space="0" w:color="BFBFBF"/>
                    <w:bottom w:val="single" w:sz="6" w:space="0" w:color="BFBFBF"/>
                  </w:tcBorders>
                </w:tcPr>
                <w:p w:rsidR="000D56EF" w:rsidRPr="00C80DF5" w:rsidRDefault="000D56EF" w:rsidP="00E97924">
                  <w:pPr>
                    <w:pStyle w:val="TableColumnHeading"/>
                  </w:pPr>
                  <w:r w:rsidRPr="00C80DF5">
                    <w:t>ACT</w:t>
                  </w:r>
                </w:p>
              </w:tc>
              <w:tc>
                <w:tcPr>
                  <w:tcW w:w="730" w:type="dxa"/>
                  <w:tcBorders>
                    <w:top w:val="single" w:sz="6" w:space="0" w:color="BFBFBF"/>
                    <w:bottom w:val="single" w:sz="6" w:space="0" w:color="BFBFBF"/>
                  </w:tcBorders>
                </w:tcPr>
                <w:p w:rsidR="000D56EF" w:rsidRDefault="000D56EF" w:rsidP="00E97924">
                  <w:pPr>
                    <w:pStyle w:val="TableColumnHeading"/>
                  </w:pPr>
                  <w:r w:rsidRPr="00C80DF5">
                    <w:t>NT</w:t>
                  </w:r>
                </w:p>
              </w:tc>
              <w:tc>
                <w:tcPr>
                  <w:tcW w:w="730" w:type="dxa"/>
                  <w:tcBorders>
                    <w:top w:val="single" w:sz="6" w:space="0" w:color="BFBFBF"/>
                    <w:bottom w:val="single" w:sz="6" w:space="0" w:color="BFBFBF"/>
                  </w:tcBorders>
                  <w:shd w:val="clear" w:color="auto" w:fill="auto"/>
                  <w:tcMar>
                    <w:top w:w="28" w:type="dxa"/>
                  </w:tcMar>
                </w:tcPr>
                <w:p w:rsidR="000D56EF" w:rsidRDefault="000D56EF" w:rsidP="000D56EF">
                  <w:pPr>
                    <w:pStyle w:val="TableColumnHeading"/>
                  </w:pPr>
                  <w:proofErr w:type="spellStart"/>
                  <w:r>
                    <w:t>Aust</w:t>
                  </w:r>
                  <w:proofErr w:type="spellEnd"/>
                </w:p>
              </w:tc>
            </w:tr>
            <w:tr w:rsidR="000D56EF" w:rsidTr="001952DE">
              <w:tc>
                <w:tcPr>
                  <w:tcW w:w="8487" w:type="dxa"/>
                  <w:gridSpan w:val="11"/>
                  <w:tcBorders>
                    <w:top w:val="single" w:sz="6" w:space="0" w:color="BFBFBF"/>
                  </w:tcBorders>
                </w:tcPr>
                <w:p w:rsidR="000D56EF" w:rsidRPr="000D56EF" w:rsidRDefault="000D56EF" w:rsidP="000D56EF">
                  <w:pPr>
                    <w:pStyle w:val="TableUnitsRow"/>
                    <w:ind w:right="28"/>
                    <w:jc w:val="left"/>
                    <w:rPr>
                      <w:i/>
                    </w:rPr>
                  </w:pPr>
                  <w:proofErr w:type="spellStart"/>
                  <w:r w:rsidRPr="000D56EF">
                    <w:rPr>
                      <w:i/>
                    </w:rPr>
                    <w:t>NQF</w:t>
                  </w:r>
                  <w:proofErr w:type="spellEnd"/>
                  <w:r w:rsidRPr="000D56EF">
                    <w:rPr>
                      <w:i/>
                    </w:rPr>
                    <w:t xml:space="preserve"> approved services with a quality rating</w:t>
                  </w:r>
                </w:p>
              </w:tc>
            </w:tr>
            <w:tr w:rsidR="0062243F" w:rsidTr="001952DE">
              <w:tc>
                <w:tcPr>
                  <w:tcW w:w="1537" w:type="dxa"/>
                </w:tcPr>
                <w:p w:rsidR="0062243F" w:rsidRDefault="0062243F" w:rsidP="001952DE">
                  <w:pPr>
                    <w:pStyle w:val="TableBodyText"/>
                    <w:ind w:left="170"/>
                    <w:jc w:val="left"/>
                  </w:pPr>
                  <w:r>
                    <w:t>Centre</w:t>
                  </w:r>
                  <w:r w:rsidR="002D438E">
                    <w:noBreakHyphen/>
                  </w:r>
                  <w:r>
                    <w:t>based care</w:t>
                  </w:r>
                </w:p>
              </w:tc>
              <w:tc>
                <w:tcPr>
                  <w:tcW w:w="379" w:type="dxa"/>
                </w:tcPr>
                <w:p w:rsidR="0062243F" w:rsidRPr="00CD1576" w:rsidRDefault="0062243F" w:rsidP="00CD1576">
                  <w:pPr>
                    <w:pStyle w:val="TableBodyText"/>
                  </w:pPr>
                  <w:r w:rsidRPr="00CD1576">
                    <w:t>no.</w:t>
                  </w:r>
                </w:p>
              </w:tc>
              <w:tc>
                <w:tcPr>
                  <w:tcW w:w="731" w:type="dxa"/>
                  <w:vAlign w:val="center"/>
                </w:tcPr>
                <w:p w:rsidR="0062243F" w:rsidRPr="00CD1576" w:rsidRDefault="0062243F" w:rsidP="00CD1576">
                  <w:pPr>
                    <w:pStyle w:val="TableBodyText"/>
                  </w:pPr>
                  <w:r w:rsidRPr="00CD1576">
                    <w:t>3</w:t>
                  </w:r>
                  <w:r w:rsidR="00D85452" w:rsidRPr="00CD1576">
                    <w:t xml:space="preserve"> </w:t>
                  </w:r>
                  <w:r w:rsidRPr="00CD1576">
                    <w:t>242</w:t>
                  </w:r>
                </w:p>
              </w:tc>
              <w:tc>
                <w:tcPr>
                  <w:tcW w:w="730" w:type="dxa"/>
                  <w:vAlign w:val="center"/>
                </w:tcPr>
                <w:p w:rsidR="0062243F" w:rsidRPr="00CD1576" w:rsidRDefault="0062243F" w:rsidP="00CD1576">
                  <w:pPr>
                    <w:pStyle w:val="TableBodyText"/>
                  </w:pPr>
                  <w:r w:rsidRPr="00CD1576">
                    <w:t>2</w:t>
                  </w:r>
                  <w:r w:rsidR="00D85452" w:rsidRPr="00CD1576">
                    <w:t xml:space="preserve"> </w:t>
                  </w:r>
                  <w:r w:rsidRPr="00CD1576">
                    <w:t>725</w:t>
                  </w:r>
                </w:p>
              </w:tc>
              <w:tc>
                <w:tcPr>
                  <w:tcW w:w="730" w:type="dxa"/>
                  <w:vAlign w:val="center"/>
                </w:tcPr>
                <w:p w:rsidR="0062243F" w:rsidRPr="00CD1576" w:rsidRDefault="0062243F" w:rsidP="00CD1576">
                  <w:pPr>
                    <w:pStyle w:val="TableBodyText"/>
                  </w:pPr>
                  <w:r w:rsidRPr="00CD1576">
                    <w:t>1</w:t>
                  </w:r>
                  <w:r w:rsidR="00D85452" w:rsidRPr="00CD1576">
                    <w:t xml:space="preserve"> </w:t>
                  </w:r>
                  <w:r w:rsidRPr="00CD1576">
                    <w:t>759</w:t>
                  </w:r>
                </w:p>
              </w:tc>
              <w:tc>
                <w:tcPr>
                  <w:tcW w:w="730" w:type="dxa"/>
                  <w:vAlign w:val="center"/>
                </w:tcPr>
                <w:p w:rsidR="0062243F" w:rsidRPr="00CD1576" w:rsidRDefault="0062243F" w:rsidP="00CD1576">
                  <w:pPr>
                    <w:pStyle w:val="TableBodyText"/>
                  </w:pPr>
                  <w:r w:rsidRPr="00CD1576">
                    <w:t>356</w:t>
                  </w:r>
                </w:p>
              </w:tc>
              <w:tc>
                <w:tcPr>
                  <w:tcW w:w="730" w:type="dxa"/>
                  <w:vAlign w:val="center"/>
                </w:tcPr>
                <w:p w:rsidR="0062243F" w:rsidRPr="00CD1576" w:rsidRDefault="0062243F" w:rsidP="00CD1576">
                  <w:pPr>
                    <w:pStyle w:val="TableBodyText"/>
                  </w:pPr>
                  <w:r w:rsidRPr="00CD1576">
                    <w:t>381</w:t>
                  </w:r>
                </w:p>
              </w:tc>
              <w:tc>
                <w:tcPr>
                  <w:tcW w:w="730" w:type="dxa"/>
                  <w:vAlign w:val="center"/>
                </w:tcPr>
                <w:p w:rsidR="0062243F" w:rsidRPr="00CD1576" w:rsidRDefault="0062243F" w:rsidP="00CD1576">
                  <w:pPr>
                    <w:pStyle w:val="TableBodyText"/>
                  </w:pPr>
                  <w:r w:rsidRPr="00CD1576">
                    <w:t>167</w:t>
                  </w:r>
                </w:p>
              </w:tc>
              <w:tc>
                <w:tcPr>
                  <w:tcW w:w="730" w:type="dxa"/>
                  <w:vAlign w:val="center"/>
                </w:tcPr>
                <w:p w:rsidR="0062243F" w:rsidRPr="00CD1576" w:rsidRDefault="0062243F" w:rsidP="00CD1576">
                  <w:pPr>
                    <w:pStyle w:val="TableBodyText"/>
                  </w:pPr>
                  <w:r w:rsidRPr="00CD1576">
                    <w:t>219</w:t>
                  </w:r>
                </w:p>
              </w:tc>
              <w:tc>
                <w:tcPr>
                  <w:tcW w:w="730" w:type="dxa"/>
                  <w:vAlign w:val="center"/>
                </w:tcPr>
                <w:p w:rsidR="0062243F" w:rsidRPr="00CD1576" w:rsidRDefault="0062243F" w:rsidP="00CD1576">
                  <w:pPr>
                    <w:pStyle w:val="TableBodyText"/>
                  </w:pPr>
                  <w:r w:rsidRPr="00CD1576">
                    <w:t>157</w:t>
                  </w:r>
                </w:p>
              </w:tc>
              <w:tc>
                <w:tcPr>
                  <w:tcW w:w="730" w:type="dxa"/>
                  <w:vAlign w:val="center"/>
                </w:tcPr>
                <w:p w:rsidR="0062243F" w:rsidRPr="00CD1576" w:rsidRDefault="0062243F" w:rsidP="00CD1576">
                  <w:pPr>
                    <w:pStyle w:val="TableBodyText"/>
                  </w:pPr>
                  <w:r w:rsidRPr="00CD1576">
                    <w:t>9</w:t>
                  </w:r>
                  <w:r w:rsidR="00D85452" w:rsidRPr="00CD1576">
                    <w:t xml:space="preserve"> </w:t>
                  </w:r>
                  <w:r w:rsidRPr="00CD1576">
                    <w:t>006</w:t>
                  </w:r>
                </w:p>
              </w:tc>
            </w:tr>
            <w:tr w:rsidR="0062243F" w:rsidTr="001952DE">
              <w:tc>
                <w:tcPr>
                  <w:tcW w:w="1537" w:type="dxa"/>
                </w:tcPr>
                <w:p w:rsidR="0062243F" w:rsidRDefault="0062243F" w:rsidP="001952DE">
                  <w:pPr>
                    <w:pStyle w:val="TableBodyText"/>
                    <w:ind w:left="170"/>
                    <w:jc w:val="left"/>
                  </w:pPr>
                  <w:r>
                    <w:t>Family day care</w:t>
                  </w:r>
                </w:p>
              </w:tc>
              <w:tc>
                <w:tcPr>
                  <w:tcW w:w="379" w:type="dxa"/>
                </w:tcPr>
                <w:p w:rsidR="0062243F" w:rsidRPr="00CD1576" w:rsidRDefault="0062243F" w:rsidP="00CD1576">
                  <w:pPr>
                    <w:pStyle w:val="TableBodyText"/>
                  </w:pPr>
                  <w:r w:rsidRPr="00CD1576">
                    <w:t xml:space="preserve">no. </w:t>
                  </w:r>
                </w:p>
              </w:tc>
              <w:tc>
                <w:tcPr>
                  <w:tcW w:w="731" w:type="dxa"/>
                  <w:vAlign w:val="center"/>
                </w:tcPr>
                <w:p w:rsidR="0062243F" w:rsidRPr="00CD1576" w:rsidRDefault="0062243F" w:rsidP="00CD1576">
                  <w:pPr>
                    <w:pStyle w:val="TableBodyText"/>
                  </w:pPr>
                  <w:r w:rsidRPr="00CD1576">
                    <w:t>99</w:t>
                  </w:r>
                </w:p>
              </w:tc>
              <w:tc>
                <w:tcPr>
                  <w:tcW w:w="730" w:type="dxa"/>
                  <w:vAlign w:val="center"/>
                </w:tcPr>
                <w:p w:rsidR="0062243F" w:rsidRPr="00CD1576" w:rsidRDefault="0062243F" w:rsidP="00CD1576">
                  <w:pPr>
                    <w:pStyle w:val="TableBodyText"/>
                  </w:pPr>
                  <w:r w:rsidRPr="00CD1576">
                    <w:t>143</w:t>
                  </w:r>
                </w:p>
              </w:tc>
              <w:tc>
                <w:tcPr>
                  <w:tcW w:w="730" w:type="dxa"/>
                  <w:vAlign w:val="center"/>
                </w:tcPr>
                <w:p w:rsidR="0062243F" w:rsidRPr="00CD1576" w:rsidRDefault="0062243F" w:rsidP="00CD1576">
                  <w:pPr>
                    <w:pStyle w:val="TableBodyText"/>
                  </w:pPr>
                  <w:r w:rsidRPr="00CD1576">
                    <w:t>64</w:t>
                  </w:r>
                </w:p>
              </w:tc>
              <w:tc>
                <w:tcPr>
                  <w:tcW w:w="730" w:type="dxa"/>
                  <w:vAlign w:val="center"/>
                </w:tcPr>
                <w:p w:rsidR="0062243F" w:rsidRPr="00CD1576" w:rsidRDefault="0062243F" w:rsidP="00CD1576">
                  <w:pPr>
                    <w:pStyle w:val="TableBodyText"/>
                  </w:pPr>
                  <w:r w:rsidRPr="00CD1576">
                    <w:t>15</w:t>
                  </w:r>
                </w:p>
              </w:tc>
              <w:tc>
                <w:tcPr>
                  <w:tcW w:w="730" w:type="dxa"/>
                  <w:vAlign w:val="center"/>
                </w:tcPr>
                <w:p w:rsidR="0062243F" w:rsidRPr="00CD1576" w:rsidRDefault="0062243F" w:rsidP="00CD1576">
                  <w:pPr>
                    <w:pStyle w:val="TableBodyText"/>
                  </w:pPr>
                  <w:r w:rsidRPr="00CD1576">
                    <w:t>3</w:t>
                  </w:r>
                </w:p>
              </w:tc>
              <w:tc>
                <w:tcPr>
                  <w:tcW w:w="730" w:type="dxa"/>
                  <w:vAlign w:val="center"/>
                </w:tcPr>
                <w:p w:rsidR="0062243F" w:rsidRPr="00CD1576" w:rsidRDefault="0062243F" w:rsidP="00CD1576">
                  <w:pPr>
                    <w:pStyle w:val="TableBodyText"/>
                  </w:pPr>
                  <w:r w:rsidRPr="00CD1576">
                    <w:t>8</w:t>
                  </w:r>
                </w:p>
              </w:tc>
              <w:tc>
                <w:tcPr>
                  <w:tcW w:w="730" w:type="dxa"/>
                  <w:vAlign w:val="center"/>
                </w:tcPr>
                <w:p w:rsidR="0062243F" w:rsidRPr="00CD1576" w:rsidRDefault="0062243F" w:rsidP="00CD1576">
                  <w:pPr>
                    <w:pStyle w:val="TableBodyText"/>
                  </w:pPr>
                  <w:r w:rsidRPr="00CD1576">
                    <w:t>5</w:t>
                  </w:r>
                </w:p>
              </w:tc>
              <w:tc>
                <w:tcPr>
                  <w:tcW w:w="730" w:type="dxa"/>
                  <w:vAlign w:val="center"/>
                </w:tcPr>
                <w:p w:rsidR="0062243F" w:rsidRPr="00CD1576" w:rsidRDefault="0062243F" w:rsidP="00CD1576">
                  <w:pPr>
                    <w:pStyle w:val="TableBodyText"/>
                  </w:pPr>
                  <w:r w:rsidRPr="00CD1576">
                    <w:t>4</w:t>
                  </w:r>
                </w:p>
              </w:tc>
              <w:tc>
                <w:tcPr>
                  <w:tcW w:w="730" w:type="dxa"/>
                  <w:vAlign w:val="center"/>
                </w:tcPr>
                <w:p w:rsidR="0062243F" w:rsidRPr="00CD1576" w:rsidRDefault="0062243F" w:rsidP="00CD1576">
                  <w:pPr>
                    <w:pStyle w:val="TableBodyText"/>
                  </w:pPr>
                  <w:r w:rsidRPr="00CD1576">
                    <w:t>341</w:t>
                  </w:r>
                </w:p>
              </w:tc>
            </w:tr>
            <w:tr w:rsidR="0062243F" w:rsidTr="001952DE">
              <w:tc>
                <w:tcPr>
                  <w:tcW w:w="1537" w:type="dxa"/>
                </w:tcPr>
                <w:p w:rsidR="0062243F" w:rsidRPr="0062243F" w:rsidRDefault="0062243F" w:rsidP="001952DE">
                  <w:pPr>
                    <w:pStyle w:val="TableBodyText"/>
                    <w:ind w:left="170"/>
                    <w:jc w:val="left"/>
                    <w:rPr>
                      <w:b/>
                    </w:rPr>
                  </w:pPr>
                  <w:r w:rsidRPr="0062243F">
                    <w:rPr>
                      <w:b/>
                    </w:rPr>
                    <w:t>Total</w:t>
                  </w:r>
                </w:p>
              </w:tc>
              <w:tc>
                <w:tcPr>
                  <w:tcW w:w="379" w:type="dxa"/>
                </w:tcPr>
                <w:p w:rsidR="0062243F" w:rsidRPr="00CD1576" w:rsidRDefault="0062243F" w:rsidP="00CD1576">
                  <w:pPr>
                    <w:pStyle w:val="TableBodyText"/>
                    <w:rPr>
                      <w:b/>
                    </w:rPr>
                  </w:pPr>
                  <w:r w:rsidRPr="00CD1576">
                    <w:rPr>
                      <w:b/>
                    </w:rPr>
                    <w:t>no.</w:t>
                  </w:r>
                </w:p>
              </w:tc>
              <w:tc>
                <w:tcPr>
                  <w:tcW w:w="731" w:type="dxa"/>
                  <w:vAlign w:val="center"/>
                </w:tcPr>
                <w:p w:rsidR="0062243F" w:rsidRPr="00CD1576" w:rsidRDefault="0062243F" w:rsidP="00CD1576">
                  <w:pPr>
                    <w:pStyle w:val="TableBodyText"/>
                    <w:rPr>
                      <w:b/>
                    </w:rPr>
                  </w:pPr>
                  <w:r w:rsidRPr="00CD1576">
                    <w:rPr>
                      <w:b/>
                    </w:rPr>
                    <w:t>3</w:t>
                  </w:r>
                  <w:r w:rsidR="00D85452" w:rsidRPr="00CD1576">
                    <w:rPr>
                      <w:b/>
                    </w:rPr>
                    <w:t xml:space="preserve"> </w:t>
                  </w:r>
                  <w:r w:rsidRPr="00CD1576">
                    <w:rPr>
                      <w:b/>
                    </w:rPr>
                    <w:t>341</w:t>
                  </w:r>
                </w:p>
              </w:tc>
              <w:tc>
                <w:tcPr>
                  <w:tcW w:w="730" w:type="dxa"/>
                  <w:vAlign w:val="center"/>
                </w:tcPr>
                <w:p w:rsidR="0062243F" w:rsidRPr="00CD1576" w:rsidRDefault="0062243F" w:rsidP="00CD1576">
                  <w:pPr>
                    <w:pStyle w:val="TableBodyText"/>
                    <w:rPr>
                      <w:b/>
                    </w:rPr>
                  </w:pPr>
                  <w:r w:rsidRPr="00CD1576">
                    <w:rPr>
                      <w:b/>
                    </w:rPr>
                    <w:t>2</w:t>
                  </w:r>
                  <w:r w:rsidR="00D85452" w:rsidRPr="00CD1576">
                    <w:rPr>
                      <w:b/>
                    </w:rPr>
                    <w:t xml:space="preserve"> </w:t>
                  </w:r>
                  <w:r w:rsidRPr="00CD1576">
                    <w:rPr>
                      <w:b/>
                    </w:rPr>
                    <w:t>868</w:t>
                  </w:r>
                </w:p>
              </w:tc>
              <w:tc>
                <w:tcPr>
                  <w:tcW w:w="730" w:type="dxa"/>
                  <w:vAlign w:val="center"/>
                </w:tcPr>
                <w:p w:rsidR="0062243F" w:rsidRPr="00CD1576" w:rsidRDefault="0062243F" w:rsidP="00CD1576">
                  <w:pPr>
                    <w:pStyle w:val="TableBodyText"/>
                    <w:rPr>
                      <w:b/>
                    </w:rPr>
                  </w:pPr>
                  <w:r w:rsidRPr="00CD1576">
                    <w:rPr>
                      <w:b/>
                    </w:rPr>
                    <w:t>1</w:t>
                  </w:r>
                  <w:r w:rsidR="00D85452" w:rsidRPr="00CD1576">
                    <w:rPr>
                      <w:b/>
                    </w:rPr>
                    <w:t xml:space="preserve"> </w:t>
                  </w:r>
                  <w:r w:rsidRPr="00CD1576">
                    <w:rPr>
                      <w:b/>
                    </w:rPr>
                    <w:t>823</w:t>
                  </w:r>
                </w:p>
              </w:tc>
              <w:tc>
                <w:tcPr>
                  <w:tcW w:w="730" w:type="dxa"/>
                  <w:vAlign w:val="center"/>
                </w:tcPr>
                <w:p w:rsidR="0062243F" w:rsidRPr="00CD1576" w:rsidRDefault="0062243F" w:rsidP="00CD1576">
                  <w:pPr>
                    <w:pStyle w:val="TableBodyText"/>
                    <w:rPr>
                      <w:b/>
                    </w:rPr>
                  </w:pPr>
                  <w:r w:rsidRPr="00CD1576">
                    <w:rPr>
                      <w:b/>
                    </w:rPr>
                    <w:t>371</w:t>
                  </w:r>
                </w:p>
              </w:tc>
              <w:tc>
                <w:tcPr>
                  <w:tcW w:w="730" w:type="dxa"/>
                  <w:vAlign w:val="center"/>
                </w:tcPr>
                <w:p w:rsidR="0062243F" w:rsidRPr="00CD1576" w:rsidRDefault="0062243F" w:rsidP="00CD1576">
                  <w:pPr>
                    <w:pStyle w:val="TableBodyText"/>
                    <w:rPr>
                      <w:b/>
                    </w:rPr>
                  </w:pPr>
                  <w:r w:rsidRPr="00CD1576">
                    <w:rPr>
                      <w:b/>
                    </w:rPr>
                    <w:t>384</w:t>
                  </w:r>
                </w:p>
              </w:tc>
              <w:tc>
                <w:tcPr>
                  <w:tcW w:w="730" w:type="dxa"/>
                  <w:vAlign w:val="center"/>
                </w:tcPr>
                <w:p w:rsidR="0062243F" w:rsidRPr="00CD1576" w:rsidRDefault="0062243F" w:rsidP="00CD1576">
                  <w:pPr>
                    <w:pStyle w:val="TableBodyText"/>
                    <w:rPr>
                      <w:b/>
                    </w:rPr>
                  </w:pPr>
                  <w:r w:rsidRPr="00CD1576">
                    <w:rPr>
                      <w:b/>
                    </w:rPr>
                    <w:t>175</w:t>
                  </w:r>
                </w:p>
              </w:tc>
              <w:tc>
                <w:tcPr>
                  <w:tcW w:w="730" w:type="dxa"/>
                  <w:vAlign w:val="center"/>
                </w:tcPr>
                <w:p w:rsidR="0062243F" w:rsidRPr="00CD1576" w:rsidRDefault="0062243F" w:rsidP="00CD1576">
                  <w:pPr>
                    <w:pStyle w:val="TableBodyText"/>
                    <w:rPr>
                      <w:b/>
                    </w:rPr>
                  </w:pPr>
                  <w:r w:rsidRPr="00CD1576">
                    <w:rPr>
                      <w:b/>
                    </w:rPr>
                    <w:t>224</w:t>
                  </w:r>
                </w:p>
              </w:tc>
              <w:tc>
                <w:tcPr>
                  <w:tcW w:w="730" w:type="dxa"/>
                  <w:vAlign w:val="center"/>
                </w:tcPr>
                <w:p w:rsidR="0062243F" w:rsidRPr="00CD1576" w:rsidRDefault="0062243F" w:rsidP="00CD1576">
                  <w:pPr>
                    <w:pStyle w:val="TableBodyText"/>
                    <w:rPr>
                      <w:b/>
                    </w:rPr>
                  </w:pPr>
                  <w:r w:rsidRPr="00CD1576">
                    <w:rPr>
                      <w:b/>
                    </w:rPr>
                    <w:t>161</w:t>
                  </w:r>
                </w:p>
              </w:tc>
              <w:tc>
                <w:tcPr>
                  <w:tcW w:w="730" w:type="dxa"/>
                  <w:vAlign w:val="center"/>
                </w:tcPr>
                <w:p w:rsidR="0062243F" w:rsidRPr="00CD1576" w:rsidRDefault="0062243F" w:rsidP="00CD1576">
                  <w:pPr>
                    <w:pStyle w:val="TableBodyText"/>
                    <w:rPr>
                      <w:b/>
                    </w:rPr>
                  </w:pPr>
                  <w:r w:rsidRPr="00CD1576">
                    <w:rPr>
                      <w:b/>
                    </w:rPr>
                    <w:t>9</w:t>
                  </w:r>
                  <w:r w:rsidR="00D85452" w:rsidRPr="00CD1576">
                    <w:rPr>
                      <w:b/>
                    </w:rPr>
                    <w:t xml:space="preserve"> </w:t>
                  </w:r>
                  <w:r w:rsidRPr="00CD1576">
                    <w:rPr>
                      <w:b/>
                    </w:rPr>
                    <w:t>347</w:t>
                  </w:r>
                </w:p>
              </w:tc>
            </w:tr>
            <w:tr w:rsidR="0062243F" w:rsidTr="001952DE">
              <w:tc>
                <w:tcPr>
                  <w:tcW w:w="8487" w:type="dxa"/>
                  <w:gridSpan w:val="11"/>
                </w:tcPr>
                <w:p w:rsidR="0062243F" w:rsidRPr="000D56EF" w:rsidRDefault="0062243F" w:rsidP="000D56EF">
                  <w:pPr>
                    <w:pStyle w:val="TableBodyText"/>
                    <w:ind w:right="28"/>
                    <w:jc w:val="left"/>
                    <w:rPr>
                      <w:i/>
                    </w:rPr>
                  </w:pPr>
                  <w:proofErr w:type="spellStart"/>
                  <w:r>
                    <w:rPr>
                      <w:i/>
                    </w:rPr>
                    <w:t>NQF</w:t>
                  </w:r>
                  <w:proofErr w:type="spellEnd"/>
                  <w:r>
                    <w:rPr>
                      <w:i/>
                    </w:rPr>
                    <w:t xml:space="preserve"> approved services</w:t>
                  </w:r>
                </w:p>
              </w:tc>
            </w:tr>
            <w:tr w:rsidR="00CD1576" w:rsidTr="001952DE">
              <w:tc>
                <w:tcPr>
                  <w:tcW w:w="1537" w:type="dxa"/>
                </w:tcPr>
                <w:p w:rsidR="00CD1576" w:rsidRDefault="00CD1576" w:rsidP="001952DE">
                  <w:pPr>
                    <w:pStyle w:val="TableBodyText"/>
                    <w:ind w:left="170"/>
                    <w:jc w:val="left"/>
                  </w:pPr>
                  <w:r>
                    <w:t>Centre</w:t>
                  </w:r>
                  <w:r w:rsidR="002D438E">
                    <w:noBreakHyphen/>
                  </w:r>
                  <w:r>
                    <w:t>based care</w:t>
                  </w:r>
                </w:p>
              </w:tc>
              <w:tc>
                <w:tcPr>
                  <w:tcW w:w="379" w:type="dxa"/>
                </w:tcPr>
                <w:p w:rsidR="00CD1576" w:rsidRPr="00CD1576" w:rsidRDefault="00CD1576" w:rsidP="00E97924">
                  <w:pPr>
                    <w:pStyle w:val="TableBodyText"/>
                  </w:pPr>
                  <w:r w:rsidRPr="00CD1576">
                    <w:t>no.</w:t>
                  </w:r>
                </w:p>
              </w:tc>
              <w:tc>
                <w:tcPr>
                  <w:tcW w:w="731" w:type="dxa"/>
                  <w:vAlign w:val="center"/>
                </w:tcPr>
                <w:p w:rsidR="00CD1576" w:rsidRPr="00CD1576" w:rsidRDefault="00CD1576" w:rsidP="00CD1576">
                  <w:pPr>
                    <w:pStyle w:val="TableBodyText"/>
                  </w:pPr>
                  <w:r w:rsidRPr="00CD1576">
                    <w:t>4</w:t>
                  </w:r>
                  <w:r>
                    <w:t xml:space="preserve"> </w:t>
                  </w:r>
                  <w:r w:rsidRPr="00CD1576">
                    <w:t>780</w:t>
                  </w:r>
                </w:p>
              </w:tc>
              <w:tc>
                <w:tcPr>
                  <w:tcW w:w="730" w:type="dxa"/>
                  <w:vAlign w:val="center"/>
                </w:tcPr>
                <w:p w:rsidR="00CD1576" w:rsidRPr="00CD1576" w:rsidRDefault="00CD1576" w:rsidP="00CD1576">
                  <w:pPr>
                    <w:pStyle w:val="TableBodyText"/>
                  </w:pPr>
                  <w:r w:rsidRPr="00CD1576">
                    <w:t>3 616</w:t>
                  </w:r>
                </w:p>
              </w:tc>
              <w:tc>
                <w:tcPr>
                  <w:tcW w:w="730" w:type="dxa"/>
                  <w:vAlign w:val="center"/>
                </w:tcPr>
                <w:p w:rsidR="00CD1576" w:rsidRPr="00CD1576" w:rsidRDefault="00CD1576" w:rsidP="00CD1576">
                  <w:pPr>
                    <w:pStyle w:val="TableBodyText"/>
                  </w:pPr>
                  <w:r w:rsidRPr="00CD1576">
                    <w:t>2 645</w:t>
                  </w:r>
                </w:p>
              </w:tc>
              <w:tc>
                <w:tcPr>
                  <w:tcW w:w="730" w:type="dxa"/>
                  <w:vAlign w:val="center"/>
                </w:tcPr>
                <w:p w:rsidR="00CD1576" w:rsidRPr="00CD1576" w:rsidRDefault="00CD1576" w:rsidP="00CD1576">
                  <w:pPr>
                    <w:pStyle w:val="TableBodyText"/>
                  </w:pPr>
                  <w:r w:rsidRPr="00CD1576">
                    <w:t>1 042</w:t>
                  </w:r>
                </w:p>
              </w:tc>
              <w:tc>
                <w:tcPr>
                  <w:tcW w:w="730" w:type="dxa"/>
                  <w:vAlign w:val="center"/>
                </w:tcPr>
                <w:p w:rsidR="00CD1576" w:rsidRPr="00CD1576" w:rsidRDefault="00CD1576" w:rsidP="00CD1576">
                  <w:pPr>
                    <w:pStyle w:val="TableBodyText"/>
                  </w:pPr>
                  <w:r w:rsidRPr="00CD1576">
                    <w:t>1 115</w:t>
                  </w:r>
                </w:p>
              </w:tc>
              <w:tc>
                <w:tcPr>
                  <w:tcW w:w="730" w:type="dxa"/>
                  <w:vAlign w:val="center"/>
                </w:tcPr>
                <w:p w:rsidR="00CD1576" w:rsidRPr="00CD1576" w:rsidRDefault="00CD1576" w:rsidP="00CD1576">
                  <w:pPr>
                    <w:pStyle w:val="TableBodyText"/>
                  </w:pPr>
                  <w:r w:rsidRPr="00CD1576">
                    <w:t>210</w:t>
                  </w:r>
                </w:p>
              </w:tc>
              <w:tc>
                <w:tcPr>
                  <w:tcW w:w="730" w:type="dxa"/>
                  <w:vAlign w:val="center"/>
                </w:tcPr>
                <w:p w:rsidR="00CD1576" w:rsidRPr="00CD1576" w:rsidRDefault="00CD1576" w:rsidP="00CD1576">
                  <w:pPr>
                    <w:pStyle w:val="TableBodyText"/>
                  </w:pPr>
                  <w:r w:rsidRPr="00CD1576">
                    <w:t>323</w:t>
                  </w:r>
                </w:p>
              </w:tc>
              <w:tc>
                <w:tcPr>
                  <w:tcW w:w="730" w:type="dxa"/>
                  <w:vAlign w:val="center"/>
                </w:tcPr>
                <w:p w:rsidR="00CD1576" w:rsidRPr="00CD1576" w:rsidRDefault="00CD1576" w:rsidP="00CD1576">
                  <w:pPr>
                    <w:pStyle w:val="TableBodyText"/>
                  </w:pPr>
                  <w:r w:rsidRPr="00CD1576">
                    <w:t>213</w:t>
                  </w:r>
                </w:p>
              </w:tc>
              <w:tc>
                <w:tcPr>
                  <w:tcW w:w="730" w:type="dxa"/>
                  <w:vAlign w:val="center"/>
                </w:tcPr>
                <w:p w:rsidR="00CD1576" w:rsidRPr="00CD1576" w:rsidRDefault="00CD1576" w:rsidP="00CD1576">
                  <w:pPr>
                    <w:pStyle w:val="TableBodyText"/>
                  </w:pPr>
                  <w:r w:rsidRPr="00CD1576">
                    <w:t>13 944</w:t>
                  </w:r>
                </w:p>
              </w:tc>
            </w:tr>
            <w:tr w:rsidR="00CD1576" w:rsidTr="001952DE">
              <w:tc>
                <w:tcPr>
                  <w:tcW w:w="1537" w:type="dxa"/>
                </w:tcPr>
                <w:p w:rsidR="00CD1576" w:rsidRDefault="00CD1576" w:rsidP="001952DE">
                  <w:pPr>
                    <w:pStyle w:val="TableBodyText"/>
                    <w:ind w:left="170"/>
                    <w:jc w:val="left"/>
                  </w:pPr>
                  <w:r>
                    <w:t>Family day care</w:t>
                  </w:r>
                </w:p>
              </w:tc>
              <w:tc>
                <w:tcPr>
                  <w:tcW w:w="379" w:type="dxa"/>
                </w:tcPr>
                <w:p w:rsidR="00CD1576" w:rsidRPr="00CD1576" w:rsidRDefault="00CD1576" w:rsidP="00E97924">
                  <w:pPr>
                    <w:pStyle w:val="TableBodyText"/>
                  </w:pPr>
                  <w:r w:rsidRPr="00CD1576">
                    <w:t xml:space="preserve">no. </w:t>
                  </w:r>
                </w:p>
              </w:tc>
              <w:tc>
                <w:tcPr>
                  <w:tcW w:w="731" w:type="dxa"/>
                  <w:vAlign w:val="center"/>
                </w:tcPr>
                <w:p w:rsidR="00CD1576" w:rsidRPr="00CD1576" w:rsidRDefault="00CD1576" w:rsidP="00CD1576">
                  <w:pPr>
                    <w:pStyle w:val="TableBodyText"/>
                  </w:pPr>
                  <w:r w:rsidRPr="00CD1576">
                    <w:t>324</w:t>
                  </w:r>
                </w:p>
              </w:tc>
              <w:tc>
                <w:tcPr>
                  <w:tcW w:w="730" w:type="dxa"/>
                  <w:vAlign w:val="center"/>
                </w:tcPr>
                <w:p w:rsidR="00CD1576" w:rsidRPr="00CD1576" w:rsidRDefault="00CD1576" w:rsidP="00CD1576">
                  <w:pPr>
                    <w:pStyle w:val="TableBodyText"/>
                  </w:pPr>
                  <w:r w:rsidRPr="00CD1576">
                    <w:t>361</w:t>
                  </w:r>
                </w:p>
              </w:tc>
              <w:tc>
                <w:tcPr>
                  <w:tcW w:w="730" w:type="dxa"/>
                  <w:vAlign w:val="center"/>
                </w:tcPr>
                <w:p w:rsidR="00CD1576" w:rsidRPr="00CD1576" w:rsidRDefault="00CD1576" w:rsidP="00CD1576">
                  <w:pPr>
                    <w:pStyle w:val="TableBodyText"/>
                  </w:pPr>
                  <w:r w:rsidRPr="00CD1576">
                    <w:t>145</w:t>
                  </w:r>
                </w:p>
              </w:tc>
              <w:tc>
                <w:tcPr>
                  <w:tcW w:w="730" w:type="dxa"/>
                  <w:vAlign w:val="center"/>
                </w:tcPr>
                <w:p w:rsidR="00CD1576" w:rsidRPr="00CD1576" w:rsidRDefault="00CD1576" w:rsidP="00CD1576">
                  <w:pPr>
                    <w:pStyle w:val="TableBodyText"/>
                  </w:pPr>
                  <w:r w:rsidRPr="00CD1576">
                    <w:t>62</w:t>
                  </w:r>
                </w:p>
              </w:tc>
              <w:tc>
                <w:tcPr>
                  <w:tcW w:w="730" w:type="dxa"/>
                  <w:vAlign w:val="center"/>
                </w:tcPr>
                <w:p w:rsidR="00CD1576" w:rsidRPr="00CD1576" w:rsidRDefault="00CD1576" w:rsidP="00CD1576">
                  <w:pPr>
                    <w:pStyle w:val="TableBodyText"/>
                  </w:pPr>
                  <w:r w:rsidRPr="00CD1576">
                    <w:t>38</w:t>
                  </w:r>
                </w:p>
              </w:tc>
              <w:tc>
                <w:tcPr>
                  <w:tcW w:w="730" w:type="dxa"/>
                  <w:vAlign w:val="center"/>
                </w:tcPr>
                <w:p w:rsidR="00CD1576" w:rsidRPr="00CD1576" w:rsidRDefault="00CD1576" w:rsidP="00CD1576">
                  <w:pPr>
                    <w:pStyle w:val="TableBodyText"/>
                  </w:pPr>
                  <w:r w:rsidRPr="00CD1576">
                    <w:t>12</w:t>
                  </w:r>
                </w:p>
              </w:tc>
              <w:tc>
                <w:tcPr>
                  <w:tcW w:w="730" w:type="dxa"/>
                  <w:vAlign w:val="center"/>
                </w:tcPr>
                <w:p w:rsidR="00CD1576" w:rsidRPr="00CD1576" w:rsidRDefault="00CD1576" w:rsidP="00CD1576">
                  <w:pPr>
                    <w:pStyle w:val="TableBodyText"/>
                  </w:pPr>
                  <w:r w:rsidRPr="00CD1576">
                    <w:t>18</w:t>
                  </w:r>
                </w:p>
              </w:tc>
              <w:tc>
                <w:tcPr>
                  <w:tcW w:w="730" w:type="dxa"/>
                  <w:vAlign w:val="center"/>
                </w:tcPr>
                <w:p w:rsidR="00CD1576" w:rsidRPr="00CD1576" w:rsidRDefault="00CD1576" w:rsidP="00CD1576">
                  <w:pPr>
                    <w:pStyle w:val="TableBodyText"/>
                  </w:pPr>
                  <w:r w:rsidRPr="00CD1576">
                    <w:t>6</w:t>
                  </w:r>
                </w:p>
              </w:tc>
              <w:tc>
                <w:tcPr>
                  <w:tcW w:w="730" w:type="dxa"/>
                  <w:vAlign w:val="center"/>
                </w:tcPr>
                <w:p w:rsidR="00CD1576" w:rsidRPr="00CD1576" w:rsidRDefault="00CD1576" w:rsidP="00CD1576">
                  <w:pPr>
                    <w:pStyle w:val="TableBodyText"/>
                  </w:pPr>
                  <w:r w:rsidRPr="00CD1576">
                    <w:t>966</w:t>
                  </w:r>
                </w:p>
              </w:tc>
            </w:tr>
            <w:tr w:rsidR="00CD1576" w:rsidTr="001952DE">
              <w:tc>
                <w:tcPr>
                  <w:tcW w:w="1537" w:type="dxa"/>
                </w:tcPr>
                <w:p w:rsidR="00CD1576" w:rsidRPr="0062243F" w:rsidRDefault="00CD1576" w:rsidP="001952DE">
                  <w:pPr>
                    <w:pStyle w:val="TableBodyText"/>
                    <w:ind w:left="170"/>
                    <w:jc w:val="left"/>
                    <w:rPr>
                      <w:b/>
                    </w:rPr>
                  </w:pPr>
                  <w:r w:rsidRPr="0062243F">
                    <w:rPr>
                      <w:b/>
                    </w:rPr>
                    <w:t>Total</w:t>
                  </w:r>
                </w:p>
              </w:tc>
              <w:tc>
                <w:tcPr>
                  <w:tcW w:w="379" w:type="dxa"/>
                </w:tcPr>
                <w:p w:rsidR="00CD1576" w:rsidRPr="00CD1576" w:rsidRDefault="00CD1576" w:rsidP="00E97924">
                  <w:pPr>
                    <w:pStyle w:val="TableBodyText"/>
                    <w:rPr>
                      <w:b/>
                    </w:rPr>
                  </w:pPr>
                  <w:r w:rsidRPr="00CD1576">
                    <w:rPr>
                      <w:b/>
                    </w:rPr>
                    <w:t>no.</w:t>
                  </w:r>
                </w:p>
              </w:tc>
              <w:tc>
                <w:tcPr>
                  <w:tcW w:w="731" w:type="dxa"/>
                  <w:vAlign w:val="center"/>
                </w:tcPr>
                <w:p w:rsidR="00CD1576" w:rsidRPr="00CD1576" w:rsidRDefault="00CD1576" w:rsidP="00CD1576">
                  <w:pPr>
                    <w:pStyle w:val="TableBodyText"/>
                    <w:rPr>
                      <w:b/>
                    </w:rPr>
                  </w:pPr>
                  <w:r w:rsidRPr="00CD1576">
                    <w:rPr>
                      <w:b/>
                    </w:rPr>
                    <w:t>5 104</w:t>
                  </w:r>
                </w:p>
              </w:tc>
              <w:tc>
                <w:tcPr>
                  <w:tcW w:w="730" w:type="dxa"/>
                  <w:vAlign w:val="center"/>
                </w:tcPr>
                <w:p w:rsidR="00CD1576" w:rsidRPr="00CD1576" w:rsidRDefault="00CD1576" w:rsidP="00CD1576">
                  <w:pPr>
                    <w:pStyle w:val="TableBodyText"/>
                    <w:rPr>
                      <w:b/>
                    </w:rPr>
                  </w:pPr>
                  <w:r w:rsidRPr="00CD1576">
                    <w:rPr>
                      <w:b/>
                    </w:rPr>
                    <w:t>3 977</w:t>
                  </w:r>
                </w:p>
              </w:tc>
              <w:tc>
                <w:tcPr>
                  <w:tcW w:w="730" w:type="dxa"/>
                  <w:vAlign w:val="center"/>
                </w:tcPr>
                <w:p w:rsidR="00CD1576" w:rsidRPr="00CD1576" w:rsidRDefault="00CD1576" w:rsidP="00CD1576">
                  <w:pPr>
                    <w:pStyle w:val="TableBodyText"/>
                    <w:rPr>
                      <w:b/>
                    </w:rPr>
                  </w:pPr>
                  <w:r w:rsidRPr="00CD1576">
                    <w:rPr>
                      <w:b/>
                    </w:rPr>
                    <w:t>2 790</w:t>
                  </w:r>
                </w:p>
              </w:tc>
              <w:tc>
                <w:tcPr>
                  <w:tcW w:w="730" w:type="dxa"/>
                  <w:vAlign w:val="center"/>
                </w:tcPr>
                <w:p w:rsidR="00CD1576" w:rsidRPr="00CD1576" w:rsidRDefault="00CD1576" w:rsidP="00CD1576">
                  <w:pPr>
                    <w:pStyle w:val="TableBodyText"/>
                    <w:rPr>
                      <w:b/>
                    </w:rPr>
                  </w:pPr>
                  <w:r w:rsidRPr="00CD1576">
                    <w:rPr>
                      <w:b/>
                    </w:rPr>
                    <w:t>1 104</w:t>
                  </w:r>
                </w:p>
              </w:tc>
              <w:tc>
                <w:tcPr>
                  <w:tcW w:w="730" w:type="dxa"/>
                  <w:vAlign w:val="center"/>
                </w:tcPr>
                <w:p w:rsidR="00CD1576" w:rsidRPr="00CD1576" w:rsidRDefault="00CD1576" w:rsidP="00CD1576">
                  <w:pPr>
                    <w:pStyle w:val="TableBodyText"/>
                    <w:rPr>
                      <w:b/>
                    </w:rPr>
                  </w:pPr>
                  <w:r w:rsidRPr="00CD1576">
                    <w:rPr>
                      <w:b/>
                    </w:rPr>
                    <w:t>1 153</w:t>
                  </w:r>
                </w:p>
              </w:tc>
              <w:tc>
                <w:tcPr>
                  <w:tcW w:w="730" w:type="dxa"/>
                  <w:vAlign w:val="center"/>
                </w:tcPr>
                <w:p w:rsidR="00CD1576" w:rsidRPr="00CD1576" w:rsidRDefault="00CD1576" w:rsidP="00CD1576">
                  <w:pPr>
                    <w:pStyle w:val="TableBodyText"/>
                    <w:rPr>
                      <w:b/>
                    </w:rPr>
                  </w:pPr>
                  <w:r w:rsidRPr="00CD1576">
                    <w:rPr>
                      <w:b/>
                    </w:rPr>
                    <w:t>222</w:t>
                  </w:r>
                </w:p>
              </w:tc>
              <w:tc>
                <w:tcPr>
                  <w:tcW w:w="730" w:type="dxa"/>
                  <w:vAlign w:val="center"/>
                </w:tcPr>
                <w:p w:rsidR="00CD1576" w:rsidRPr="00CD1576" w:rsidRDefault="00CD1576" w:rsidP="00CD1576">
                  <w:pPr>
                    <w:pStyle w:val="TableBodyText"/>
                    <w:rPr>
                      <w:b/>
                    </w:rPr>
                  </w:pPr>
                  <w:r w:rsidRPr="00CD1576">
                    <w:rPr>
                      <w:b/>
                    </w:rPr>
                    <w:t>341</w:t>
                  </w:r>
                </w:p>
              </w:tc>
              <w:tc>
                <w:tcPr>
                  <w:tcW w:w="730" w:type="dxa"/>
                  <w:vAlign w:val="center"/>
                </w:tcPr>
                <w:p w:rsidR="00CD1576" w:rsidRPr="00CD1576" w:rsidRDefault="00CD1576" w:rsidP="00CD1576">
                  <w:pPr>
                    <w:pStyle w:val="TableBodyText"/>
                    <w:rPr>
                      <w:b/>
                    </w:rPr>
                  </w:pPr>
                  <w:r w:rsidRPr="00CD1576">
                    <w:rPr>
                      <w:b/>
                    </w:rPr>
                    <w:t>219</w:t>
                  </w:r>
                </w:p>
              </w:tc>
              <w:tc>
                <w:tcPr>
                  <w:tcW w:w="730" w:type="dxa"/>
                  <w:vAlign w:val="center"/>
                </w:tcPr>
                <w:p w:rsidR="00CD1576" w:rsidRPr="00CD1576" w:rsidRDefault="00CD1576" w:rsidP="00CD1576">
                  <w:pPr>
                    <w:pStyle w:val="TableBodyText"/>
                    <w:rPr>
                      <w:b/>
                    </w:rPr>
                  </w:pPr>
                  <w:r w:rsidRPr="00CD1576">
                    <w:rPr>
                      <w:b/>
                    </w:rPr>
                    <w:t>14 910</w:t>
                  </w:r>
                </w:p>
              </w:tc>
            </w:tr>
            <w:tr w:rsidR="00CD1576" w:rsidTr="001952DE">
              <w:tc>
                <w:tcPr>
                  <w:tcW w:w="8487" w:type="dxa"/>
                  <w:gridSpan w:val="11"/>
                </w:tcPr>
                <w:p w:rsidR="00CD1576" w:rsidRPr="000D56EF" w:rsidRDefault="00CD1576" w:rsidP="000D56EF">
                  <w:pPr>
                    <w:pStyle w:val="TableBodyText"/>
                    <w:ind w:right="28"/>
                    <w:jc w:val="left"/>
                    <w:rPr>
                      <w:i/>
                    </w:rPr>
                  </w:pPr>
                  <w:proofErr w:type="spellStart"/>
                  <w:r>
                    <w:rPr>
                      <w:i/>
                    </w:rPr>
                    <w:t>NQF</w:t>
                  </w:r>
                  <w:proofErr w:type="spellEnd"/>
                  <w:r>
                    <w:rPr>
                      <w:i/>
                    </w:rPr>
                    <w:t xml:space="preserve"> approved services with a quality rating</w:t>
                  </w:r>
                </w:p>
              </w:tc>
            </w:tr>
            <w:tr w:rsidR="00CD1576" w:rsidTr="001952DE">
              <w:tc>
                <w:tcPr>
                  <w:tcW w:w="1537" w:type="dxa"/>
                </w:tcPr>
                <w:p w:rsidR="00CD1576" w:rsidRDefault="00CD1576" w:rsidP="001952DE">
                  <w:pPr>
                    <w:pStyle w:val="TableBodyText"/>
                    <w:ind w:left="170"/>
                    <w:jc w:val="left"/>
                  </w:pPr>
                  <w:r>
                    <w:t>Centre</w:t>
                  </w:r>
                  <w:r w:rsidR="002D438E">
                    <w:noBreakHyphen/>
                  </w:r>
                  <w:r>
                    <w:t>based care</w:t>
                  </w:r>
                </w:p>
              </w:tc>
              <w:tc>
                <w:tcPr>
                  <w:tcW w:w="379" w:type="dxa"/>
                </w:tcPr>
                <w:p w:rsidR="00CD1576" w:rsidRPr="00CD1576" w:rsidRDefault="00CD1576" w:rsidP="00CD1576">
                  <w:pPr>
                    <w:pStyle w:val="TableBodyText"/>
                  </w:pPr>
                  <w:r w:rsidRPr="00CD1576">
                    <w:t>%</w:t>
                  </w:r>
                </w:p>
              </w:tc>
              <w:tc>
                <w:tcPr>
                  <w:tcW w:w="731" w:type="dxa"/>
                  <w:vAlign w:val="center"/>
                </w:tcPr>
                <w:p w:rsidR="00CD1576" w:rsidRPr="00CD1576" w:rsidRDefault="00CD1576" w:rsidP="00CD1576">
                  <w:pPr>
                    <w:pStyle w:val="TableBodyText"/>
                  </w:pPr>
                  <w:r w:rsidRPr="00CD1576">
                    <w:t>67.8</w:t>
                  </w:r>
                </w:p>
              </w:tc>
              <w:tc>
                <w:tcPr>
                  <w:tcW w:w="730" w:type="dxa"/>
                  <w:vAlign w:val="center"/>
                </w:tcPr>
                <w:p w:rsidR="00CD1576" w:rsidRPr="00CD1576" w:rsidRDefault="00CD1576" w:rsidP="00CD1576">
                  <w:pPr>
                    <w:pStyle w:val="TableBodyText"/>
                  </w:pPr>
                  <w:r w:rsidRPr="00CD1576">
                    <w:t>75.4</w:t>
                  </w:r>
                </w:p>
              </w:tc>
              <w:tc>
                <w:tcPr>
                  <w:tcW w:w="730" w:type="dxa"/>
                  <w:vAlign w:val="center"/>
                </w:tcPr>
                <w:p w:rsidR="00CD1576" w:rsidRPr="00CD1576" w:rsidRDefault="00CD1576" w:rsidP="00CD1576">
                  <w:pPr>
                    <w:pStyle w:val="TableBodyText"/>
                  </w:pPr>
                  <w:r w:rsidRPr="00CD1576">
                    <w:t>66.5</w:t>
                  </w:r>
                </w:p>
              </w:tc>
              <w:tc>
                <w:tcPr>
                  <w:tcW w:w="730" w:type="dxa"/>
                  <w:vAlign w:val="center"/>
                </w:tcPr>
                <w:p w:rsidR="00CD1576" w:rsidRPr="00CD1576" w:rsidRDefault="00CD1576" w:rsidP="00CD1576">
                  <w:pPr>
                    <w:pStyle w:val="TableBodyText"/>
                  </w:pPr>
                  <w:r w:rsidRPr="00CD1576">
                    <w:t>34.2</w:t>
                  </w:r>
                </w:p>
              </w:tc>
              <w:tc>
                <w:tcPr>
                  <w:tcW w:w="730" w:type="dxa"/>
                  <w:vAlign w:val="center"/>
                </w:tcPr>
                <w:p w:rsidR="00CD1576" w:rsidRPr="00CD1576" w:rsidRDefault="00CD1576" w:rsidP="00CD1576">
                  <w:pPr>
                    <w:pStyle w:val="TableBodyText"/>
                  </w:pPr>
                  <w:r w:rsidRPr="00CD1576">
                    <w:t>34.2</w:t>
                  </w:r>
                </w:p>
              </w:tc>
              <w:tc>
                <w:tcPr>
                  <w:tcW w:w="730" w:type="dxa"/>
                  <w:vAlign w:val="center"/>
                </w:tcPr>
                <w:p w:rsidR="00CD1576" w:rsidRPr="00CD1576" w:rsidRDefault="00CD1576" w:rsidP="00CD1576">
                  <w:pPr>
                    <w:pStyle w:val="TableBodyText"/>
                  </w:pPr>
                  <w:r w:rsidRPr="00CD1576">
                    <w:t>79.5</w:t>
                  </w:r>
                </w:p>
              </w:tc>
              <w:tc>
                <w:tcPr>
                  <w:tcW w:w="730" w:type="dxa"/>
                  <w:vAlign w:val="center"/>
                </w:tcPr>
                <w:p w:rsidR="00CD1576" w:rsidRPr="00CD1576" w:rsidRDefault="00CD1576" w:rsidP="00CD1576">
                  <w:pPr>
                    <w:pStyle w:val="TableBodyText"/>
                  </w:pPr>
                  <w:r w:rsidRPr="00CD1576">
                    <w:t>67.8</w:t>
                  </w:r>
                </w:p>
              </w:tc>
              <w:tc>
                <w:tcPr>
                  <w:tcW w:w="730" w:type="dxa"/>
                  <w:vAlign w:val="center"/>
                </w:tcPr>
                <w:p w:rsidR="00CD1576" w:rsidRPr="00CD1576" w:rsidRDefault="00CD1576" w:rsidP="00CD1576">
                  <w:pPr>
                    <w:pStyle w:val="TableBodyText"/>
                  </w:pPr>
                  <w:r w:rsidRPr="00CD1576">
                    <w:t>73.7</w:t>
                  </w:r>
                </w:p>
              </w:tc>
              <w:tc>
                <w:tcPr>
                  <w:tcW w:w="730" w:type="dxa"/>
                  <w:vAlign w:val="center"/>
                </w:tcPr>
                <w:p w:rsidR="00CD1576" w:rsidRPr="00CD1576" w:rsidRDefault="00CD1576" w:rsidP="00CD1576">
                  <w:pPr>
                    <w:pStyle w:val="TableBodyText"/>
                  </w:pPr>
                  <w:r w:rsidRPr="00CD1576">
                    <w:t>64.6</w:t>
                  </w:r>
                </w:p>
              </w:tc>
            </w:tr>
            <w:tr w:rsidR="00CD1576" w:rsidTr="001952DE">
              <w:tc>
                <w:tcPr>
                  <w:tcW w:w="1537" w:type="dxa"/>
                </w:tcPr>
                <w:p w:rsidR="00CD1576" w:rsidRDefault="00CD1576" w:rsidP="001952DE">
                  <w:pPr>
                    <w:pStyle w:val="TableBodyText"/>
                    <w:ind w:left="170"/>
                    <w:jc w:val="left"/>
                  </w:pPr>
                  <w:r>
                    <w:t>Family day care</w:t>
                  </w:r>
                </w:p>
              </w:tc>
              <w:tc>
                <w:tcPr>
                  <w:tcW w:w="379" w:type="dxa"/>
                </w:tcPr>
                <w:p w:rsidR="00CD1576" w:rsidRPr="00CD1576" w:rsidRDefault="00CD1576" w:rsidP="00CD1576">
                  <w:pPr>
                    <w:pStyle w:val="TableBodyText"/>
                  </w:pPr>
                  <w:r w:rsidRPr="00CD1576">
                    <w:t>%</w:t>
                  </w:r>
                </w:p>
              </w:tc>
              <w:tc>
                <w:tcPr>
                  <w:tcW w:w="731" w:type="dxa"/>
                  <w:vAlign w:val="center"/>
                </w:tcPr>
                <w:p w:rsidR="00CD1576" w:rsidRPr="00CD1576" w:rsidRDefault="00CD1576" w:rsidP="00CD1576">
                  <w:pPr>
                    <w:pStyle w:val="TableBodyText"/>
                  </w:pPr>
                  <w:r w:rsidRPr="00CD1576">
                    <w:t>30.6</w:t>
                  </w:r>
                </w:p>
              </w:tc>
              <w:tc>
                <w:tcPr>
                  <w:tcW w:w="730" w:type="dxa"/>
                  <w:vAlign w:val="center"/>
                </w:tcPr>
                <w:p w:rsidR="00CD1576" w:rsidRPr="00CD1576" w:rsidRDefault="00CD1576" w:rsidP="00CD1576">
                  <w:pPr>
                    <w:pStyle w:val="TableBodyText"/>
                  </w:pPr>
                  <w:r w:rsidRPr="00CD1576">
                    <w:t>39.6</w:t>
                  </w:r>
                </w:p>
              </w:tc>
              <w:tc>
                <w:tcPr>
                  <w:tcW w:w="730" w:type="dxa"/>
                  <w:vAlign w:val="center"/>
                </w:tcPr>
                <w:p w:rsidR="00CD1576" w:rsidRPr="00CD1576" w:rsidRDefault="00CD1576" w:rsidP="00CD1576">
                  <w:pPr>
                    <w:pStyle w:val="TableBodyText"/>
                  </w:pPr>
                  <w:r w:rsidRPr="00CD1576">
                    <w:t>44.1</w:t>
                  </w:r>
                </w:p>
              </w:tc>
              <w:tc>
                <w:tcPr>
                  <w:tcW w:w="730" w:type="dxa"/>
                  <w:vAlign w:val="center"/>
                </w:tcPr>
                <w:p w:rsidR="00CD1576" w:rsidRPr="00CD1576" w:rsidRDefault="00CD1576" w:rsidP="00CD1576">
                  <w:pPr>
                    <w:pStyle w:val="TableBodyText"/>
                  </w:pPr>
                  <w:r w:rsidRPr="00CD1576">
                    <w:t>24.2</w:t>
                  </w:r>
                </w:p>
              </w:tc>
              <w:tc>
                <w:tcPr>
                  <w:tcW w:w="730" w:type="dxa"/>
                  <w:vAlign w:val="center"/>
                </w:tcPr>
                <w:p w:rsidR="00CD1576" w:rsidRPr="00CD1576" w:rsidRDefault="00CD1576" w:rsidP="00CD1576">
                  <w:pPr>
                    <w:pStyle w:val="TableBodyText"/>
                  </w:pPr>
                  <w:r w:rsidRPr="00CD1576">
                    <w:t>7.9</w:t>
                  </w:r>
                </w:p>
              </w:tc>
              <w:tc>
                <w:tcPr>
                  <w:tcW w:w="730" w:type="dxa"/>
                  <w:vAlign w:val="center"/>
                </w:tcPr>
                <w:p w:rsidR="00CD1576" w:rsidRPr="00CD1576" w:rsidRDefault="00CD1576" w:rsidP="00CD1576">
                  <w:pPr>
                    <w:pStyle w:val="TableBodyText"/>
                  </w:pPr>
                  <w:r w:rsidRPr="00CD1576">
                    <w:t>66.7</w:t>
                  </w:r>
                </w:p>
              </w:tc>
              <w:tc>
                <w:tcPr>
                  <w:tcW w:w="730" w:type="dxa"/>
                  <w:vAlign w:val="center"/>
                </w:tcPr>
                <w:p w:rsidR="00CD1576" w:rsidRPr="00CD1576" w:rsidRDefault="00CD1576" w:rsidP="00CD1576">
                  <w:pPr>
                    <w:pStyle w:val="TableBodyText"/>
                  </w:pPr>
                  <w:r w:rsidRPr="00CD1576">
                    <w:t>27.8</w:t>
                  </w:r>
                </w:p>
              </w:tc>
              <w:tc>
                <w:tcPr>
                  <w:tcW w:w="730" w:type="dxa"/>
                  <w:vAlign w:val="center"/>
                </w:tcPr>
                <w:p w:rsidR="00CD1576" w:rsidRPr="00CD1576" w:rsidRDefault="00CD1576" w:rsidP="00CD1576">
                  <w:pPr>
                    <w:pStyle w:val="TableBodyText"/>
                  </w:pPr>
                  <w:r w:rsidRPr="00CD1576">
                    <w:t>66.7</w:t>
                  </w:r>
                </w:p>
              </w:tc>
              <w:tc>
                <w:tcPr>
                  <w:tcW w:w="730" w:type="dxa"/>
                  <w:vAlign w:val="center"/>
                </w:tcPr>
                <w:p w:rsidR="00CD1576" w:rsidRPr="00CD1576" w:rsidRDefault="00CD1576" w:rsidP="00CD1576">
                  <w:pPr>
                    <w:pStyle w:val="TableBodyText"/>
                  </w:pPr>
                  <w:r w:rsidRPr="00CD1576">
                    <w:t>35.3</w:t>
                  </w:r>
                </w:p>
              </w:tc>
            </w:tr>
            <w:tr w:rsidR="00CD1576" w:rsidTr="001952DE">
              <w:tc>
                <w:tcPr>
                  <w:tcW w:w="1537" w:type="dxa"/>
                  <w:tcBorders>
                    <w:bottom w:val="single" w:sz="6" w:space="0" w:color="BFBFBF"/>
                  </w:tcBorders>
                  <w:shd w:val="clear" w:color="auto" w:fill="auto"/>
                </w:tcPr>
                <w:p w:rsidR="00CD1576" w:rsidRPr="0062243F" w:rsidRDefault="00CD1576" w:rsidP="001952DE">
                  <w:pPr>
                    <w:pStyle w:val="TableBodyText"/>
                    <w:ind w:left="170"/>
                    <w:jc w:val="left"/>
                    <w:rPr>
                      <w:b/>
                    </w:rPr>
                  </w:pPr>
                  <w:r w:rsidRPr="0062243F">
                    <w:rPr>
                      <w:b/>
                    </w:rPr>
                    <w:t>Total</w:t>
                  </w:r>
                </w:p>
              </w:tc>
              <w:tc>
                <w:tcPr>
                  <w:tcW w:w="379" w:type="dxa"/>
                  <w:tcBorders>
                    <w:bottom w:val="single" w:sz="6" w:space="0" w:color="BFBFBF"/>
                  </w:tcBorders>
                </w:tcPr>
                <w:p w:rsidR="00CD1576" w:rsidRPr="00CD1576" w:rsidRDefault="00CD1576" w:rsidP="00CD1576">
                  <w:pPr>
                    <w:pStyle w:val="TableBodyText"/>
                    <w:rPr>
                      <w:b/>
                    </w:rPr>
                  </w:pPr>
                  <w:r w:rsidRPr="00CD1576">
                    <w:rPr>
                      <w:b/>
                    </w:rPr>
                    <w:t>%</w:t>
                  </w:r>
                </w:p>
              </w:tc>
              <w:tc>
                <w:tcPr>
                  <w:tcW w:w="731" w:type="dxa"/>
                  <w:tcBorders>
                    <w:bottom w:val="single" w:sz="6" w:space="0" w:color="BFBFBF"/>
                  </w:tcBorders>
                  <w:shd w:val="clear" w:color="auto" w:fill="auto"/>
                  <w:vAlign w:val="center"/>
                </w:tcPr>
                <w:p w:rsidR="00CD1576" w:rsidRPr="00CD1576" w:rsidRDefault="00CD1576" w:rsidP="00CD1576">
                  <w:pPr>
                    <w:pStyle w:val="TableBodyText"/>
                    <w:rPr>
                      <w:b/>
                    </w:rPr>
                  </w:pPr>
                  <w:r w:rsidRPr="00CD1576">
                    <w:rPr>
                      <w:b/>
                    </w:rPr>
                    <w:t>65.5</w:t>
                  </w:r>
                </w:p>
              </w:tc>
              <w:tc>
                <w:tcPr>
                  <w:tcW w:w="730" w:type="dxa"/>
                  <w:tcBorders>
                    <w:bottom w:val="single" w:sz="6" w:space="0" w:color="BFBFBF"/>
                  </w:tcBorders>
                  <w:vAlign w:val="center"/>
                </w:tcPr>
                <w:p w:rsidR="00CD1576" w:rsidRPr="00CD1576" w:rsidRDefault="00CD1576" w:rsidP="00CD1576">
                  <w:pPr>
                    <w:pStyle w:val="TableBodyText"/>
                    <w:rPr>
                      <w:b/>
                    </w:rPr>
                  </w:pPr>
                  <w:r w:rsidRPr="00CD1576">
                    <w:rPr>
                      <w:b/>
                    </w:rPr>
                    <w:t>72.1</w:t>
                  </w:r>
                </w:p>
              </w:tc>
              <w:tc>
                <w:tcPr>
                  <w:tcW w:w="730" w:type="dxa"/>
                  <w:tcBorders>
                    <w:bottom w:val="single" w:sz="6" w:space="0" w:color="BFBFBF"/>
                  </w:tcBorders>
                  <w:vAlign w:val="center"/>
                </w:tcPr>
                <w:p w:rsidR="00CD1576" w:rsidRPr="00CD1576" w:rsidRDefault="00CD1576" w:rsidP="00CD1576">
                  <w:pPr>
                    <w:pStyle w:val="TableBodyText"/>
                    <w:rPr>
                      <w:b/>
                    </w:rPr>
                  </w:pPr>
                  <w:r w:rsidRPr="00CD1576">
                    <w:rPr>
                      <w:b/>
                    </w:rPr>
                    <w:t>65.3</w:t>
                  </w:r>
                </w:p>
              </w:tc>
              <w:tc>
                <w:tcPr>
                  <w:tcW w:w="730" w:type="dxa"/>
                  <w:tcBorders>
                    <w:bottom w:val="single" w:sz="6" w:space="0" w:color="BFBFBF"/>
                  </w:tcBorders>
                  <w:vAlign w:val="center"/>
                </w:tcPr>
                <w:p w:rsidR="00CD1576" w:rsidRPr="00CD1576" w:rsidRDefault="00CD1576" w:rsidP="00CD1576">
                  <w:pPr>
                    <w:pStyle w:val="TableBodyText"/>
                    <w:rPr>
                      <w:b/>
                    </w:rPr>
                  </w:pPr>
                  <w:r w:rsidRPr="00CD1576">
                    <w:rPr>
                      <w:b/>
                    </w:rPr>
                    <w:t>33.6</w:t>
                  </w:r>
                </w:p>
              </w:tc>
              <w:tc>
                <w:tcPr>
                  <w:tcW w:w="730" w:type="dxa"/>
                  <w:tcBorders>
                    <w:bottom w:val="single" w:sz="6" w:space="0" w:color="BFBFBF"/>
                  </w:tcBorders>
                  <w:vAlign w:val="center"/>
                </w:tcPr>
                <w:p w:rsidR="00CD1576" w:rsidRPr="00CD1576" w:rsidRDefault="00CD1576" w:rsidP="00CD1576">
                  <w:pPr>
                    <w:pStyle w:val="TableBodyText"/>
                    <w:rPr>
                      <w:b/>
                    </w:rPr>
                  </w:pPr>
                  <w:r w:rsidRPr="00CD1576">
                    <w:rPr>
                      <w:b/>
                    </w:rPr>
                    <w:t>33.3</w:t>
                  </w:r>
                </w:p>
              </w:tc>
              <w:tc>
                <w:tcPr>
                  <w:tcW w:w="730" w:type="dxa"/>
                  <w:tcBorders>
                    <w:bottom w:val="single" w:sz="6" w:space="0" w:color="BFBFBF"/>
                  </w:tcBorders>
                  <w:vAlign w:val="center"/>
                </w:tcPr>
                <w:p w:rsidR="00CD1576" w:rsidRPr="00CD1576" w:rsidRDefault="00CD1576" w:rsidP="00CD1576">
                  <w:pPr>
                    <w:pStyle w:val="TableBodyText"/>
                    <w:rPr>
                      <w:b/>
                    </w:rPr>
                  </w:pPr>
                  <w:r w:rsidRPr="00CD1576">
                    <w:rPr>
                      <w:b/>
                    </w:rPr>
                    <w:t>78.8</w:t>
                  </w:r>
                </w:p>
              </w:tc>
              <w:tc>
                <w:tcPr>
                  <w:tcW w:w="730" w:type="dxa"/>
                  <w:tcBorders>
                    <w:bottom w:val="single" w:sz="6" w:space="0" w:color="BFBFBF"/>
                  </w:tcBorders>
                  <w:vAlign w:val="center"/>
                </w:tcPr>
                <w:p w:rsidR="00CD1576" w:rsidRPr="00CD1576" w:rsidRDefault="00CD1576" w:rsidP="00CD1576">
                  <w:pPr>
                    <w:pStyle w:val="TableBodyText"/>
                    <w:rPr>
                      <w:b/>
                    </w:rPr>
                  </w:pPr>
                  <w:r w:rsidRPr="00CD1576">
                    <w:rPr>
                      <w:b/>
                    </w:rPr>
                    <w:t>65.7</w:t>
                  </w:r>
                </w:p>
              </w:tc>
              <w:tc>
                <w:tcPr>
                  <w:tcW w:w="730" w:type="dxa"/>
                  <w:tcBorders>
                    <w:bottom w:val="single" w:sz="6" w:space="0" w:color="BFBFBF"/>
                  </w:tcBorders>
                  <w:vAlign w:val="center"/>
                </w:tcPr>
                <w:p w:rsidR="00CD1576" w:rsidRPr="00CD1576" w:rsidRDefault="00CD1576" w:rsidP="00CD1576">
                  <w:pPr>
                    <w:pStyle w:val="TableBodyText"/>
                    <w:rPr>
                      <w:b/>
                    </w:rPr>
                  </w:pPr>
                  <w:r w:rsidRPr="00CD1576">
                    <w:rPr>
                      <w:b/>
                    </w:rPr>
                    <w:t>73.5</w:t>
                  </w:r>
                </w:p>
              </w:tc>
              <w:tc>
                <w:tcPr>
                  <w:tcW w:w="730" w:type="dxa"/>
                  <w:tcBorders>
                    <w:bottom w:val="single" w:sz="6" w:space="0" w:color="BFBFBF"/>
                  </w:tcBorders>
                  <w:shd w:val="clear" w:color="auto" w:fill="auto"/>
                  <w:vAlign w:val="center"/>
                </w:tcPr>
                <w:p w:rsidR="00CD1576" w:rsidRPr="00CD1576" w:rsidRDefault="00CD1576" w:rsidP="00CD1576">
                  <w:pPr>
                    <w:pStyle w:val="TableBodyText"/>
                    <w:rPr>
                      <w:b/>
                    </w:rPr>
                  </w:pPr>
                  <w:r w:rsidRPr="00CD1576">
                    <w:rPr>
                      <w:b/>
                    </w:rPr>
                    <w:t>62.7</w:t>
                  </w:r>
                </w:p>
              </w:tc>
            </w:tr>
          </w:tbl>
          <w:p w:rsidR="004E130D" w:rsidRDefault="004E130D" w:rsidP="00E97924">
            <w:pPr>
              <w:pStyle w:val="Box"/>
            </w:pPr>
          </w:p>
        </w:tc>
      </w:tr>
      <w:tr w:rsidR="004E130D" w:rsidTr="00E97924">
        <w:trPr>
          <w:cantSplit/>
        </w:trPr>
        <w:tc>
          <w:tcPr>
            <w:tcW w:w="8771" w:type="dxa"/>
            <w:tcBorders>
              <w:top w:val="nil"/>
              <w:left w:val="nil"/>
              <w:bottom w:val="nil"/>
              <w:right w:val="nil"/>
            </w:tcBorders>
            <w:shd w:val="clear" w:color="auto" w:fill="auto"/>
          </w:tcPr>
          <w:p w:rsidR="004E130D" w:rsidRDefault="00C71863" w:rsidP="00AC6BCF">
            <w:pPr>
              <w:pStyle w:val="Note"/>
              <w:rPr>
                <w:i/>
              </w:rPr>
            </w:pPr>
            <w:r w:rsidRPr="008E77FE">
              <w:rPr>
                <w:rStyle w:val="NoteLabel"/>
              </w:rPr>
              <w:t>a</w:t>
            </w:r>
            <w:r w:rsidR="00AC6BCF">
              <w:t xml:space="preserve"> </w:t>
            </w:r>
            <w:r w:rsidR="00EE27F0" w:rsidRPr="00AA1455">
              <w:rPr>
                <w:rStyle w:val="NoteChar"/>
              </w:rPr>
              <w:t>See box</w:t>
            </w:r>
            <w:r w:rsidR="00697D43">
              <w:rPr>
                <w:rStyle w:val="NoteChar"/>
              </w:rPr>
              <w:t> </w:t>
            </w:r>
            <w:r w:rsidR="00EE27F0" w:rsidRPr="00AA1455">
              <w:rPr>
                <w:rStyle w:val="NoteChar"/>
              </w:rPr>
              <w:t>3.1</w:t>
            </w:r>
            <w:r w:rsidR="00EE27F0">
              <w:rPr>
                <w:rStyle w:val="NoteChar"/>
              </w:rPr>
              <w:t>8</w:t>
            </w:r>
            <w:r w:rsidR="00EE27F0" w:rsidRPr="00AA1455">
              <w:rPr>
                <w:rStyle w:val="NoteChar"/>
              </w:rPr>
              <w:t xml:space="preserve"> and table</w:t>
            </w:r>
            <w:r w:rsidR="00697D43">
              <w:rPr>
                <w:rStyle w:val="NoteChar"/>
              </w:rPr>
              <w:t> </w:t>
            </w:r>
            <w:proofErr w:type="spellStart"/>
            <w:r w:rsidR="00EE27F0" w:rsidRPr="00AA1455">
              <w:rPr>
                <w:rStyle w:val="NoteChar"/>
              </w:rPr>
              <w:t>3A.</w:t>
            </w:r>
            <w:r w:rsidR="007332F1">
              <w:rPr>
                <w:rStyle w:val="NoteChar"/>
              </w:rPr>
              <w:t>53</w:t>
            </w:r>
            <w:proofErr w:type="spellEnd"/>
            <w:r w:rsidR="00EE27F0" w:rsidRPr="00AA1455">
              <w:rPr>
                <w:rStyle w:val="NoteChar"/>
              </w:rPr>
              <w:t xml:space="preserve"> for </w:t>
            </w:r>
            <w:r w:rsidR="00937F53">
              <w:rPr>
                <w:rStyle w:val="NoteChar"/>
              </w:rPr>
              <w:t>detailed definitions, footnotes and caveats.</w:t>
            </w:r>
          </w:p>
        </w:tc>
      </w:tr>
      <w:tr w:rsidR="004E130D" w:rsidTr="00E97924">
        <w:trPr>
          <w:cantSplit/>
        </w:trPr>
        <w:tc>
          <w:tcPr>
            <w:tcW w:w="8771" w:type="dxa"/>
            <w:tcBorders>
              <w:top w:val="nil"/>
              <w:left w:val="nil"/>
              <w:bottom w:val="nil"/>
              <w:right w:val="nil"/>
            </w:tcBorders>
            <w:shd w:val="clear" w:color="auto" w:fill="auto"/>
          </w:tcPr>
          <w:p w:rsidR="004E130D" w:rsidRDefault="00C71863" w:rsidP="00E97924">
            <w:pPr>
              <w:pStyle w:val="Source"/>
            </w:pPr>
            <w:r>
              <w:rPr>
                <w:i/>
              </w:rPr>
              <w:t>Source</w:t>
            </w:r>
            <w:r w:rsidRPr="005A7C12">
              <w:t>:</w:t>
            </w:r>
            <w:r>
              <w:rPr>
                <w:i/>
              </w:rPr>
              <w:t xml:space="preserve"> </w:t>
            </w:r>
            <w:proofErr w:type="spellStart"/>
            <w:r>
              <w:t>ACECQA</w:t>
            </w:r>
            <w:proofErr w:type="spellEnd"/>
            <w:r>
              <w:t xml:space="preserve"> (2015</w:t>
            </w:r>
            <w:r w:rsidR="00ED7578">
              <w:t xml:space="preserve"> and unpublished</w:t>
            </w:r>
            <w:r>
              <w:t xml:space="preserve">) </w:t>
            </w:r>
            <w:proofErr w:type="spellStart"/>
            <w:r>
              <w:rPr>
                <w:i/>
              </w:rPr>
              <w:t>NQF</w:t>
            </w:r>
            <w:proofErr w:type="spellEnd"/>
            <w:r>
              <w:rPr>
                <w:i/>
              </w:rPr>
              <w:t xml:space="preserve"> Snapshot </w:t>
            </w:r>
            <w:proofErr w:type="spellStart"/>
            <w:r>
              <w:rPr>
                <w:i/>
              </w:rPr>
              <w:t>Q2</w:t>
            </w:r>
            <w:proofErr w:type="spellEnd"/>
            <w:r>
              <w:rPr>
                <w:i/>
              </w:rPr>
              <w:t xml:space="preserve"> 2015; </w:t>
            </w:r>
            <w:r w:rsidRPr="007B318D">
              <w:t>table </w:t>
            </w:r>
            <w:proofErr w:type="spellStart"/>
            <w:r w:rsidR="007332F1">
              <w:t>3A.53</w:t>
            </w:r>
            <w:proofErr w:type="spellEnd"/>
            <w:r w:rsidRPr="007B318D">
              <w:t>.</w:t>
            </w:r>
          </w:p>
        </w:tc>
      </w:tr>
      <w:tr w:rsidR="004E130D" w:rsidTr="00E97924">
        <w:trPr>
          <w:cantSplit/>
        </w:trPr>
        <w:tc>
          <w:tcPr>
            <w:tcW w:w="8771" w:type="dxa"/>
            <w:tcBorders>
              <w:top w:val="nil"/>
              <w:left w:val="nil"/>
              <w:bottom w:val="single" w:sz="6" w:space="0" w:color="78A22F"/>
              <w:right w:val="nil"/>
            </w:tcBorders>
            <w:shd w:val="clear" w:color="auto" w:fill="auto"/>
          </w:tcPr>
          <w:p w:rsidR="004E130D" w:rsidRDefault="004E130D" w:rsidP="00E97924">
            <w:pPr>
              <w:pStyle w:val="Box"/>
              <w:spacing w:before="0" w:line="120" w:lineRule="exact"/>
            </w:pPr>
          </w:p>
        </w:tc>
      </w:tr>
      <w:tr w:rsidR="004E130D" w:rsidRPr="000863A5" w:rsidTr="00E97924">
        <w:tc>
          <w:tcPr>
            <w:tcW w:w="8771" w:type="dxa"/>
            <w:tcBorders>
              <w:top w:val="single" w:sz="6" w:space="0" w:color="78A22F"/>
              <w:left w:val="nil"/>
              <w:bottom w:val="nil"/>
              <w:right w:val="nil"/>
            </w:tcBorders>
          </w:tcPr>
          <w:p w:rsidR="004E130D" w:rsidRPr="00626D32" w:rsidRDefault="004E130D" w:rsidP="00E97924">
            <w:pPr>
              <w:pStyle w:val="BoxSpaceBelow"/>
            </w:pPr>
          </w:p>
        </w:tc>
      </w:tr>
    </w:tbl>
    <w:p w:rsidR="009E3534" w:rsidRDefault="007D32DE" w:rsidP="009B11B2">
      <w:pPr>
        <w:pStyle w:val="Heading5"/>
      </w:pPr>
      <w:r>
        <w:t xml:space="preserve">Proportion of </w:t>
      </w:r>
      <w:proofErr w:type="spellStart"/>
      <w:r>
        <w:t>NQF</w:t>
      </w:r>
      <w:proofErr w:type="spellEnd"/>
      <w:r>
        <w:t xml:space="preserve"> approved services with a quality rating, whose </w:t>
      </w:r>
      <w:r w:rsidR="00336E3D">
        <w:t xml:space="preserve">overall </w:t>
      </w:r>
      <w:r>
        <w:t xml:space="preserve">rating </w:t>
      </w:r>
      <w:r w:rsidR="00336E3D">
        <w:t xml:space="preserve">is Meeting </w:t>
      </w:r>
      <w:proofErr w:type="spellStart"/>
      <w:r w:rsidR="00336E3D">
        <w:t>NQS</w:t>
      </w:r>
      <w:proofErr w:type="spellEnd"/>
      <w:r w:rsidR="00336E3D">
        <w:t xml:space="preserve"> or Exceeding </w:t>
      </w:r>
      <w:proofErr w:type="spellStart"/>
      <w:r w:rsidR="00336E3D">
        <w:t>NQS</w:t>
      </w:r>
      <w:proofErr w:type="spellEnd"/>
      <w:r>
        <w:t xml:space="preserve"> </w:t>
      </w:r>
    </w:p>
    <w:p w:rsidR="00672293" w:rsidRDefault="00672293" w:rsidP="00672293">
      <w:pPr>
        <w:pStyle w:val="BodyText"/>
      </w:pPr>
      <w:r>
        <w:t>Nationally</w:t>
      </w:r>
      <w:r w:rsidR="00336E3D">
        <w:t xml:space="preserve"> at 30</w:t>
      </w:r>
      <w:r w:rsidR="002D438E">
        <w:t> </w:t>
      </w:r>
      <w:r w:rsidR="00336E3D">
        <w:t>June 2015</w:t>
      </w:r>
      <w:r>
        <w:t xml:space="preserve">, </w:t>
      </w:r>
      <w:r w:rsidR="00F45A22">
        <w:t xml:space="preserve">of the 62.7 per cent of </w:t>
      </w:r>
      <w:proofErr w:type="spellStart"/>
      <w:r w:rsidR="00F45A22">
        <w:t>NQF</w:t>
      </w:r>
      <w:proofErr w:type="spellEnd"/>
      <w:r w:rsidR="00F45A22">
        <w:t xml:space="preserve"> approved services that received a quality rating, </w:t>
      </w:r>
      <w:r w:rsidR="00BA7263" w:rsidRPr="00BA7263">
        <w:t>66.5</w:t>
      </w:r>
      <w:r w:rsidRPr="00BA7263">
        <w:t xml:space="preserve"> </w:t>
      </w:r>
      <w:r>
        <w:t xml:space="preserve">per cent met or exceeded the </w:t>
      </w:r>
      <w:proofErr w:type="spellStart"/>
      <w:r>
        <w:t>NQS</w:t>
      </w:r>
      <w:proofErr w:type="spellEnd"/>
      <w:r>
        <w:t xml:space="preserve"> overall (</w:t>
      </w:r>
      <w:r w:rsidR="0096664A" w:rsidRPr="0096664A">
        <w:t>38.2</w:t>
      </w:r>
      <w:r w:rsidRPr="0096664A">
        <w:t xml:space="preserve"> per cent met, </w:t>
      </w:r>
      <w:r w:rsidR="0096664A" w:rsidRPr="0096664A">
        <w:t>28.3</w:t>
      </w:r>
      <w:r w:rsidRPr="0096664A">
        <w:t xml:space="preserve"> </w:t>
      </w:r>
      <w:r w:rsidR="001B681D">
        <w:t xml:space="preserve">per cent exceeded) </w:t>
      </w:r>
      <w:r>
        <w:t>(</w:t>
      </w:r>
      <w:r w:rsidRPr="00CD0852">
        <w:t>figure</w:t>
      </w:r>
      <w:r w:rsidR="00697D43">
        <w:t> </w:t>
      </w:r>
      <w:r w:rsidRPr="00CD0852">
        <w:t>3.</w:t>
      </w:r>
      <w:r w:rsidR="00BC2211" w:rsidRPr="00CD0852">
        <w:t>1</w:t>
      </w:r>
      <w:r w:rsidR="0032575C">
        <w:t>6</w:t>
      </w:r>
      <w:r w:rsidRPr="00CD0852">
        <w:t>).</w:t>
      </w:r>
    </w:p>
    <w:p w:rsidR="00BC2211" w:rsidRDefault="00BC2211" w:rsidP="002C08A9">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BC2211" w:rsidTr="007116F0">
        <w:tc>
          <w:tcPr>
            <w:tcW w:w="8771" w:type="dxa"/>
            <w:tcBorders>
              <w:top w:val="single" w:sz="6" w:space="0" w:color="78A22F"/>
              <w:left w:val="nil"/>
              <w:bottom w:val="nil"/>
              <w:right w:val="nil"/>
            </w:tcBorders>
            <w:shd w:val="clear" w:color="auto" w:fill="auto"/>
          </w:tcPr>
          <w:p w:rsidR="00BC2211" w:rsidRPr="00176D3F" w:rsidRDefault="00BC2211" w:rsidP="00F45A22">
            <w:pPr>
              <w:pStyle w:val="FigureTitle"/>
            </w:pPr>
            <w:r w:rsidRPr="00784A05">
              <w:rPr>
                <w:b w:val="0"/>
              </w:rPr>
              <w:t xml:space="preserve">Figure </w:t>
            </w:r>
            <w:r>
              <w:rPr>
                <w:b w:val="0"/>
              </w:rPr>
              <w:t>3.</w:t>
            </w:r>
            <w:r w:rsidR="0032575C">
              <w:rPr>
                <w:b w:val="0"/>
              </w:rPr>
              <w:t>16</w:t>
            </w:r>
            <w:r>
              <w:tab/>
            </w:r>
            <w:r w:rsidRPr="00BC2211">
              <w:t xml:space="preserve">Proportion of </w:t>
            </w:r>
            <w:proofErr w:type="spellStart"/>
            <w:r w:rsidRPr="00BC2211">
              <w:t>NQF</w:t>
            </w:r>
            <w:proofErr w:type="spellEnd"/>
            <w:r w:rsidRPr="00BC2211">
              <w:t xml:space="preserve"> approved services with a quality rating, by overall quality rating level, 30</w:t>
            </w:r>
            <w:r w:rsidR="007B063C">
              <w:t> </w:t>
            </w:r>
            <w:r w:rsidR="008F5DE9">
              <w:t>June 2015</w:t>
            </w:r>
            <w:r w:rsidR="001C6D22">
              <w:rPr>
                <w:rStyle w:val="NoteLabel"/>
                <w:b/>
              </w:rPr>
              <w:t>a, b,</w:t>
            </w:r>
          </w:p>
        </w:tc>
      </w:tr>
      <w:tr w:rsidR="00BC2211" w:rsidTr="007116F0">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BC2211" w:rsidTr="002C08A9">
              <w:trPr>
                <w:jc w:val="center"/>
              </w:trPr>
              <w:tc>
                <w:tcPr>
                  <w:tcW w:w="5000" w:type="pct"/>
                  <w:tcBorders>
                    <w:top w:val="nil"/>
                    <w:bottom w:val="nil"/>
                  </w:tcBorders>
                </w:tcPr>
                <w:p w:rsidR="00BC2211" w:rsidRDefault="00B337E3" w:rsidP="002C08A9">
                  <w:pPr>
                    <w:pStyle w:val="Figure"/>
                    <w:spacing w:before="60" w:after="60"/>
                  </w:pPr>
                  <w:r>
                    <w:rPr>
                      <w:noProof/>
                    </w:rPr>
                    <w:drawing>
                      <wp:inline distT="0" distB="0" distL="0" distR="0">
                        <wp:extent cx="5390515" cy="2679700"/>
                        <wp:effectExtent l="0" t="0" r="635" b="6350"/>
                        <wp:docPr id="15" name="Picture 15" descr="Figure 3.16 Proportion of NQF approved services with a quality rating, by overall quality rating level, 30 June 2015&#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390515" cy="2679700"/>
                                </a:xfrm>
                                <a:prstGeom prst="rect">
                                  <a:avLst/>
                                </a:prstGeom>
                                <a:noFill/>
                                <a:ln>
                                  <a:noFill/>
                                </a:ln>
                              </pic:spPr>
                            </pic:pic>
                          </a:graphicData>
                        </a:graphic>
                      </wp:inline>
                    </w:drawing>
                  </w:r>
                </w:p>
              </w:tc>
            </w:tr>
          </w:tbl>
          <w:p w:rsidR="00BC2211" w:rsidRDefault="00BC2211" w:rsidP="002C08A9">
            <w:pPr>
              <w:pStyle w:val="Figure"/>
            </w:pPr>
          </w:p>
        </w:tc>
      </w:tr>
      <w:tr w:rsidR="00BC2211" w:rsidRPr="00176D3F" w:rsidTr="002C08A9">
        <w:tc>
          <w:tcPr>
            <w:tcW w:w="8771" w:type="dxa"/>
            <w:tcBorders>
              <w:top w:val="nil"/>
              <w:left w:val="nil"/>
              <w:bottom w:val="nil"/>
              <w:right w:val="nil"/>
            </w:tcBorders>
            <w:shd w:val="clear" w:color="auto" w:fill="auto"/>
          </w:tcPr>
          <w:p w:rsidR="00BC2211" w:rsidRPr="00176D3F" w:rsidRDefault="00BC2211" w:rsidP="00D67363">
            <w:pPr>
              <w:pStyle w:val="Note"/>
            </w:pPr>
            <w:proofErr w:type="spellStart"/>
            <w:r>
              <w:rPr>
                <w:rStyle w:val="NoteLabel"/>
              </w:rPr>
              <w:t>a</w:t>
            </w:r>
            <w:proofErr w:type="spellEnd"/>
            <w:r>
              <w:t xml:space="preserve"> </w:t>
            </w:r>
            <w:r w:rsidR="00D67363" w:rsidRPr="00330472">
              <w:t>The percentages for Significant Improvement Required are zero for Victoria, WA, SA, Tasmania and the ACT, 0.2 per cent for NSW and 0.1 per cent for Queensland and Australia.</w:t>
            </w:r>
            <w:r w:rsidRPr="00EE27F0">
              <w:t xml:space="preserve"> </w:t>
            </w:r>
            <w:r w:rsidR="008E3C41" w:rsidRPr="00EE27F0">
              <w:rPr>
                <w:rStyle w:val="NoteLabel"/>
              </w:rPr>
              <w:t>b</w:t>
            </w:r>
            <w:r w:rsidRPr="00EE27F0">
              <w:t> </w:t>
            </w:r>
            <w:r w:rsidR="00EE27F0" w:rsidRPr="00AA1455">
              <w:rPr>
                <w:rStyle w:val="NoteChar"/>
              </w:rPr>
              <w:t>See box</w:t>
            </w:r>
            <w:r w:rsidR="00697D43">
              <w:rPr>
                <w:rStyle w:val="NoteChar"/>
              </w:rPr>
              <w:t> </w:t>
            </w:r>
            <w:r w:rsidR="00EE27F0" w:rsidRPr="00AA1455">
              <w:rPr>
                <w:rStyle w:val="NoteChar"/>
              </w:rPr>
              <w:t>3.1</w:t>
            </w:r>
            <w:r w:rsidR="00EE27F0">
              <w:rPr>
                <w:rStyle w:val="NoteChar"/>
              </w:rPr>
              <w:t>8</w:t>
            </w:r>
            <w:r w:rsidR="00EE27F0" w:rsidRPr="00AA1455">
              <w:rPr>
                <w:rStyle w:val="NoteChar"/>
              </w:rPr>
              <w:t xml:space="preserve"> and table</w:t>
            </w:r>
            <w:r w:rsidR="00697D43">
              <w:rPr>
                <w:rStyle w:val="NoteChar"/>
              </w:rPr>
              <w:t> </w:t>
            </w:r>
            <w:proofErr w:type="spellStart"/>
            <w:r w:rsidR="00EE27F0" w:rsidRPr="00AA1455">
              <w:rPr>
                <w:rStyle w:val="NoteChar"/>
              </w:rPr>
              <w:t>3A.</w:t>
            </w:r>
            <w:r w:rsidR="007332F1">
              <w:rPr>
                <w:rStyle w:val="NoteChar"/>
              </w:rPr>
              <w:t>53</w:t>
            </w:r>
            <w:proofErr w:type="spellEnd"/>
            <w:r w:rsidR="00EE27F0" w:rsidRPr="00AA1455">
              <w:rPr>
                <w:rStyle w:val="NoteChar"/>
              </w:rPr>
              <w:t xml:space="preserve"> for </w:t>
            </w:r>
            <w:r w:rsidR="00937F53">
              <w:rPr>
                <w:rStyle w:val="NoteChar"/>
              </w:rPr>
              <w:t>detailed definitions, footnotes and caveats.</w:t>
            </w:r>
          </w:p>
        </w:tc>
      </w:tr>
      <w:tr w:rsidR="00BC2211" w:rsidRPr="00176D3F" w:rsidTr="002C08A9">
        <w:tc>
          <w:tcPr>
            <w:tcW w:w="8771" w:type="dxa"/>
            <w:tcBorders>
              <w:top w:val="nil"/>
              <w:left w:val="nil"/>
              <w:bottom w:val="nil"/>
              <w:right w:val="nil"/>
            </w:tcBorders>
            <w:shd w:val="clear" w:color="auto" w:fill="auto"/>
          </w:tcPr>
          <w:p w:rsidR="00BC2211" w:rsidRPr="00176D3F" w:rsidRDefault="00BC2211" w:rsidP="00BC2211">
            <w:pPr>
              <w:pStyle w:val="Source"/>
            </w:pPr>
            <w:r>
              <w:rPr>
                <w:i/>
              </w:rPr>
              <w:t>S</w:t>
            </w:r>
            <w:r w:rsidRPr="00784A05">
              <w:rPr>
                <w:i/>
              </w:rPr>
              <w:t>ource</w:t>
            </w:r>
            <w:r w:rsidRPr="00176D3F">
              <w:t xml:space="preserve">: </w:t>
            </w:r>
            <w:proofErr w:type="spellStart"/>
            <w:r w:rsidR="008F5DE9">
              <w:t>ACECQA</w:t>
            </w:r>
            <w:proofErr w:type="spellEnd"/>
            <w:r w:rsidR="008F5DE9">
              <w:t xml:space="preserve"> (2015</w:t>
            </w:r>
            <w:r>
              <w:t xml:space="preserve">) </w:t>
            </w:r>
            <w:proofErr w:type="spellStart"/>
            <w:r w:rsidRPr="00672293">
              <w:rPr>
                <w:i/>
              </w:rPr>
              <w:t>NQF</w:t>
            </w:r>
            <w:proofErr w:type="spellEnd"/>
            <w:r w:rsidRPr="00672293">
              <w:rPr>
                <w:i/>
              </w:rPr>
              <w:t xml:space="preserve"> Snapshot </w:t>
            </w:r>
            <w:proofErr w:type="spellStart"/>
            <w:r w:rsidRPr="00672293">
              <w:rPr>
                <w:i/>
              </w:rPr>
              <w:t>Q2</w:t>
            </w:r>
            <w:proofErr w:type="spellEnd"/>
            <w:r w:rsidRPr="00672293">
              <w:rPr>
                <w:i/>
              </w:rPr>
              <w:t xml:space="preserve"> </w:t>
            </w:r>
            <w:r w:rsidR="008F5DE9">
              <w:rPr>
                <w:i/>
              </w:rPr>
              <w:t>2015</w:t>
            </w:r>
            <w:r w:rsidRPr="00CD0852">
              <w:rPr>
                <w:i/>
              </w:rPr>
              <w:t>;</w:t>
            </w:r>
            <w:r w:rsidRPr="00CD0852">
              <w:t xml:space="preserve"> table</w:t>
            </w:r>
            <w:r w:rsidR="00697D43">
              <w:t> </w:t>
            </w:r>
            <w:proofErr w:type="spellStart"/>
            <w:r w:rsidR="007332F1">
              <w:t>3A.53</w:t>
            </w:r>
            <w:proofErr w:type="spellEnd"/>
            <w:r w:rsidRPr="00CD0852">
              <w:t>.</w:t>
            </w:r>
          </w:p>
        </w:tc>
      </w:tr>
      <w:tr w:rsidR="00BC2211" w:rsidTr="002C08A9">
        <w:tc>
          <w:tcPr>
            <w:tcW w:w="8771" w:type="dxa"/>
            <w:tcBorders>
              <w:top w:val="nil"/>
              <w:left w:val="nil"/>
              <w:bottom w:val="single" w:sz="6" w:space="0" w:color="78A22F"/>
              <w:right w:val="nil"/>
            </w:tcBorders>
            <w:shd w:val="clear" w:color="auto" w:fill="auto"/>
          </w:tcPr>
          <w:p w:rsidR="00BC2211" w:rsidRDefault="00BC2211" w:rsidP="002C08A9">
            <w:pPr>
              <w:pStyle w:val="Figurespace"/>
            </w:pPr>
          </w:p>
        </w:tc>
      </w:tr>
      <w:tr w:rsidR="00BC2211" w:rsidRPr="000863A5" w:rsidTr="002C08A9">
        <w:tc>
          <w:tcPr>
            <w:tcW w:w="8771" w:type="dxa"/>
            <w:tcBorders>
              <w:top w:val="single" w:sz="6" w:space="0" w:color="78A22F"/>
              <w:left w:val="nil"/>
              <w:bottom w:val="nil"/>
              <w:right w:val="nil"/>
            </w:tcBorders>
          </w:tcPr>
          <w:p w:rsidR="00BC2211" w:rsidRPr="00626D32" w:rsidRDefault="00BC2211" w:rsidP="002C08A9">
            <w:pPr>
              <w:pStyle w:val="BoxSpaceBelow"/>
            </w:pPr>
          </w:p>
        </w:tc>
      </w:tr>
    </w:tbl>
    <w:p w:rsidR="00F45A22" w:rsidRDefault="00F45A22" w:rsidP="00F45A22">
      <w:pPr>
        <w:pStyle w:val="BodyText"/>
        <w:spacing w:line="240" w:lineRule="auto"/>
      </w:pPr>
      <w:r>
        <w:t xml:space="preserve">As all seven quality areas have to have at least met the </w:t>
      </w:r>
      <w:proofErr w:type="spellStart"/>
      <w:r>
        <w:t>NQS</w:t>
      </w:r>
      <w:proofErr w:type="spellEnd"/>
      <w:r>
        <w:t xml:space="preserve"> for the service to receive an overall rating of having met the </w:t>
      </w:r>
      <w:proofErr w:type="spellStart"/>
      <w:r>
        <w:t>NQS</w:t>
      </w:r>
      <w:proofErr w:type="spellEnd"/>
      <w:r>
        <w:t xml:space="preserve">, data are also reported by individual quality area to show differences between areas that may affect the overall rating. </w:t>
      </w:r>
    </w:p>
    <w:p w:rsidR="00F45A22" w:rsidRDefault="00F45A22" w:rsidP="00F45A22">
      <w:pPr>
        <w:pStyle w:val="BodyText"/>
        <w:spacing w:line="240" w:lineRule="auto"/>
      </w:pPr>
      <w:r>
        <w:t>Nationally at 30</w:t>
      </w:r>
      <w:r w:rsidR="002D438E">
        <w:t> </w:t>
      </w:r>
      <w:r>
        <w:t xml:space="preserve">June 2015, the proportion of </w:t>
      </w:r>
      <w:proofErr w:type="spellStart"/>
      <w:r>
        <w:t>NQF</w:t>
      </w:r>
      <w:proofErr w:type="spellEnd"/>
      <w:r>
        <w:t xml:space="preserve"> approved services with a rating level who met or exceeded the </w:t>
      </w:r>
      <w:proofErr w:type="spellStart"/>
      <w:r>
        <w:t>NQS</w:t>
      </w:r>
      <w:proofErr w:type="spellEnd"/>
      <w:r>
        <w:t xml:space="preserve"> was highest for quality areas 4 (staffing arrangements – 91.2 per cent), 5 (relationships with children – 90.4 per cent) and 6 (partnerships with families and communities – 89.0 per cent). The quality area with the lowest proportion of services having met or exceeded the </w:t>
      </w:r>
      <w:proofErr w:type="spellStart"/>
      <w:r>
        <w:t>NQS</w:t>
      </w:r>
      <w:proofErr w:type="spellEnd"/>
      <w:r>
        <w:t xml:space="preserve"> was quality area 1 (educational program and practice – 75.1 per cent) (tables</w:t>
      </w:r>
      <w:r w:rsidR="00697D43">
        <w:t> </w:t>
      </w:r>
      <w:proofErr w:type="spellStart"/>
      <w:r>
        <w:t>3A.5</w:t>
      </w:r>
      <w:r w:rsidR="007332F1">
        <w:t>4</w:t>
      </w:r>
      <w:proofErr w:type="spellEnd"/>
      <w:r w:rsidR="00A51C8A">
        <w:t>–</w:t>
      </w:r>
      <w:r>
        <w:t>6</w:t>
      </w:r>
      <w:r w:rsidR="007332F1">
        <w:t>0</w:t>
      </w:r>
      <w:r>
        <w:t>).</w:t>
      </w:r>
    </w:p>
    <w:p w:rsidR="007B09CF" w:rsidRDefault="008F3643" w:rsidP="00AA7DF3">
      <w:pPr>
        <w:pStyle w:val="Heading4"/>
      </w:pPr>
      <w:r>
        <w:t>Standards</w:t>
      </w:r>
      <w:r w:rsidRPr="00380313">
        <w:t xml:space="preserve"> — substantiated breaches arising from complaints</w:t>
      </w:r>
      <w:r>
        <w:t xml:space="preserve"> </w:t>
      </w:r>
      <w:r w:rsidR="00710D6E">
        <w:t xml:space="preserve"> </w:t>
      </w:r>
    </w:p>
    <w:p w:rsidR="008F3643" w:rsidRDefault="008F3643" w:rsidP="007B09CF">
      <w:pPr>
        <w:pStyle w:val="BodyText"/>
      </w:pPr>
      <w:r>
        <w:t xml:space="preserve">‘Substantiated </w:t>
      </w:r>
      <w:r w:rsidRPr="00B85C69">
        <w:t xml:space="preserve">breaches arising from complaints’ is an indicator of governments’ objective to ensure </w:t>
      </w:r>
      <w:r>
        <w:t xml:space="preserve">that </w:t>
      </w:r>
      <w:proofErr w:type="spellStart"/>
      <w:r w:rsidR="0018407E">
        <w:t>ECEC</w:t>
      </w:r>
      <w:proofErr w:type="spellEnd"/>
      <w:r>
        <w:t xml:space="preserve"> </w:t>
      </w:r>
      <w:r w:rsidRPr="00B85C69">
        <w:t xml:space="preserve">services meet the needs and expectations of users </w:t>
      </w:r>
      <w:r w:rsidRPr="00E44D22">
        <w:t>(</w:t>
      </w:r>
      <w:r w:rsidRPr="00CD0852">
        <w:t>box </w:t>
      </w:r>
      <w:r w:rsidR="00DE5CA2" w:rsidRPr="00CD0852">
        <w:t>3.</w:t>
      </w:r>
      <w:r w:rsidR="00B1432E">
        <w:t>19</w:t>
      </w:r>
      <w:r w:rsidRPr="00CD0852">
        <w:t>).</w:t>
      </w:r>
    </w:p>
    <w:p w:rsidR="00DE5CA2" w:rsidRDefault="00DE5CA2">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DE5CA2" w:rsidTr="00DB16AF">
        <w:tc>
          <w:tcPr>
            <w:tcW w:w="8771" w:type="dxa"/>
            <w:tcBorders>
              <w:top w:val="single" w:sz="6" w:space="0" w:color="78A22F"/>
              <w:left w:val="nil"/>
              <w:bottom w:val="nil"/>
              <w:right w:val="nil"/>
            </w:tcBorders>
            <w:shd w:val="clear" w:color="auto" w:fill="F2F2F2"/>
          </w:tcPr>
          <w:p w:rsidR="00DE5CA2" w:rsidRDefault="00DE5CA2" w:rsidP="00F26156">
            <w:pPr>
              <w:pStyle w:val="BoxTitle"/>
            </w:pPr>
            <w:r>
              <w:rPr>
                <w:b w:val="0"/>
              </w:rPr>
              <w:t xml:space="preserve">Box </w:t>
            </w:r>
            <w:r w:rsidR="00F26156">
              <w:rPr>
                <w:b w:val="0"/>
              </w:rPr>
              <w:t>3.</w:t>
            </w:r>
            <w:r w:rsidR="00B1432E">
              <w:rPr>
                <w:b w:val="0"/>
              </w:rPr>
              <w:t>19</w:t>
            </w:r>
            <w:r>
              <w:tab/>
              <w:t>S</w:t>
            </w:r>
            <w:r w:rsidRPr="00E44D22">
              <w:t>ubstantiated breaches arising from complaints</w:t>
            </w:r>
          </w:p>
        </w:tc>
      </w:tr>
      <w:tr w:rsidR="00DE5CA2" w:rsidTr="00DB16AF">
        <w:trPr>
          <w:cantSplit/>
        </w:trPr>
        <w:tc>
          <w:tcPr>
            <w:tcW w:w="8771" w:type="dxa"/>
            <w:tcBorders>
              <w:top w:val="nil"/>
              <w:left w:val="nil"/>
              <w:bottom w:val="nil"/>
              <w:right w:val="nil"/>
            </w:tcBorders>
            <w:shd w:val="clear" w:color="auto" w:fill="F2F2F2"/>
          </w:tcPr>
          <w:p w:rsidR="00DE5CA2" w:rsidRDefault="00DE5CA2" w:rsidP="00DE5CA2">
            <w:pPr>
              <w:pStyle w:val="Box"/>
            </w:pPr>
            <w:r>
              <w:t xml:space="preserve">‘Substantiated breaches arising from complaints’ is defined as the </w:t>
            </w:r>
            <w:r w:rsidR="0075251F">
              <w:t xml:space="preserve">number of substantiated breaches arising from complaints per </w:t>
            </w:r>
            <w:r w:rsidR="00CF428B">
              <w:t xml:space="preserve">100 </w:t>
            </w:r>
            <w:proofErr w:type="spellStart"/>
            <w:r w:rsidR="0075251F">
              <w:t>NQF</w:t>
            </w:r>
            <w:proofErr w:type="spellEnd"/>
            <w:r w:rsidR="0075251F">
              <w:t xml:space="preserve"> approved service</w:t>
            </w:r>
            <w:r w:rsidR="00CF428B">
              <w:t>s</w:t>
            </w:r>
            <w:r w:rsidR="0075251F">
              <w:t>, by service type.</w:t>
            </w:r>
            <w:r w:rsidR="002D438E">
              <w:t xml:space="preserve"> </w:t>
            </w:r>
          </w:p>
          <w:p w:rsidR="00DE5CA2" w:rsidRDefault="00DE5CA2" w:rsidP="00DE5CA2">
            <w:pPr>
              <w:pStyle w:val="Box"/>
            </w:pPr>
            <w:r>
              <w:t xml:space="preserve">All else being equal, a low or decreasing rate of </w:t>
            </w:r>
            <w:r w:rsidR="00E72B43">
              <w:t xml:space="preserve">substantiated </w:t>
            </w:r>
            <w:r>
              <w:t xml:space="preserve">breaches arising from complaints can suggest a higher quality service. A high </w:t>
            </w:r>
            <w:r w:rsidR="00E72B43">
              <w:t>or increasing rate of substantiated breaches</w:t>
            </w:r>
            <w:r>
              <w:t xml:space="preserve"> does not necessarily mean that a jurisdiction has lower service safety and quality, it might mean it has a more effective reporting and monitoring regime.</w:t>
            </w:r>
          </w:p>
          <w:p w:rsidR="005E2397" w:rsidRDefault="005E2397" w:rsidP="00DE5CA2">
            <w:pPr>
              <w:pStyle w:val="Box"/>
            </w:pPr>
            <w:r>
              <w:t>In this report, a</w:t>
            </w:r>
            <w:r w:rsidRPr="005E2397">
              <w:t xml:space="preserve"> substantiated breach arising from a complaint is an expression of concern about an </w:t>
            </w:r>
            <w:proofErr w:type="spellStart"/>
            <w:r w:rsidRPr="005E2397">
              <w:t>ECEC</w:t>
            </w:r>
            <w:proofErr w:type="spellEnd"/>
            <w:r w:rsidRPr="005E2397">
              <w:t xml:space="preserve"> service, made to the regulatory authority, which constitutes a failure by the service to abide by the State or Territory legislation, regulations or conditions. This concern is investigated and subsequently considered to have substance by the regulatory body.</w:t>
            </w:r>
          </w:p>
          <w:p w:rsidR="00DE5CA2" w:rsidRPr="005619CB" w:rsidRDefault="0077118E" w:rsidP="00DE5CA2">
            <w:pPr>
              <w:pStyle w:val="Box"/>
            </w:pPr>
            <w:r w:rsidRPr="005619CB">
              <w:t>Breaches</w:t>
            </w:r>
            <w:r w:rsidR="00DE5CA2" w:rsidRPr="005619CB">
              <w:t xml:space="preserve"> data need to be interpreted with care, because: </w:t>
            </w:r>
          </w:p>
          <w:p w:rsidR="005619CB" w:rsidRDefault="005619CB" w:rsidP="005619CB">
            <w:pPr>
              <w:pStyle w:val="BoxListBullet"/>
            </w:pPr>
            <w:r>
              <w:t>one complaint can lead to, or be linked to, multiple breaches</w:t>
            </w:r>
          </w:p>
          <w:p w:rsidR="005619CB" w:rsidRPr="00CB534C" w:rsidRDefault="005619CB" w:rsidP="005619CB">
            <w:pPr>
              <w:pStyle w:val="BoxListBullet"/>
            </w:pPr>
            <w:r>
              <w:t>breaches identified as a result of normal monitoring and inspection visits are excluded from these data</w:t>
            </w:r>
          </w:p>
          <w:p w:rsidR="00DE5CA2" w:rsidRPr="0075251F" w:rsidRDefault="00DE5CA2" w:rsidP="005619CB">
            <w:pPr>
              <w:pStyle w:val="BoxListBullet"/>
            </w:pPr>
            <w:r w:rsidRPr="0075251F">
              <w:t xml:space="preserve">clients who are well informed can be more likely to make a complaint than less informed clients. Some jurisdictions give priority to developing client groups who are well informed, as part of improving their service delivery </w:t>
            </w:r>
          </w:p>
          <w:p w:rsidR="00DE5CA2" w:rsidRPr="0075251F" w:rsidRDefault="00DE5CA2" w:rsidP="005619CB">
            <w:pPr>
              <w:pStyle w:val="BoxListBullet"/>
            </w:pPr>
            <w:r w:rsidRPr="0075251F">
              <w:t>the number of approved care providers or parent users per service differs in each service across states and territories</w:t>
            </w:r>
          </w:p>
          <w:p w:rsidR="00DE5CA2" w:rsidRPr="0075251F" w:rsidRDefault="00DE5CA2" w:rsidP="005619CB">
            <w:pPr>
              <w:pStyle w:val="BoxListBullet"/>
            </w:pPr>
            <w:r w:rsidRPr="0075251F">
              <w:t>complaints management systems vary across jurisdictions.</w:t>
            </w:r>
          </w:p>
          <w:p w:rsidR="00DE5CA2" w:rsidRPr="005619CB" w:rsidRDefault="00A91405" w:rsidP="00DE5CA2">
            <w:pPr>
              <w:pStyle w:val="Box"/>
            </w:pPr>
            <w:r>
              <w:t>Data reported for this measure</w:t>
            </w:r>
            <w:r w:rsidR="00DE5CA2" w:rsidRPr="005619CB">
              <w:t xml:space="preserve"> are:</w:t>
            </w:r>
          </w:p>
          <w:p w:rsidR="00DE5CA2" w:rsidRPr="00CB534C" w:rsidRDefault="00DE5CA2" w:rsidP="005619CB">
            <w:pPr>
              <w:pStyle w:val="BoxListBullet"/>
            </w:pPr>
            <w:r w:rsidRPr="00CB534C">
              <w:t xml:space="preserve">comparable (subject to caveats) </w:t>
            </w:r>
            <w:r w:rsidR="00740299">
              <w:t>across jurisdictions but a break in series means that data for 2014</w:t>
            </w:r>
            <w:r w:rsidR="002D438E">
              <w:noBreakHyphen/>
            </w:r>
            <w:r w:rsidR="00740299">
              <w:t>15 are not comparable to data for 2013</w:t>
            </w:r>
            <w:r w:rsidR="002D438E">
              <w:noBreakHyphen/>
            </w:r>
            <w:r w:rsidR="00740299">
              <w:t>14 (in the previous Report)</w:t>
            </w:r>
          </w:p>
          <w:p w:rsidR="00DE5CA2" w:rsidRPr="00CB534C" w:rsidRDefault="00740299" w:rsidP="005619CB">
            <w:pPr>
              <w:pStyle w:val="BoxListBullet"/>
            </w:pPr>
            <w:r>
              <w:t>complete for the current reporting period</w:t>
            </w:r>
            <w:r w:rsidR="0075251F">
              <w:t>.</w:t>
            </w:r>
            <w:r w:rsidRPr="00CB534C">
              <w:t xml:space="preserve"> </w:t>
            </w:r>
            <w:r w:rsidR="00DE5CA2" w:rsidRPr="00CB534C">
              <w:t xml:space="preserve">All required </w:t>
            </w:r>
            <w:r w:rsidR="00CB534C" w:rsidRPr="00CB534C">
              <w:t>2014</w:t>
            </w:r>
            <w:r w:rsidR="00CB534C" w:rsidRPr="00CB534C">
              <w:noBreakHyphen/>
              <w:t>15</w:t>
            </w:r>
            <w:r w:rsidR="001C3CFF" w:rsidRPr="00CB534C">
              <w:t xml:space="preserve"> </w:t>
            </w:r>
            <w:r>
              <w:t>data were available.</w:t>
            </w:r>
          </w:p>
          <w:p w:rsidR="00DE5CA2" w:rsidRDefault="00DE5CA2" w:rsidP="00DE5CA2">
            <w:pPr>
              <w:pStyle w:val="Box"/>
            </w:pPr>
            <w:r w:rsidRPr="00E86CD5">
              <w:t>Data quality information for this indicator is under development.</w:t>
            </w:r>
          </w:p>
        </w:tc>
      </w:tr>
      <w:tr w:rsidR="00DE5CA2" w:rsidTr="00DB16AF">
        <w:trPr>
          <w:cantSplit/>
        </w:trPr>
        <w:tc>
          <w:tcPr>
            <w:tcW w:w="8771" w:type="dxa"/>
            <w:tcBorders>
              <w:top w:val="nil"/>
              <w:left w:val="nil"/>
              <w:bottom w:val="single" w:sz="6" w:space="0" w:color="78A22F"/>
              <w:right w:val="nil"/>
            </w:tcBorders>
            <w:shd w:val="clear" w:color="auto" w:fill="F2F2F2"/>
          </w:tcPr>
          <w:p w:rsidR="00DE5CA2" w:rsidRDefault="00DE5CA2">
            <w:pPr>
              <w:pStyle w:val="Box"/>
              <w:spacing w:before="0" w:line="120" w:lineRule="exact"/>
            </w:pPr>
          </w:p>
        </w:tc>
      </w:tr>
      <w:tr w:rsidR="00DE5CA2" w:rsidRPr="000863A5" w:rsidTr="00DB16AF">
        <w:tc>
          <w:tcPr>
            <w:tcW w:w="8771" w:type="dxa"/>
            <w:tcBorders>
              <w:top w:val="single" w:sz="6" w:space="0" w:color="78A22F"/>
              <w:left w:val="nil"/>
              <w:bottom w:val="nil"/>
              <w:right w:val="nil"/>
            </w:tcBorders>
          </w:tcPr>
          <w:p w:rsidR="00DE5CA2" w:rsidRPr="00626D32" w:rsidRDefault="00DE5CA2" w:rsidP="00DB16AF">
            <w:pPr>
              <w:pStyle w:val="BoxSpaceBelow"/>
            </w:pPr>
          </w:p>
        </w:tc>
      </w:tr>
    </w:tbl>
    <w:p w:rsidR="008F3643" w:rsidRDefault="008F3643" w:rsidP="008F3643">
      <w:pPr>
        <w:pStyle w:val="BodyText"/>
      </w:pPr>
      <w:r>
        <w:t>Breaches of legislation, regulations or conditions vary in circumstance and severity. Some breaches can have serious implications for the quality of care provided to children (such as requirements to undertake criminal record checks for staff and requirements to install smoke detectors). Other breaches do not necessarily directly affect the quality of care (such as requirements to display licensing information). Similarly, action taken by regulatory authorities in response to a breach can range from a requirement to comply within a specified time frame through to licensing action or prosecution.</w:t>
      </w:r>
      <w:r w:rsidR="00E048B0" w:rsidRPr="00E048B0">
        <w:t xml:space="preserve"> </w:t>
      </w:r>
      <w:r w:rsidR="00E048B0" w:rsidRPr="00DD7D13">
        <w:t xml:space="preserve">The </w:t>
      </w:r>
      <w:r w:rsidR="004D2335">
        <w:t xml:space="preserve">data for this indicator </w:t>
      </w:r>
      <w:r w:rsidR="00E048B0" w:rsidRPr="00DD7D13">
        <w:t xml:space="preserve">are from the </w:t>
      </w:r>
      <w:r w:rsidR="00EC7821">
        <w:t>National Quality Agenda Information Technology System (</w:t>
      </w:r>
      <w:proofErr w:type="spellStart"/>
      <w:r w:rsidR="00E048B0" w:rsidRPr="00DD7D13">
        <w:t>NQAITS</w:t>
      </w:r>
      <w:proofErr w:type="spellEnd"/>
      <w:r w:rsidR="00EC7821">
        <w:t>)</w:t>
      </w:r>
      <w:r w:rsidR="00E048B0" w:rsidRPr="00DD7D13">
        <w:t xml:space="preserve"> for services approved under the </w:t>
      </w:r>
      <w:proofErr w:type="spellStart"/>
      <w:r w:rsidR="00E048B0" w:rsidRPr="00DD7D13">
        <w:t>NQF</w:t>
      </w:r>
      <w:proofErr w:type="spellEnd"/>
      <w:r w:rsidR="00E048B0" w:rsidRPr="00DD7D13">
        <w:t>.</w:t>
      </w:r>
    </w:p>
    <w:p w:rsidR="00DB3FF3" w:rsidRPr="00DD7D13" w:rsidRDefault="00DB3FF3" w:rsidP="008F3643">
      <w:pPr>
        <w:pStyle w:val="BodyText"/>
      </w:pPr>
      <w:r w:rsidRPr="006B1681">
        <w:t>Nationally</w:t>
      </w:r>
      <w:r w:rsidR="000C6E60" w:rsidRPr="006B1681">
        <w:t xml:space="preserve"> in 2014</w:t>
      </w:r>
      <w:r w:rsidR="002D438E" w:rsidRPr="006B1681">
        <w:noBreakHyphen/>
      </w:r>
      <w:r w:rsidR="000C6E60" w:rsidRPr="006B1681">
        <w:t>15</w:t>
      </w:r>
      <w:r w:rsidRPr="006B1681">
        <w:t xml:space="preserve">, </w:t>
      </w:r>
      <w:r w:rsidR="00DD7D13" w:rsidRPr="006B1681">
        <w:t xml:space="preserve">there were </w:t>
      </w:r>
      <w:r w:rsidR="00B61F75" w:rsidRPr="006B1681">
        <w:t>13</w:t>
      </w:r>
      <w:r w:rsidRPr="006B1681">
        <w:t xml:space="preserve"> substantiated breaches arising from complaints per </w:t>
      </w:r>
      <w:r w:rsidR="00752056" w:rsidRPr="006B1681">
        <w:t xml:space="preserve">100 </w:t>
      </w:r>
      <w:proofErr w:type="spellStart"/>
      <w:r w:rsidRPr="006B1681">
        <w:t>NQF</w:t>
      </w:r>
      <w:proofErr w:type="spellEnd"/>
      <w:r w:rsidRPr="006B1681">
        <w:t xml:space="preserve"> approved service</w:t>
      </w:r>
      <w:r w:rsidR="00752056" w:rsidRPr="006B1681">
        <w:t>s</w:t>
      </w:r>
      <w:r w:rsidR="00867E58" w:rsidRPr="006B1681">
        <w:t xml:space="preserve"> (table</w:t>
      </w:r>
      <w:r w:rsidR="00697D43" w:rsidRPr="006B1681">
        <w:t> </w:t>
      </w:r>
      <w:r w:rsidR="00867E58" w:rsidRPr="006B1681">
        <w:t>3.14</w:t>
      </w:r>
      <w:r w:rsidR="000C6E60" w:rsidRPr="006B1681">
        <w:t>). Breaches by service t</w:t>
      </w:r>
      <w:r w:rsidR="00710D6E" w:rsidRPr="006B1681">
        <w:t>ype are available in table </w:t>
      </w:r>
      <w:proofErr w:type="spellStart"/>
      <w:r w:rsidR="007332F1" w:rsidRPr="006B1681">
        <w:t>3A.61</w:t>
      </w:r>
      <w:proofErr w:type="spellEnd"/>
      <w:r w:rsidR="000C6E60" w:rsidRPr="006B1681">
        <w:t>.</w:t>
      </w:r>
      <w:r w:rsidRPr="00DD7D13">
        <w:t xml:space="preserve"> </w:t>
      </w:r>
    </w:p>
    <w:p w:rsidR="00BF4CE7" w:rsidRDefault="00BF4CE7" w:rsidP="00BF4CE7">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8771"/>
      </w:tblGrid>
      <w:tr w:rsidR="00BF4CE7" w:rsidTr="00BF4CE7">
        <w:tc>
          <w:tcPr>
            <w:tcW w:w="8771" w:type="dxa"/>
            <w:tcBorders>
              <w:top w:val="single" w:sz="6" w:space="0" w:color="78A22F"/>
              <w:left w:val="nil"/>
              <w:bottom w:val="nil"/>
              <w:right w:val="nil"/>
            </w:tcBorders>
            <w:shd w:val="clear" w:color="auto" w:fill="auto"/>
          </w:tcPr>
          <w:p w:rsidR="00BF4CE7" w:rsidRPr="00784A05" w:rsidRDefault="00BF4CE7" w:rsidP="005E2397">
            <w:pPr>
              <w:pStyle w:val="TableTitle"/>
            </w:pPr>
            <w:r>
              <w:rPr>
                <w:b w:val="0"/>
              </w:rPr>
              <w:t>Table 3.1</w:t>
            </w:r>
            <w:r w:rsidR="000E3849">
              <w:rPr>
                <w:b w:val="0"/>
                <w:noProof/>
              </w:rPr>
              <w:t>4</w:t>
            </w:r>
            <w:r w:rsidR="00422714">
              <w:tab/>
              <w:t xml:space="preserve">Substantiated breaches arising from complaints per </w:t>
            </w:r>
            <w:r w:rsidR="00752056">
              <w:t xml:space="preserve">100 </w:t>
            </w:r>
            <w:proofErr w:type="spellStart"/>
            <w:r w:rsidR="00422714">
              <w:t>NQF</w:t>
            </w:r>
            <w:proofErr w:type="spellEnd"/>
            <w:r w:rsidR="00422714">
              <w:t xml:space="preserve"> approved service</w:t>
            </w:r>
            <w:r w:rsidR="00752056">
              <w:t>s</w:t>
            </w:r>
            <w:r w:rsidR="00422714">
              <w:t>, 2014</w:t>
            </w:r>
            <w:r w:rsidR="00422714">
              <w:noBreakHyphen/>
            </w:r>
            <w:r w:rsidR="00422714" w:rsidRPr="007823D0">
              <w:t>15</w:t>
            </w:r>
            <w:r w:rsidR="004D2335" w:rsidRPr="007823D0">
              <w:rPr>
                <w:rStyle w:val="NoteLabel"/>
                <w:b/>
              </w:rPr>
              <w:t>a</w:t>
            </w:r>
          </w:p>
        </w:tc>
      </w:tr>
      <w:tr w:rsidR="00BF4CE7" w:rsidRPr="006B1681" w:rsidTr="00BF4CE7">
        <w:trPr>
          <w:cantSplit/>
        </w:trPr>
        <w:tc>
          <w:tcPr>
            <w:tcW w:w="8771" w:type="dxa"/>
            <w:tcBorders>
              <w:top w:val="nil"/>
              <w:left w:val="nil"/>
              <w:bottom w:val="nil"/>
              <w:right w:val="nil"/>
            </w:tcBorders>
            <w:shd w:val="clear" w:color="auto" w:fill="auto"/>
          </w:tcPr>
          <w:tbl>
            <w:tblPr>
              <w:tblW w:w="5000" w:type="pct"/>
              <w:tblCellMar>
                <w:top w:w="28" w:type="dxa"/>
                <w:left w:w="0" w:type="dxa"/>
                <w:right w:w="0" w:type="dxa"/>
              </w:tblCellMar>
              <w:tblLook w:val="0000" w:firstRow="0" w:lastRow="0" w:firstColumn="0" w:lastColumn="0" w:noHBand="0" w:noVBand="0"/>
            </w:tblPr>
            <w:tblGrid>
              <w:gridCol w:w="1220"/>
              <w:gridCol w:w="808"/>
              <w:gridCol w:w="808"/>
              <w:gridCol w:w="808"/>
              <w:gridCol w:w="808"/>
              <w:gridCol w:w="808"/>
              <w:gridCol w:w="808"/>
              <w:gridCol w:w="808"/>
              <w:gridCol w:w="808"/>
              <w:gridCol w:w="803"/>
            </w:tblGrid>
            <w:tr w:rsidR="00D369E3" w:rsidRPr="006B1681" w:rsidTr="004D2335">
              <w:tc>
                <w:tcPr>
                  <w:tcW w:w="719" w:type="pct"/>
                  <w:tcBorders>
                    <w:top w:val="single" w:sz="6" w:space="0" w:color="BFBFBF"/>
                    <w:bottom w:val="single" w:sz="6" w:space="0" w:color="BFBFBF"/>
                  </w:tcBorders>
                  <w:shd w:val="clear" w:color="auto" w:fill="auto"/>
                  <w:tcMar>
                    <w:top w:w="28" w:type="dxa"/>
                  </w:tcMar>
                </w:tcPr>
                <w:p w:rsidR="00D369E3" w:rsidRDefault="00D369E3" w:rsidP="00BF4CE7">
                  <w:pPr>
                    <w:pStyle w:val="TableColumnHeading"/>
                    <w:jc w:val="left"/>
                  </w:pPr>
                </w:p>
              </w:tc>
              <w:tc>
                <w:tcPr>
                  <w:tcW w:w="476" w:type="pct"/>
                  <w:tcBorders>
                    <w:top w:val="single" w:sz="6" w:space="0" w:color="BFBFBF"/>
                    <w:bottom w:val="single" w:sz="6" w:space="0" w:color="BFBFBF"/>
                  </w:tcBorders>
                  <w:shd w:val="clear" w:color="auto" w:fill="auto"/>
                  <w:tcMar>
                    <w:top w:w="28" w:type="dxa"/>
                  </w:tcMar>
                </w:tcPr>
                <w:p w:rsidR="00D369E3" w:rsidRPr="006B1681" w:rsidRDefault="00D369E3" w:rsidP="00B0371B">
                  <w:pPr>
                    <w:pStyle w:val="TableColumnHeading"/>
                  </w:pPr>
                  <w:r w:rsidRPr="006B1681">
                    <w:t>NSW</w:t>
                  </w:r>
                </w:p>
              </w:tc>
              <w:tc>
                <w:tcPr>
                  <w:tcW w:w="476" w:type="pct"/>
                  <w:tcBorders>
                    <w:top w:val="single" w:sz="6" w:space="0" w:color="BFBFBF"/>
                    <w:bottom w:val="single" w:sz="6" w:space="0" w:color="BFBFBF"/>
                  </w:tcBorders>
                </w:tcPr>
                <w:p w:rsidR="00D369E3" w:rsidRPr="006B1681" w:rsidRDefault="00D369E3" w:rsidP="00B0371B">
                  <w:pPr>
                    <w:pStyle w:val="TableColumnHeading"/>
                  </w:pPr>
                  <w:r w:rsidRPr="006B1681">
                    <w:t>Vic</w:t>
                  </w:r>
                </w:p>
              </w:tc>
              <w:tc>
                <w:tcPr>
                  <w:tcW w:w="476" w:type="pct"/>
                  <w:tcBorders>
                    <w:top w:val="single" w:sz="6" w:space="0" w:color="BFBFBF"/>
                    <w:bottom w:val="single" w:sz="6" w:space="0" w:color="BFBFBF"/>
                  </w:tcBorders>
                  <w:shd w:val="clear" w:color="auto" w:fill="auto"/>
                  <w:tcMar>
                    <w:top w:w="28" w:type="dxa"/>
                  </w:tcMar>
                </w:tcPr>
                <w:p w:rsidR="00D369E3" w:rsidRPr="006B1681" w:rsidRDefault="00D369E3" w:rsidP="00B0371B">
                  <w:pPr>
                    <w:pStyle w:val="TableColumnHeading"/>
                  </w:pPr>
                  <w:r w:rsidRPr="006B1681">
                    <w:t>Qld</w:t>
                  </w:r>
                </w:p>
              </w:tc>
              <w:tc>
                <w:tcPr>
                  <w:tcW w:w="476" w:type="pct"/>
                  <w:tcBorders>
                    <w:top w:val="single" w:sz="6" w:space="0" w:color="BFBFBF"/>
                    <w:bottom w:val="single" w:sz="6" w:space="0" w:color="BFBFBF"/>
                  </w:tcBorders>
                </w:tcPr>
                <w:p w:rsidR="00D369E3" w:rsidRPr="006B1681" w:rsidRDefault="00D369E3" w:rsidP="00B0371B">
                  <w:pPr>
                    <w:pStyle w:val="TableColumnHeading"/>
                  </w:pPr>
                  <w:r w:rsidRPr="006B1681">
                    <w:t>WA</w:t>
                  </w:r>
                </w:p>
              </w:tc>
              <w:tc>
                <w:tcPr>
                  <w:tcW w:w="476" w:type="pct"/>
                  <w:tcBorders>
                    <w:top w:val="single" w:sz="6" w:space="0" w:color="BFBFBF"/>
                    <w:bottom w:val="single" w:sz="6" w:space="0" w:color="BFBFBF"/>
                  </w:tcBorders>
                </w:tcPr>
                <w:p w:rsidR="00D369E3" w:rsidRPr="006B1681" w:rsidRDefault="00D369E3" w:rsidP="00B0371B">
                  <w:pPr>
                    <w:pStyle w:val="TableColumnHeading"/>
                  </w:pPr>
                  <w:r w:rsidRPr="006B1681">
                    <w:t>SA</w:t>
                  </w:r>
                </w:p>
              </w:tc>
              <w:tc>
                <w:tcPr>
                  <w:tcW w:w="476" w:type="pct"/>
                  <w:tcBorders>
                    <w:top w:val="single" w:sz="6" w:space="0" w:color="BFBFBF"/>
                    <w:bottom w:val="single" w:sz="6" w:space="0" w:color="BFBFBF"/>
                  </w:tcBorders>
                </w:tcPr>
                <w:p w:rsidR="00D369E3" w:rsidRPr="006B1681" w:rsidRDefault="00D369E3" w:rsidP="00B0371B">
                  <w:pPr>
                    <w:pStyle w:val="TableColumnHeading"/>
                  </w:pPr>
                  <w:proofErr w:type="spellStart"/>
                  <w:r w:rsidRPr="006B1681">
                    <w:t>Tas</w:t>
                  </w:r>
                  <w:proofErr w:type="spellEnd"/>
                </w:p>
              </w:tc>
              <w:tc>
                <w:tcPr>
                  <w:tcW w:w="476" w:type="pct"/>
                  <w:tcBorders>
                    <w:top w:val="single" w:sz="6" w:space="0" w:color="BFBFBF"/>
                    <w:bottom w:val="single" w:sz="6" w:space="0" w:color="BFBFBF"/>
                  </w:tcBorders>
                </w:tcPr>
                <w:p w:rsidR="00D369E3" w:rsidRPr="006B1681" w:rsidRDefault="00D369E3" w:rsidP="00B0371B">
                  <w:pPr>
                    <w:pStyle w:val="TableColumnHeading"/>
                  </w:pPr>
                  <w:r w:rsidRPr="006B1681">
                    <w:t>ACT</w:t>
                  </w:r>
                </w:p>
              </w:tc>
              <w:tc>
                <w:tcPr>
                  <w:tcW w:w="476" w:type="pct"/>
                  <w:tcBorders>
                    <w:top w:val="single" w:sz="6" w:space="0" w:color="BFBFBF"/>
                    <w:bottom w:val="single" w:sz="6" w:space="0" w:color="BFBFBF"/>
                  </w:tcBorders>
                </w:tcPr>
                <w:p w:rsidR="00D369E3" w:rsidRPr="006B1681" w:rsidRDefault="00D369E3" w:rsidP="00B0371B">
                  <w:pPr>
                    <w:pStyle w:val="TableColumnHeading"/>
                  </w:pPr>
                  <w:r w:rsidRPr="006B1681">
                    <w:t>NT</w:t>
                  </w:r>
                </w:p>
              </w:tc>
              <w:tc>
                <w:tcPr>
                  <w:tcW w:w="473" w:type="pct"/>
                  <w:tcBorders>
                    <w:top w:val="single" w:sz="6" w:space="0" w:color="BFBFBF"/>
                    <w:bottom w:val="single" w:sz="6" w:space="0" w:color="BFBFBF"/>
                  </w:tcBorders>
                </w:tcPr>
                <w:p w:rsidR="00D369E3" w:rsidRPr="006B1681" w:rsidRDefault="00D369E3" w:rsidP="00B0371B">
                  <w:pPr>
                    <w:pStyle w:val="TableColumnHeading"/>
                  </w:pPr>
                  <w:proofErr w:type="spellStart"/>
                  <w:r w:rsidRPr="006B1681">
                    <w:t>Aust</w:t>
                  </w:r>
                  <w:proofErr w:type="spellEnd"/>
                </w:p>
              </w:tc>
            </w:tr>
            <w:tr w:rsidR="00422714" w:rsidRPr="006B1681" w:rsidTr="004D2335">
              <w:tc>
                <w:tcPr>
                  <w:tcW w:w="719" w:type="pct"/>
                  <w:tcBorders>
                    <w:top w:val="single" w:sz="6" w:space="0" w:color="BFBFBF"/>
                    <w:bottom w:val="single" w:sz="6" w:space="0" w:color="BFBFBF"/>
                  </w:tcBorders>
                </w:tcPr>
                <w:p w:rsidR="00422714" w:rsidRPr="006B1681" w:rsidRDefault="00616791" w:rsidP="00616791">
                  <w:pPr>
                    <w:pStyle w:val="TableUnitsRow"/>
                  </w:pPr>
                  <w:r w:rsidRPr="006B1681">
                    <w:t>No.</w:t>
                  </w:r>
                </w:p>
              </w:tc>
              <w:tc>
                <w:tcPr>
                  <w:tcW w:w="476" w:type="pct"/>
                  <w:tcBorders>
                    <w:top w:val="single" w:sz="6" w:space="0" w:color="BFBFBF"/>
                    <w:bottom w:val="single" w:sz="6" w:space="0" w:color="BFBFBF"/>
                  </w:tcBorders>
                  <w:vAlign w:val="center"/>
                </w:tcPr>
                <w:p w:rsidR="00422714" w:rsidRPr="006B1681" w:rsidRDefault="002D438E" w:rsidP="00752056">
                  <w:pPr>
                    <w:pStyle w:val="TableBodyText"/>
                  </w:pPr>
                  <w:r w:rsidRPr="006B1681">
                    <w:t xml:space="preserve"> </w:t>
                  </w:r>
                  <w:r w:rsidR="00752056" w:rsidRPr="006B1681">
                    <w:t>23</w:t>
                  </w:r>
                </w:p>
              </w:tc>
              <w:tc>
                <w:tcPr>
                  <w:tcW w:w="476" w:type="pct"/>
                  <w:tcBorders>
                    <w:top w:val="single" w:sz="6" w:space="0" w:color="BFBFBF"/>
                    <w:bottom w:val="single" w:sz="6" w:space="0" w:color="BFBFBF"/>
                  </w:tcBorders>
                  <w:vAlign w:val="center"/>
                </w:tcPr>
                <w:p w:rsidR="00422714" w:rsidRPr="006B1681" w:rsidRDefault="002D438E" w:rsidP="00752056">
                  <w:pPr>
                    <w:pStyle w:val="TableBodyText"/>
                  </w:pPr>
                  <w:r w:rsidRPr="006B1681">
                    <w:t xml:space="preserve"> </w:t>
                  </w:r>
                  <w:r w:rsidR="00E742E9" w:rsidRPr="006B1681">
                    <w:t>9</w:t>
                  </w:r>
                </w:p>
              </w:tc>
              <w:tc>
                <w:tcPr>
                  <w:tcW w:w="476" w:type="pct"/>
                  <w:tcBorders>
                    <w:top w:val="single" w:sz="6" w:space="0" w:color="BFBFBF"/>
                    <w:bottom w:val="single" w:sz="6" w:space="0" w:color="BFBFBF"/>
                  </w:tcBorders>
                  <w:vAlign w:val="center"/>
                </w:tcPr>
                <w:p w:rsidR="00422714" w:rsidRPr="006B1681" w:rsidRDefault="002D438E" w:rsidP="00752056">
                  <w:pPr>
                    <w:pStyle w:val="TableBodyText"/>
                  </w:pPr>
                  <w:r w:rsidRPr="006B1681">
                    <w:t xml:space="preserve"> </w:t>
                  </w:r>
                  <w:r w:rsidR="00E742E9" w:rsidRPr="006B1681">
                    <w:t>9</w:t>
                  </w:r>
                </w:p>
              </w:tc>
              <w:tc>
                <w:tcPr>
                  <w:tcW w:w="476" w:type="pct"/>
                  <w:tcBorders>
                    <w:top w:val="single" w:sz="6" w:space="0" w:color="BFBFBF"/>
                    <w:bottom w:val="single" w:sz="6" w:space="0" w:color="BFBFBF"/>
                  </w:tcBorders>
                  <w:vAlign w:val="center"/>
                </w:tcPr>
                <w:p w:rsidR="00422714" w:rsidRPr="006B1681" w:rsidRDefault="002D438E" w:rsidP="00752056">
                  <w:pPr>
                    <w:pStyle w:val="TableBodyText"/>
                  </w:pPr>
                  <w:r w:rsidRPr="006B1681">
                    <w:t xml:space="preserve"> </w:t>
                  </w:r>
                  <w:r w:rsidR="00752056" w:rsidRPr="006B1681">
                    <w:t>11</w:t>
                  </w:r>
                </w:p>
              </w:tc>
              <w:tc>
                <w:tcPr>
                  <w:tcW w:w="476" w:type="pct"/>
                  <w:tcBorders>
                    <w:top w:val="single" w:sz="6" w:space="0" w:color="BFBFBF"/>
                    <w:bottom w:val="single" w:sz="6" w:space="0" w:color="BFBFBF"/>
                  </w:tcBorders>
                  <w:vAlign w:val="center"/>
                </w:tcPr>
                <w:p w:rsidR="00422714" w:rsidRPr="006B1681" w:rsidRDefault="00752056" w:rsidP="00422714">
                  <w:pPr>
                    <w:pStyle w:val="TableBodyText"/>
                  </w:pPr>
                  <w:r w:rsidRPr="006B1681">
                    <w:t>5</w:t>
                  </w:r>
                </w:p>
              </w:tc>
              <w:tc>
                <w:tcPr>
                  <w:tcW w:w="476" w:type="pct"/>
                  <w:tcBorders>
                    <w:top w:val="single" w:sz="6" w:space="0" w:color="BFBFBF"/>
                    <w:bottom w:val="single" w:sz="6" w:space="0" w:color="BFBFBF"/>
                  </w:tcBorders>
                  <w:vAlign w:val="center"/>
                </w:tcPr>
                <w:p w:rsidR="00422714" w:rsidRPr="006B1681" w:rsidRDefault="00422714" w:rsidP="00422714">
                  <w:pPr>
                    <w:pStyle w:val="TableBodyText"/>
                  </w:pPr>
                  <w:r w:rsidRPr="006B1681">
                    <w:t>–</w:t>
                  </w:r>
                </w:p>
              </w:tc>
              <w:tc>
                <w:tcPr>
                  <w:tcW w:w="476" w:type="pct"/>
                  <w:tcBorders>
                    <w:top w:val="single" w:sz="6" w:space="0" w:color="BFBFBF"/>
                    <w:bottom w:val="single" w:sz="6" w:space="0" w:color="BFBFBF"/>
                  </w:tcBorders>
                  <w:vAlign w:val="center"/>
                </w:tcPr>
                <w:p w:rsidR="00422714" w:rsidRPr="006B1681" w:rsidRDefault="002D438E" w:rsidP="00752056">
                  <w:pPr>
                    <w:pStyle w:val="TableBodyText"/>
                  </w:pPr>
                  <w:r w:rsidRPr="006B1681">
                    <w:t xml:space="preserve"> </w:t>
                  </w:r>
                  <w:r w:rsidR="00752056" w:rsidRPr="006B1681">
                    <w:t>8</w:t>
                  </w:r>
                </w:p>
              </w:tc>
              <w:tc>
                <w:tcPr>
                  <w:tcW w:w="476" w:type="pct"/>
                  <w:tcBorders>
                    <w:top w:val="single" w:sz="6" w:space="0" w:color="BFBFBF"/>
                    <w:bottom w:val="single" w:sz="6" w:space="0" w:color="BFBFBF"/>
                  </w:tcBorders>
                  <w:vAlign w:val="center"/>
                </w:tcPr>
                <w:p w:rsidR="00422714" w:rsidRPr="006B1681" w:rsidRDefault="00752056" w:rsidP="00422714">
                  <w:pPr>
                    <w:pStyle w:val="TableBodyText"/>
                  </w:pPr>
                  <w:r w:rsidRPr="006B1681">
                    <w:t>5</w:t>
                  </w:r>
                </w:p>
              </w:tc>
              <w:tc>
                <w:tcPr>
                  <w:tcW w:w="473" w:type="pct"/>
                  <w:tcBorders>
                    <w:top w:val="single" w:sz="6" w:space="0" w:color="BFBFBF"/>
                    <w:bottom w:val="single" w:sz="6" w:space="0" w:color="BFBFBF"/>
                  </w:tcBorders>
                  <w:vAlign w:val="center"/>
                </w:tcPr>
                <w:p w:rsidR="00422714" w:rsidRPr="006B1681" w:rsidRDefault="002D438E" w:rsidP="00752056">
                  <w:pPr>
                    <w:pStyle w:val="TableBodyText"/>
                  </w:pPr>
                  <w:r w:rsidRPr="006B1681">
                    <w:t xml:space="preserve"> </w:t>
                  </w:r>
                  <w:r w:rsidR="00E742E9" w:rsidRPr="006B1681">
                    <w:t>13</w:t>
                  </w:r>
                </w:p>
              </w:tc>
            </w:tr>
          </w:tbl>
          <w:p w:rsidR="00BF4CE7" w:rsidRPr="006B1681" w:rsidRDefault="00BF4CE7" w:rsidP="00BF4CE7">
            <w:pPr>
              <w:pStyle w:val="Box"/>
            </w:pPr>
          </w:p>
        </w:tc>
      </w:tr>
      <w:tr w:rsidR="00BF4CE7" w:rsidRPr="006B1681" w:rsidTr="00BF4CE7">
        <w:trPr>
          <w:cantSplit/>
        </w:trPr>
        <w:tc>
          <w:tcPr>
            <w:tcW w:w="8771" w:type="dxa"/>
            <w:tcBorders>
              <w:top w:val="nil"/>
              <w:left w:val="nil"/>
              <w:bottom w:val="nil"/>
              <w:right w:val="nil"/>
            </w:tcBorders>
            <w:shd w:val="clear" w:color="auto" w:fill="auto"/>
          </w:tcPr>
          <w:p w:rsidR="00BF4CE7" w:rsidRPr="006B1681" w:rsidRDefault="00BF4CE7" w:rsidP="00345129">
            <w:pPr>
              <w:pStyle w:val="Note"/>
              <w:rPr>
                <w:i/>
              </w:rPr>
            </w:pPr>
            <w:r w:rsidRPr="006B1681">
              <w:rPr>
                <w:rStyle w:val="NoteLabel"/>
              </w:rPr>
              <w:t>a</w:t>
            </w:r>
            <w:r w:rsidR="00345129" w:rsidRPr="006B1681">
              <w:t xml:space="preserve"> </w:t>
            </w:r>
            <w:r w:rsidR="005F167F" w:rsidRPr="006B1681">
              <w:rPr>
                <w:rStyle w:val="NoteChar"/>
              </w:rPr>
              <w:t>See box</w:t>
            </w:r>
            <w:r w:rsidR="00697D43" w:rsidRPr="006B1681">
              <w:rPr>
                <w:rStyle w:val="NoteChar"/>
              </w:rPr>
              <w:t> </w:t>
            </w:r>
            <w:r w:rsidR="005F167F" w:rsidRPr="006B1681">
              <w:rPr>
                <w:rStyle w:val="NoteChar"/>
              </w:rPr>
              <w:t>3.19 and table</w:t>
            </w:r>
            <w:r w:rsidR="00697D43" w:rsidRPr="006B1681">
              <w:rPr>
                <w:rStyle w:val="NoteChar"/>
              </w:rPr>
              <w:t> </w:t>
            </w:r>
            <w:proofErr w:type="spellStart"/>
            <w:r w:rsidR="005F167F" w:rsidRPr="006B1681">
              <w:rPr>
                <w:rStyle w:val="NoteChar"/>
              </w:rPr>
              <w:t>3A.</w:t>
            </w:r>
            <w:r w:rsidR="004D576E" w:rsidRPr="006B1681">
              <w:rPr>
                <w:rStyle w:val="NoteChar"/>
              </w:rPr>
              <w:t>61</w:t>
            </w:r>
            <w:proofErr w:type="spellEnd"/>
            <w:r w:rsidR="005F167F" w:rsidRPr="006B1681">
              <w:rPr>
                <w:rStyle w:val="NoteChar"/>
              </w:rPr>
              <w:t xml:space="preserve"> for </w:t>
            </w:r>
            <w:r w:rsidR="00937F53" w:rsidRPr="006B1681">
              <w:rPr>
                <w:rStyle w:val="NoteChar"/>
              </w:rPr>
              <w:t>detailed definitions, footnotes and caveats.</w:t>
            </w:r>
          </w:p>
        </w:tc>
      </w:tr>
      <w:tr w:rsidR="00BF4CE7" w:rsidRPr="006B1681" w:rsidTr="00BF4CE7">
        <w:trPr>
          <w:cantSplit/>
        </w:trPr>
        <w:tc>
          <w:tcPr>
            <w:tcW w:w="8771" w:type="dxa"/>
            <w:tcBorders>
              <w:top w:val="nil"/>
              <w:left w:val="nil"/>
              <w:bottom w:val="nil"/>
              <w:right w:val="nil"/>
            </w:tcBorders>
            <w:shd w:val="clear" w:color="auto" w:fill="auto"/>
          </w:tcPr>
          <w:p w:rsidR="00BF4CE7" w:rsidRPr="006B1681" w:rsidRDefault="00D369E3" w:rsidP="0002418C">
            <w:pPr>
              <w:pStyle w:val="Source"/>
            </w:pPr>
            <w:r w:rsidRPr="006B1681">
              <w:rPr>
                <w:i/>
              </w:rPr>
              <w:t>Source</w:t>
            </w:r>
            <w:r w:rsidR="00BF4CE7" w:rsidRPr="006B1681">
              <w:t xml:space="preserve">: </w:t>
            </w:r>
            <w:proofErr w:type="spellStart"/>
            <w:r w:rsidRPr="006B1681">
              <w:t>ACECQA</w:t>
            </w:r>
            <w:proofErr w:type="spellEnd"/>
            <w:r w:rsidR="0076456E" w:rsidRPr="006B1681">
              <w:t xml:space="preserve"> and State and Territory governments</w:t>
            </w:r>
            <w:r w:rsidRPr="006B1681">
              <w:t xml:space="preserve"> (unpublished) </w:t>
            </w:r>
            <w:proofErr w:type="spellStart"/>
            <w:r w:rsidRPr="006B1681">
              <w:t>NQAITS</w:t>
            </w:r>
            <w:proofErr w:type="spellEnd"/>
            <w:r w:rsidRPr="006B1681">
              <w:t>; table</w:t>
            </w:r>
            <w:r w:rsidR="00697D43" w:rsidRPr="006B1681">
              <w:t> </w:t>
            </w:r>
            <w:proofErr w:type="spellStart"/>
            <w:r w:rsidRPr="006B1681">
              <w:t>3A.6</w:t>
            </w:r>
            <w:r w:rsidR="007332F1" w:rsidRPr="006B1681">
              <w:t>1</w:t>
            </w:r>
            <w:proofErr w:type="spellEnd"/>
            <w:r w:rsidR="007332F1" w:rsidRPr="006B1681">
              <w:t>.</w:t>
            </w:r>
          </w:p>
        </w:tc>
      </w:tr>
      <w:tr w:rsidR="00BF4CE7" w:rsidRPr="006B1681" w:rsidTr="00BF4CE7">
        <w:trPr>
          <w:cantSplit/>
        </w:trPr>
        <w:tc>
          <w:tcPr>
            <w:tcW w:w="8771" w:type="dxa"/>
            <w:tcBorders>
              <w:top w:val="nil"/>
              <w:left w:val="nil"/>
              <w:bottom w:val="single" w:sz="6" w:space="0" w:color="78A22F"/>
              <w:right w:val="nil"/>
            </w:tcBorders>
            <w:shd w:val="clear" w:color="auto" w:fill="auto"/>
          </w:tcPr>
          <w:p w:rsidR="00BF4CE7" w:rsidRPr="006B1681" w:rsidRDefault="00BF4CE7" w:rsidP="00BF4CE7">
            <w:pPr>
              <w:pStyle w:val="Box"/>
              <w:spacing w:before="0" w:line="120" w:lineRule="exact"/>
            </w:pPr>
          </w:p>
        </w:tc>
      </w:tr>
      <w:tr w:rsidR="00BF4CE7" w:rsidRPr="006B1681" w:rsidTr="00BF4CE7">
        <w:tc>
          <w:tcPr>
            <w:tcW w:w="8771" w:type="dxa"/>
            <w:tcBorders>
              <w:top w:val="single" w:sz="6" w:space="0" w:color="78A22F"/>
              <w:left w:val="nil"/>
              <w:bottom w:val="nil"/>
              <w:right w:val="nil"/>
            </w:tcBorders>
          </w:tcPr>
          <w:p w:rsidR="00BF4CE7" w:rsidRPr="006B1681" w:rsidRDefault="00BF4CE7" w:rsidP="00BF4CE7">
            <w:pPr>
              <w:pStyle w:val="BoxSpaceBelow"/>
            </w:pPr>
          </w:p>
        </w:tc>
      </w:tr>
    </w:tbl>
    <w:p w:rsidR="00DB3FF3" w:rsidRPr="006B1681" w:rsidRDefault="00DB3FF3" w:rsidP="008F3643">
      <w:pPr>
        <w:pStyle w:val="BodyText"/>
      </w:pPr>
      <w:r w:rsidRPr="006B1681">
        <w:t>Additional data on the proportion of substantiated breaches against which action was t</w:t>
      </w:r>
      <w:r w:rsidR="004D576E" w:rsidRPr="006B1681">
        <w:t>aken are provided in table</w:t>
      </w:r>
      <w:r w:rsidR="00697D43" w:rsidRPr="006B1681">
        <w:t> </w:t>
      </w:r>
      <w:proofErr w:type="spellStart"/>
      <w:r w:rsidR="004D576E" w:rsidRPr="006B1681">
        <w:t>3A.61</w:t>
      </w:r>
      <w:proofErr w:type="spellEnd"/>
      <w:r w:rsidRPr="006B1681">
        <w:t>.</w:t>
      </w:r>
      <w:r w:rsidR="007B16F9" w:rsidRPr="006B1681">
        <w:t xml:space="preserve"> Nationally</w:t>
      </w:r>
      <w:r w:rsidR="000C6E60" w:rsidRPr="006B1681">
        <w:t xml:space="preserve"> in 2014</w:t>
      </w:r>
      <w:r w:rsidR="002D438E" w:rsidRPr="006B1681">
        <w:noBreakHyphen/>
      </w:r>
      <w:r w:rsidR="000C6E60" w:rsidRPr="006B1681">
        <w:t>15</w:t>
      </w:r>
      <w:r w:rsidR="007B16F9" w:rsidRPr="006B1681">
        <w:t xml:space="preserve">, action was taken against </w:t>
      </w:r>
      <w:r w:rsidR="00B61F75" w:rsidRPr="006B1681">
        <w:t>65.7</w:t>
      </w:r>
      <w:r w:rsidR="007B16F9" w:rsidRPr="006B1681">
        <w:t xml:space="preserve"> per cent of substantiated breaches arising from complaints. </w:t>
      </w:r>
    </w:p>
    <w:p w:rsidR="0075251F" w:rsidRPr="00DB3FF3" w:rsidRDefault="00DB3FF3" w:rsidP="008F3643">
      <w:pPr>
        <w:pStyle w:val="BodyText"/>
      </w:pPr>
      <w:r w:rsidRPr="006B1681">
        <w:t>D</w:t>
      </w:r>
      <w:r w:rsidR="0075251F" w:rsidRPr="006B1681">
        <w:t xml:space="preserve">ata </w:t>
      </w:r>
      <w:r w:rsidRPr="006B1681">
        <w:t xml:space="preserve">are also available </w:t>
      </w:r>
      <w:r w:rsidR="0075251F" w:rsidRPr="006B1681">
        <w:t>on substantiated breaches arising from complaints in State and Territory government licensed or re</w:t>
      </w:r>
      <w:r w:rsidR="004D576E" w:rsidRPr="006B1681">
        <w:t>gistered services in table</w:t>
      </w:r>
      <w:r w:rsidR="00697D43" w:rsidRPr="006B1681">
        <w:t> </w:t>
      </w:r>
      <w:proofErr w:type="spellStart"/>
      <w:r w:rsidR="004D576E" w:rsidRPr="006B1681">
        <w:t>3A.62</w:t>
      </w:r>
      <w:proofErr w:type="spellEnd"/>
      <w:r w:rsidR="0075251F" w:rsidRPr="006B1681">
        <w:t>.</w:t>
      </w:r>
    </w:p>
    <w:p w:rsidR="00E12AEF" w:rsidRDefault="00E12AEF" w:rsidP="009B11B2">
      <w:pPr>
        <w:pStyle w:val="Heading4"/>
      </w:pPr>
      <w:r w:rsidRPr="00E12AEF">
        <w:t xml:space="preserve">Health </w:t>
      </w:r>
      <w:r w:rsidR="00A67E2D">
        <w:t>and safety — hospital separations</w:t>
      </w:r>
      <w:r w:rsidRPr="00E12AEF">
        <w:t xml:space="preserve"> for external causes of injury</w:t>
      </w:r>
    </w:p>
    <w:p w:rsidR="00C7718E" w:rsidRPr="008B42D1" w:rsidRDefault="00345B48" w:rsidP="00CB0726">
      <w:pPr>
        <w:pStyle w:val="BodyText"/>
        <w:shd w:val="clear" w:color="auto" w:fill="FFFFFF" w:themeFill="background1"/>
        <w:rPr>
          <w:rStyle w:val="BoxChar"/>
        </w:rPr>
      </w:pPr>
      <w:r w:rsidRPr="003F7B35">
        <w:t>‘Hospital separations for external causes of injury’</w:t>
      </w:r>
      <w:r w:rsidR="00A67E2D" w:rsidRPr="003F7B35">
        <w:t xml:space="preserve"> </w:t>
      </w:r>
      <w:r w:rsidR="00A67E2D" w:rsidRPr="00CB0726">
        <w:rPr>
          <w:shd w:val="clear" w:color="auto" w:fill="FFFFFF" w:themeFill="background1"/>
        </w:rPr>
        <w:t xml:space="preserve">(occurring in </w:t>
      </w:r>
      <w:proofErr w:type="spellStart"/>
      <w:r w:rsidR="0018407E">
        <w:rPr>
          <w:shd w:val="clear" w:color="auto" w:fill="FFFFFF" w:themeFill="background1"/>
        </w:rPr>
        <w:t>ECEC</w:t>
      </w:r>
      <w:proofErr w:type="spellEnd"/>
      <w:r w:rsidR="00A67E2D" w:rsidRPr="00CB0726">
        <w:rPr>
          <w:shd w:val="clear" w:color="auto" w:fill="FFFFFF" w:themeFill="background1"/>
        </w:rPr>
        <w:t>)</w:t>
      </w:r>
      <w:r w:rsidRPr="00CB0726">
        <w:rPr>
          <w:shd w:val="clear" w:color="auto" w:fill="FFFFFF" w:themeFill="background1"/>
        </w:rPr>
        <w:t xml:space="preserve"> is a proxy indicator of governments’ objective to ensure that </w:t>
      </w:r>
      <w:proofErr w:type="spellStart"/>
      <w:r w:rsidR="0018407E">
        <w:rPr>
          <w:shd w:val="clear" w:color="auto" w:fill="FFFFFF" w:themeFill="background1"/>
        </w:rPr>
        <w:t>ECEC</w:t>
      </w:r>
      <w:proofErr w:type="spellEnd"/>
      <w:r w:rsidRPr="00CB0726">
        <w:rPr>
          <w:shd w:val="clear" w:color="auto" w:fill="FFFFFF" w:themeFill="background1"/>
        </w:rPr>
        <w:t xml:space="preserve"> services meet the care, educational and developmental needs of children in a safe and nurturing </w:t>
      </w:r>
      <w:r w:rsidRPr="00CD0852">
        <w:rPr>
          <w:shd w:val="clear" w:color="auto" w:fill="FFFFFF" w:themeFill="background1"/>
        </w:rPr>
        <w:t xml:space="preserve">environment </w:t>
      </w:r>
      <w:r w:rsidR="00E12AEF" w:rsidRPr="00CD0852">
        <w:rPr>
          <w:shd w:val="clear" w:color="auto" w:fill="FFFFFF" w:themeFill="background1"/>
        </w:rPr>
        <w:t>(</w:t>
      </w:r>
      <w:r w:rsidR="00E12AEF" w:rsidRPr="00CD0852">
        <w:t>box</w:t>
      </w:r>
      <w:r w:rsidR="00446CA3" w:rsidRPr="00CD0852">
        <w:t> </w:t>
      </w:r>
      <w:r w:rsidR="00177F62" w:rsidRPr="00CD0852">
        <w:t>3.</w:t>
      </w:r>
      <w:r w:rsidR="004373CB">
        <w:t>20</w:t>
      </w:r>
      <w:r w:rsidR="00E12AEF" w:rsidRPr="00CD0852">
        <w:t>).</w:t>
      </w:r>
    </w:p>
    <w:p w:rsidR="00177F62" w:rsidRDefault="00177F62">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177F62" w:rsidTr="00DB16AF">
        <w:tc>
          <w:tcPr>
            <w:tcW w:w="8771" w:type="dxa"/>
            <w:tcBorders>
              <w:top w:val="single" w:sz="6" w:space="0" w:color="78A22F"/>
              <w:left w:val="nil"/>
              <w:bottom w:val="nil"/>
              <w:right w:val="nil"/>
            </w:tcBorders>
            <w:shd w:val="clear" w:color="auto" w:fill="F2F2F2"/>
          </w:tcPr>
          <w:p w:rsidR="00177F62" w:rsidRDefault="00177F62" w:rsidP="00F26156">
            <w:pPr>
              <w:pStyle w:val="BoxTitle"/>
            </w:pPr>
            <w:r>
              <w:rPr>
                <w:b w:val="0"/>
              </w:rPr>
              <w:t xml:space="preserve">Box </w:t>
            </w:r>
            <w:r w:rsidR="00F26156">
              <w:rPr>
                <w:b w:val="0"/>
              </w:rPr>
              <w:t>3.</w:t>
            </w:r>
            <w:bookmarkStart w:id="70" w:name="OLE_LINK21"/>
            <w:r w:rsidR="00F26156">
              <w:rPr>
                <w:b w:val="0"/>
              </w:rPr>
              <w:t>2</w:t>
            </w:r>
            <w:bookmarkEnd w:id="70"/>
            <w:r w:rsidR="004373CB">
              <w:rPr>
                <w:b w:val="0"/>
              </w:rPr>
              <w:t>0</w:t>
            </w:r>
            <w:r>
              <w:tab/>
            </w:r>
            <w:r w:rsidRPr="00E12AEF">
              <w:t>Hospital separations for external causes of injury</w:t>
            </w:r>
          </w:p>
        </w:tc>
      </w:tr>
      <w:tr w:rsidR="00177F62" w:rsidTr="00DB16AF">
        <w:trPr>
          <w:cantSplit/>
        </w:trPr>
        <w:tc>
          <w:tcPr>
            <w:tcW w:w="8771" w:type="dxa"/>
            <w:tcBorders>
              <w:top w:val="nil"/>
              <w:left w:val="nil"/>
              <w:bottom w:val="nil"/>
              <w:right w:val="nil"/>
            </w:tcBorders>
            <w:shd w:val="clear" w:color="auto" w:fill="F2F2F2"/>
          </w:tcPr>
          <w:p w:rsidR="00177F62" w:rsidRDefault="00177F62" w:rsidP="00177F62">
            <w:pPr>
              <w:pStyle w:val="Box"/>
            </w:pPr>
            <w:r>
              <w:t xml:space="preserve">‘Hospital separations for external causes of injury’ is defined as the number of hospital separations for children aged 0–4 years resulting from an external cause of injury occurring in ‘school’ </w:t>
            </w:r>
            <w:r w:rsidRPr="00490EC1">
              <w:t xml:space="preserve">as a proportion of total hospital </w:t>
            </w:r>
            <w:r>
              <w:t xml:space="preserve">separations for children aged 0–4 years resulting from an external cause of injury. For children aged 0–4 years, ‘school’ incorporates a range of formal </w:t>
            </w:r>
            <w:proofErr w:type="spellStart"/>
            <w:r w:rsidR="0018407E">
              <w:t>ECEC</w:t>
            </w:r>
            <w:proofErr w:type="spellEnd"/>
            <w:r>
              <w:t xml:space="preserve"> settings including kindergarten, preschool and centre</w:t>
            </w:r>
            <w:r>
              <w:noBreakHyphen/>
              <w:t>based child care services.</w:t>
            </w:r>
          </w:p>
          <w:p w:rsidR="00177F62" w:rsidRDefault="00177F62" w:rsidP="00177F62">
            <w:pPr>
              <w:pStyle w:val="Box"/>
            </w:pPr>
            <w:r>
              <w:t>Low or decreasing hospitalisations for external causes of injury for children aged</w:t>
            </w:r>
            <w:r>
              <w:br/>
              <w:t>0–4 years occurring in a ‘school’ can indicate better performance towards achieving the objective of providing the care, educational and developmental needs of children in a safe and nurturing environment.</w:t>
            </w:r>
          </w:p>
          <w:p w:rsidR="00177F62" w:rsidRDefault="00177F62" w:rsidP="00177F62">
            <w:pPr>
              <w:pStyle w:val="Box"/>
            </w:pPr>
            <w:r>
              <w:t>All hospital separation data need to be interpreted with care. Nationally, no place of occurrence was reported for some hospitali</w:t>
            </w:r>
            <w:r w:rsidR="00095C9C">
              <w:t xml:space="preserve">sations of children aged </w:t>
            </w:r>
            <w:r>
              <w:t xml:space="preserve">0–4 years. As a result, this indicator should be interpreted as the minimum number of hospital separations for an external cause of injury that occurred in </w:t>
            </w:r>
            <w:proofErr w:type="spellStart"/>
            <w:r w:rsidR="0018407E">
              <w:t>ECEC</w:t>
            </w:r>
            <w:proofErr w:type="spellEnd"/>
            <w:r>
              <w:t xml:space="preserve"> services.</w:t>
            </w:r>
          </w:p>
          <w:p w:rsidR="00177F62" w:rsidRPr="00A90ADB" w:rsidRDefault="00A91405" w:rsidP="00177F62">
            <w:pPr>
              <w:pStyle w:val="Box"/>
            </w:pPr>
            <w:r>
              <w:t>Data reported for this measure</w:t>
            </w:r>
            <w:r w:rsidR="00177F62" w:rsidRPr="00A90ADB">
              <w:t xml:space="preserve"> are:</w:t>
            </w:r>
          </w:p>
          <w:p w:rsidR="00177F62" w:rsidRPr="00A90ADB" w:rsidRDefault="00177F62" w:rsidP="00177F62">
            <w:pPr>
              <w:pStyle w:val="BoxListBullet"/>
            </w:pPr>
            <w:r w:rsidRPr="00A90ADB">
              <w:t>comparable (subject to caveats) acro</w:t>
            </w:r>
            <w:r>
              <w:t>ss jurisdictions and over time</w:t>
            </w:r>
          </w:p>
          <w:p w:rsidR="00177F62" w:rsidRPr="00A90ADB" w:rsidRDefault="00177F62" w:rsidP="00177F62">
            <w:pPr>
              <w:pStyle w:val="BoxListBullet"/>
            </w:pPr>
            <w:r w:rsidRPr="00A90ADB">
              <w:t xml:space="preserve">complete </w:t>
            </w:r>
            <w:r>
              <w:t xml:space="preserve">(subject to caveats) </w:t>
            </w:r>
            <w:r w:rsidRPr="00A90ADB">
              <w:t>for the current repor</w:t>
            </w:r>
            <w:r>
              <w:t>ting period</w:t>
            </w:r>
            <w:r w:rsidR="00CB534C">
              <w:t>. All required 2013</w:t>
            </w:r>
            <w:r>
              <w:noBreakHyphen/>
            </w:r>
            <w:r w:rsidR="00CB534C">
              <w:t>14</w:t>
            </w:r>
            <w:r w:rsidRPr="00A90ADB">
              <w:t xml:space="preserve"> data are available for all jur</w:t>
            </w:r>
            <w:r>
              <w:t>isdictions</w:t>
            </w:r>
            <w:r w:rsidRPr="00A90ADB">
              <w:t>.</w:t>
            </w:r>
          </w:p>
          <w:p w:rsidR="00177F62" w:rsidRDefault="00177F62" w:rsidP="00177F62">
            <w:pPr>
              <w:pStyle w:val="Box"/>
            </w:pPr>
            <w:r w:rsidRPr="00A90ADB">
              <w:rPr>
                <w:rFonts w:cs="Arial"/>
                <w:szCs w:val="26"/>
              </w:rPr>
              <w:t>Data quality information for this indicator is under development.</w:t>
            </w:r>
          </w:p>
        </w:tc>
      </w:tr>
      <w:tr w:rsidR="00177F62" w:rsidTr="00DB16AF">
        <w:trPr>
          <w:cantSplit/>
        </w:trPr>
        <w:tc>
          <w:tcPr>
            <w:tcW w:w="8771" w:type="dxa"/>
            <w:tcBorders>
              <w:top w:val="nil"/>
              <w:left w:val="nil"/>
              <w:bottom w:val="single" w:sz="6" w:space="0" w:color="78A22F"/>
              <w:right w:val="nil"/>
            </w:tcBorders>
            <w:shd w:val="clear" w:color="auto" w:fill="F2F2F2"/>
          </w:tcPr>
          <w:p w:rsidR="00177F62" w:rsidRDefault="00177F62">
            <w:pPr>
              <w:pStyle w:val="Box"/>
              <w:spacing w:before="0" w:line="120" w:lineRule="exact"/>
            </w:pPr>
          </w:p>
        </w:tc>
      </w:tr>
      <w:tr w:rsidR="00177F62" w:rsidRPr="000863A5" w:rsidTr="00DB16AF">
        <w:tc>
          <w:tcPr>
            <w:tcW w:w="8771" w:type="dxa"/>
            <w:tcBorders>
              <w:top w:val="single" w:sz="6" w:space="0" w:color="78A22F"/>
              <w:left w:val="nil"/>
              <w:bottom w:val="nil"/>
              <w:right w:val="nil"/>
            </w:tcBorders>
          </w:tcPr>
          <w:p w:rsidR="00177F62" w:rsidRPr="00626D32" w:rsidRDefault="00177F62" w:rsidP="00DB16AF">
            <w:pPr>
              <w:pStyle w:val="BoxSpaceBelow"/>
            </w:pPr>
          </w:p>
        </w:tc>
      </w:tr>
    </w:tbl>
    <w:p w:rsidR="00F84136" w:rsidRDefault="00F84136" w:rsidP="00C3586E">
      <w:pPr>
        <w:pStyle w:val="BodyText"/>
      </w:pPr>
      <w:r>
        <w:lastRenderedPageBreak/>
        <w:t xml:space="preserve">Limiting the data to children aged 0–4 </w:t>
      </w:r>
      <w:r w:rsidR="00464B79">
        <w:t xml:space="preserve">years </w:t>
      </w:r>
      <w:r>
        <w:t>reduces the likelihood that the ‘school’ place of occurrence includes children in full time compulsory schooling, which children generally attend when they are</w:t>
      </w:r>
      <w:r w:rsidR="00674B6B">
        <w:t xml:space="preserve"> aged</w:t>
      </w:r>
      <w:r w:rsidR="0068030A">
        <w:t xml:space="preserve"> 5 years or over</w:t>
      </w:r>
      <w:r>
        <w:t>. For children in the older age group</w:t>
      </w:r>
      <w:r w:rsidR="00B220C1">
        <w:t>,</w:t>
      </w:r>
      <w:r>
        <w:t xml:space="preserve"> it is not possible to separate injuries th</w:t>
      </w:r>
      <w:r w:rsidR="00E811ED">
        <w:t xml:space="preserve">at occur in </w:t>
      </w:r>
      <w:proofErr w:type="spellStart"/>
      <w:r w:rsidR="0018407E">
        <w:t>ECEC</w:t>
      </w:r>
      <w:proofErr w:type="spellEnd"/>
      <w:r w:rsidRPr="00493DF4">
        <w:t xml:space="preserve"> </w:t>
      </w:r>
      <w:r>
        <w:t>from those t</w:t>
      </w:r>
      <w:r w:rsidR="0068030A">
        <w:t xml:space="preserve">hat occur in a full time </w:t>
      </w:r>
      <w:r>
        <w:t>school setting, so they are excluded from the indicator.</w:t>
      </w:r>
    </w:p>
    <w:p w:rsidR="00F84136" w:rsidRDefault="006D023C" w:rsidP="00C3586E">
      <w:pPr>
        <w:pStyle w:val="BodyText"/>
      </w:pPr>
      <w:r>
        <w:t xml:space="preserve">The </w:t>
      </w:r>
      <w:r w:rsidR="00F84136">
        <w:t xml:space="preserve">data can capture children who were injured at these </w:t>
      </w:r>
      <w:r>
        <w:t xml:space="preserve">‘school’ </w:t>
      </w:r>
      <w:r w:rsidR="00F84136">
        <w:t>services without necessarily attending them. Family day care services, which are typically provided in the carer’s home, are not likely to be covered under ‘schools’. External cause refers to the environmental event, circumstance or condition that causes the injury. People admitted to hospital as a result of a pre</w:t>
      </w:r>
      <w:r w:rsidR="00172534">
        <w:noBreakHyphen/>
      </w:r>
      <w:r w:rsidR="00F84136">
        <w:t>existing illnes</w:t>
      </w:r>
      <w:r w:rsidR="0068030A">
        <w:t>s or condition (such as asthma)</w:t>
      </w:r>
      <w:r w:rsidR="00F84136">
        <w:t xml:space="preserve"> are excluded.</w:t>
      </w:r>
    </w:p>
    <w:p w:rsidR="00010A0C" w:rsidRDefault="006D023C" w:rsidP="007469D5">
      <w:pPr>
        <w:pStyle w:val="BodyText"/>
        <w:shd w:val="clear" w:color="auto" w:fill="FFFFFF" w:themeFill="background1"/>
      </w:pPr>
      <w:r>
        <w:t>Nationally in</w:t>
      </w:r>
      <w:r w:rsidR="00E12AEF" w:rsidRPr="00B33866">
        <w:t xml:space="preserve"> </w:t>
      </w:r>
      <w:r w:rsidR="00CB534C">
        <w:t>2013</w:t>
      </w:r>
      <w:r w:rsidR="00172534">
        <w:noBreakHyphen/>
      </w:r>
      <w:r w:rsidR="00CB534C">
        <w:t>14</w:t>
      </w:r>
      <w:r w:rsidR="00E12AEF" w:rsidRPr="003F7B35">
        <w:t xml:space="preserve">, </w:t>
      </w:r>
      <w:r w:rsidR="005E2397">
        <w:t xml:space="preserve">of the </w:t>
      </w:r>
      <w:r w:rsidR="00F1578E" w:rsidRPr="00F1578E">
        <w:rPr>
          <w:shd w:val="clear" w:color="auto" w:fill="FFFFFF" w:themeFill="background1"/>
        </w:rPr>
        <w:t>36</w:t>
      </w:r>
      <w:r w:rsidR="00DC7AAB" w:rsidRPr="00F1578E">
        <w:rPr>
          <w:shd w:val="clear" w:color="auto" w:fill="FFFFFF" w:themeFill="background1"/>
        </w:rPr>
        <w:t> </w:t>
      </w:r>
      <w:r w:rsidR="00F1578E" w:rsidRPr="00F1578E">
        <w:rPr>
          <w:shd w:val="clear" w:color="auto" w:fill="FFFFFF" w:themeFill="background1"/>
        </w:rPr>
        <w:t>835</w:t>
      </w:r>
      <w:r w:rsidR="00E12AEF" w:rsidRPr="00F1578E">
        <w:t xml:space="preserve"> </w:t>
      </w:r>
      <w:r w:rsidR="00E12AEF" w:rsidRPr="005E5C5C">
        <w:t xml:space="preserve">injuries </w:t>
      </w:r>
      <w:r w:rsidR="00E12AEF" w:rsidRPr="004A7385">
        <w:t>to children aged 0–4 years that resulted in a hospital admission</w:t>
      </w:r>
      <w:r w:rsidR="005E2397">
        <w:t xml:space="preserve">, </w:t>
      </w:r>
      <w:r w:rsidR="00BA0E06" w:rsidRPr="00BA0E06">
        <w:t>2.6</w:t>
      </w:r>
      <w:r w:rsidR="005E2397" w:rsidRPr="00BA0E06">
        <w:t xml:space="preserve"> </w:t>
      </w:r>
      <w:r w:rsidR="005E2397">
        <w:t>per cent were reported as occurring at ‘school’</w:t>
      </w:r>
      <w:r w:rsidR="00E12AEF" w:rsidRPr="004A7385">
        <w:t xml:space="preserve"> </w:t>
      </w:r>
      <w:r w:rsidR="004D22A4">
        <w:t xml:space="preserve">— a similar proportion to previous years </w:t>
      </w:r>
      <w:r w:rsidR="00E12AEF" w:rsidRPr="004A7385">
        <w:t>(table</w:t>
      </w:r>
      <w:r w:rsidR="00172534">
        <w:t> </w:t>
      </w:r>
      <w:proofErr w:type="spellStart"/>
      <w:r w:rsidR="00AA1034" w:rsidRPr="005E5C5C">
        <w:t>3</w:t>
      </w:r>
      <w:r w:rsidR="00040BE2" w:rsidRPr="005E5C5C">
        <w:t>A.</w:t>
      </w:r>
      <w:r w:rsidR="004D576E">
        <w:t>63</w:t>
      </w:r>
      <w:proofErr w:type="spellEnd"/>
      <w:r w:rsidR="0032575C">
        <w:t xml:space="preserve"> and figure</w:t>
      </w:r>
      <w:r w:rsidR="00697D43">
        <w:t> </w:t>
      </w:r>
      <w:r w:rsidR="0032575C">
        <w:t>3.17</w:t>
      </w:r>
      <w:r w:rsidR="00E12AEF" w:rsidRPr="005E5C5C">
        <w:t xml:space="preserve">). </w:t>
      </w:r>
      <w:r w:rsidR="004D22A4">
        <w:t xml:space="preserve">The largest proportion were reported as occurring at home </w:t>
      </w:r>
      <w:r w:rsidR="004D22A4" w:rsidRPr="00BA0E06">
        <w:t>(</w:t>
      </w:r>
      <w:r w:rsidR="00BA0E06" w:rsidRPr="00BA0E06">
        <w:t>34.0</w:t>
      </w:r>
      <w:r w:rsidR="004D22A4" w:rsidRPr="00BA0E06">
        <w:t xml:space="preserve"> </w:t>
      </w:r>
      <w:r w:rsidR="004D22A4">
        <w:t>per cent), reflecting that children</w:t>
      </w:r>
      <w:r w:rsidR="007469D5" w:rsidRPr="007469D5">
        <w:t xml:space="preserve"> </w:t>
      </w:r>
      <w:r w:rsidR="007469D5" w:rsidRPr="004C7588">
        <w:t>in this age group spend the majority of their time in the home and about half do</w:t>
      </w:r>
      <w:r w:rsidR="007469D5">
        <w:t xml:space="preserve"> not attend formal care.</w:t>
      </w:r>
      <w:r w:rsidR="00010A0C">
        <w:t xml:space="preserve"> For boys and girls, falls were the most common cause of hospitals separations at ‘school’, followed by exp</w:t>
      </w:r>
      <w:r w:rsidR="0040552C">
        <w:t>osure to mechanical forces (</w:t>
      </w:r>
      <w:proofErr w:type="spellStart"/>
      <w:r w:rsidR="0040552C">
        <w:t>AIHW</w:t>
      </w:r>
      <w:proofErr w:type="spellEnd"/>
      <w:r w:rsidR="00010A0C">
        <w:t xml:space="preserve"> unpublished).</w:t>
      </w:r>
    </w:p>
    <w:p w:rsidR="00010A0C" w:rsidRDefault="00010A0C" w:rsidP="001D6CB9">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010A0C" w:rsidTr="001D6CB9">
        <w:tc>
          <w:tcPr>
            <w:tcW w:w="8771" w:type="dxa"/>
            <w:tcBorders>
              <w:top w:val="single" w:sz="6" w:space="0" w:color="78A22F"/>
              <w:left w:val="nil"/>
              <w:bottom w:val="nil"/>
              <w:right w:val="nil"/>
            </w:tcBorders>
            <w:shd w:val="clear" w:color="auto" w:fill="auto"/>
          </w:tcPr>
          <w:p w:rsidR="00010A0C" w:rsidRPr="00176D3F" w:rsidRDefault="00010A0C" w:rsidP="005260ED">
            <w:pPr>
              <w:pStyle w:val="FigureTitle"/>
            </w:pPr>
            <w:r w:rsidRPr="00784A05">
              <w:rPr>
                <w:b w:val="0"/>
              </w:rPr>
              <w:t xml:space="preserve">Figure </w:t>
            </w:r>
            <w:r>
              <w:rPr>
                <w:b w:val="0"/>
              </w:rPr>
              <w:t>3.</w:t>
            </w:r>
            <w:r w:rsidR="005260ED">
              <w:rPr>
                <w:b w:val="0"/>
              </w:rPr>
              <w:t>17</w:t>
            </w:r>
            <w:r>
              <w:tab/>
            </w:r>
            <w:r w:rsidRPr="00BC2211">
              <w:t>Hospital separations for external causes of injury for children aged 0–4 years, proport</w:t>
            </w:r>
            <w:r>
              <w:t>ion by place of occurrence, 2013</w:t>
            </w:r>
            <w:r>
              <w:noBreakHyphen/>
              <w:t>14</w:t>
            </w:r>
            <w:r w:rsidR="00C97932">
              <w:rPr>
                <w:rStyle w:val="NoteLabel"/>
                <w:b/>
              </w:rPr>
              <w:t>a</w:t>
            </w:r>
          </w:p>
        </w:tc>
      </w:tr>
      <w:tr w:rsidR="00010A0C" w:rsidTr="001D6CB9">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010A0C" w:rsidTr="001D6CB9">
              <w:trPr>
                <w:jc w:val="center"/>
              </w:trPr>
              <w:tc>
                <w:tcPr>
                  <w:tcW w:w="5000" w:type="pct"/>
                  <w:tcBorders>
                    <w:top w:val="nil"/>
                    <w:bottom w:val="nil"/>
                  </w:tcBorders>
                </w:tcPr>
                <w:p w:rsidR="00010A0C" w:rsidRDefault="00B337E3" w:rsidP="001D6CB9">
                  <w:pPr>
                    <w:pStyle w:val="Figure"/>
                    <w:spacing w:before="60" w:after="60"/>
                  </w:pPr>
                  <w:r>
                    <w:rPr>
                      <w:noProof/>
                    </w:rPr>
                    <w:drawing>
                      <wp:inline distT="0" distB="0" distL="0" distR="0">
                        <wp:extent cx="5390515" cy="2679700"/>
                        <wp:effectExtent l="0" t="0" r="635" b="6350"/>
                        <wp:docPr id="16" name="Picture 16" descr="Figure 3.17 Hospital separations for external causes of injury for children aged 0–4 years, proportion by place of occurrence, 2013-14&#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390515" cy="2679700"/>
                                </a:xfrm>
                                <a:prstGeom prst="rect">
                                  <a:avLst/>
                                </a:prstGeom>
                                <a:noFill/>
                                <a:ln>
                                  <a:noFill/>
                                </a:ln>
                              </pic:spPr>
                            </pic:pic>
                          </a:graphicData>
                        </a:graphic>
                      </wp:inline>
                    </w:drawing>
                  </w:r>
                </w:p>
              </w:tc>
            </w:tr>
          </w:tbl>
          <w:p w:rsidR="00010A0C" w:rsidRDefault="00010A0C" w:rsidP="001D6CB9">
            <w:pPr>
              <w:pStyle w:val="Figure"/>
            </w:pPr>
          </w:p>
        </w:tc>
      </w:tr>
      <w:tr w:rsidR="00010A0C" w:rsidRPr="00176D3F" w:rsidTr="001D6CB9">
        <w:tc>
          <w:tcPr>
            <w:tcW w:w="8771" w:type="dxa"/>
            <w:tcBorders>
              <w:top w:val="nil"/>
              <w:left w:val="nil"/>
              <w:bottom w:val="nil"/>
              <w:right w:val="nil"/>
            </w:tcBorders>
            <w:shd w:val="clear" w:color="auto" w:fill="auto"/>
          </w:tcPr>
          <w:p w:rsidR="00010A0C" w:rsidRPr="00176D3F" w:rsidRDefault="00010A0C" w:rsidP="001D6CB9">
            <w:pPr>
              <w:pStyle w:val="Note"/>
            </w:pPr>
            <w:r>
              <w:rPr>
                <w:rStyle w:val="NoteLabel"/>
              </w:rPr>
              <w:t>a</w:t>
            </w:r>
            <w:r w:rsidR="00C97932">
              <w:t xml:space="preserve"> </w:t>
            </w:r>
            <w:r w:rsidR="005F167F">
              <w:rPr>
                <w:rStyle w:val="NoteChar"/>
              </w:rPr>
              <w:t>See box</w:t>
            </w:r>
            <w:r w:rsidR="00697D43">
              <w:rPr>
                <w:rStyle w:val="NoteChar"/>
              </w:rPr>
              <w:t> </w:t>
            </w:r>
            <w:r w:rsidR="005F167F">
              <w:rPr>
                <w:rStyle w:val="NoteChar"/>
              </w:rPr>
              <w:t>3.20</w:t>
            </w:r>
            <w:r w:rsidR="005F167F" w:rsidRPr="00AA1455">
              <w:rPr>
                <w:rStyle w:val="NoteChar"/>
              </w:rPr>
              <w:t xml:space="preserve"> and table</w:t>
            </w:r>
            <w:r w:rsidR="00697D43">
              <w:rPr>
                <w:rStyle w:val="NoteChar"/>
              </w:rPr>
              <w:t> </w:t>
            </w:r>
            <w:proofErr w:type="spellStart"/>
            <w:r w:rsidR="005F167F">
              <w:rPr>
                <w:rStyle w:val="NoteChar"/>
              </w:rPr>
              <w:t>3</w:t>
            </w:r>
            <w:r w:rsidR="005F167F" w:rsidRPr="00AA1455">
              <w:rPr>
                <w:rStyle w:val="NoteChar"/>
              </w:rPr>
              <w:t>A.</w:t>
            </w:r>
            <w:r w:rsidR="004D576E">
              <w:rPr>
                <w:rStyle w:val="NoteChar"/>
              </w:rPr>
              <w:t>63</w:t>
            </w:r>
            <w:proofErr w:type="spellEnd"/>
            <w:r w:rsidR="005F167F" w:rsidRPr="00AA1455">
              <w:rPr>
                <w:rStyle w:val="NoteChar"/>
              </w:rPr>
              <w:t xml:space="preserve"> for </w:t>
            </w:r>
            <w:r w:rsidR="00937F53">
              <w:rPr>
                <w:rStyle w:val="NoteChar"/>
              </w:rPr>
              <w:t>detailed definitions, footnotes and caveats.</w:t>
            </w:r>
          </w:p>
        </w:tc>
      </w:tr>
      <w:tr w:rsidR="00010A0C" w:rsidRPr="00176D3F" w:rsidTr="001D6CB9">
        <w:tc>
          <w:tcPr>
            <w:tcW w:w="8771" w:type="dxa"/>
            <w:tcBorders>
              <w:top w:val="nil"/>
              <w:left w:val="nil"/>
              <w:bottom w:val="nil"/>
              <w:right w:val="nil"/>
            </w:tcBorders>
            <w:shd w:val="clear" w:color="auto" w:fill="auto"/>
          </w:tcPr>
          <w:p w:rsidR="00010A0C" w:rsidRPr="00176D3F" w:rsidRDefault="00010A0C" w:rsidP="001D6CB9">
            <w:pPr>
              <w:pStyle w:val="Source"/>
            </w:pPr>
            <w:r>
              <w:rPr>
                <w:i/>
              </w:rPr>
              <w:t>S</w:t>
            </w:r>
            <w:r w:rsidRPr="00784A05">
              <w:rPr>
                <w:i/>
              </w:rPr>
              <w:t>ource</w:t>
            </w:r>
            <w:r w:rsidRPr="00176D3F">
              <w:t xml:space="preserve">: </w:t>
            </w:r>
            <w:proofErr w:type="spellStart"/>
            <w:r w:rsidRPr="004871E1">
              <w:t>AIHW</w:t>
            </w:r>
            <w:proofErr w:type="spellEnd"/>
            <w:r w:rsidRPr="004871E1">
              <w:t xml:space="preserve"> </w:t>
            </w:r>
            <w:r>
              <w:t xml:space="preserve">(unpublished) </w:t>
            </w:r>
            <w:r w:rsidRPr="0035057E">
              <w:rPr>
                <w:i/>
              </w:rPr>
              <w:t xml:space="preserve">Australian Hospital Statistics </w:t>
            </w:r>
            <w:r>
              <w:rPr>
                <w:i/>
              </w:rPr>
              <w:t>2013</w:t>
            </w:r>
            <w:r>
              <w:rPr>
                <w:i/>
              </w:rPr>
              <w:noBreakHyphen/>
              <w:t>14</w:t>
            </w:r>
            <w:r>
              <w:t xml:space="preserve">; </w:t>
            </w:r>
            <w:r w:rsidRPr="0082749B">
              <w:t>table</w:t>
            </w:r>
            <w:r>
              <w:t> </w:t>
            </w:r>
            <w:proofErr w:type="spellStart"/>
            <w:r w:rsidR="004D576E">
              <w:t>3A.63</w:t>
            </w:r>
            <w:proofErr w:type="spellEnd"/>
            <w:r w:rsidRPr="00672505">
              <w:t>.</w:t>
            </w:r>
          </w:p>
        </w:tc>
      </w:tr>
      <w:tr w:rsidR="00010A0C" w:rsidTr="001D6CB9">
        <w:tc>
          <w:tcPr>
            <w:tcW w:w="8771" w:type="dxa"/>
            <w:tcBorders>
              <w:top w:val="nil"/>
              <w:left w:val="nil"/>
              <w:bottom w:val="single" w:sz="6" w:space="0" w:color="78A22F"/>
              <w:right w:val="nil"/>
            </w:tcBorders>
            <w:shd w:val="clear" w:color="auto" w:fill="auto"/>
          </w:tcPr>
          <w:p w:rsidR="00010A0C" w:rsidRDefault="00010A0C" w:rsidP="001D6CB9">
            <w:pPr>
              <w:pStyle w:val="Figurespace"/>
            </w:pPr>
          </w:p>
        </w:tc>
      </w:tr>
      <w:tr w:rsidR="00010A0C" w:rsidRPr="000863A5" w:rsidTr="001D6CB9">
        <w:tc>
          <w:tcPr>
            <w:tcW w:w="8771" w:type="dxa"/>
            <w:tcBorders>
              <w:top w:val="single" w:sz="6" w:space="0" w:color="78A22F"/>
              <w:left w:val="nil"/>
              <w:bottom w:val="nil"/>
              <w:right w:val="nil"/>
            </w:tcBorders>
          </w:tcPr>
          <w:p w:rsidR="00010A0C" w:rsidRPr="00626D32" w:rsidRDefault="00010A0C" w:rsidP="001D6CB9">
            <w:pPr>
              <w:pStyle w:val="BoxSpaceBelow"/>
            </w:pPr>
          </w:p>
        </w:tc>
      </w:tr>
    </w:tbl>
    <w:p w:rsidR="00E44D22" w:rsidRDefault="00793D46" w:rsidP="009B11B2">
      <w:pPr>
        <w:pStyle w:val="Heading3"/>
      </w:pPr>
      <w:r w:rsidRPr="00793D46">
        <w:lastRenderedPageBreak/>
        <w:t>Efficiency</w:t>
      </w:r>
    </w:p>
    <w:p w:rsidR="00BF3412" w:rsidRDefault="00BF3412" w:rsidP="00C3586E">
      <w:pPr>
        <w:pStyle w:val="BodyText"/>
      </w:pPr>
      <w:r w:rsidRPr="00BF3412">
        <w:t xml:space="preserve">Differences in reported efficiency results across jurisdictions </w:t>
      </w:r>
      <w:r w:rsidR="00922771">
        <w:t>can</w:t>
      </w:r>
      <w:r w:rsidRPr="00BF3412">
        <w:t xml:space="preserve"> reflect differences in counting and reporting rules for financial data and in reported expenditure</w:t>
      </w:r>
      <w:r w:rsidR="002E744B">
        <w:t xml:space="preserve"> (</w:t>
      </w:r>
      <w:r w:rsidRPr="00BF3412">
        <w:t>which are partly due to different treatments of various expenditure items</w:t>
      </w:r>
      <w:r w:rsidR="002E744B">
        <w:t>)</w:t>
      </w:r>
      <w:r w:rsidRPr="00BF3412">
        <w:t>. Information on the comparability of expenditure is shown in table</w:t>
      </w:r>
      <w:r w:rsidR="00172534">
        <w:t> </w:t>
      </w:r>
      <w:proofErr w:type="spellStart"/>
      <w:r w:rsidRPr="00ED622A">
        <w:t>3A.</w:t>
      </w:r>
      <w:r w:rsidR="0097041F" w:rsidRPr="00ED622A">
        <w:t>7</w:t>
      </w:r>
      <w:proofErr w:type="spellEnd"/>
      <w:r w:rsidR="00D4121C" w:rsidRPr="00ED622A">
        <w:t>.</w:t>
      </w:r>
    </w:p>
    <w:p w:rsidR="00BF3412" w:rsidRPr="006C2D97" w:rsidRDefault="00BF3412" w:rsidP="009B11B2">
      <w:pPr>
        <w:pStyle w:val="Heading4"/>
      </w:pPr>
      <w:r w:rsidRPr="00BF3412">
        <w:t xml:space="preserve">Inputs per output unit — total </w:t>
      </w:r>
      <w:r w:rsidRPr="006C2D97">
        <w:t xml:space="preserve">government </w:t>
      </w:r>
      <w:r w:rsidR="00BC6DA3" w:rsidRPr="006C2D97">
        <w:t xml:space="preserve">recurrent </w:t>
      </w:r>
      <w:r w:rsidRPr="006C2D97">
        <w:t>expenditure</w:t>
      </w:r>
      <w:r w:rsidR="000C52CE" w:rsidRPr="006C2D97">
        <w:t xml:space="preserve"> on </w:t>
      </w:r>
      <w:proofErr w:type="spellStart"/>
      <w:r w:rsidR="0018407E">
        <w:t>ECEC</w:t>
      </w:r>
      <w:proofErr w:type="spellEnd"/>
      <w:r w:rsidR="00DA5E19" w:rsidRPr="006C2D97">
        <w:t xml:space="preserve"> per child in the community</w:t>
      </w:r>
    </w:p>
    <w:p w:rsidR="00177F62" w:rsidRDefault="009D36AA" w:rsidP="00736511">
      <w:pPr>
        <w:pStyle w:val="BodyText"/>
      </w:pPr>
      <w:r w:rsidRPr="006C2D97">
        <w:t xml:space="preserve">‘Total government </w:t>
      </w:r>
      <w:r w:rsidR="003B5E34" w:rsidRPr="006C2D97">
        <w:t xml:space="preserve">recurrent </w:t>
      </w:r>
      <w:r w:rsidRPr="006C2D97">
        <w:t>expenditure</w:t>
      </w:r>
      <w:r w:rsidR="00D51F10" w:rsidRPr="006C2D97">
        <w:t xml:space="preserve"> on </w:t>
      </w:r>
      <w:proofErr w:type="spellStart"/>
      <w:r w:rsidR="0018407E">
        <w:t>ECEC</w:t>
      </w:r>
      <w:proofErr w:type="spellEnd"/>
      <w:r w:rsidR="00035038" w:rsidRPr="006C2D97">
        <w:t xml:space="preserve"> </w:t>
      </w:r>
      <w:r w:rsidRPr="006C2D97">
        <w:t xml:space="preserve">per child in the community’ is an indicator of governments’ </w:t>
      </w:r>
      <w:r w:rsidRPr="009D36AA">
        <w:t>objective to maximise the availability and quality of services throug</w:t>
      </w:r>
      <w:r w:rsidR="0068030A">
        <w:t xml:space="preserve">h the efficient use of public </w:t>
      </w:r>
      <w:r w:rsidRPr="009D36AA">
        <w:t xml:space="preserve">resources </w:t>
      </w:r>
      <w:r w:rsidR="00BF3412" w:rsidRPr="00BF3412">
        <w:t>(</w:t>
      </w:r>
      <w:r w:rsidR="00BF3412" w:rsidRPr="00F766E5">
        <w:t>box</w:t>
      </w:r>
      <w:r w:rsidR="00172534" w:rsidRPr="00F766E5">
        <w:t> </w:t>
      </w:r>
      <w:r w:rsidR="00D6543A" w:rsidRPr="00F766E5">
        <w:t>3.</w:t>
      </w:r>
      <w:r w:rsidR="004373CB">
        <w:t>21</w:t>
      </w:r>
      <w:r w:rsidR="00BF3412" w:rsidRPr="00F766E5">
        <w:t>).</w:t>
      </w:r>
    </w:p>
    <w:p w:rsidR="00177F62" w:rsidRDefault="00177F62">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177F62" w:rsidTr="00DB16AF">
        <w:tc>
          <w:tcPr>
            <w:tcW w:w="8771" w:type="dxa"/>
            <w:tcBorders>
              <w:top w:val="single" w:sz="6" w:space="0" w:color="78A22F"/>
              <w:left w:val="nil"/>
              <w:bottom w:val="nil"/>
              <w:right w:val="nil"/>
            </w:tcBorders>
            <w:shd w:val="clear" w:color="auto" w:fill="F2F2F2"/>
          </w:tcPr>
          <w:p w:rsidR="00177F62" w:rsidRDefault="00177F62" w:rsidP="000139A7">
            <w:pPr>
              <w:pStyle w:val="BoxTitle"/>
            </w:pPr>
            <w:r>
              <w:rPr>
                <w:b w:val="0"/>
              </w:rPr>
              <w:t xml:space="preserve">Box </w:t>
            </w:r>
            <w:r w:rsidR="000139A7">
              <w:rPr>
                <w:b w:val="0"/>
              </w:rPr>
              <w:t>3.</w:t>
            </w:r>
            <w:bookmarkStart w:id="71" w:name="OLE_LINK22"/>
            <w:r w:rsidR="000139A7">
              <w:rPr>
                <w:b w:val="0"/>
              </w:rPr>
              <w:t>2</w:t>
            </w:r>
            <w:bookmarkEnd w:id="71"/>
            <w:r w:rsidR="004373CB">
              <w:rPr>
                <w:b w:val="0"/>
              </w:rPr>
              <w:t>1</w:t>
            </w:r>
            <w:r>
              <w:tab/>
            </w:r>
            <w:r w:rsidRPr="00BF3412">
              <w:t xml:space="preserve">Total </w:t>
            </w:r>
            <w:r w:rsidRPr="006C2D97">
              <w:t xml:space="preserve">government recurrent expenditure </w:t>
            </w:r>
            <w:r>
              <w:t xml:space="preserve">on </w:t>
            </w:r>
            <w:proofErr w:type="spellStart"/>
            <w:r w:rsidR="0018407E">
              <w:t>ECEC</w:t>
            </w:r>
            <w:proofErr w:type="spellEnd"/>
            <w:r w:rsidRPr="006C2D97">
              <w:t xml:space="preserve"> </w:t>
            </w:r>
            <w:r>
              <w:t>per child in the community</w:t>
            </w:r>
          </w:p>
        </w:tc>
      </w:tr>
      <w:tr w:rsidR="00177F62" w:rsidTr="00DB16AF">
        <w:trPr>
          <w:cantSplit/>
        </w:trPr>
        <w:tc>
          <w:tcPr>
            <w:tcW w:w="8771" w:type="dxa"/>
            <w:tcBorders>
              <w:top w:val="nil"/>
              <w:left w:val="nil"/>
              <w:bottom w:val="nil"/>
              <w:right w:val="nil"/>
            </w:tcBorders>
            <w:shd w:val="clear" w:color="auto" w:fill="F2F2F2"/>
          </w:tcPr>
          <w:p w:rsidR="00177F62" w:rsidRDefault="00177F62" w:rsidP="00177F62">
            <w:pPr>
              <w:pStyle w:val="Box"/>
            </w:pPr>
            <w:r w:rsidRPr="00516B82">
              <w:t xml:space="preserve">‘Total </w:t>
            </w:r>
            <w:r w:rsidRPr="006C2D97">
              <w:t xml:space="preserve">government </w:t>
            </w:r>
            <w:r w:rsidRPr="008B42D1">
              <w:t xml:space="preserve">recurrent </w:t>
            </w:r>
            <w:r w:rsidRPr="006C2D97">
              <w:t xml:space="preserve">expenditure on </w:t>
            </w:r>
            <w:proofErr w:type="spellStart"/>
            <w:r w:rsidR="0018407E">
              <w:t>ECEC</w:t>
            </w:r>
            <w:proofErr w:type="spellEnd"/>
            <w:r w:rsidRPr="006C2D97">
              <w:t xml:space="preserve"> per child in the community’ is defined as </w:t>
            </w:r>
            <w:r w:rsidR="00D83FB4">
              <w:t xml:space="preserve">combined </w:t>
            </w:r>
            <w:r w:rsidRPr="006C2D97">
              <w:t xml:space="preserve">Australian Government and State and Territory government </w:t>
            </w:r>
            <w:r w:rsidRPr="008B42D1">
              <w:t>recurrent</w:t>
            </w:r>
            <w:r w:rsidRPr="006C2D97">
              <w:t xml:space="preserve"> expenditure on </w:t>
            </w:r>
            <w:proofErr w:type="spellStart"/>
            <w:r w:rsidR="0018407E">
              <w:t>ECEC</w:t>
            </w:r>
            <w:proofErr w:type="spellEnd"/>
            <w:r w:rsidRPr="006C2D97">
              <w:t xml:space="preserve"> per child aged 0–12 years in the community.</w:t>
            </w:r>
            <w:r>
              <w:t xml:space="preserve"> </w:t>
            </w:r>
          </w:p>
          <w:p w:rsidR="00177F62" w:rsidRDefault="00177F62" w:rsidP="00177F62">
            <w:pPr>
              <w:pStyle w:val="Box"/>
            </w:pPr>
            <w:r w:rsidRPr="00516B82">
              <w:t xml:space="preserve">All efficiency data </w:t>
            </w:r>
            <w:r>
              <w:t>should</w:t>
            </w:r>
            <w:r w:rsidRPr="00516B82">
              <w:t xml:space="preserve"> be interpreted with care. Changes in expenditure per child could represent changes in government funding policy. While high or increasing unit costs </w:t>
            </w:r>
            <w:r>
              <w:t>can</w:t>
            </w:r>
            <w:r w:rsidRPr="00516B82">
              <w:t xml:space="preserve"> reflect deteriorating efficiency, they </w:t>
            </w:r>
            <w:r>
              <w:t>can</w:t>
            </w:r>
            <w:r w:rsidRPr="00516B82">
              <w:t xml:space="preserve"> also reflect increases in the quality or quantity of service provided. Similarly, low or declining expenditure per child </w:t>
            </w:r>
            <w:r>
              <w:t>can</w:t>
            </w:r>
            <w:r w:rsidRPr="00516B82">
              <w:t xml:space="preserve"> reflect improving efficiency or lower quality or quantity. Provided the level and quality of,</w:t>
            </w:r>
            <w:r>
              <w:t xml:space="preserve"> and access to, services remain</w:t>
            </w:r>
            <w:r w:rsidRPr="00516B82">
              <w:t xml:space="preserve"> unchanged, lower expenditure per child can indicate greater efficiency of government expenditure.</w:t>
            </w:r>
          </w:p>
          <w:p w:rsidR="00177F62" w:rsidRDefault="00177F62" w:rsidP="00177F62">
            <w:pPr>
              <w:pStyle w:val="Box"/>
            </w:pPr>
            <w:r w:rsidRPr="006C2D97">
              <w:t xml:space="preserve">All Australian Government </w:t>
            </w:r>
            <w:r w:rsidRPr="008B42D1">
              <w:t>recurrent</w:t>
            </w:r>
            <w:r w:rsidRPr="006C2D97">
              <w:t xml:space="preserve"> expenditure reported for this indicator is provided for child care services, whereas State and Territory government </w:t>
            </w:r>
            <w:r w:rsidRPr="008B42D1">
              <w:t>recurrent</w:t>
            </w:r>
            <w:r w:rsidRPr="006C2D97">
              <w:t xml:space="preserve"> expenditure covers both child care and preschool services. Expenditure</w:t>
            </w:r>
            <w:r w:rsidRPr="00D51F10">
              <w:t xml:space="preserve"> data per child are reported separately for the Australian Government and each State and Territory government, as well as total expenditure per child</w:t>
            </w:r>
            <w:r>
              <w:t>.</w:t>
            </w:r>
          </w:p>
          <w:p w:rsidR="00177F62" w:rsidRDefault="00177F62" w:rsidP="0008693D">
            <w:pPr>
              <w:pStyle w:val="Box"/>
            </w:pPr>
            <w:r w:rsidRPr="0075483D">
              <w:t xml:space="preserve">Government expenditure includes </w:t>
            </w:r>
            <w:r>
              <w:t xml:space="preserve">recurrent expenditure </w:t>
            </w:r>
            <w:r w:rsidRPr="0075483D">
              <w:t xml:space="preserve">on child care and preschool services. Unit cost data for </w:t>
            </w:r>
            <w:proofErr w:type="spellStart"/>
            <w:r w:rsidR="0018407E">
              <w:t>ECEC</w:t>
            </w:r>
            <w:proofErr w:type="spellEnd"/>
            <w:r w:rsidRPr="006C2D97">
              <w:t xml:space="preserve"> </w:t>
            </w:r>
            <w:r w:rsidR="00A73179">
              <w:t xml:space="preserve">do not </w:t>
            </w:r>
            <w:r w:rsidRPr="0075483D">
              <w:t>contain an estimate of user cost of capital.</w:t>
            </w:r>
          </w:p>
          <w:p w:rsidR="00177F62" w:rsidRPr="006B1681" w:rsidRDefault="00A91405" w:rsidP="0008693D">
            <w:pPr>
              <w:pStyle w:val="Box"/>
            </w:pPr>
            <w:r w:rsidRPr="006B1681">
              <w:t>Data reported for this measure</w:t>
            </w:r>
            <w:r w:rsidR="00177F62" w:rsidRPr="006B1681">
              <w:t xml:space="preserve"> are:</w:t>
            </w:r>
          </w:p>
          <w:p w:rsidR="000F6D92" w:rsidRDefault="000F6D92" w:rsidP="0008693D">
            <w:pPr>
              <w:pStyle w:val="BoxListBullet"/>
            </w:pPr>
            <w:r>
              <w:t>c</w:t>
            </w:r>
            <w:r w:rsidRPr="00CE7EF1">
              <w:t>omparable (subject to caveats) within jurisdictions over time but are not c</w:t>
            </w:r>
            <w:r>
              <w:t>omparable across jurisdictions</w:t>
            </w:r>
          </w:p>
          <w:p w:rsidR="00177F62" w:rsidRPr="006B1681" w:rsidRDefault="00177F62" w:rsidP="00177F62">
            <w:pPr>
              <w:pStyle w:val="BoxListBullet"/>
            </w:pPr>
            <w:r w:rsidRPr="006B1681">
              <w:t>complete (subject to caveats) for the current reporting perio</w:t>
            </w:r>
            <w:r w:rsidR="00817E90" w:rsidRPr="006B1681">
              <w:t>d. All requir</w:t>
            </w:r>
            <w:r w:rsidR="00591388" w:rsidRPr="006B1681">
              <w:t>ed 2014</w:t>
            </w:r>
            <w:r w:rsidR="00591388" w:rsidRPr="006B1681">
              <w:noBreakHyphen/>
              <w:t>15</w:t>
            </w:r>
            <w:r w:rsidR="00817E90" w:rsidRPr="006B1681">
              <w:t xml:space="preserve"> data are </w:t>
            </w:r>
            <w:r w:rsidRPr="006B1681">
              <w:t>available for all jurisdictions</w:t>
            </w:r>
            <w:r w:rsidR="00817E90" w:rsidRPr="006B1681">
              <w:t>.</w:t>
            </w:r>
            <w:r w:rsidRPr="006B1681">
              <w:t xml:space="preserve"> </w:t>
            </w:r>
          </w:p>
          <w:p w:rsidR="00177F62" w:rsidRDefault="00177F62" w:rsidP="00177F62">
            <w:pPr>
              <w:pStyle w:val="Box"/>
            </w:pPr>
            <w:r>
              <w:rPr>
                <w:rFonts w:cs="Arial"/>
                <w:szCs w:val="26"/>
              </w:rPr>
              <w:t>Data quality information for this indicator</w:t>
            </w:r>
            <w:r w:rsidRPr="00BC652D">
              <w:rPr>
                <w:rFonts w:cs="Arial"/>
                <w:szCs w:val="26"/>
              </w:rPr>
              <w:t xml:space="preserve"> is at </w:t>
            </w:r>
            <w:proofErr w:type="spellStart"/>
            <w:r w:rsidRPr="00BC652D">
              <w:rPr>
                <w:rFonts w:cs="Arial"/>
                <w:szCs w:val="26"/>
              </w:rPr>
              <w:t>www</w:t>
            </w:r>
            <w:r w:rsidR="003F4FDF">
              <w:rPr>
                <w:rFonts w:cs="Arial"/>
                <w:szCs w:val="26"/>
              </w:rPr>
              <w:t>.pc.gov.au</w:t>
            </w:r>
            <w:proofErr w:type="spellEnd"/>
            <w:r w:rsidR="003F4FDF">
              <w:rPr>
                <w:rFonts w:cs="Arial"/>
                <w:szCs w:val="26"/>
              </w:rPr>
              <w:t>/</w:t>
            </w:r>
            <w:proofErr w:type="spellStart"/>
            <w:r>
              <w:rPr>
                <w:rFonts w:cs="Arial"/>
                <w:szCs w:val="26"/>
              </w:rPr>
              <w:t>rogs</w:t>
            </w:r>
            <w:proofErr w:type="spellEnd"/>
            <w:r>
              <w:rPr>
                <w:rFonts w:cs="Arial"/>
                <w:szCs w:val="26"/>
              </w:rPr>
              <w:t>/</w:t>
            </w:r>
            <w:r w:rsidR="00CB534C">
              <w:rPr>
                <w:rFonts w:cs="Arial"/>
                <w:szCs w:val="26"/>
              </w:rPr>
              <w:t>2016</w:t>
            </w:r>
            <w:r w:rsidRPr="00BC652D">
              <w:rPr>
                <w:rFonts w:cs="Arial"/>
                <w:szCs w:val="26"/>
              </w:rPr>
              <w:t>.</w:t>
            </w:r>
          </w:p>
        </w:tc>
      </w:tr>
      <w:tr w:rsidR="00177F62" w:rsidTr="00DB16AF">
        <w:trPr>
          <w:cantSplit/>
        </w:trPr>
        <w:tc>
          <w:tcPr>
            <w:tcW w:w="8771" w:type="dxa"/>
            <w:tcBorders>
              <w:top w:val="nil"/>
              <w:left w:val="nil"/>
              <w:bottom w:val="single" w:sz="6" w:space="0" w:color="78A22F"/>
              <w:right w:val="nil"/>
            </w:tcBorders>
            <w:shd w:val="clear" w:color="auto" w:fill="F2F2F2"/>
          </w:tcPr>
          <w:p w:rsidR="00177F62" w:rsidRDefault="00177F62">
            <w:pPr>
              <w:pStyle w:val="Box"/>
              <w:spacing w:before="0" w:line="120" w:lineRule="exact"/>
            </w:pPr>
          </w:p>
        </w:tc>
      </w:tr>
      <w:tr w:rsidR="00177F62" w:rsidRPr="000863A5" w:rsidTr="00DB16AF">
        <w:tc>
          <w:tcPr>
            <w:tcW w:w="8771" w:type="dxa"/>
            <w:tcBorders>
              <w:top w:val="single" w:sz="6" w:space="0" w:color="78A22F"/>
              <w:left w:val="nil"/>
              <w:bottom w:val="nil"/>
              <w:right w:val="nil"/>
            </w:tcBorders>
          </w:tcPr>
          <w:p w:rsidR="00177F62" w:rsidRPr="00626D32" w:rsidRDefault="00177F62" w:rsidP="00DB16AF">
            <w:pPr>
              <w:pStyle w:val="BoxSpaceBelow"/>
            </w:pPr>
          </w:p>
        </w:tc>
      </w:tr>
    </w:tbl>
    <w:p w:rsidR="00BE503C" w:rsidRPr="002A619D" w:rsidRDefault="00A309B6" w:rsidP="00171F72">
      <w:pPr>
        <w:pStyle w:val="BodyText"/>
      </w:pPr>
      <w:r w:rsidRPr="00CE541D">
        <w:t xml:space="preserve">Nationally in </w:t>
      </w:r>
      <w:r>
        <w:rPr>
          <w:shd w:val="clear" w:color="auto" w:fill="FFFFFF" w:themeFill="background1"/>
        </w:rPr>
        <w:t>2014</w:t>
      </w:r>
      <w:r>
        <w:rPr>
          <w:shd w:val="clear" w:color="auto" w:fill="FFFFFF" w:themeFill="background1"/>
        </w:rPr>
        <w:noBreakHyphen/>
        <w:t>15</w:t>
      </w:r>
      <w:r w:rsidRPr="00CE541D">
        <w:t xml:space="preserve">, </w:t>
      </w:r>
      <w:r>
        <w:t>Australian Government</w:t>
      </w:r>
      <w:r w:rsidRPr="00D4121C">
        <w:t xml:space="preserve"> recurrent expenditure </w:t>
      </w:r>
      <w:r w:rsidRPr="005E1AE6">
        <w:t>was $</w:t>
      </w:r>
      <w:r w:rsidR="005E1AE6" w:rsidRPr="005E1AE6">
        <w:t>1824</w:t>
      </w:r>
      <w:r w:rsidRPr="005E1AE6">
        <w:t xml:space="preserve"> </w:t>
      </w:r>
      <w:r w:rsidR="00D83FB4">
        <w:t>per child</w:t>
      </w:r>
      <w:r w:rsidRPr="005516C2">
        <w:t xml:space="preserve">, </w:t>
      </w:r>
      <w:r w:rsidRPr="00D4121C">
        <w:t>inc</w:t>
      </w:r>
      <w:r>
        <w:t xml:space="preserve">reasing </w:t>
      </w:r>
      <w:r w:rsidRPr="005516C2">
        <w:t>from $</w:t>
      </w:r>
      <w:r w:rsidR="005E1AE6" w:rsidRPr="005E1AE6">
        <w:t>1244</w:t>
      </w:r>
      <w:r w:rsidRPr="005E1AE6">
        <w:t xml:space="preserve"> </w:t>
      </w:r>
      <w:r w:rsidRPr="005516C2">
        <w:t xml:space="preserve">in </w:t>
      </w:r>
      <w:r>
        <w:t>2010</w:t>
      </w:r>
      <w:r>
        <w:noBreakHyphen/>
        <w:t>11</w:t>
      </w:r>
      <w:r w:rsidR="00F07C6E">
        <w:t xml:space="preserve"> (table </w:t>
      </w:r>
      <w:proofErr w:type="spellStart"/>
      <w:r w:rsidR="00F07C6E">
        <w:t>3A.64</w:t>
      </w:r>
      <w:proofErr w:type="spellEnd"/>
      <w:r w:rsidR="00D83FB4">
        <w:t>)</w:t>
      </w:r>
      <w:r w:rsidRPr="00D4121C">
        <w:t>.</w:t>
      </w:r>
      <w:r>
        <w:t xml:space="preserve"> </w:t>
      </w:r>
      <w:r w:rsidR="00D83FB4">
        <w:t xml:space="preserve">Australian Government real recurrent </w:t>
      </w:r>
      <w:r w:rsidR="00D83FB4">
        <w:lastRenderedPageBreak/>
        <w:t>expenditure on child care per child has increased each year in the past ten years, except from</w:t>
      </w:r>
      <w:r w:rsidR="004D576E">
        <w:t xml:space="preserve"> 2008</w:t>
      </w:r>
      <w:r w:rsidR="004D576E">
        <w:noBreakHyphen/>
        <w:t>09 to 2009</w:t>
      </w:r>
      <w:r w:rsidR="004D576E">
        <w:noBreakHyphen/>
        <w:t>10 (table</w:t>
      </w:r>
      <w:r w:rsidR="00697D43">
        <w:t> </w:t>
      </w:r>
      <w:proofErr w:type="spellStart"/>
      <w:r w:rsidR="004D576E">
        <w:t>3A.64</w:t>
      </w:r>
      <w:proofErr w:type="spellEnd"/>
      <w:r w:rsidR="00D83FB4">
        <w:t xml:space="preserve">). </w:t>
      </w:r>
    </w:p>
    <w:p w:rsidR="00315DE8" w:rsidRPr="00466FD9" w:rsidRDefault="00BF3412" w:rsidP="00681635">
      <w:pPr>
        <w:pStyle w:val="BodyText"/>
      </w:pPr>
      <w:r>
        <w:t xml:space="preserve">Data were </w:t>
      </w:r>
      <w:r w:rsidR="00201ACB">
        <w:t>supplied by</w:t>
      </w:r>
      <w:r>
        <w:t xml:space="preserve"> all State and Territory gov</w:t>
      </w:r>
      <w:r w:rsidR="00F2327C">
        <w:t xml:space="preserve">ernments on their expenditure for </w:t>
      </w:r>
      <w:proofErr w:type="spellStart"/>
      <w:r w:rsidR="00A73179">
        <w:t>ECEC</w:t>
      </w:r>
      <w:proofErr w:type="spellEnd"/>
      <w:r w:rsidR="00A73179">
        <w:t xml:space="preserve"> (</w:t>
      </w:r>
      <w:r w:rsidR="00F2327C">
        <w:t>both child care and preschool services</w:t>
      </w:r>
      <w:r w:rsidR="00A73179">
        <w:t>)</w:t>
      </w:r>
      <w:r>
        <w:t>.</w:t>
      </w:r>
      <w:r w:rsidR="00A7340E">
        <w:t xml:space="preserve"> D</w:t>
      </w:r>
      <w:r w:rsidR="004225A8">
        <w:t>iffering collection methods</w:t>
      </w:r>
      <w:r>
        <w:t xml:space="preserve"> and changes </w:t>
      </w:r>
      <w:r w:rsidR="004225A8">
        <w:t>to policies</w:t>
      </w:r>
      <w:r>
        <w:t xml:space="preserve"> make it difficult to compare expenditure across jurisdictions and over time. </w:t>
      </w:r>
      <w:r w:rsidR="00B926F2" w:rsidRPr="00CE541D">
        <w:t xml:space="preserve">Nationally in </w:t>
      </w:r>
      <w:r w:rsidR="00591388">
        <w:rPr>
          <w:shd w:val="clear" w:color="auto" w:fill="FFFFFF" w:themeFill="background1"/>
        </w:rPr>
        <w:t>2014</w:t>
      </w:r>
      <w:r w:rsidR="00172534">
        <w:rPr>
          <w:shd w:val="clear" w:color="auto" w:fill="FFFFFF" w:themeFill="background1"/>
        </w:rPr>
        <w:noBreakHyphen/>
      </w:r>
      <w:r w:rsidR="00591388">
        <w:rPr>
          <w:shd w:val="clear" w:color="auto" w:fill="FFFFFF" w:themeFill="background1"/>
        </w:rPr>
        <w:t>15</w:t>
      </w:r>
      <w:r w:rsidR="00B926F2" w:rsidRPr="00CE541D">
        <w:t xml:space="preserve">, </w:t>
      </w:r>
      <w:r w:rsidR="001D28A8" w:rsidRPr="00D4121C">
        <w:t xml:space="preserve">State and Territory government </w:t>
      </w:r>
      <w:r w:rsidR="00947274" w:rsidRPr="00D4121C">
        <w:t xml:space="preserve">recurrent </w:t>
      </w:r>
      <w:r w:rsidR="001D28A8" w:rsidRPr="00D4121C">
        <w:t xml:space="preserve">expenditure </w:t>
      </w:r>
      <w:r w:rsidR="00B926F2" w:rsidRPr="00D4121C">
        <w:t xml:space="preserve">was </w:t>
      </w:r>
      <w:r w:rsidR="00160C35" w:rsidRPr="00567809">
        <w:t>$</w:t>
      </w:r>
      <w:r w:rsidR="003742F0" w:rsidRPr="003742F0">
        <w:t>365</w:t>
      </w:r>
      <w:r w:rsidR="00435E77">
        <w:t> </w:t>
      </w:r>
      <w:r w:rsidR="008B0AF5">
        <w:t>per </w:t>
      </w:r>
      <w:r w:rsidR="00315DE8">
        <w:t>child</w:t>
      </w:r>
      <w:r w:rsidR="00580100" w:rsidRPr="005516C2">
        <w:t xml:space="preserve">, </w:t>
      </w:r>
      <w:r w:rsidR="00D4121C" w:rsidRPr="00D4121C">
        <w:t>inc</w:t>
      </w:r>
      <w:r w:rsidR="00972A43">
        <w:t xml:space="preserve">reasing </w:t>
      </w:r>
      <w:r w:rsidR="00972A43" w:rsidRPr="003742F0">
        <w:t>from $</w:t>
      </w:r>
      <w:r w:rsidR="003742F0" w:rsidRPr="003742F0">
        <w:t>275</w:t>
      </w:r>
      <w:r w:rsidR="00972A43" w:rsidRPr="003742F0">
        <w:t xml:space="preserve"> in </w:t>
      </w:r>
      <w:r w:rsidR="00591388">
        <w:t>2010</w:t>
      </w:r>
      <w:r w:rsidR="00172534">
        <w:noBreakHyphen/>
      </w:r>
      <w:r w:rsidR="00591388">
        <w:t>11</w:t>
      </w:r>
      <w:r w:rsidR="00F07C6E">
        <w:t xml:space="preserve"> (table </w:t>
      </w:r>
      <w:proofErr w:type="spellStart"/>
      <w:r w:rsidR="00F07C6E">
        <w:t>3A.65</w:t>
      </w:r>
      <w:proofErr w:type="spellEnd"/>
      <w:r w:rsidR="00315DE8">
        <w:t>)</w:t>
      </w:r>
      <w:r w:rsidR="00160C35" w:rsidRPr="00D4121C">
        <w:t>.</w:t>
      </w:r>
      <w:r w:rsidR="00315DE8" w:rsidRPr="00315DE8">
        <w:t xml:space="preserve"> </w:t>
      </w:r>
    </w:p>
    <w:p w:rsidR="00C111BA" w:rsidRPr="00121AB8" w:rsidRDefault="002568C1" w:rsidP="00171F72">
      <w:pPr>
        <w:pStyle w:val="BodyText"/>
      </w:pPr>
      <w:r w:rsidRPr="002A619D">
        <w:t>Figure</w:t>
      </w:r>
      <w:r w:rsidR="00172534">
        <w:t> </w:t>
      </w:r>
      <w:r w:rsidR="00F07C6E">
        <w:t>3.18</w:t>
      </w:r>
      <w:r w:rsidR="006223A0" w:rsidRPr="00226054">
        <w:t xml:space="preserve"> </w:t>
      </w:r>
      <w:r w:rsidRPr="002A619D">
        <w:t xml:space="preserve">shows </w:t>
      </w:r>
      <w:r w:rsidRPr="002568C1">
        <w:t xml:space="preserve">the </w:t>
      </w:r>
      <w:r w:rsidRPr="006C2D97">
        <w:t xml:space="preserve">combined </w:t>
      </w:r>
      <w:r w:rsidR="00A73179">
        <w:t xml:space="preserve">real </w:t>
      </w:r>
      <w:r w:rsidR="003B0303" w:rsidRPr="006C2D97">
        <w:t xml:space="preserve">recurrent </w:t>
      </w:r>
      <w:r w:rsidRPr="006C2D97">
        <w:t xml:space="preserve">expenditure </w:t>
      </w:r>
      <w:r w:rsidR="00A73179">
        <w:t xml:space="preserve">on </w:t>
      </w:r>
      <w:proofErr w:type="spellStart"/>
      <w:r w:rsidR="00A73179">
        <w:t>ECEC</w:t>
      </w:r>
      <w:proofErr w:type="spellEnd"/>
      <w:r w:rsidR="00A73179">
        <w:t xml:space="preserve"> </w:t>
      </w:r>
      <w:r w:rsidRPr="006C2D97">
        <w:t>from both the Australian Government and the State and Territory governments per child</w:t>
      </w:r>
      <w:r w:rsidR="00B110C7" w:rsidRPr="006C2D97">
        <w:t xml:space="preserve"> in the community</w:t>
      </w:r>
      <w:r w:rsidRPr="006C2D97">
        <w:t xml:space="preserve"> aged</w:t>
      </w:r>
      <w:r w:rsidR="00516B82" w:rsidRPr="006C2D97">
        <w:t xml:space="preserve"> </w:t>
      </w:r>
      <w:r w:rsidR="002819A6">
        <w:t xml:space="preserve">0–12 </w:t>
      </w:r>
      <w:r w:rsidR="005F4881">
        <w:t xml:space="preserve">years in </w:t>
      </w:r>
      <w:r w:rsidRPr="006C2D97">
        <w:t xml:space="preserve"> </w:t>
      </w:r>
      <w:r w:rsidR="00681ADB" w:rsidRPr="006C2D97">
        <w:t>201</w:t>
      </w:r>
      <w:r w:rsidR="00591388">
        <w:t>4</w:t>
      </w:r>
      <w:r w:rsidR="00172534">
        <w:noBreakHyphen/>
      </w:r>
      <w:r w:rsidR="00EB1219" w:rsidRPr="006C2D97">
        <w:t>1</w:t>
      </w:r>
      <w:r w:rsidR="00591388">
        <w:t>5</w:t>
      </w:r>
      <w:r w:rsidRPr="006C2D97">
        <w:t>.</w:t>
      </w:r>
      <w:r w:rsidR="00C111BA" w:rsidRPr="006C2D97">
        <w:t xml:space="preserve"> </w:t>
      </w:r>
      <w:r w:rsidR="00732620" w:rsidRPr="006C2D97">
        <w:t>Nationally</w:t>
      </w:r>
      <w:r w:rsidR="0068030A">
        <w:t>,</w:t>
      </w:r>
      <w:r w:rsidR="00732620" w:rsidRPr="006C2D97">
        <w:t xml:space="preserve"> </w:t>
      </w:r>
      <w:r w:rsidR="00681ADB" w:rsidRPr="006C2D97">
        <w:t xml:space="preserve">the combined </w:t>
      </w:r>
      <w:r w:rsidR="003B0303" w:rsidRPr="006C2D97">
        <w:t xml:space="preserve">recurrent </w:t>
      </w:r>
      <w:r w:rsidR="00681ADB" w:rsidRPr="006C2D97">
        <w:t xml:space="preserve">expenditure </w:t>
      </w:r>
      <w:r w:rsidR="00A73179">
        <w:t xml:space="preserve">on </w:t>
      </w:r>
      <w:proofErr w:type="spellStart"/>
      <w:r w:rsidR="00A73179">
        <w:t>ECEC</w:t>
      </w:r>
      <w:proofErr w:type="spellEnd"/>
      <w:r w:rsidR="00A73179">
        <w:t xml:space="preserve"> </w:t>
      </w:r>
      <w:r w:rsidR="00C8641A">
        <w:t xml:space="preserve">per child </w:t>
      </w:r>
      <w:r w:rsidR="00681ADB" w:rsidRPr="007116F0">
        <w:t xml:space="preserve">was </w:t>
      </w:r>
      <w:r w:rsidR="00972A43" w:rsidRPr="007116F0">
        <w:t>$</w:t>
      </w:r>
      <w:r w:rsidR="00C8641A" w:rsidRPr="00C8641A">
        <w:t>2188</w:t>
      </w:r>
      <w:r w:rsidR="00732620" w:rsidRPr="00C8641A">
        <w:t xml:space="preserve"> in </w:t>
      </w:r>
      <w:r w:rsidR="00591388" w:rsidRPr="00C8641A">
        <w:t>2014</w:t>
      </w:r>
      <w:r w:rsidR="00172534" w:rsidRPr="00C8641A">
        <w:noBreakHyphen/>
      </w:r>
      <w:r w:rsidR="00591388" w:rsidRPr="00C8641A">
        <w:t>15</w:t>
      </w:r>
      <w:r w:rsidR="00DB0CC6" w:rsidRPr="00C8641A">
        <w:t xml:space="preserve">, </w:t>
      </w:r>
      <w:r w:rsidR="00847D66" w:rsidRPr="00C8641A">
        <w:t>an</w:t>
      </w:r>
      <w:r w:rsidR="002D438E">
        <w:t xml:space="preserve"> </w:t>
      </w:r>
      <w:r w:rsidR="00847D66" w:rsidRPr="00C8641A">
        <w:t xml:space="preserve">increase of </w:t>
      </w:r>
      <w:r w:rsidR="00972A43" w:rsidRPr="00C8641A">
        <w:t>$</w:t>
      </w:r>
      <w:r w:rsidR="00C8641A" w:rsidRPr="00C8641A">
        <w:t>670</w:t>
      </w:r>
      <w:r w:rsidR="00DB0CC6" w:rsidRPr="00C8641A">
        <w:t xml:space="preserve"> since </w:t>
      </w:r>
      <w:r w:rsidR="00591388">
        <w:t>2010</w:t>
      </w:r>
      <w:r w:rsidR="00172534">
        <w:noBreakHyphen/>
      </w:r>
      <w:r w:rsidR="00591388">
        <w:t>11</w:t>
      </w:r>
      <w:r w:rsidR="007F32D4">
        <w:t xml:space="preserve"> (</w:t>
      </w:r>
      <w:r w:rsidR="002840CD">
        <w:t>figure 3.18</w:t>
      </w:r>
      <w:r w:rsidR="007F32D4">
        <w:t>)</w:t>
      </w:r>
      <w:r w:rsidR="00732620" w:rsidRPr="00121AB8">
        <w:t>.</w:t>
      </w:r>
    </w:p>
    <w:p w:rsidR="00E03DBC" w:rsidRDefault="00E03DBC" w:rsidP="002C08A9">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E03DBC" w:rsidRPr="006B1681" w:rsidTr="007116F0">
        <w:tc>
          <w:tcPr>
            <w:tcW w:w="8771" w:type="dxa"/>
            <w:tcBorders>
              <w:top w:val="single" w:sz="6" w:space="0" w:color="78A22F"/>
              <w:left w:val="nil"/>
              <w:bottom w:val="nil"/>
              <w:right w:val="nil"/>
            </w:tcBorders>
            <w:shd w:val="clear" w:color="auto" w:fill="auto"/>
          </w:tcPr>
          <w:p w:rsidR="00E03DBC" w:rsidRPr="006B1681" w:rsidRDefault="00E03DBC" w:rsidP="002840CD">
            <w:pPr>
              <w:pStyle w:val="FigureTitle"/>
            </w:pPr>
            <w:r w:rsidRPr="006B1681">
              <w:rPr>
                <w:b w:val="0"/>
              </w:rPr>
              <w:t>Figure 3.</w:t>
            </w:r>
            <w:r w:rsidR="00F07C6E" w:rsidRPr="006B1681">
              <w:rPr>
                <w:b w:val="0"/>
              </w:rPr>
              <w:t>18</w:t>
            </w:r>
            <w:r w:rsidRPr="006B1681">
              <w:tab/>
              <w:t xml:space="preserve">Total government real recurrent expenditure on </w:t>
            </w:r>
            <w:proofErr w:type="spellStart"/>
            <w:r w:rsidR="0018407E" w:rsidRPr="006B1681">
              <w:t>ECEC</w:t>
            </w:r>
            <w:proofErr w:type="spellEnd"/>
            <w:r w:rsidRPr="006B1681">
              <w:t xml:space="preserve"> per chi</w:t>
            </w:r>
            <w:r w:rsidR="00DD2CA1" w:rsidRPr="006B1681">
              <w:t>ld aged 0–12 years</w:t>
            </w:r>
            <w:r w:rsidR="00516AB9" w:rsidRPr="006B1681">
              <w:rPr>
                <w:rStyle w:val="NoteLabel"/>
                <w:b/>
              </w:rPr>
              <w:t>a</w:t>
            </w:r>
          </w:p>
        </w:tc>
      </w:tr>
      <w:tr w:rsidR="00E03DBC" w:rsidRPr="006B1681" w:rsidTr="007116F0">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E03DBC" w:rsidRPr="006B1681" w:rsidTr="0008693D">
              <w:trPr>
                <w:jc w:val="center"/>
              </w:trPr>
              <w:tc>
                <w:tcPr>
                  <w:tcW w:w="5000" w:type="pct"/>
                  <w:tcBorders>
                    <w:top w:val="nil"/>
                    <w:bottom w:val="nil"/>
                  </w:tcBorders>
                  <w:shd w:val="clear" w:color="auto" w:fill="auto"/>
                </w:tcPr>
                <w:p w:rsidR="00E03DBC" w:rsidRPr="00941603" w:rsidRDefault="00B337E3" w:rsidP="00941603">
                  <w:pPr>
                    <w:pStyle w:val="Figure"/>
                  </w:pPr>
                  <w:r>
                    <w:rPr>
                      <w:noProof/>
                    </w:rPr>
                    <w:drawing>
                      <wp:inline distT="0" distB="0" distL="0" distR="0">
                        <wp:extent cx="5390515" cy="2689860"/>
                        <wp:effectExtent l="0" t="0" r="635" b="0"/>
                        <wp:docPr id="17" name="Picture 17" descr="Figure 3.18 Total government real recurrent expenditure on ECEC per child aged 0–12 years&#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5390515" cy="2689860"/>
                                </a:xfrm>
                                <a:prstGeom prst="rect">
                                  <a:avLst/>
                                </a:prstGeom>
                                <a:noFill/>
                                <a:ln>
                                  <a:noFill/>
                                </a:ln>
                              </pic:spPr>
                            </pic:pic>
                          </a:graphicData>
                        </a:graphic>
                      </wp:inline>
                    </w:drawing>
                  </w:r>
                </w:p>
              </w:tc>
            </w:tr>
          </w:tbl>
          <w:p w:rsidR="00E03DBC" w:rsidRPr="006B1681" w:rsidRDefault="00E03DBC" w:rsidP="002C08A9">
            <w:pPr>
              <w:pStyle w:val="Figure"/>
            </w:pPr>
          </w:p>
        </w:tc>
      </w:tr>
      <w:tr w:rsidR="00E03DBC" w:rsidRPr="006B1681" w:rsidTr="002C08A9">
        <w:tc>
          <w:tcPr>
            <w:tcW w:w="8771" w:type="dxa"/>
            <w:tcBorders>
              <w:top w:val="nil"/>
              <w:left w:val="nil"/>
              <w:bottom w:val="nil"/>
              <w:right w:val="nil"/>
            </w:tcBorders>
            <w:shd w:val="clear" w:color="auto" w:fill="auto"/>
          </w:tcPr>
          <w:p w:rsidR="00E03DBC" w:rsidRPr="006B1681" w:rsidRDefault="00E03DBC" w:rsidP="00516AB9">
            <w:pPr>
              <w:pStyle w:val="Note"/>
            </w:pPr>
            <w:r w:rsidRPr="006B1681">
              <w:rPr>
                <w:rStyle w:val="NoteLabel"/>
              </w:rPr>
              <w:t>a</w:t>
            </w:r>
            <w:r w:rsidR="00516AB9" w:rsidRPr="006B1681">
              <w:t xml:space="preserve"> </w:t>
            </w:r>
            <w:r w:rsidR="00B061E6" w:rsidRPr="006B1681">
              <w:rPr>
                <w:rStyle w:val="NoteChar"/>
              </w:rPr>
              <w:t>See box</w:t>
            </w:r>
            <w:r w:rsidR="00697D43" w:rsidRPr="006B1681">
              <w:rPr>
                <w:rStyle w:val="NoteChar"/>
              </w:rPr>
              <w:t> </w:t>
            </w:r>
            <w:r w:rsidR="00B061E6" w:rsidRPr="006B1681">
              <w:rPr>
                <w:rStyle w:val="NoteChar"/>
              </w:rPr>
              <w:t>3.21 and table</w:t>
            </w:r>
            <w:r w:rsidR="00697D43" w:rsidRPr="006B1681">
              <w:rPr>
                <w:rStyle w:val="NoteChar"/>
              </w:rPr>
              <w:t> </w:t>
            </w:r>
            <w:proofErr w:type="spellStart"/>
            <w:r w:rsidR="00B061E6" w:rsidRPr="006B1681">
              <w:rPr>
                <w:rStyle w:val="NoteChar"/>
              </w:rPr>
              <w:t>3A.</w:t>
            </w:r>
            <w:r w:rsidR="004D576E" w:rsidRPr="006B1681">
              <w:rPr>
                <w:rStyle w:val="NoteChar"/>
              </w:rPr>
              <w:t>66</w:t>
            </w:r>
            <w:proofErr w:type="spellEnd"/>
            <w:r w:rsidR="00B061E6" w:rsidRPr="006B1681">
              <w:rPr>
                <w:rStyle w:val="NoteChar"/>
              </w:rPr>
              <w:t xml:space="preserve"> for </w:t>
            </w:r>
            <w:r w:rsidR="00937F53" w:rsidRPr="006B1681">
              <w:rPr>
                <w:rStyle w:val="NoteChar"/>
              </w:rPr>
              <w:t>detailed definitions, footnotes and caveats.</w:t>
            </w:r>
          </w:p>
        </w:tc>
      </w:tr>
      <w:tr w:rsidR="00E03DBC" w:rsidRPr="00176D3F" w:rsidTr="002C08A9">
        <w:tc>
          <w:tcPr>
            <w:tcW w:w="8771" w:type="dxa"/>
            <w:tcBorders>
              <w:top w:val="nil"/>
              <w:left w:val="nil"/>
              <w:bottom w:val="nil"/>
              <w:right w:val="nil"/>
            </w:tcBorders>
            <w:shd w:val="clear" w:color="auto" w:fill="auto"/>
          </w:tcPr>
          <w:p w:rsidR="00E03DBC" w:rsidRPr="006B1681" w:rsidRDefault="00E03DBC" w:rsidP="003379E2">
            <w:pPr>
              <w:pStyle w:val="Source"/>
            </w:pPr>
            <w:r w:rsidRPr="006B1681">
              <w:rPr>
                <w:i/>
              </w:rPr>
              <w:t>Source</w:t>
            </w:r>
            <w:r w:rsidRPr="006B1681">
              <w:t xml:space="preserve">: </w:t>
            </w:r>
            <w:r w:rsidR="00177F62" w:rsidRPr="006B1681">
              <w:t>Australian Government</w:t>
            </w:r>
            <w:r w:rsidR="005C78F6" w:rsidRPr="006B1681">
              <w:t xml:space="preserve"> </w:t>
            </w:r>
            <w:r w:rsidRPr="006B1681">
              <w:t>Depar</w:t>
            </w:r>
            <w:r w:rsidR="00516AB9" w:rsidRPr="006B1681">
              <w:t>tment of Education and Training</w:t>
            </w:r>
            <w:r w:rsidRPr="006B1681">
              <w:t xml:space="preserve"> (unpublished); State and Territory governments (unpublished); ABS (unpublished) </w:t>
            </w:r>
            <w:r w:rsidRPr="006B1681">
              <w:rPr>
                <w:i/>
              </w:rPr>
              <w:t>Australian Demographic Statistics</w:t>
            </w:r>
            <w:r w:rsidRPr="006B1681">
              <w:t xml:space="preserve">, </w:t>
            </w:r>
            <w:r w:rsidR="00C079F5" w:rsidRPr="006B1681">
              <w:rPr>
                <w:i/>
              </w:rPr>
              <w:t>Dec 2014 (and previous editions</w:t>
            </w:r>
            <w:r w:rsidR="00C079F5" w:rsidRPr="006B1681">
              <w:t xml:space="preserve">), </w:t>
            </w:r>
            <w:r w:rsidR="00C42F50" w:rsidRPr="006B1681">
              <w:t>Cat. no. 3101.0; table</w:t>
            </w:r>
            <w:r w:rsidR="00B45441" w:rsidRPr="006B1681">
              <w:t>s</w:t>
            </w:r>
            <w:r w:rsidR="00697D43" w:rsidRPr="006B1681">
              <w:t> </w:t>
            </w:r>
            <w:proofErr w:type="spellStart"/>
            <w:r w:rsidR="004D576E" w:rsidRPr="006B1681">
              <w:t>3A.66</w:t>
            </w:r>
            <w:proofErr w:type="spellEnd"/>
            <w:r w:rsidR="004D576E" w:rsidRPr="006B1681">
              <w:t xml:space="preserve"> and </w:t>
            </w:r>
            <w:proofErr w:type="spellStart"/>
            <w:r w:rsidR="004D576E" w:rsidRPr="006B1681">
              <w:t>3A.77</w:t>
            </w:r>
            <w:proofErr w:type="spellEnd"/>
            <w:r w:rsidRPr="006B1681">
              <w:t>.</w:t>
            </w:r>
          </w:p>
        </w:tc>
      </w:tr>
      <w:tr w:rsidR="00E03DBC" w:rsidTr="002C08A9">
        <w:tc>
          <w:tcPr>
            <w:tcW w:w="8771" w:type="dxa"/>
            <w:tcBorders>
              <w:top w:val="nil"/>
              <w:left w:val="nil"/>
              <w:bottom w:val="single" w:sz="6" w:space="0" w:color="78A22F"/>
              <w:right w:val="nil"/>
            </w:tcBorders>
            <w:shd w:val="clear" w:color="auto" w:fill="auto"/>
          </w:tcPr>
          <w:p w:rsidR="00E03DBC" w:rsidRPr="005F4881" w:rsidRDefault="00E03DBC" w:rsidP="002C08A9">
            <w:pPr>
              <w:pStyle w:val="Figurespace"/>
              <w:rPr>
                <w:highlight w:val="yellow"/>
              </w:rPr>
            </w:pPr>
          </w:p>
        </w:tc>
      </w:tr>
      <w:tr w:rsidR="00E03DBC" w:rsidRPr="000863A5" w:rsidTr="002C08A9">
        <w:tc>
          <w:tcPr>
            <w:tcW w:w="8771" w:type="dxa"/>
            <w:tcBorders>
              <w:top w:val="single" w:sz="6" w:space="0" w:color="78A22F"/>
              <w:left w:val="nil"/>
              <w:bottom w:val="nil"/>
              <w:right w:val="nil"/>
            </w:tcBorders>
          </w:tcPr>
          <w:p w:rsidR="00E03DBC" w:rsidRPr="005F4881" w:rsidRDefault="00E03DBC" w:rsidP="002C08A9">
            <w:pPr>
              <w:pStyle w:val="BoxSpaceBelow"/>
              <w:rPr>
                <w:highlight w:val="yellow"/>
              </w:rPr>
            </w:pPr>
          </w:p>
        </w:tc>
      </w:tr>
    </w:tbl>
    <w:p w:rsidR="00DA5E19" w:rsidRPr="006C2D97" w:rsidRDefault="00DA5E19" w:rsidP="009B11B2">
      <w:pPr>
        <w:pStyle w:val="Heading4"/>
      </w:pPr>
      <w:r w:rsidRPr="00BF3412">
        <w:t xml:space="preserve">Inputs per output unit — </w:t>
      </w:r>
      <w:r w:rsidR="00F852C9">
        <w:t xml:space="preserve">Australian </w:t>
      </w:r>
      <w:r w:rsidR="00DB0CC6">
        <w:t>G</w:t>
      </w:r>
      <w:r w:rsidR="00F852C9" w:rsidRPr="006C2D97">
        <w:t>overnment</w:t>
      </w:r>
      <w:r w:rsidRPr="006C2D97">
        <w:t xml:space="preserve"> </w:t>
      </w:r>
      <w:r w:rsidR="003B0303" w:rsidRPr="006C2D97">
        <w:t xml:space="preserve">recurrent </w:t>
      </w:r>
      <w:r w:rsidRPr="006C2D97">
        <w:t>expenditure</w:t>
      </w:r>
      <w:r w:rsidR="00FE69EA" w:rsidRPr="006C2D97">
        <w:t xml:space="preserve"> per child attending</w:t>
      </w:r>
      <w:r w:rsidR="007864B3" w:rsidRPr="006C2D97">
        <w:t xml:space="preserve"> </w:t>
      </w:r>
      <w:proofErr w:type="spellStart"/>
      <w:r w:rsidR="006A16D4">
        <w:t>CCB</w:t>
      </w:r>
      <w:proofErr w:type="spellEnd"/>
      <w:r w:rsidR="006A16D4">
        <w:t xml:space="preserve"> </w:t>
      </w:r>
      <w:r w:rsidR="00E324F1">
        <w:t>approved child care</w:t>
      </w:r>
    </w:p>
    <w:p w:rsidR="00DB0CC6" w:rsidRPr="006874BE" w:rsidRDefault="000C6D17" w:rsidP="00DB0CC6">
      <w:pPr>
        <w:pStyle w:val="BodyText"/>
      </w:pPr>
      <w:r w:rsidRPr="000C6D17">
        <w:t xml:space="preserve">‘Australian </w:t>
      </w:r>
      <w:r w:rsidRPr="006C2D97">
        <w:t xml:space="preserve">Government </w:t>
      </w:r>
      <w:r w:rsidR="003B0303" w:rsidRPr="006C2D97">
        <w:t xml:space="preserve">recurrent </w:t>
      </w:r>
      <w:r w:rsidRPr="006C2D97">
        <w:t>expenditure per child attending</w:t>
      </w:r>
      <w:r w:rsidR="006A16D4">
        <w:t xml:space="preserve"> </w:t>
      </w:r>
      <w:proofErr w:type="spellStart"/>
      <w:r w:rsidR="006A16D4">
        <w:t>CCB</w:t>
      </w:r>
      <w:proofErr w:type="spellEnd"/>
      <w:r w:rsidR="006A16D4">
        <w:t xml:space="preserve"> </w:t>
      </w:r>
      <w:r w:rsidR="00E324F1">
        <w:t>approved child care</w:t>
      </w:r>
      <w:r w:rsidR="00FE69EA" w:rsidRPr="006C2D97">
        <w:t>’</w:t>
      </w:r>
      <w:r w:rsidRPr="006C2D97">
        <w:t xml:space="preserve"> is an indicator of governments’ objective</w:t>
      </w:r>
      <w:r w:rsidRPr="000C6D17">
        <w:t xml:space="preserve"> to maximise the availability and quality of services through the efficient use of taxpayer resources </w:t>
      </w:r>
      <w:r w:rsidR="00BA524F">
        <w:t>(</w:t>
      </w:r>
      <w:r w:rsidR="00BA524F" w:rsidRPr="00F766E5">
        <w:t>box</w:t>
      </w:r>
      <w:r w:rsidR="00172534" w:rsidRPr="00F766E5">
        <w:t> </w:t>
      </w:r>
      <w:r w:rsidR="00BA524F" w:rsidRPr="00F766E5">
        <w:t>3.</w:t>
      </w:r>
      <w:r w:rsidR="004373CB">
        <w:t>22</w:t>
      </w:r>
      <w:r w:rsidR="00DA5E19" w:rsidRPr="00F766E5">
        <w:t>).</w:t>
      </w:r>
    </w:p>
    <w:p w:rsidR="00177F62" w:rsidRDefault="00177F62">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177F62" w:rsidTr="00DB16AF">
        <w:tc>
          <w:tcPr>
            <w:tcW w:w="8771" w:type="dxa"/>
            <w:tcBorders>
              <w:top w:val="single" w:sz="6" w:space="0" w:color="78A22F"/>
              <w:left w:val="nil"/>
              <w:bottom w:val="nil"/>
              <w:right w:val="nil"/>
            </w:tcBorders>
            <w:shd w:val="clear" w:color="auto" w:fill="F2F2F2"/>
          </w:tcPr>
          <w:p w:rsidR="00177F62" w:rsidRDefault="00177F62" w:rsidP="000139A7">
            <w:pPr>
              <w:pStyle w:val="BoxTitle"/>
            </w:pPr>
            <w:r>
              <w:rPr>
                <w:b w:val="0"/>
              </w:rPr>
              <w:t xml:space="preserve">Box </w:t>
            </w:r>
            <w:r w:rsidR="000139A7">
              <w:rPr>
                <w:b w:val="0"/>
              </w:rPr>
              <w:t>3.</w:t>
            </w:r>
            <w:bookmarkStart w:id="72" w:name="OLE_LINK23"/>
            <w:r w:rsidR="000139A7">
              <w:rPr>
                <w:b w:val="0"/>
              </w:rPr>
              <w:t>2</w:t>
            </w:r>
            <w:bookmarkEnd w:id="72"/>
            <w:r w:rsidR="004373CB">
              <w:rPr>
                <w:b w:val="0"/>
              </w:rPr>
              <w:t>2</w:t>
            </w:r>
            <w:r>
              <w:tab/>
              <w:t xml:space="preserve">Australian </w:t>
            </w:r>
            <w:r w:rsidRPr="006C2D97">
              <w:t xml:space="preserve">Government recurrent expenditure per child attending </w:t>
            </w:r>
            <w:proofErr w:type="spellStart"/>
            <w:r w:rsidR="0051475C">
              <w:t>CCB</w:t>
            </w:r>
            <w:proofErr w:type="spellEnd"/>
            <w:r w:rsidR="0051475C">
              <w:t xml:space="preserve"> </w:t>
            </w:r>
            <w:r w:rsidRPr="006C2D97">
              <w:t xml:space="preserve">approved </w:t>
            </w:r>
            <w:r>
              <w:t>child care</w:t>
            </w:r>
          </w:p>
        </w:tc>
      </w:tr>
      <w:tr w:rsidR="00177F62" w:rsidTr="00DB16AF">
        <w:trPr>
          <w:cantSplit/>
        </w:trPr>
        <w:tc>
          <w:tcPr>
            <w:tcW w:w="8771" w:type="dxa"/>
            <w:tcBorders>
              <w:top w:val="nil"/>
              <w:left w:val="nil"/>
              <w:bottom w:val="nil"/>
              <w:right w:val="nil"/>
            </w:tcBorders>
            <w:shd w:val="clear" w:color="auto" w:fill="F2F2F2"/>
          </w:tcPr>
          <w:p w:rsidR="00177F62" w:rsidRPr="006C2D97" w:rsidRDefault="00177F62" w:rsidP="00177F62">
            <w:pPr>
              <w:pStyle w:val="Box"/>
            </w:pPr>
            <w:r>
              <w:t xml:space="preserve">‘Australian </w:t>
            </w:r>
            <w:r w:rsidRPr="006C2D97">
              <w:t xml:space="preserve">Government </w:t>
            </w:r>
            <w:r w:rsidRPr="008B42D1">
              <w:t>recurrent</w:t>
            </w:r>
            <w:r w:rsidRPr="006C2D97">
              <w:t xml:space="preserve"> expenditure per child attending </w:t>
            </w:r>
            <w:proofErr w:type="spellStart"/>
            <w:r w:rsidR="0051475C">
              <w:t>CCB</w:t>
            </w:r>
            <w:proofErr w:type="spellEnd"/>
            <w:r w:rsidR="0051475C">
              <w:t xml:space="preserve"> </w:t>
            </w:r>
            <w:r w:rsidRPr="006C2D97">
              <w:t xml:space="preserve">approved </w:t>
            </w:r>
            <w:r>
              <w:t>child care</w:t>
            </w:r>
            <w:r w:rsidRPr="006C2D97">
              <w:t xml:space="preserve">’ is defined as Australian Government </w:t>
            </w:r>
            <w:r w:rsidRPr="008B42D1">
              <w:t>recurrent</w:t>
            </w:r>
            <w:r w:rsidRPr="006C2D97">
              <w:t xml:space="preserve"> expenditure per child aged 0</w:t>
            </w:r>
            <w:r>
              <w:t>–</w:t>
            </w:r>
            <w:r w:rsidRPr="006C2D97">
              <w:t xml:space="preserve">12 years attending Australian Government </w:t>
            </w:r>
            <w:proofErr w:type="spellStart"/>
            <w:r w:rsidR="0051475C">
              <w:t>CCB</w:t>
            </w:r>
            <w:proofErr w:type="spellEnd"/>
            <w:r w:rsidR="0051475C">
              <w:t xml:space="preserve"> </w:t>
            </w:r>
            <w:r w:rsidRPr="006C2D97">
              <w:t xml:space="preserve">approved </w:t>
            </w:r>
            <w:r w:rsidR="008A61DF">
              <w:t>child care services</w:t>
            </w:r>
            <w:r w:rsidRPr="006C2D97">
              <w:t xml:space="preserve">. </w:t>
            </w:r>
          </w:p>
          <w:p w:rsidR="00177F62" w:rsidRPr="006C2D97" w:rsidRDefault="006E6755" w:rsidP="00177F62">
            <w:pPr>
              <w:pStyle w:val="Box"/>
            </w:pPr>
            <w:r>
              <w:t>E</w:t>
            </w:r>
            <w:r w:rsidR="00177F62" w:rsidRPr="006C2D97">
              <w:t xml:space="preserve">fficiency data </w:t>
            </w:r>
            <w:r w:rsidR="00177F62">
              <w:t>should</w:t>
            </w:r>
            <w:r w:rsidR="00177F62" w:rsidRPr="006C2D97">
              <w:t xml:space="preserve"> be interpreted with care. Changes in expenditure per child could represent changes in government funding policy. While high or increasing unit costs can reflect deteriorating efficiency, they can also reflect increases in the quality or quantity of service provided. Similarly, low or declining </w:t>
            </w:r>
            <w:r>
              <w:t>unit costs</w:t>
            </w:r>
            <w:r w:rsidR="00177F62" w:rsidRPr="006C2D97">
              <w:t xml:space="preserve"> can reflect improving efficiency or lower quality or quantity. Provided the level and quality of,</w:t>
            </w:r>
            <w:r w:rsidR="00177F62">
              <w:t xml:space="preserve"> and access to, services remain</w:t>
            </w:r>
            <w:r w:rsidR="00177F62" w:rsidRPr="006C2D97">
              <w:t xml:space="preserve"> unchanged, lower </w:t>
            </w:r>
            <w:r w:rsidR="00177F62" w:rsidRPr="008B42D1">
              <w:t>recurrent</w:t>
            </w:r>
            <w:r w:rsidR="00177F62" w:rsidRPr="006C2D97">
              <w:t xml:space="preserve"> expenditure per child can indicate greater efficiency of government expenditure.</w:t>
            </w:r>
          </w:p>
          <w:p w:rsidR="00177F62" w:rsidRDefault="00177F62" w:rsidP="00177F62">
            <w:pPr>
              <w:pStyle w:val="Box"/>
            </w:pPr>
            <w:r>
              <w:t>Data reported f</w:t>
            </w:r>
            <w:r w:rsidR="00A91405">
              <w:t>or this measure</w:t>
            </w:r>
            <w:r>
              <w:t xml:space="preserve"> are:</w:t>
            </w:r>
          </w:p>
          <w:p w:rsidR="00177F62" w:rsidRDefault="00177F62" w:rsidP="00177F62">
            <w:pPr>
              <w:pStyle w:val="BoxListBullet"/>
            </w:pPr>
            <w:r>
              <w:t>c</w:t>
            </w:r>
            <w:r w:rsidRPr="00DA5769">
              <w:t xml:space="preserve">omparable </w:t>
            </w:r>
            <w:r>
              <w:t>(subject to caveats) across jurisdictions and over time</w:t>
            </w:r>
          </w:p>
          <w:p w:rsidR="00177F62" w:rsidRPr="006B1681" w:rsidRDefault="00941603" w:rsidP="0008693D">
            <w:pPr>
              <w:pStyle w:val="BoxListBullet"/>
            </w:pPr>
            <w:r>
              <w:t>c</w:t>
            </w:r>
            <w:r w:rsidRPr="00DA5769">
              <w:t xml:space="preserve">omplete </w:t>
            </w:r>
            <w:r>
              <w:t xml:space="preserve">(subject to caveats) </w:t>
            </w:r>
            <w:r w:rsidRPr="00DA5769">
              <w:t>for</w:t>
            </w:r>
            <w:r>
              <w:t xml:space="preserve"> the current reporting period. All required 2014</w:t>
            </w:r>
            <w:r w:rsidR="00FF061E">
              <w:noBreakHyphen/>
            </w:r>
            <w:r>
              <w:t>15 data are available for all jurisdictions.</w:t>
            </w:r>
          </w:p>
          <w:p w:rsidR="00177F62" w:rsidRDefault="00177F62" w:rsidP="00177F62">
            <w:pPr>
              <w:pStyle w:val="Box"/>
            </w:pPr>
            <w:r>
              <w:rPr>
                <w:rFonts w:cs="Arial"/>
                <w:szCs w:val="26"/>
              </w:rPr>
              <w:t>D</w:t>
            </w:r>
            <w:r w:rsidRPr="00767647">
              <w:rPr>
                <w:rFonts w:cs="Arial"/>
                <w:szCs w:val="26"/>
              </w:rPr>
              <w:t>ata quality</w:t>
            </w:r>
            <w:r>
              <w:rPr>
                <w:rFonts w:cs="Arial"/>
                <w:szCs w:val="26"/>
              </w:rPr>
              <w:t xml:space="preserve"> information</w:t>
            </w:r>
            <w:r w:rsidRPr="00767647">
              <w:rPr>
                <w:rFonts w:cs="Arial"/>
                <w:szCs w:val="26"/>
              </w:rPr>
              <w:t xml:space="preserve"> for this indicator </w:t>
            </w:r>
            <w:r w:rsidR="003F4FDF">
              <w:rPr>
                <w:rFonts w:cs="Arial"/>
                <w:szCs w:val="26"/>
              </w:rPr>
              <w:t xml:space="preserve">is at </w:t>
            </w:r>
            <w:proofErr w:type="spellStart"/>
            <w:r w:rsidR="003F4FDF">
              <w:rPr>
                <w:rFonts w:cs="Arial"/>
                <w:szCs w:val="26"/>
              </w:rPr>
              <w:t>www.pc.gov.au</w:t>
            </w:r>
            <w:proofErr w:type="spellEnd"/>
            <w:r w:rsidR="003F4FDF">
              <w:rPr>
                <w:rFonts w:cs="Arial"/>
                <w:szCs w:val="26"/>
              </w:rPr>
              <w:t>/</w:t>
            </w:r>
            <w:proofErr w:type="spellStart"/>
            <w:r w:rsidRPr="00767647">
              <w:rPr>
                <w:rFonts w:cs="Arial"/>
                <w:szCs w:val="26"/>
              </w:rPr>
              <w:t>rogs</w:t>
            </w:r>
            <w:proofErr w:type="spellEnd"/>
            <w:r w:rsidRPr="00767647">
              <w:rPr>
                <w:rFonts w:cs="Arial"/>
                <w:szCs w:val="26"/>
              </w:rPr>
              <w:t>/</w:t>
            </w:r>
            <w:r w:rsidR="00CB534C">
              <w:rPr>
                <w:rFonts w:cs="Arial"/>
                <w:szCs w:val="26"/>
              </w:rPr>
              <w:t>2016</w:t>
            </w:r>
            <w:r w:rsidRPr="00767647">
              <w:t>.</w:t>
            </w:r>
          </w:p>
        </w:tc>
      </w:tr>
      <w:tr w:rsidR="00177F62" w:rsidTr="00DB16AF">
        <w:trPr>
          <w:cantSplit/>
        </w:trPr>
        <w:tc>
          <w:tcPr>
            <w:tcW w:w="8771" w:type="dxa"/>
            <w:tcBorders>
              <w:top w:val="nil"/>
              <w:left w:val="nil"/>
              <w:bottom w:val="single" w:sz="6" w:space="0" w:color="78A22F"/>
              <w:right w:val="nil"/>
            </w:tcBorders>
            <w:shd w:val="clear" w:color="auto" w:fill="F2F2F2"/>
          </w:tcPr>
          <w:p w:rsidR="00177F62" w:rsidRDefault="00177F62">
            <w:pPr>
              <w:pStyle w:val="Box"/>
              <w:spacing w:before="0" w:line="120" w:lineRule="exact"/>
            </w:pPr>
          </w:p>
        </w:tc>
      </w:tr>
      <w:tr w:rsidR="00177F62" w:rsidRPr="000863A5" w:rsidTr="00DB16AF">
        <w:tc>
          <w:tcPr>
            <w:tcW w:w="8771" w:type="dxa"/>
            <w:tcBorders>
              <w:top w:val="single" w:sz="6" w:space="0" w:color="78A22F"/>
              <w:left w:val="nil"/>
              <w:bottom w:val="nil"/>
              <w:right w:val="nil"/>
            </w:tcBorders>
          </w:tcPr>
          <w:p w:rsidR="00177F62" w:rsidRPr="00626D32" w:rsidRDefault="00177F62" w:rsidP="00DB16AF">
            <w:pPr>
              <w:pStyle w:val="BoxSpaceBelow"/>
            </w:pPr>
          </w:p>
        </w:tc>
      </w:tr>
    </w:tbl>
    <w:p w:rsidR="00883F9A" w:rsidRDefault="00647808" w:rsidP="004805D8">
      <w:pPr>
        <w:pStyle w:val="BodyText"/>
      </w:pPr>
      <w:r w:rsidRPr="006C2D97">
        <w:t>Nationally in 20</w:t>
      </w:r>
      <w:r w:rsidR="00EB1219" w:rsidRPr="006C2D97">
        <w:t>1</w:t>
      </w:r>
      <w:r w:rsidR="002B7234">
        <w:t>4</w:t>
      </w:r>
      <w:r w:rsidR="007B70B2">
        <w:noBreakHyphen/>
        <w:t>1</w:t>
      </w:r>
      <w:r w:rsidR="002B7234">
        <w:t>5</w:t>
      </w:r>
      <w:r w:rsidRPr="006C2D97">
        <w:t xml:space="preserve">, </w:t>
      </w:r>
      <w:r w:rsidR="00B919A9" w:rsidRPr="006C2D97">
        <w:t xml:space="preserve">Australian Government </w:t>
      </w:r>
      <w:r w:rsidR="003B0303" w:rsidRPr="006C2D97">
        <w:t xml:space="preserve">recurrent </w:t>
      </w:r>
      <w:r w:rsidR="00B919A9" w:rsidRPr="006C2D97">
        <w:t xml:space="preserve">expenditure per child attending </w:t>
      </w:r>
      <w:proofErr w:type="spellStart"/>
      <w:r w:rsidR="0051475C">
        <w:t>CCB</w:t>
      </w:r>
      <w:proofErr w:type="spellEnd"/>
      <w:r w:rsidR="0051475C">
        <w:t xml:space="preserve"> </w:t>
      </w:r>
      <w:r w:rsidR="00B919A9" w:rsidRPr="006C2D97">
        <w:t xml:space="preserve">approved child care services </w:t>
      </w:r>
      <w:r w:rsidRPr="006874BE">
        <w:t xml:space="preserve">was </w:t>
      </w:r>
      <w:r w:rsidR="00DA5E19" w:rsidRPr="00543D9E">
        <w:t>$</w:t>
      </w:r>
      <w:r w:rsidR="00543D9E" w:rsidRPr="004D576E">
        <w:t>5951</w:t>
      </w:r>
      <w:r w:rsidR="006E6755" w:rsidRPr="004D576E">
        <w:t xml:space="preserve"> </w:t>
      </w:r>
      <w:r w:rsidR="00DD2CA1" w:rsidRPr="004D576E">
        <w:t>(</w:t>
      </w:r>
      <w:r w:rsidR="004D576E" w:rsidRPr="004D576E">
        <w:t>table</w:t>
      </w:r>
      <w:r w:rsidR="00697D43">
        <w:t> </w:t>
      </w:r>
      <w:proofErr w:type="spellStart"/>
      <w:r w:rsidR="004D576E" w:rsidRPr="004D576E">
        <w:t>3A.67</w:t>
      </w:r>
      <w:proofErr w:type="spellEnd"/>
      <w:r w:rsidR="00DD2CA1" w:rsidRPr="004D576E">
        <w:t>)</w:t>
      </w:r>
      <w:r w:rsidR="0030219C" w:rsidRPr="004D576E">
        <w:t>.</w:t>
      </w:r>
      <w:r w:rsidR="006406DC" w:rsidRPr="004D576E">
        <w:t xml:space="preserve"> </w:t>
      </w:r>
    </w:p>
    <w:p w:rsidR="002568C1" w:rsidRDefault="009E6AD8" w:rsidP="00C3586E">
      <w:pPr>
        <w:pStyle w:val="Heading3"/>
      </w:pPr>
      <w:r w:rsidRPr="009E6AD8">
        <w:t>Outcomes</w:t>
      </w:r>
    </w:p>
    <w:p w:rsidR="00E41CEC" w:rsidRPr="006E6755" w:rsidRDefault="003612AD" w:rsidP="00C3586E">
      <w:pPr>
        <w:pStyle w:val="BodyText"/>
      </w:pPr>
      <w:r w:rsidRPr="003612AD">
        <w:t>Outcomes are the impact of services on the status of an individual or group (see chapter</w:t>
      </w:r>
      <w:r w:rsidR="00172534">
        <w:t> </w:t>
      </w:r>
      <w:r w:rsidRPr="003612AD">
        <w:t xml:space="preserve">1, </w:t>
      </w:r>
      <w:r w:rsidRPr="006E6755">
        <w:t>section</w:t>
      </w:r>
      <w:r w:rsidR="00172534" w:rsidRPr="006E6755">
        <w:t> </w:t>
      </w:r>
      <w:r w:rsidRPr="004805D8">
        <w:t>1.5</w:t>
      </w:r>
      <w:r w:rsidRPr="006E6755">
        <w:t>).</w:t>
      </w:r>
    </w:p>
    <w:p w:rsidR="002568C1" w:rsidRDefault="007721E5" w:rsidP="009B11B2">
      <w:pPr>
        <w:pStyle w:val="Heading4"/>
      </w:pPr>
      <w:r>
        <w:t>Family work</w:t>
      </w:r>
      <w:r w:rsidR="00172534">
        <w:noBreakHyphen/>
      </w:r>
      <w:r w:rsidR="00B25FC2">
        <w:t>related needs</w:t>
      </w:r>
      <w:r w:rsidR="00211F15">
        <w:t xml:space="preserve"> for child care</w:t>
      </w:r>
    </w:p>
    <w:p w:rsidR="009E6AD8" w:rsidRDefault="000C6D17" w:rsidP="00C3586E">
      <w:pPr>
        <w:pStyle w:val="BodyText"/>
      </w:pPr>
      <w:r w:rsidRPr="000C6D17">
        <w:t>‘</w:t>
      </w:r>
      <w:r w:rsidR="00B25FC2">
        <w:t>F</w:t>
      </w:r>
      <w:r w:rsidR="005572A8">
        <w:t xml:space="preserve">amily </w:t>
      </w:r>
      <w:r w:rsidR="00B25FC2">
        <w:t>work</w:t>
      </w:r>
      <w:r w:rsidR="00172534">
        <w:noBreakHyphen/>
      </w:r>
      <w:r w:rsidR="00B25FC2">
        <w:t xml:space="preserve">related </w:t>
      </w:r>
      <w:r w:rsidRPr="000C6D17">
        <w:t>needs</w:t>
      </w:r>
      <w:r w:rsidR="00211F15">
        <w:t xml:space="preserve"> for child care</w:t>
      </w:r>
      <w:r w:rsidRPr="000C6D17">
        <w:t xml:space="preserve">’ is an indicator of governments’ objective for </w:t>
      </w:r>
      <w:r w:rsidR="00E1515B" w:rsidRPr="00990A6E">
        <w:t xml:space="preserve">child </w:t>
      </w:r>
      <w:r w:rsidR="00440AA3">
        <w:t>care</w:t>
      </w:r>
      <w:r w:rsidR="00440AA3" w:rsidRPr="000C6D17">
        <w:t xml:space="preserve"> </w:t>
      </w:r>
      <w:r w:rsidRPr="000C6D17">
        <w:t>to provide support for families in caring for their children, to allow the</w:t>
      </w:r>
      <w:r w:rsidR="00D91A3B">
        <w:t xml:space="preserve"> needs of the family to be met </w:t>
      </w:r>
      <w:r w:rsidR="009E6AD8" w:rsidRPr="009E6AD8">
        <w:t>(box</w:t>
      </w:r>
      <w:r w:rsidR="00172534">
        <w:t> </w:t>
      </w:r>
      <w:r w:rsidR="00BA524F">
        <w:t>3.</w:t>
      </w:r>
      <w:r w:rsidR="004373CB">
        <w:t>23</w:t>
      </w:r>
      <w:r w:rsidR="009E6AD8" w:rsidRPr="009E6AD8">
        <w:t>).</w:t>
      </w:r>
    </w:p>
    <w:p w:rsidR="00177F62" w:rsidRDefault="00177F62">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177F62" w:rsidTr="00DB16AF">
        <w:tc>
          <w:tcPr>
            <w:tcW w:w="8771" w:type="dxa"/>
            <w:tcBorders>
              <w:top w:val="single" w:sz="6" w:space="0" w:color="78A22F"/>
              <w:left w:val="nil"/>
              <w:bottom w:val="nil"/>
              <w:right w:val="nil"/>
            </w:tcBorders>
            <w:shd w:val="clear" w:color="auto" w:fill="F2F2F2"/>
          </w:tcPr>
          <w:p w:rsidR="00177F62" w:rsidRDefault="00177F62" w:rsidP="0043525D">
            <w:pPr>
              <w:pStyle w:val="BoxTitle"/>
            </w:pPr>
            <w:r>
              <w:rPr>
                <w:b w:val="0"/>
              </w:rPr>
              <w:t xml:space="preserve">Box </w:t>
            </w:r>
            <w:r w:rsidR="000139A7">
              <w:rPr>
                <w:b w:val="0"/>
              </w:rPr>
              <w:t>3.</w:t>
            </w:r>
            <w:bookmarkStart w:id="73" w:name="OLE_LINK24"/>
            <w:r w:rsidR="000139A7">
              <w:rPr>
                <w:b w:val="0"/>
              </w:rPr>
              <w:t>2</w:t>
            </w:r>
            <w:bookmarkEnd w:id="73"/>
            <w:r w:rsidR="004373CB">
              <w:rPr>
                <w:b w:val="0"/>
              </w:rPr>
              <w:t>3</w:t>
            </w:r>
            <w:r>
              <w:tab/>
              <w:t>Family work</w:t>
            </w:r>
            <w:r>
              <w:noBreakHyphen/>
              <w:t>related needs for child care</w:t>
            </w:r>
            <w:r w:rsidR="00763FE3">
              <w:t xml:space="preserve"> </w:t>
            </w:r>
          </w:p>
        </w:tc>
      </w:tr>
      <w:tr w:rsidR="00177F62" w:rsidTr="00DB16AF">
        <w:trPr>
          <w:cantSplit/>
        </w:trPr>
        <w:tc>
          <w:tcPr>
            <w:tcW w:w="8771" w:type="dxa"/>
            <w:tcBorders>
              <w:top w:val="nil"/>
              <w:left w:val="nil"/>
              <w:bottom w:val="nil"/>
              <w:right w:val="nil"/>
            </w:tcBorders>
            <w:shd w:val="clear" w:color="auto" w:fill="F2F2F2"/>
          </w:tcPr>
          <w:p w:rsidR="00763FE3" w:rsidRDefault="00763FE3" w:rsidP="00763FE3">
            <w:pPr>
              <w:pStyle w:val="Box"/>
            </w:pPr>
            <w:r>
              <w:t>‘Family work</w:t>
            </w:r>
            <w:r>
              <w:noBreakHyphen/>
              <w:t>related needs for child care’ is defined by two measures:</w:t>
            </w:r>
          </w:p>
          <w:p w:rsidR="00763FE3" w:rsidRPr="008D3B45" w:rsidRDefault="006E6755" w:rsidP="00616791">
            <w:pPr>
              <w:pStyle w:val="BoxListBullet"/>
            </w:pPr>
            <w:r w:rsidRPr="008D3B45">
              <w:t>T</w:t>
            </w:r>
            <w:r w:rsidR="00763FE3" w:rsidRPr="008D3B45">
              <w:t>he proportion of children aged 0</w:t>
            </w:r>
            <w:r w:rsidR="00763FE3" w:rsidRPr="008D3B45">
              <w:rPr>
                <w:rFonts w:cs="Arial"/>
              </w:rPr>
              <w:t>–</w:t>
            </w:r>
            <w:r w:rsidR="00763FE3" w:rsidRPr="008D3B45">
              <w:t>12 years in families for whom additional formal child care was currently required for work</w:t>
            </w:r>
            <w:r w:rsidR="00763FE3" w:rsidRPr="008D3B45">
              <w:noBreakHyphen/>
              <w:t>related reasons</w:t>
            </w:r>
          </w:p>
          <w:p w:rsidR="00763FE3" w:rsidRDefault="00763FE3" w:rsidP="00763FE3">
            <w:pPr>
              <w:pStyle w:val="Box"/>
            </w:pPr>
            <w:r>
              <w:t>Additional care currently required refers to children who were already attending formal child care and parents wished for them to attend more, as well as children who did not attend any formal child care and parents wished for them to attend.</w:t>
            </w:r>
            <w:r w:rsidR="003D3657">
              <w:t xml:space="preserve"> A mainly work</w:t>
            </w:r>
            <w:r w:rsidR="002D438E">
              <w:noBreakHyphen/>
            </w:r>
            <w:r w:rsidR="003D3657">
              <w:t>related reason for currently requiring additional care includes the categories ‘work’, ‘looking for work’ and</w:t>
            </w:r>
            <w:r w:rsidR="002D438E">
              <w:t xml:space="preserve"> </w:t>
            </w:r>
            <w:r w:rsidR="003D3657">
              <w:t>‘work</w:t>
            </w:r>
            <w:r w:rsidR="002D438E">
              <w:noBreakHyphen/>
            </w:r>
            <w:r w:rsidR="003D3657">
              <w:t>related study or training’.</w:t>
            </w:r>
          </w:p>
          <w:p w:rsidR="00763FE3" w:rsidRDefault="00763FE3" w:rsidP="00763FE3">
            <w:pPr>
              <w:pStyle w:val="Box"/>
            </w:pPr>
            <w:r>
              <w:t>A low or decreasing proportion may indicate more families’ work</w:t>
            </w:r>
            <w:r>
              <w:noBreakHyphen/>
              <w:t xml:space="preserve">related needs for additional formal </w:t>
            </w:r>
            <w:r w:rsidRPr="00990A6E">
              <w:t xml:space="preserve">child </w:t>
            </w:r>
            <w:r>
              <w:t>care, are being met. Caution should be used when interpreting these data as they are not intended to represent the ‘unmet demand’ for formal child care.</w:t>
            </w:r>
            <w:r w:rsidR="00832D65">
              <w:t xml:space="preserve"> Expressed need for additional formal child care does not necessarily indicate whether the current additional need has been met or will be met.</w:t>
            </w:r>
            <w:r w:rsidR="00C36093">
              <w:t xml:space="preserve"> The data do not identify the likelihood that a parent will take steps to access the care or preschool they require, or place their child in this care or preschool. Various factors including cost, location and the perceived suitability or quality of the service will have an influence on whether parents take these steps.</w:t>
            </w:r>
          </w:p>
          <w:p w:rsidR="00763FE3" w:rsidRPr="008D3B45" w:rsidRDefault="006E6755" w:rsidP="00616791">
            <w:pPr>
              <w:pStyle w:val="BoxListBullet"/>
            </w:pPr>
            <w:r w:rsidRPr="008D3B45">
              <w:t>T</w:t>
            </w:r>
            <w:r w:rsidR="00C34F4F" w:rsidRPr="008D3B45">
              <w:t>he propo</w:t>
            </w:r>
            <w:r w:rsidR="00C2189F">
              <w:t>rtion of people aged 15 years and</w:t>
            </w:r>
            <w:r w:rsidR="00C34F4F" w:rsidRPr="008D3B45">
              <w:t xml:space="preserve"> over not in the labour force due to caring for </w:t>
            </w:r>
            <w:r w:rsidR="00B048A6" w:rsidRPr="008D3B45">
              <w:t xml:space="preserve">children, by child care service </w:t>
            </w:r>
            <w:r w:rsidR="00C34F4F" w:rsidRPr="008D3B45">
              <w:t>related reasons</w:t>
            </w:r>
            <w:r w:rsidR="0043525D">
              <w:t xml:space="preserve"> </w:t>
            </w:r>
          </w:p>
          <w:p w:rsidR="00763FE3" w:rsidRDefault="00763FE3" w:rsidP="00763FE3">
            <w:pPr>
              <w:pStyle w:val="Box"/>
            </w:pPr>
            <w:r w:rsidRPr="00F34749">
              <w:t xml:space="preserve">A relatively </w:t>
            </w:r>
            <w:r w:rsidR="005002ED" w:rsidRPr="00F34749">
              <w:t>small</w:t>
            </w:r>
            <w:r w:rsidRPr="00F34749">
              <w:t xml:space="preserve"> or decreasing proportion of people not in the labour force due to ca</w:t>
            </w:r>
            <w:r w:rsidR="003A1BFA" w:rsidRPr="00F34749">
              <w:t>ring for children who report the</w:t>
            </w:r>
            <w:r w:rsidRPr="00F34749">
              <w:t xml:space="preserve"> ma</w:t>
            </w:r>
            <w:r w:rsidR="00C34F4F" w:rsidRPr="00F34749">
              <w:t xml:space="preserve">in reason </w:t>
            </w:r>
            <w:r w:rsidR="00BE3620">
              <w:t xml:space="preserve">for not being in the labour force </w:t>
            </w:r>
            <w:r w:rsidR="00C34F4F" w:rsidRPr="00F34749">
              <w:t xml:space="preserve">as child care service </w:t>
            </w:r>
            <w:r w:rsidRPr="00F34749">
              <w:t>related may indicate that services are meeting the needs of families.</w:t>
            </w:r>
            <w:r w:rsidR="00EA4853">
              <w:t xml:space="preserve"> </w:t>
            </w:r>
            <w:r w:rsidR="00F34749">
              <w:t>However, there are a number of factors which affect the labour force participation decisions of people responsible for caring for children, of which child care service related reasons are only some. Also, d</w:t>
            </w:r>
            <w:r w:rsidR="00EA4853">
              <w:t xml:space="preserve">ue </w:t>
            </w:r>
            <w:r w:rsidR="00556472">
              <w:t xml:space="preserve">to the subjective nature of </w:t>
            </w:r>
            <w:r w:rsidR="00EA4853">
              <w:t>self</w:t>
            </w:r>
            <w:r w:rsidR="002D438E">
              <w:noBreakHyphen/>
            </w:r>
            <w:r w:rsidR="00EA4853">
              <w:t>reporting, care should be taken when interpreting the</w:t>
            </w:r>
            <w:r w:rsidR="00C34F4F">
              <w:t xml:space="preserve"> data, particularly for child care service </w:t>
            </w:r>
            <w:r w:rsidR="00EA4853">
              <w:t>related reasons.</w:t>
            </w:r>
          </w:p>
          <w:p w:rsidR="00405EB9" w:rsidRPr="00405EB9" w:rsidRDefault="00405EB9" w:rsidP="00405EB9">
            <w:pPr>
              <w:pStyle w:val="Box"/>
            </w:pPr>
            <w:r w:rsidRPr="00405EB9">
              <w:t>Data for these measures include 95 per cent confidence intervals (in the form of error bars in figures and percentages in tables).</w:t>
            </w:r>
          </w:p>
          <w:p w:rsidR="00763FE3" w:rsidRPr="00C34F4F" w:rsidRDefault="00763FE3" w:rsidP="00763FE3">
            <w:pPr>
              <w:pStyle w:val="Box"/>
            </w:pPr>
            <w:r w:rsidRPr="00C34F4F">
              <w:t xml:space="preserve">Data reported for </w:t>
            </w:r>
            <w:r w:rsidR="00A91405">
              <w:t>these</w:t>
            </w:r>
            <w:r w:rsidR="006E6755" w:rsidRPr="00C34F4F">
              <w:t xml:space="preserve"> </w:t>
            </w:r>
            <w:r w:rsidRPr="00C34F4F">
              <w:t>measure</w:t>
            </w:r>
            <w:r w:rsidR="006E6755">
              <w:t>s</w:t>
            </w:r>
            <w:r w:rsidRPr="00C34F4F">
              <w:t xml:space="preserve"> are:</w:t>
            </w:r>
          </w:p>
          <w:p w:rsidR="00763FE3" w:rsidRPr="00C34F4F" w:rsidRDefault="00763FE3" w:rsidP="00A91405">
            <w:pPr>
              <w:pStyle w:val="BoxListBullet"/>
            </w:pPr>
            <w:r w:rsidRPr="00C34F4F">
              <w:t>comparable (subject to caveats) across jurisdictions</w:t>
            </w:r>
            <w:r w:rsidR="008D3B45">
              <w:t xml:space="preserve"> and over time</w:t>
            </w:r>
          </w:p>
          <w:p w:rsidR="00763FE3" w:rsidRPr="00C34F4F" w:rsidRDefault="00763FE3" w:rsidP="00A91405">
            <w:pPr>
              <w:pStyle w:val="BoxListBullet"/>
            </w:pPr>
            <w:r w:rsidRPr="00C34F4F">
              <w:t>complete (subject to caveats) for the current reporting period. All required 2014 data are available for all jurisdictions.</w:t>
            </w:r>
          </w:p>
          <w:p w:rsidR="00177F62" w:rsidRDefault="00177F62" w:rsidP="00177F62">
            <w:pPr>
              <w:pStyle w:val="Box"/>
            </w:pPr>
            <w:r>
              <w:rPr>
                <w:rFonts w:cs="Arial"/>
                <w:szCs w:val="26"/>
              </w:rPr>
              <w:t>D</w:t>
            </w:r>
            <w:r w:rsidRPr="00767647">
              <w:rPr>
                <w:rFonts w:cs="Arial"/>
                <w:szCs w:val="26"/>
              </w:rPr>
              <w:t xml:space="preserve">ata quality </w:t>
            </w:r>
            <w:r>
              <w:rPr>
                <w:rFonts w:cs="Arial"/>
                <w:szCs w:val="26"/>
              </w:rPr>
              <w:t xml:space="preserve">information </w:t>
            </w:r>
            <w:r w:rsidRPr="00767647">
              <w:rPr>
                <w:rFonts w:cs="Arial"/>
                <w:szCs w:val="26"/>
              </w:rPr>
              <w:t xml:space="preserve">for this indicator </w:t>
            </w:r>
            <w:r w:rsidR="003F4FDF">
              <w:rPr>
                <w:rFonts w:cs="Arial"/>
                <w:szCs w:val="26"/>
              </w:rPr>
              <w:t xml:space="preserve">is at </w:t>
            </w:r>
            <w:proofErr w:type="spellStart"/>
            <w:r w:rsidR="003F4FDF">
              <w:rPr>
                <w:rFonts w:cs="Arial"/>
                <w:szCs w:val="26"/>
              </w:rPr>
              <w:t>www.pc.gov.au</w:t>
            </w:r>
            <w:proofErr w:type="spellEnd"/>
            <w:r w:rsidR="003F4FDF">
              <w:rPr>
                <w:rFonts w:cs="Arial"/>
                <w:szCs w:val="26"/>
              </w:rPr>
              <w:t>/</w:t>
            </w:r>
            <w:proofErr w:type="spellStart"/>
            <w:r w:rsidRPr="00767647">
              <w:rPr>
                <w:rFonts w:cs="Arial"/>
                <w:szCs w:val="26"/>
              </w:rPr>
              <w:t>rogs</w:t>
            </w:r>
            <w:proofErr w:type="spellEnd"/>
            <w:r w:rsidRPr="00767647">
              <w:rPr>
                <w:rFonts w:cs="Arial"/>
                <w:szCs w:val="26"/>
              </w:rPr>
              <w:t>/201</w:t>
            </w:r>
            <w:r w:rsidR="00763FE3">
              <w:rPr>
                <w:rFonts w:cs="Arial"/>
                <w:szCs w:val="26"/>
              </w:rPr>
              <w:t>6</w:t>
            </w:r>
            <w:r w:rsidRPr="00767647">
              <w:rPr>
                <w:rFonts w:cs="Arial"/>
                <w:szCs w:val="26"/>
              </w:rPr>
              <w:t>.</w:t>
            </w:r>
          </w:p>
        </w:tc>
      </w:tr>
      <w:tr w:rsidR="00177F62" w:rsidTr="00DB16AF">
        <w:trPr>
          <w:cantSplit/>
        </w:trPr>
        <w:tc>
          <w:tcPr>
            <w:tcW w:w="8771" w:type="dxa"/>
            <w:tcBorders>
              <w:top w:val="nil"/>
              <w:left w:val="nil"/>
              <w:bottom w:val="single" w:sz="6" w:space="0" w:color="78A22F"/>
              <w:right w:val="nil"/>
            </w:tcBorders>
            <w:shd w:val="clear" w:color="auto" w:fill="F2F2F2"/>
          </w:tcPr>
          <w:p w:rsidR="00177F62" w:rsidRDefault="00177F62">
            <w:pPr>
              <w:pStyle w:val="Box"/>
              <w:spacing w:before="0" w:line="120" w:lineRule="exact"/>
            </w:pPr>
          </w:p>
        </w:tc>
      </w:tr>
      <w:tr w:rsidR="00177F62" w:rsidRPr="000863A5" w:rsidTr="00DB16AF">
        <w:tc>
          <w:tcPr>
            <w:tcW w:w="8771" w:type="dxa"/>
            <w:tcBorders>
              <w:top w:val="single" w:sz="6" w:space="0" w:color="78A22F"/>
              <w:left w:val="nil"/>
              <w:bottom w:val="nil"/>
              <w:right w:val="nil"/>
            </w:tcBorders>
          </w:tcPr>
          <w:p w:rsidR="00177F62" w:rsidRPr="00626D32" w:rsidRDefault="00177F62" w:rsidP="00DB16AF">
            <w:pPr>
              <w:pStyle w:val="BoxSpaceBelow"/>
            </w:pPr>
          </w:p>
        </w:tc>
      </w:tr>
    </w:tbl>
    <w:p w:rsidR="00C74471" w:rsidRDefault="00C74471" w:rsidP="00C74471">
      <w:pPr>
        <w:pStyle w:val="Heading5"/>
      </w:pPr>
      <w:r>
        <w:t>Proportion of children aged 0</w:t>
      </w:r>
      <w:r>
        <w:rPr>
          <w:rFonts w:cs="Arial"/>
        </w:rPr>
        <w:t>–</w:t>
      </w:r>
      <w:r>
        <w:t xml:space="preserve">12 years in families for whom additional formal </w:t>
      </w:r>
      <w:r w:rsidRPr="00990A6E">
        <w:t xml:space="preserve">child </w:t>
      </w:r>
      <w:r>
        <w:t>care was currently required for work</w:t>
      </w:r>
      <w:r>
        <w:noBreakHyphen/>
        <w:t xml:space="preserve">related </w:t>
      </w:r>
      <w:r w:rsidRPr="000433ED">
        <w:t>reasons</w:t>
      </w:r>
    </w:p>
    <w:p w:rsidR="00F0128E" w:rsidRPr="00F0128E" w:rsidRDefault="00C74471" w:rsidP="00F0128E">
      <w:pPr>
        <w:pStyle w:val="BodyText"/>
      </w:pPr>
      <w:r>
        <w:t>Data for this measure</w:t>
      </w:r>
      <w:r w:rsidR="004934D4">
        <w:t xml:space="preserve"> were obtained from the ABS </w:t>
      </w:r>
      <w:r w:rsidR="004934D4" w:rsidRPr="004934D4">
        <w:rPr>
          <w:i/>
        </w:rPr>
        <w:t>Childhood Education and Care Survey</w:t>
      </w:r>
      <w:r w:rsidR="00797622">
        <w:rPr>
          <w:i/>
        </w:rPr>
        <w:t xml:space="preserve"> </w:t>
      </w:r>
      <w:r w:rsidR="00797622" w:rsidRPr="00A55704">
        <w:t>(</w:t>
      </w:r>
      <w:proofErr w:type="spellStart"/>
      <w:r w:rsidR="00797622" w:rsidRPr="00A55704">
        <w:t>CEaCS</w:t>
      </w:r>
      <w:proofErr w:type="spellEnd"/>
      <w:r w:rsidR="00797622" w:rsidRPr="00A55704">
        <w:t>)</w:t>
      </w:r>
      <w:r w:rsidR="00ED1189" w:rsidRPr="00A55704">
        <w:t>.</w:t>
      </w:r>
      <w:r w:rsidR="004934D4">
        <w:t xml:space="preserve"> Box</w:t>
      </w:r>
      <w:r w:rsidR="00172534">
        <w:t> </w:t>
      </w:r>
      <w:r w:rsidR="00797622">
        <w:t>3.</w:t>
      </w:r>
      <w:r w:rsidR="004373CB" w:rsidRPr="004373CB">
        <w:t>24</w:t>
      </w:r>
      <w:r w:rsidR="00833180" w:rsidRPr="004373CB">
        <w:t xml:space="preserve"> </w:t>
      </w:r>
      <w:r w:rsidR="004934D4">
        <w:t xml:space="preserve">includes further information about the </w:t>
      </w:r>
      <w:proofErr w:type="spellStart"/>
      <w:r w:rsidR="00A9209B">
        <w:t>CEaCS</w:t>
      </w:r>
      <w:proofErr w:type="spellEnd"/>
      <w:r w:rsidR="004934D4">
        <w:t>.</w:t>
      </w:r>
      <w:r w:rsidR="009D6113">
        <w:t xml:space="preserve"> </w:t>
      </w:r>
    </w:p>
    <w:p w:rsidR="00177F62" w:rsidRDefault="00177F62">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177F62" w:rsidTr="00DB16AF">
        <w:tc>
          <w:tcPr>
            <w:tcW w:w="8771" w:type="dxa"/>
            <w:tcBorders>
              <w:top w:val="single" w:sz="6" w:space="0" w:color="78A22F"/>
              <w:left w:val="nil"/>
              <w:bottom w:val="nil"/>
              <w:right w:val="nil"/>
            </w:tcBorders>
            <w:shd w:val="clear" w:color="auto" w:fill="F2F2F2"/>
          </w:tcPr>
          <w:p w:rsidR="00177F62" w:rsidRDefault="00177F62" w:rsidP="00EE3128">
            <w:pPr>
              <w:pStyle w:val="BoxTitle"/>
            </w:pPr>
            <w:r>
              <w:rPr>
                <w:b w:val="0"/>
              </w:rPr>
              <w:t xml:space="preserve">Box </w:t>
            </w:r>
            <w:r w:rsidR="000139A7">
              <w:rPr>
                <w:b w:val="0"/>
              </w:rPr>
              <w:t>3.</w:t>
            </w:r>
            <w:bookmarkStart w:id="74" w:name="OLE_LINK25"/>
            <w:r w:rsidR="000139A7">
              <w:rPr>
                <w:b w:val="0"/>
              </w:rPr>
              <w:t>2</w:t>
            </w:r>
            <w:bookmarkEnd w:id="74"/>
            <w:r w:rsidR="004373CB">
              <w:rPr>
                <w:b w:val="0"/>
              </w:rPr>
              <w:t>4</w:t>
            </w:r>
            <w:r>
              <w:tab/>
            </w:r>
            <w:r w:rsidRPr="00F42144">
              <w:t>ABS Childhood Education and Care Survey</w:t>
            </w:r>
            <w:r w:rsidR="00EA4853">
              <w:t xml:space="preserve"> </w:t>
            </w:r>
          </w:p>
        </w:tc>
      </w:tr>
      <w:tr w:rsidR="00177F62" w:rsidTr="00DB16AF">
        <w:trPr>
          <w:cantSplit/>
        </w:trPr>
        <w:tc>
          <w:tcPr>
            <w:tcW w:w="8771" w:type="dxa"/>
            <w:tcBorders>
              <w:top w:val="nil"/>
              <w:left w:val="nil"/>
              <w:bottom w:val="nil"/>
              <w:right w:val="nil"/>
            </w:tcBorders>
            <w:shd w:val="clear" w:color="auto" w:fill="F2F2F2"/>
          </w:tcPr>
          <w:p w:rsidR="00177F62" w:rsidRPr="00EA4853" w:rsidRDefault="00177F62" w:rsidP="00177F62">
            <w:pPr>
              <w:pStyle w:val="Box"/>
            </w:pPr>
            <w:r w:rsidRPr="00EA4853">
              <w:t xml:space="preserve">The </w:t>
            </w:r>
            <w:r w:rsidRPr="00EA4853">
              <w:rPr>
                <w:i/>
              </w:rPr>
              <w:t>Childhood Education and Care Survey</w:t>
            </w:r>
            <w:r w:rsidRPr="00EA4853">
              <w:t xml:space="preserve"> (</w:t>
            </w:r>
            <w:proofErr w:type="spellStart"/>
            <w:r w:rsidRPr="00EA4853">
              <w:t>CEaCS</w:t>
            </w:r>
            <w:proofErr w:type="spellEnd"/>
            <w:r w:rsidRPr="00EA4853">
              <w:t xml:space="preserve">) </w:t>
            </w:r>
            <w:r w:rsidR="007C6EE8">
              <w:t>is a three</w:t>
            </w:r>
            <w:r w:rsidR="002D438E">
              <w:noBreakHyphen/>
            </w:r>
            <w:r w:rsidR="007C6EE8">
              <w:t xml:space="preserve">yearly survey, most recently conducted in June </w:t>
            </w:r>
            <w:r w:rsidR="00EE3128">
              <w:t>2014. T</w:t>
            </w:r>
            <w:r w:rsidRPr="00EA4853">
              <w:t xml:space="preserve">he </w:t>
            </w:r>
            <w:proofErr w:type="spellStart"/>
            <w:r w:rsidRPr="00EA4853">
              <w:t>CEaCS</w:t>
            </w:r>
            <w:proofErr w:type="spellEnd"/>
            <w:r w:rsidRPr="00EA4853">
              <w:t xml:space="preserve"> collect</w:t>
            </w:r>
            <w:r w:rsidR="007C6EE8">
              <w:t>s a range of</w:t>
            </w:r>
            <w:r w:rsidRPr="00EA4853">
              <w:t xml:space="preserve"> information on children aged 0–12 years</w:t>
            </w:r>
            <w:r w:rsidR="00EE3128">
              <w:t xml:space="preserve"> and their families</w:t>
            </w:r>
            <w:r w:rsidRPr="00EA4853">
              <w:t xml:space="preserve"> living in a sample of private dwellings. </w:t>
            </w:r>
          </w:p>
          <w:p w:rsidR="00177F62" w:rsidRPr="00EA4853" w:rsidRDefault="00177F62" w:rsidP="00177F62">
            <w:pPr>
              <w:pStyle w:val="Box"/>
            </w:pPr>
            <w:r w:rsidRPr="00EA4853">
              <w:t>Estimates from the surveys are subject to sampling variability. Estimates for the smaller jurisdictions are based on small sample sizes and are subject to higher sampling error, in particular data for Tasmania, the ACT and the NT. Aggregated survey data also need to be interpreted with care, because oversupply and undersupply of child care places can be specific to particular areas, including small and remote communities.</w:t>
            </w:r>
          </w:p>
          <w:p w:rsidR="00177F62" w:rsidRPr="00EA4853" w:rsidRDefault="00177F62" w:rsidP="000E569E">
            <w:pPr>
              <w:pStyle w:val="Box"/>
            </w:pPr>
            <w:r w:rsidRPr="00EA4853">
              <w:t xml:space="preserve">In addition, the </w:t>
            </w:r>
            <w:proofErr w:type="spellStart"/>
            <w:r w:rsidRPr="00EA4853">
              <w:t>CEaCS</w:t>
            </w:r>
            <w:proofErr w:type="spellEnd"/>
            <w:r w:rsidRPr="00EA4853">
              <w:t xml:space="preserve"> is a household survey, with parents responding t</w:t>
            </w:r>
            <w:r w:rsidR="000E569E">
              <w:t xml:space="preserve">o questions on use of services. </w:t>
            </w:r>
            <w:r w:rsidRPr="00EA4853">
              <w:t xml:space="preserve">Some children attend a preschool program within a child care setting, for example in a long day care service, where the costs would generally be higher than in </w:t>
            </w:r>
            <w:r w:rsidR="008E3D0F" w:rsidRPr="00EA4853">
              <w:t>a stand</w:t>
            </w:r>
            <w:r w:rsidR="007B063C" w:rsidRPr="00EA4853">
              <w:noBreakHyphen/>
            </w:r>
            <w:r w:rsidR="008E3D0F" w:rsidRPr="00EA4853">
              <w:t xml:space="preserve">alone </w:t>
            </w:r>
            <w:r w:rsidRPr="00EA4853">
              <w:t xml:space="preserve">preschool. </w:t>
            </w:r>
            <w:r w:rsidR="000E569E">
              <w:t>To ensure that parents are referring to a preschool program, state</w:t>
            </w:r>
            <w:r w:rsidR="002D438E">
              <w:noBreakHyphen/>
            </w:r>
            <w:r w:rsidR="000E569E">
              <w:t>specific wording is used in the questionnaire to reflect the common terminology for preschool, the questions are restricted to children aged 3 to 6 years, and parents are asked to state the name of the preschool their child attended</w:t>
            </w:r>
            <w:r w:rsidR="007C6EE8">
              <w:t>.</w:t>
            </w:r>
          </w:p>
        </w:tc>
      </w:tr>
      <w:tr w:rsidR="00177F62" w:rsidTr="00DB16AF">
        <w:trPr>
          <w:cantSplit/>
        </w:trPr>
        <w:tc>
          <w:tcPr>
            <w:tcW w:w="8771" w:type="dxa"/>
            <w:tcBorders>
              <w:top w:val="nil"/>
              <w:left w:val="nil"/>
              <w:bottom w:val="nil"/>
              <w:right w:val="nil"/>
            </w:tcBorders>
            <w:shd w:val="clear" w:color="auto" w:fill="F2F2F2"/>
          </w:tcPr>
          <w:p w:rsidR="00177F62" w:rsidRPr="00EA4853" w:rsidRDefault="00177F62" w:rsidP="00DB16AF">
            <w:pPr>
              <w:pStyle w:val="BoxSource"/>
            </w:pPr>
            <w:r w:rsidRPr="00EA4853">
              <w:rPr>
                <w:i/>
              </w:rPr>
              <w:t>Source</w:t>
            </w:r>
            <w:r w:rsidR="00EE3128">
              <w:t>: ABS (</w:t>
            </w:r>
            <w:proofErr w:type="spellStart"/>
            <w:r w:rsidR="00EE3128">
              <w:t>2015</w:t>
            </w:r>
            <w:r w:rsidR="00616791">
              <w:t>b</w:t>
            </w:r>
            <w:proofErr w:type="spellEnd"/>
            <w:r w:rsidRPr="00EA4853">
              <w:t>).</w:t>
            </w:r>
          </w:p>
        </w:tc>
      </w:tr>
      <w:tr w:rsidR="00177F62" w:rsidTr="00DB16AF">
        <w:trPr>
          <w:cantSplit/>
        </w:trPr>
        <w:tc>
          <w:tcPr>
            <w:tcW w:w="8771" w:type="dxa"/>
            <w:tcBorders>
              <w:top w:val="nil"/>
              <w:left w:val="nil"/>
              <w:bottom w:val="single" w:sz="6" w:space="0" w:color="78A22F"/>
              <w:right w:val="nil"/>
            </w:tcBorders>
            <w:shd w:val="clear" w:color="auto" w:fill="F2F2F2"/>
          </w:tcPr>
          <w:p w:rsidR="00177F62" w:rsidRDefault="00177F62">
            <w:pPr>
              <w:pStyle w:val="Box"/>
              <w:spacing w:before="0" w:line="120" w:lineRule="exact"/>
            </w:pPr>
          </w:p>
        </w:tc>
      </w:tr>
      <w:tr w:rsidR="00177F62" w:rsidRPr="000863A5" w:rsidTr="00DB16AF">
        <w:tc>
          <w:tcPr>
            <w:tcW w:w="8771" w:type="dxa"/>
            <w:tcBorders>
              <w:top w:val="single" w:sz="6" w:space="0" w:color="78A22F"/>
              <w:left w:val="nil"/>
              <w:bottom w:val="nil"/>
              <w:right w:val="nil"/>
            </w:tcBorders>
          </w:tcPr>
          <w:p w:rsidR="00177F62" w:rsidRPr="00626D32" w:rsidRDefault="00177F62" w:rsidP="00DB16AF">
            <w:pPr>
              <w:pStyle w:val="BoxSpaceBelow"/>
            </w:pPr>
          </w:p>
        </w:tc>
      </w:tr>
    </w:tbl>
    <w:p w:rsidR="00797622" w:rsidRDefault="009E0717" w:rsidP="00C3586E">
      <w:pPr>
        <w:pStyle w:val="BodyText"/>
      </w:pPr>
      <w:r>
        <w:t>Nationally in 2014, 3.6 per cent of 0–12 year old children currently required additional formal child care due mainly to a work</w:t>
      </w:r>
      <w:r w:rsidR="002D438E">
        <w:noBreakHyphen/>
      </w:r>
      <w:r>
        <w:t>related reason of the family. This is a small increas</w:t>
      </w:r>
      <w:r w:rsidR="0030502A">
        <w:t xml:space="preserve">e from 2.7 per cent in </w:t>
      </w:r>
      <w:r w:rsidR="00EE77CE">
        <w:t>2011</w:t>
      </w:r>
      <w:r w:rsidR="00477BF9">
        <w:t xml:space="preserve">, but overall </w:t>
      </w:r>
      <w:r>
        <w:t>indicates that the majority of families with children aged 0–12 years do not require additional formal child care for work</w:t>
      </w:r>
      <w:r w:rsidR="002D438E">
        <w:noBreakHyphen/>
      </w:r>
      <w:r>
        <w:t>related reasons</w:t>
      </w:r>
      <w:r w:rsidR="007907DF">
        <w:t xml:space="preserve"> (figure</w:t>
      </w:r>
      <w:r w:rsidR="00697D43">
        <w:t> </w:t>
      </w:r>
      <w:r w:rsidR="005D73FF">
        <w:t>3.19</w:t>
      </w:r>
      <w:r w:rsidR="00616791">
        <w:t>)</w:t>
      </w:r>
      <w:r>
        <w:t xml:space="preserve">. </w:t>
      </w:r>
      <w:r w:rsidR="007C6EE8">
        <w:t>T</w:t>
      </w:r>
      <w:r>
        <w:t xml:space="preserve">he proportion should not be interpreted as ‘unmet demand’ because families responding </w:t>
      </w:r>
      <w:r w:rsidR="004620BE">
        <w:t xml:space="preserve">that </w:t>
      </w:r>
      <w:r>
        <w:t xml:space="preserve">they currently require additional child care does not indicate whether they have </w:t>
      </w:r>
      <w:r w:rsidR="007C6EE8">
        <w:t xml:space="preserve">accessed, </w:t>
      </w:r>
      <w:r>
        <w:t>or would take steps to access</w:t>
      </w:r>
      <w:r w:rsidR="007C6EE8">
        <w:t>,</w:t>
      </w:r>
      <w:r>
        <w:t xml:space="preserve"> the additio</w:t>
      </w:r>
      <w:r w:rsidR="004620BE">
        <w:t>n</w:t>
      </w:r>
      <w:r w:rsidR="00616791">
        <w:t>al care they say they require –t</w:t>
      </w:r>
      <w:r w:rsidR="004620BE">
        <w:t>he required care may be accessible, bu</w:t>
      </w:r>
      <w:r w:rsidR="00616791">
        <w:t>t they may choose not to use it</w:t>
      </w:r>
      <w:r w:rsidR="00B12C95" w:rsidRPr="00990A6E">
        <w:t>.</w:t>
      </w:r>
      <w:r w:rsidR="008D74B8">
        <w:t xml:space="preserve"> </w:t>
      </w:r>
    </w:p>
    <w:p w:rsidR="00100F59" w:rsidRDefault="00100F59" w:rsidP="005715A6">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100F59" w:rsidTr="007116F0">
        <w:tc>
          <w:tcPr>
            <w:tcW w:w="8771" w:type="dxa"/>
            <w:tcBorders>
              <w:top w:val="single" w:sz="6" w:space="0" w:color="78A22F"/>
              <w:left w:val="nil"/>
              <w:bottom w:val="nil"/>
              <w:right w:val="nil"/>
            </w:tcBorders>
            <w:shd w:val="clear" w:color="auto" w:fill="auto"/>
          </w:tcPr>
          <w:p w:rsidR="00100F59" w:rsidRPr="00176D3F" w:rsidRDefault="00100F59" w:rsidP="00100F59">
            <w:pPr>
              <w:pStyle w:val="FigureTitle"/>
            </w:pPr>
            <w:r w:rsidRPr="00784A05">
              <w:rPr>
                <w:b w:val="0"/>
              </w:rPr>
              <w:t xml:space="preserve">Figure </w:t>
            </w:r>
            <w:r>
              <w:rPr>
                <w:b w:val="0"/>
              </w:rPr>
              <w:t>3.</w:t>
            </w:r>
            <w:r w:rsidR="005D73FF">
              <w:rPr>
                <w:b w:val="0"/>
              </w:rPr>
              <w:t>19</w:t>
            </w:r>
            <w:r w:rsidR="00554A7F">
              <w:tab/>
            </w:r>
            <w:r w:rsidR="00554A7F" w:rsidRPr="00554A7F">
              <w:t>Proportion of children aged 0–12 years for whom additional formal child care was cur</w:t>
            </w:r>
            <w:r w:rsidR="00554A7F">
              <w:t>rently required for mainly work</w:t>
            </w:r>
            <w:r w:rsidR="00554A7F">
              <w:noBreakHyphen/>
            </w:r>
            <w:r w:rsidR="00554A7F" w:rsidRPr="00554A7F">
              <w:t>related reasons</w:t>
            </w:r>
            <w:r w:rsidR="00B742BA">
              <w:rPr>
                <w:rStyle w:val="NoteLabel"/>
                <w:b/>
              </w:rPr>
              <w:t>a, b</w:t>
            </w:r>
          </w:p>
        </w:tc>
      </w:tr>
      <w:tr w:rsidR="00100F59" w:rsidTr="007116F0">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100F59" w:rsidTr="005715A6">
              <w:trPr>
                <w:jc w:val="center"/>
              </w:trPr>
              <w:tc>
                <w:tcPr>
                  <w:tcW w:w="5000" w:type="pct"/>
                  <w:tcBorders>
                    <w:top w:val="nil"/>
                    <w:bottom w:val="nil"/>
                  </w:tcBorders>
                </w:tcPr>
                <w:p w:rsidR="00100F59" w:rsidRDefault="00B337E3" w:rsidP="005715A6">
                  <w:pPr>
                    <w:pStyle w:val="Figure"/>
                    <w:spacing w:before="60" w:after="60"/>
                  </w:pPr>
                  <w:r>
                    <w:rPr>
                      <w:noProof/>
                    </w:rPr>
                    <w:drawing>
                      <wp:inline distT="0" distB="0" distL="0" distR="0">
                        <wp:extent cx="5390515" cy="2679700"/>
                        <wp:effectExtent l="0" t="0" r="635" b="6350"/>
                        <wp:docPr id="18" name="Picture 18" descr="Figure 3.19 Proportion of children aged 0–12 years for whom additional formal child care was currently required for mainly work related reasons&#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5390515" cy="2679700"/>
                                </a:xfrm>
                                <a:prstGeom prst="rect">
                                  <a:avLst/>
                                </a:prstGeom>
                                <a:noFill/>
                                <a:ln>
                                  <a:noFill/>
                                </a:ln>
                              </pic:spPr>
                            </pic:pic>
                          </a:graphicData>
                        </a:graphic>
                      </wp:inline>
                    </w:drawing>
                  </w:r>
                </w:p>
              </w:tc>
            </w:tr>
          </w:tbl>
          <w:p w:rsidR="00100F59" w:rsidRDefault="00100F59" w:rsidP="005715A6">
            <w:pPr>
              <w:pStyle w:val="Figure"/>
            </w:pPr>
          </w:p>
        </w:tc>
      </w:tr>
      <w:tr w:rsidR="00100F59" w:rsidRPr="00176D3F" w:rsidTr="005715A6">
        <w:tc>
          <w:tcPr>
            <w:tcW w:w="8771" w:type="dxa"/>
            <w:tcBorders>
              <w:top w:val="nil"/>
              <w:left w:val="nil"/>
              <w:bottom w:val="nil"/>
              <w:right w:val="nil"/>
            </w:tcBorders>
            <w:shd w:val="clear" w:color="auto" w:fill="auto"/>
          </w:tcPr>
          <w:p w:rsidR="00100F59" w:rsidRPr="00176D3F" w:rsidRDefault="00100F59" w:rsidP="008E37F0">
            <w:pPr>
              <w:pStyle w:val="Note"/>
            </w:pPr>
            <w:r w:rsidRPr="000B75A5">
              <w:rPr>
                <w:rStyle w:val="NoteLabel"/>
              </w:rPr>
              <w:t>a</w:t>
            </w:r>
            <w:r w:rsidR="00EE3128">
              <w:t xml:space="preserve"> 2014 data for the ACT and 2011 d</w:t>
            </w:r>
            <w:r w:rsidR="000B75A5" w:rsidRPr="000B75A5">
              <w:t>ata for the NT are not published due to small numbers, but are included in the Australian total.</w:t>
            </w:r>
            <w:r w:rsidR="000B75A5" w:rsidRPr="000B75A5">
              <w:rPr>
                <w:rStyle w:val="NoteLabel"/>
              </w:rPr>
              <w:t xml:space="preserve"> </w:t>
            </w:r>
            <w:r w:rsidR="000B75A5">
              <w:rPr>
                <w:rStyle w:val="NoteLabel"/>
              </w:rPr>
              <w:t>b</w:t>
            </w:r>
            <w:r w:rsidR="000B75A5" w:rsidRPr="000B75A5">
              <w:t xml:space="preserve"> </w:t>
            </w:r>
            <w:r w:rsidR="008E37F0">
              <w:rPr>
                <w:rStyle w:val="NoteChar"/>
              </w:rPr>
              <w:t>See box</w:t>
            </w:r>
            <w:r w:rsidR="00697D43">
              <w:rPr>
                <w:rStyle w:val="NoteChar"/>
              </w:rPr>
              <w:t> </w:t>
            </w:r>
            <w:r w:rsidR="008E37F0">
              <w:rPr>
                <w:rStyle w:val="NoteChar"/>
              </w:rPr>
              <w:t>3.23</w:t>
            </w:r>
            <w:r w:rsidR="008E37F0" w:rsidRPr="00AA1455">
              <w:rPr>
                <w:rStyle w:val="NoteChar"/>
              </w:rPr>
              <w:t xml:space="preserve"> and table</w:t>
            </w:r>
            <w:r w:rsidR="00697D43">
              <w:rPr>
                <w:rStyle w:val="NoteChar"/>
              </w:rPr>
              <w:t> </w:t>
            </w:r>
            <w:proofErr w:type="spellStart"/>
            <w:r w:rsidR="008E37F0">
              <w:rPr>
                <w:rStyle w:val="NoteChar"/>
              </w:rPr>
              <w:t>3</w:t>
            </w:r>
            <w:r w:rsidR="008E37F0" w:rsidRPr="00AA1455">
              <w:rPr>
                <w:rStyle w:val="NoteChar"/>
              </w:rPr>
              <w:t>A.</w:t>
            </w:r>
            <w:r w:rsidR="008E37F0">
              <w:rPr>
                <w:rStyle w:val="NoteChar"/>
              </w:rPr>
              <w:t>69</w:t>
            </w:r>
            <w:proofErr w:type="spellEnd"/>
            <w:r w:rsidR="008E37F0" w:rsidRPr="00AA1455">
              <w:rPr>
                <w:rStyle w:val="NoteChar"/>
              </w:rPr>
              <w:t xml:space="preserve"> for </w:t>
            </w:r>
            <w:r w:rsidR="00937F53">
              <w:rPr>
                <w:rStyle w:val="NoteChar"/>
              </w:rPr>
              <w:t>detailed definitions, footnotes and caveats.</w:t>
            </w:r>
          </w:p>
        </w:tc>
      </w:tr>
      <w:tr w:rsidR="00100F59" w:rsidRPr="00176D3F" w:rsidTr="005715A6">
        <w:tc>
          <w:tcPr>
            <w:tcW w:w="8771" w:type="dxa"/>
            <w:tcBorders>
              <w:top w:val="nil"/>
              <w:left w:val="nil"/>
              <w:bottom w:val="nil"/>
              <w:right w:val="nil"/>
            </w:tcBorders>
            <w:shd w:val="clear" w:color="auto" w:fill="auto"/>
          </w:tcPr>
          <w:p w:rsidR="00100F59" w:rsidRPr="00176D3F" w:rsidRDefault="00554A7F" w:rsidP="00170E9D">
            <w:pPr>
              <w:pStyle w:val="Source"/>
            </w:pPr>
            <w:r>
              <w:rPr>
                <w:i/>
              </w:rPr>
              <w:t>S</w:t>
            </w:r>
            <w:r w:rsidR="00100F59" w:rsidRPr="00784A05">
              <w:rPr>
                <w:i/>
              </w:rPr>
              <w:t>ource</w:t>
            </w:r>
            <w:r w:rsidR="00100F59" w:rsidRPr="00176D3F">
              <w:t xml:space="preserve">: </w:t>
            </w:r>
            <w:r w:rsidR="00722C63">
              <w:t xml:space="preserve">ABS (unpublished) </w:t>
            </w:r>
            <w:proofErr w:type="spellStart"/>
            <w:r w:rsidR="00170E9D" w:rsidRPr="00170E9D">
              <w:rPr>
                <w:i/>
              </w:rPr>
              <w:t>Microdata</w:t>
            </w:r>
            <w:proofErr w:type="spellEnd"/>
            <w:r w:rsidR="00170E9D" w:rsidRPr="00170E9D">
              <w:rPr>
                <w:i/>
              </w:rPr>
              <w:t>:</w:t>
            </w:r>
            <w:r w:rsidR="00170E9D">
              <w:t xml:space="preserve"> </w:t>
            </w:r>
            <w:r w:rsidRPr="00554A7F">
              <w:rPr>
                <w:i/>
              </w:rPr>
              <w:t>Childhood Education and Care, Australia, June 2011</w:t>
            </w:r>
            <w:r w:rsidR="00C74471">
              <w:rPr>
                <w:i/>
              </w:rPr>
              <w:t xml:space="preserve"> and 2014</w:t>
            </w:r>
            <w:r w:rsidR="00A27DB5">
              <w:t>, Cat. no. 4402.0</w:t>
            </w:r>
            <w:r w:rsidR="00170E9D">
              <w:t>.55.001</w:t>
            </w:r>
            <w:r w:rsidR="00A27DB5">
              <w:t>; tab</w:t>
            </w:r>
            <w:r w:rsidR="00C42F50">
              <w:t>le</w:t>
            </w:r>
            <w:r w:rsidR="00697D43">
              <w:t> </w:t>
            </w:r>
            <w:proofErr w:type="spellStart"/>
            <w:r w:rsidR="00C42F50">
              <w:t>3A.69</w:t>
            </w:r>
            <w:proofErr w:type="spellEnd"/>
            <w:r w:rsidR="00A27DB5">
              <w:t>.</w:t>
            </w:r>
          </w:p>
        </w:tc>
      </w:tr>
      <w:tr w:rsidR="00100F59" w:rsidTr="005715A6">
        <w:tc>
          <w:tcPr>
            <w:tcW w:w="8771" w:type="dxa"/>
            <w:tcBorders>
              <w:top w:val="nil"/>
              <w:left w:val="nil"/>
              <w:bottom w:val="single" w:sz="6" w:space="0" w:color="78A22F"/>
              <w:right w:val="nil"/>
            </w:tcBorders>
            <w:shd w:val="clear" w:color="auto" w:fill="auto"/>
          </w:tcPr>
          <w:p w:rsidR="00100F59" w:rsidRDefault="00100F59" w:rsidP="005715A6">
            <w:pPr>
              <w:pStyle w:val="Figurespace"/>
            </w:pPr>
          </w:p>
        </w:tc>
      </w:tr>
      <w:tr w:rsidR="00100F59" w:rsidRPr="000863A5" w:rsidTr="005715A6">
        <w:tc>
          <w:tcPr>
            <w:tcW w:w="8771" w:type="dxa"/>
            <w:tcBorders>
              <w:top w:val="single" w:sz="6" w:space="0" w:color="78A22F"/>
              <w:left w:val="nil"/>
              <w:bottom w:val="nil"/>
              <w:right w:val="nil"/>
            </w:tcBorders>
          </w:tcPr>
          <w:p w:rsidR="00100F59" w:rsidRPr="00626D32" w:rsidRDefault="00100F59" w:rsidP="005715A6">
            <w:pPr>
              <w:pStyle w:val="BoxSpaceBelow"/>
            </w:pPr>
          </w:p>
        </w:tc>
      </w:tr>
    </w:tbl>
    <w:p w:rsidR="00C74471" w:rsidRDefault="009859ED" w:rsidP="00C74471">
      <w:pPr>
        <w:pStyle w:val="Heading5"/>
      </w:pPr>
      <w:r>
        <w:t>Propor</w:t>
      </w:r>
      <w:r w:rsidR="00CA44AB">
        <w:t xml:space="preserve">tion of people aged 15 years and </w:t>
      </w:r>
      <w:r>
        <w:t xml:space="preserve">over </w:t>
      </w:r>
      <w:r w:rsidR="000F671C">
        <w:t>not in the labour force due to caring for children</w:t>
      </w:r>
      <w:r w:rsidR="00B048A6">
        <w:t xml:space="preserve">, by child care service </w:t>
      </w:r>
      <w:r>
        <w:t>related reasons</w:t>
      </w:r>
    </w:p>
    <w:p w:rsidR="00C74471" w:rsidRDefault="009946A8" w:rsidP="004C1D08">
      <w:pPr>
        <w:pStyle w:val="BodyText"/>
      </w:pPr>
      <w:r>
        <w:t>There are a number of factors which affect the labour force participation decisions of people responsible for caring for childre</w:t>
      </w:r>
      <w:r w:rsidR="00F34749">
        <w:t xml:space="preserve">n, of which child care service </w:t>
      </w:r>
      <w:r>
        <w:t>related r</w:t>
      </w:r>
      <w:r w:rsidR="008B4629">
        <w:t xml:space="preserve">easons are only some. Data </w:t>
      </w:r>
      <w:r>
        <w:t>from this survey provide the self</w:t>
      </w:r>
      <w:r w:rsidR="002D438E">
        <w:noBreakHyphen/>
      </w:r>
      <w:r>
        <w:t>reported m</w:t>
      </w:r>
      <w:r w:rsidR="008B4629">
        <w:t>ain reason respondents state when asked</w:t>
      </w:r>
      <w:r>
        <w:t xml:space="preserve"> why they are not in the labour force due to caring for children. </w:t>
      </w:r>
    </w:p>
    <w:p w:rsidR="009C4973" w:rsidRDefault="009C4973" w:rsidP="004C1D08">
      <w:pPr>
        <w:pStyle w:val="BodyText"/>
      </w:pPr>
      <w:r>
        <w:t>Nationally</w:t>
      </w:r>
      <w:r w:rsidR="007C6EE8">
        <w:t xml:space="preserve"> in 2014, </w:t>
      </w:r>
      <w:r>
        <w:t>280</w:t>
      </w:r>
      <w:r w:rsidR="00F833AE">
        <w:t> </w:t>
      </w:r>
      <w:r>
        <w:t>300 people aged 15 years and over reported that they were not in the labour force due to caring for children</w:t>
      </w:r>
      <w:r w:rsidR="00C42F50">
        <w:t xml:space="preserve"> (table</w:t>
      </w:r>
      <w:r w:rsidR="00697D43">
        <w:t> </w:t>
      </w:r>
      <w:proofErr w:type="spellStart"/>
      <w:r w:rsidR="00C42F50">
        <w:t>3A.70</w:t>
      </w:r>
      <w:proofErr w:type="spellEnd"/>
      <w:r w:rsidR="004C1AB1">
        <w:t>)</w:t>
      </w:r>
      <w:r>
        <w:t>.</w:t>
      </w:r>
      <w:r w:rsidR="00B9562F">
        <w:t xml:space="preserve"> Of these people, around half reported that a child care service related reason was why they were not in the labour force. The most common child care service related reason was cost of ch</w:t>
      </w:r>
      <w:r w:rsidR="00BF1615">
        <w:t>ild care (30.8 per cent) (table 3.</w:t>
      </w:r>
      <w:r w:rsidR="00867E58">
        <w:t>1</w:t>
      </w:r>
      <w:r w:rsidR="00BF1615">
        <w:t>5</w:t>
      </w:r>
      <w:r w:rsidR="00B9562F">
        <w:t xml:space="preserve">). The remaining half of respondents </w:t>
      </w:r>
      <w:r w:rsidR="00A87C99">
        <w:t>reported a non</w:t>
      </w:r>
      <w:r w:rsidR="002D438E">
        <w:noBreakHyphen/>
      </w:r>
      <w:r w:rsidR="00A87C99">
        <w:t xml:space="preserve">service related reason. In particular, 33.2 per cent </w:t>
      </w:r>
      <w:r w:rsidR="00B9562F">
        <w:t xml:space="preserve">said the main reason was they </w:t>
      </w:r>
      <w:r w:rsidR="00A202A7">
        <w:t>prefer</w:t>
      </w:r>
      <w:r>
        <w:t xml:space="preserve"> to look after the children</w:t>
      </w:r>
      <w:r w:rsidR="00A87C99">
        <w:t xml:space="preserve"> and 17.8 per cent reported that the</w:t>
      </w:r>
      <w:r w:rsidR="00FF3CA0">
        <w:t xml:space="preserve"> children we</w:t>
      </w:r>
      <w:r w:rsidR="00A202A7">
        <w:t xml:space="preserve">re too young or too old </w:t>
      </w:r>
      <w:r w:rsidR="00C42F50">
        <w:t>(table</w:t>
      </w:r>
      <w:r w:rsidR="00697D43">
        <w:t> </w:t>
      </w:r>
      <w:proofErr w:type="spellStart"/>
      <w:r w:rsidR="00C42F50">
        <w:t>3A.70</w:t>
      </w:r>
      <w:proofErr w:type="spellEnd"/>
      <w:r w:rsidR="00C77460">
        <w:t>)</w:t>
      </w:r>
      <w:r w:rsidR="00A202A7">
        <w:t xml:space="preserve">. </w:t>
      </w:r>
    </w:p>
    <w:p w:rsidR="00BD6A08" w:rsidRDefault="00BD6A08" w:rsidP="00F1578E">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8811"/>
      </w:tblGrid>
      <w:tr w:rsidR="00BD6A08" w:rsidTr="00F1578E">
        <w:tc>
          <w:tcPr>
            <w:tcW w:w="8771" w:type="dxa"/>
            <w:tcBorders>
              <w:top w:val="single" w:sz="6" w:space="0" w:color="78A22F"/>
              <w:left w:val="nil"/>
              <w:bottom w:val="nil"/>
              <w:right w:val="nil"/>
            </w:tcBorders>
            <w:shd w:val="clear" w:color="auto" w:fill="auto"/>
          </w:tcPr>
          <w:p w:rsidR="00BD6A08" w:rsidRPr="00784A05" w:rsidRDefault="00BD6A08" w:rsidP="00BD6A08">
            <w:pPr>
              <w:pStyle w:val="TableTitle"/>
            </w:pPr>
            <w:r>
              <w:rPr>
                <w:b w:val="0"/>
              </w:rPr>
              <w:t xml:space="preserve">Table </w:t>
            </w:r>
            <w:r w:rsidR="00220E5D">
              <w:rPr>
                <w:b w:val="0"/>
              </w:rPr>
              <w:t>3.</w:t>
            </w:r>
            <w:r w:rsidR="00867E58">
              <w:rPr>
                <w:b w:val="0"/>
              </w:rPr>
              <w:t>1</w:t>
            </w:r>
            <w:r w:rsidR="000E3849">
              <w:rPr>
                <w:b w:val="0"/>
                <w:noProof/>
              </w:rPr>
              <w:t>5</w:t>
            </w:r>
            <w:r>
              <w:tab/>
              <w:t>Proportion of persons aged 15 years and over not in the labour force due to caring for children, by child care service related reasons</w:t>
            </w:r>
            <w:r w:rsidR="0037012B">
              <w:t xml:space="preserve"> (per cent)</w:t>
            </w:r>
            <w:r>
              <w:t>, 2014</w:t>
            </w:r>
            <w:r w:rsidRPr="00BB7B98">
              <w:rPr>
                <w:rStyle w:val="NoteLabel"/>
                <w:b/>
              </w:rPr>
              <w:t>a</w:t>
            </w:r>
            <w:r w:rsidR="0031720B">
              <w:rPr>
                <w:rStyle w:val="NoteLabel"/>
                <w:b/>
              </w:rPr>
              <w:t xml:space="preserve"> </w:t>
            </w:r>
          </w:p>
        </w:tc>
      </w:tr>
      <w:tr w:rsidR="00BD6A08" w:rsidTr="00F1578E">
        <w:trPr>
          <w:cantSplit/>
        </w:trPr>
        <w:tc>
          <w:tcPr>
            <w:tcW w:w="8771" w:type="dxa"/>
            <w:tcBorders>
              <w:top w:val="nil"/>
              <w:left w:val="nil"/>
              <w:bottom w:val="nil"/>
              <w:right w:val="nil"/>
            </w:tcBorders>
            <w:shd w:val="clear" w:color="auto" w:fill="auto"/>
          </w:tcPr>
          <w:tbl>
            <w:tblPr>
              <w:tblW w:w="8527" w:type="dxa"/>
              <w:tblCellMar>
                <w:top w:w="28" w:type="dxa"/>
                <w:left w:w="0" w:type="dxa"/>
                <w:right w:w="0" w:type="dxa"/>
              </w:tblCellMar>
              <w:tblLook w:val="0000" w:firstRow="0" w:lastRow="0" w:firstColumn="0" w:lastColumn="0" w:noHBand="0" w:noVBand="0"/>
            </w:tblPr>
            <w:tblGrid>
              <w:gridCol w:w="1435"/>
              <w:gridCol w:w="788"/>
              <w:gridCol w:w="788"/>
              <w:gridCol w:w="788"/>
              <w:gridCol w:w="788"/>
              <w:gridCol w:w="788"/>
              <w:gridCol w:w="788"/>
              <w:gridCol w:w="788"/>
              <w:gridCol w:w="788"/>
              <w:gridCol w:w="788"/>
            </w:tblGrid>
            <w:tr w:rsidR="00B4079E" w:rsidTr="00B4079E">
              <w:tc>
                <w:tcPr>
                  <w:tcW w:w="819" w:type="pct"/>
                  <w:tcBorders>
                    <w:top w:val="single" w:sz="6" w:space="0" w:color="BFBFBF"/>
                    <w:bottom w:val="single" w:sz="6" w:space="0" w:color="BFBFBF"/>
                  </w:tcBorders>
                  <w:shd w:val="clear" w:color="auto" w:fill="auto"/>
                  <w:tcMar>
                    <w:top w:w="28" w:type="dxa"/>
                  </w:tcMar>
                </w:tcPr>
                <w:p w:rsidR="00BD6A08" w:rsidRDefault="00BD6A08" w:rsidP="00F1578E">
                  <w:pPr>
                    <w:pStyle w:val="TableColumnHeading"/>
                    <w:jc w:val="left"/>
                  </w:pPr>
                </w:p>
              </w:tc>
              <w:tc>
                <w:tcPr>
                  <w:tcW w:w="450" w:type="pct"/>
                  <w:tcBorders>
                    <w:top w:val="single" w:sz="6" w:space="0" w:color="BFBFBF"/>
                    <w:bottom w:val="single" w:sz="6" w:space="0" w:color="BFBFBF"/>
                  </w:tcBorders>
                </w:tcPr>
                <w:p w:rsidR="00BD6A08" w:rsidRDefault="00BD6A08" w:rsidP="00F1578E">
                  <w:pPr>
                    <w:pStyle w:val="TableColumnHeading"/>
                  </w:pPr>
                  <w:r>
                    <w:t>NSW</w:t>
                  </w:r>
                </w:p>
              </w:tc>
              <w:tc>
                <w:tcPr>
                  <w:tcW w:w="450" w:type="pct"/>
                  <w:tcBorders>
                    <w:top w:val="single" w:sz="6" w:space="0" w:color="BFBFBF"/>
                    <w:bottom w:val="single" w:sz="6" w:space="0" w:color="BFBFBF"/>
                  </w:tcBorders>
                </w:tcPr>
                <w:p w:rsidR="00BD6A08" w:rsidRDefault="00BD6A08" w:rsidP="00F1578E">
                  <w:pPr>
                    <w:pStyle w:val="TableColumnHeading"/>
                  </w:pPr>
                  <w:r>
                    <w:t>Vic</w:t>
                  </w:r>
                </w:p>
              </w:tc>
              <w:tc>
                <w:tcPr>
                  <w:tcW w:w="450" w:type="pct"/>
                  <w:tcBorders>
                    <w:top w:val="single" w:sz="6" w:space="0" w:color="BFBFBF"/>
                    <w:bottom w:val="single" w:sz="6" w:space="0" w:color="BFBFBF"/>
                  </w:tcBorders>
                </w:tcPr>
                <w:p w:rsidR="00BD6A08" w:rsidRDefault="00BD6A08" w:rsidP="00F1578E">
                  <w:pPr>
                    <w:pStyle w:val="TableColumnHeading"/>
                  </w:pPr>
                  <w:r>
                    <w:t>Qld</w:t>
                  </w:r>
                </w:p>
              </w:tc>
              <w:tc>
                <w:tcPr>
                  <w:tcW w:w="450" w:type="pct"/>
                  <w:tcBorders>
                    <w:top w:val="single" w:sz="6" w:space="0" w:color="BFBFBF"/>
                    <w:bottom w:val="single" w:sz="6" w:space="0" w:color="BFBFBF"/>
                  </w:tcBorders>
                </w:tcPr>
                <w:p w:rsidR="00BD6A08" w:rsidRDefault="00BD6A08" w:rsidP="00F1578E">
                  <w:pPr>
                    <w:pStyle w:val="TableColumnHeading"/>
                  </w:pPr>
                  <w:r>
                    <w:t>WA</w:t>
                  </w:r>
                </w:p>
              </w:tc>
              <w:tc>
                <w:tcPr>
                  <w:tcW w:w="450" w:type="pct"/>
                  <w:tcBorders>
                    <w:top w:val="single" w:sz="6" w:space="0" w:color="BFBFBF"/>
                    <w:bottom w:val="single" w:sz="6" w:space="0" w:color="BFBFBF"/>
                  </w:tcBorders>
                </w:tcPr>
                <w:p w:rsidR="00BD6A08" w:rsidRDefault="00BD6A08" w:rsidP="00F1578E">
                  <w:pPr>
                    <w:pStyle w:val="TableColumnHeading"/>
                  </w:pPr>
                  <w:r>
                    <w:t>SA</w:t>
                  </w:r>
                </w:p>
              </w:tc>
              <w:tc>
                <w:tcPr>
                  <w:tcW w:w="450" w:type="pct"/>
                  <w:tcBorders>
                    <w:top w:val="single" w:sz="6" w:space="0" w:color="BFBFBF"/>
                    <w:bottom w:val="single" w:sz="6" w:space="0" w:color="BFBFBF"/>
                  </w:tcBorders>
                  <w:shd w:val="clear" w:color="auto" w:fill="auto"/>
                  <w:tcMar>
                    <w:top w:w="28" w:type="dxa"/>
                  </w:tcMar>
                </w:tcPr>
                <w:p w:rsidR="00BD6A08" w:rsidRDefault="00BD6A08" w:rsidP="00F1578E">
                  <w:pPr>
                    <w:pStyle w:val="TableColumnHeading"/>
                  </w:pPr>
                  <w:proofErr w:type="spellStart"/>
                  <w:r>
                    <w:t>Tas</w:t>
                  </w:r>
                  <w:proofErr w:type="spellEnd"/>
                </w:p>
              </w:tc>
              <w:tc>
                <w:tcPr>
                  <w:tcW w:w="450" w:type="pct"/>
                  <w:tcBorders>
                    <w:top w:val="single" w:sz="6" w:space="0" w:color="BFBFBF"/>
                    <w:bottom w:val="single" w:sz="6" w:space="0" w:color="BFBFBF"/>
                  </w:tcBorders>
                </w:tcPr>
                <w:p w:rsidR="00BD6A08" w:rsidRDefault="00BD6A08" w:rsidP="00BD6A08">
                  <w:pPr>
                    <w:pStyle w:val="TableColumnHeading"/>
                  </w:pPr>
                  <w:r>
                    <w:t>ACT</w:t>
                  </w:r>
                </w:p>
              </w:tc>
              <w:tc>
                <w:tcPr>
                  <w:tcW w:w="450" w:type="pct"/>
                  <w:tcBorders>
                    <w:top w:val="single" w:sz="6" w:space="0" w:color="BFBFBF"/>
                    <w:bottom w:val="single" w:sz="6" w:space="0" w:color="BFBFBF"/>
                  </w:tcBorders>
                </w:tcPr>
                <w:p w:rsidR="00BD6A08" w:rsidRDefault="00BD6A08" w:rsidP="00BD6A08">
                  <w:pPr>
                    <w:pStyle w:val="TableColumnHeading"/>
                  </w:pPr>
                  <w:r>
                    <w:t>NT</w:t>
                  </w:r>
                </w:p>
              </w:tc>
              <w:tc>
                <w:tcPr>
                  <w:tcW w:w="450" w:type="pct"/>
                  <w:tcBorders>
                    <w:top w:val="single" w:sz="6" w:space="0" w:color="BFBFBF"/>
                    <w:bottom w:val="single" w:sz="6" w:space="0" w:color="BFBFBF"/>
                  </w:tcBorders>
                  <w:shd w:val="clear" w:color="auto" w:fill="auto"/>
                  <w:tcMar>
                    <w:top w:w="28" w:type="dxa"/>
                  </w:tcMar>
                </w:tcPr>
                <w:p w:rsidR="00BD6A08" w:rsidRDefault="00BD6A08" w:rsidP="00BD6A08">
                  <w:pPr>
                    <w:pStyle w:val="TableColumnHeading"/>
                  </w:pPr>
                  <w:proofErr w:type="spellStart"/>
                  <w:r>
                    <w:t>Aust</w:t>
                  </w:r>
                  <w:proofErr w:type="spellEnd"/>
                </w:p>
              </w:tc>
            </w:tr>
            <w:tr w:rsidR="00B4079E" w:rsidTr="0008693D">
              <w:tc>
                <w:tcPr>
                  <w:tcW w:w="819" w:type="pct"/>
                  <w:tcBorders>
                    <w:top w:val="single" w:sz="6" w:space="0" w:color="BFBFBF"/>
                  </w:tcBorders>
                </w:tcPr>
                <w:p w:rsidR="00BD6A08" w:rsidRDefault="0037012B" w:rsidP="00F1578E">
                  <w:pPr>
                    <w:pStyle w:val="TableUnitsRow"/>
                    <w:jc w:val="left"/>
                  </w:pPr>
                  <w:r>
                    <w:t>Cost or too expensive</w:t>
                  </w:r>
                </w:p>
              </w:tc>
              <w:tc>
                <w:tcPr>
                  <w:tcW w:w="450" w:type="pct"/>
                  <w:tcBorders>
                    <w:top w:val="single" w:sz="6" w:space="0" w:color="BFBFBF"/>
                  </w:tcBorders>
                  <w:vAlign w:val="center"/>
                </w:tcPr>
                <w:p w:rsidR="00BD6A08" w:rsidRPr="00404DF5" w:rsidRDefault="0037012B" w:rsidP="0008693D">
                  <w:pPr>
                    <w:pStyle w:val="TableUnitsRow"/>
                  </w:pPr>
                  <w:r w:rsidRPr="00404DF5">
                    <w:t>28.0</w:t>
                  </w:r>
                  <w:r w:rsidR="002D438E">
                    <w:t xml:space="preserve"> </w:t>
                  </w:r>
                  <w:r w:rsidR="00B01613">
                    <w:t xml:space="preserve">    </w:t>
                  </w:r>
                  <w:r w:rsidR="00B4079E">
                    <w:t>±</w:t>
                  </w:r>
                  <w:r w:rsidR="00454B1B">
                    <w:t xml:space="preserve"> 5.9</w:t>
                  </w:r>
                </w:p>
              </w:tc>
              <w:tc>
                <w:tcPr>
                  <w:tcW w:w="450" w:type="pct"/>
                  <w:tcBorders>
                    <w:top w:val="single" w:sz="6" w:space="0" w:color="BFBFBF"/>
                  </w:tcBorders>
                  <w:vAlign w:val="center"/>
                </w:tcPr>
                <w:p w:rsidR="00BD6A08" w:rsidRPr="00404DF5" w:rsidRDefault="00561C00" w:rsidP="0008693D">
                  <w:pPr>
                    <w:pStyle w:val="TableUnitsRow"/>
                  </w:pPr>
                  <w:r w:rsidRPr="00404DF5">
                    <w:t>32.2</w:t>
                  </w:r>
                  <w:r w:rsidR="00B4079E">
                    <w:t xml:space="preserve"> </w:t>
                  </w:r>
                  <w:r w:rsidR="004274DC">
                    <w:t xml:space="preserve">    </w:t>
                  </w:r>
                  <w:r w:rsidR="00B4079E">
                    <w:t>±</w:t>
                  </w:r>
                  <w:r w:rsidR="00454B1B">
                    <w:t xml:space="preserve"> 5.9</w:t>
                  </w:r>
                  <w:r w:rsidR="00B4079E">
                    <w:t xml:space="preserve"> </w:t>
                  </w:r>
                </w:p>
              </w:tc>
              <w:tc>
                <w:tcPr>
                  <w:tcW w:w="450" w:type="pct"/>
                  <w:tcBorders>
                    <w:top w:val="single" w:sz="6" w:space="0" w:color="BFBFBF"/>
                  </w:tcBorders>
                  <w:vAlign w:val="center"/>
                </w:tcPr>
                <w:p w:rsidR="00BD6A08" w:rsidRPr="00404DF5" w:rsidRDefault="0037012B" w:rsidP="0008693D">
                  <w:pPr>
                    <w:pStyle w:val="TableUnitsRow"/>
                  </w:pPr>
                  <w:r w:rsidRPr="00404DF5">
                    <w:t>32.0</w:t>
                  </w:r>
                  <w:r w:rsidR="00B4079E">
                    <w:t xml:space="preserve"> </w:t>
                  </w:r>
                  <w:r w:rsidR="004274DC">
                    <w:t xml:space="preserve">    </w:t>
                  </w:r>
                  <w:r w:rsidR="00B4079E">
                    <w:t>±</w:t>
                  </w:r>
                  <w:r w:rsidR="00454B1B">
                    <w:t xml:space="preserve"> 10.7</w:t>
                  </w:r>
                </w:p>
              </w:tc>
              <w:tc>
                <w:tcPr>
                  <w:tcW w:w="450" w:type="pct"/>
                  <w:tcBorders>
                    <w:top w:val="single" w:sz="6" w:space="0" w:color="BFBFBF"/>
                  </w:tcBorders>
                  <w:vAlign w:val="center"/>
                </w:tcPr>
                <w:p w:rsidR="00BD6A08" w:rsidRPr="00404DF5" w:rsidRDefault="0037012B" w:rsidP="0008693D">
                  <w:pPr>
                    <w:pStyle w:val="TableUnitsRow"/>
                  </w:pPr>
                  <w:r w:rsidRPr="00404DF5">
                    <w:t>30.3</w:t>
                  </w:r>
                  <w:r w:rsidR="004274DC">
                    <w:t xml:space="preserve">     </w:t>
                  </w:r>
                  <w:r w:rsidR="00B4079E">
                    <w:t>±</w:t>
                  </w:r>
                  <w:r w:rsidR="00454B1B">
                    <w:t xml:space="preserve"> 7.6</w:t>
                  </w:r>
                  <w:r w:rsidR="00B4079E">
                    <w:t xml:space="preserve"> </w:t>
                  </w:r>
                </w:p>
              </w:tc>
              <w:tc>
                <w:tcPr>
                  <w:tcW w:w="450" w:type="pct"/>
                  <w:tcBorders>
                    <w:top w:val="single" w:sz="6" w:space="0" w:color="BFBFBF"/>
                  </w:tcBorders>
                  <w:vAlign w:val="center"/>
                </w:tcPr>
                <w:p w:rsidR="00BD6A08" w:rsidRPr="00404DF5" w:rsidRDefault="0037012B" w:rsidP="0008693D">
                  <w:pPr>
                    <w:pStyle w:val="TableUnitsRow"/>
                  </w:pPr>
                  <w:r w:rsidRPr="00404DF5">
                    <w:t>38.8</w:t>
                  </w:r>
                  <w:r w:rsidR="004274DC">
                    <w:t xml:space="preserve">     </w:t>
                  </w:r>
                  <w:r w:rsidR="00B4079E">
                    <w:t>±</w:t>
                  </w:r>
                  <w:r w:rsidR="00454B1B">
                    <w:t xml:space="preserve"> 12.2</w:t>
                  </w:r>
                  <w:r w:rsidR="00B4079E">
                    <w:t xml:space="preserve"> </w:t>
                  </w:r>
                </w:p>
              </w:tc>
              <w:tc>
                <w:tcPr>
                  <w:tcW w:w="450" w:type="pct"/>
                  <w:tcBorders>
                    <w:top w:val="single" w:sz="6" w:space="0" w:color="BFBFBF"/>
                  </w:tcBorders>
                  <w:vAlign w:val="center"/>
                </w:tcPr>
                <w:p w:rsidR="00BD6A08" w:rsidRPr="00404DF5" w:rsidRDefault="0037012B" w:rsidP="0008693D">
                  <w:pPr>
                    <w:pStyle w:val="TableUnitsRow"/>
                  </w:pPr>
                  <w:r w:rsidRPr="00404DF5">
                    <w:t>35.1</w:t>
                  </w:r>
                  <w:r w:rsidR="004274DC">
                    <w:t xml:space="preserve">     </w:t>
                  </w:r>
                  <w:r w:rsidR="00B4079E">
                    <w:t>±</w:t>
                  </w:r>
                  <w:r w:rsidR="00454B1B">
                    <w:t xml:space="preserve"> 13.1</w:t>
                  </w:r>
                </w:p>
              </w:tc>
              <w:tc>
                <w:tcPr>
                  <w:tcW w:w="450" w:type="pct"/>
                  <w:tcBorders>
                    <w:top w:val="single" w:sz="6" w:space="0" w:color="BFBFBF"/>
                  </w:tcBorders>
                  <w:vAlign w:val="center"/>
                </w:tcPr>
                <w:p w:rsidR="00BD6A08" w:rsidRPr="00404DF5" w:rsidRDefault="0037012B" w:rsidP="0008693D">
                  <w:pPr>
                    <w:pStyle w:val="TableUnitsRow"/>
                  </w:pPr>
                  <w:r w:rsidRPr="00404DF5">
                    <w:t>22.5</w:t>
                  </w:r>
                  <w:r w:rsidR="00B4079E">
                    <w:t xml:space="preserve"> </w:t>
                  </w:r>
                  <w:r w:rsidR="004274DC">
                    <w:t xml:space="preserve">    </w:t>
                  </w:r>
                  <w:r w:rsidR="00B4079E">
                    <w:t>±</w:t>
                  </w:r>
                  <w:r w:rsidR="00454B1B">
                    <w:t xml:space="preserve"> 21.9</w:t>
                  </w:r>
                </w:p>
              </w:tc>
              <w:tc>
                <w:tcPr>
                  <w:tcW w:w="450" w:type="pct"/>
                  <w:tcBorders>
                    <w:top w:val="single" w:sz="6" w:space="0" w:color="BFBFBF"/>
                  </w:tcBorders>
                  <w:vAlign w:val="center"/>
                </w:tcPr>
                <w:p w:rsidR="00BD6A08" w:rsidRPr="00404DF5" w:rsidRDefault="0037012B" w:rsidP="0008693D">
                  <w:pPr>
                    <w:pStyle w:val="TableUnitsRow"/>
                  </w:pPr>
                  <w:r w:rsidRPr="00404DF5">
                    <w:t>39.4</w:t>
                  </w:r>
                  <w:r w:rsidR="004274DC">
                    <w:t xml:space="preserve">     </w:t>
                  </w:r>
                  <w:r w:rsidR="00B4079E">
                    <w:t>±</w:t>
                  </w:r>
                  <w:r w:rsidR="00454B1B">
                    <w:t xml:space="preserve"> 13.0</w:t>
                  </w:r>
                </w:p>
              </w:tc>
              <w:tc>
                <w:tcPr>
                  <w:tcW w:w="450" w:type="pct"/>
                  <w:tcBorders>
                    <w:top w:val="single" w:sz="6" w:space="0" w:color="BFBFBF"/>
                  </w:tcBorders>
                  <w:vAlign w:val="center"/>
                </w:tcPr>
                <w:p w:rsidR="00BD6A08" w:rsidRPr="00404DF5" w:rsidRDefault="0037012B" w:rsidP="0008693D">
                  <w:pPr>
                    <w:pStyle w:val="TableUnitsRow"/>
                  </w:pPr>
                  <w:r w:rsidRPr="00404DF5">
                    <w:t>30.8</w:t>
                  </w:r>
                  <w:r w:rsidR="004274DC">
                    <w:t xml:space="preserve">     </w:t>
                  </w:r>
                  <w:r w:rsidR="00B4079E">
                    <w:t>±</w:t>
                  </w:r>
                  <w:r w:rsidR="00454B1B">
                    <w:t xml:space="preserve"> 3.4</w:t>
                  </w:r>
                </w:p>
              </w:tc>
            </w:tr>
            <w:tr w:rsidR="00B4079E" w:rsidTr="0008693D">
              <w:tc>
                <w:tcPr>
                  <w:tcW w:w="819" w:type="pct"/>
                </w:tcPr>
                <w:p w:rsidR="00BD6A08" w:rsidRDefault="0037012B" w:rsidP="00F1578E">
                  <w:pPr>
                    <w:pStyle w:val="TableUnitsRow"/>
                    <w:jc w:val="left"/>
                  </w:pPr>
                  <w:r>
                    <w:t>No child care in locality</w:t>
                  </w:r>
                </w:p>
              </w:tc>
              <w:tc>
                <w:tcPr>
                  <w:tcW w:w="450" w:type="pct"/>
                  <w:vAlign w:val="center"/>
                </w:tcPr>
                <w:p w:rsidR="00BD6A08" w:rsidRPr="00404DF5" w:rsidRDefault="0037012B" w:rsidP="0008693D">
                  <w:pPr>
                    <w:pStyle w:val="TableUnitsRow"/>
                  </w:pPr>
                  <w:r w:rsidRPr="00404DF5">
                    <w:t>5.7</w:t>
                  </w:r>
                  <w:r w:rsidR="00B4079E">
                    <w:t xml:space="preserve"> </w:t>
                  </w:r>
                  <w:r w:rsidR="004274DC">
                    <w:t xml:space="preserve">      </w:t>
                  </w:r>
                  <w:r w:rsidR="00B4079E">
                    <w:t>±</w:t>
                  </w:r>
                  <w:r w:rsidR="00454B1B">
                    <w:t xml:space="preserve"> 3.6</w:t>
                  </w:r>
                  <w:r w:rsidR="00B4079E">
                    <w:t xml:space="preserve"> </w:t>
                  </w:r>
                </w:p>
              </w:tc>
              <w:tc>
                <w:tcPr>
                  <w:tcW w:w="450" w:type="pct"/>
                  <w:vAlign w:val="center"/>
                </w:tcPr>
                <w:p w:rsidR="00BD6A08" w:rsidRPr="00404DF5" w:rsidRDefault="0037012B" w:rsidP="0008693D">
                  <w:pPr>
                    <w:pStyle w:val="TableUnitsRow"/>
                  </w:pPr>
                  <w:r w:rsidRPr="00404DF5">
                    <w:t>3.0</w:t>
                  </w:r>
                  <w:r w:rsidR="00B4079E">
                    <w:t xml:space="preserve"> </w:t>
                  </w:r>
                  <w:r w:rsidR="004274DC">
                    <w:t xml:space="preserve">      </w:t>
                  </w:r>
                  <w:r w:rsidR="00B4079E">
                    <w:t>±</w:t>
                  </w:r>
                  <w:r w:rsidR="00454B1B">
                    <w:t xml:space="preserve"> 2.5</w:t>
                  </w:r>
                </w:p>
              </w:tc>
              <w:tc>
                <w:tcPr>
                  <w:tcW w:w="450" w:type="pct"/>
                  <w:vAlign w:val="center"/>
                </w:tcPr>
                <w:p w:rsidR="00BD6A08" w:rsidRPr="00404DF5" w:rsidRDefault="0037012B" w:rsidP="0008693D">
                  <w:pPr>
                    <w:pStyle w:val="TableUnitsRow"/>
                  </w:pPr>
                  <w:r w:rsidRPr="00404DF5">
                    <w:t>3.9</w:t>
                  </w:r>
                  <w:r w:rsidR="00B4079E">
                    <w:t xml:space="preserve"> </w:t>
                  </w:r>
                  <w:r w:rsidR="004274DC">
                    <w:t xml:space="preserve">      </w:t>
                  </w:r>
                  <w:r w:rsidR="00B4079E">
                    <w:t>±</w:t>
                  </w:r>
                  <w:r w:rsidR="00454B1B">
                    <w:t xml:space="preserve"> 5.0</w:t>
                  </w:r>
                </w:p>
              </w:tc>
              <w:tc>
                <w:tcPr>
                  <w:tcW w:w="450" w:type="pct"/>
                  <w:vAlign w:val="center"/>
                </w:tcPr>
                <w:p w:rsidR="00BD6A08" w:rsidRPr="00404DF5" w:rsidRDefault="0037012B" w:rsidP="0008693D">
                  <w:pPr>
                    <w:pStyle w:val="TableUnitsRow"/>
                  </w:pPr>
                  <w:r w:rsidRPr="00404DF5">
                    <w:t>4.5</w:t>
                  </w:r>
                  <w:r w:rsidR="004274DC">
                    <w:t xml:space="preserve">      </w:t>
                  </w:r>
                  <w:r w:rsidR="00B4079E">
                    <w:t xml:space="preserve"> ±</w:t>
                  </w:r>
                  <w:r w:rsidR="00454B1B">
                    <w:t xml:space="preserve"> 4.2</w:t>
                  </w:r>
                  <w:r w:rsidR="00B4079E">
                    <w:t xml:space="preserve"> </w:t>
                  </w:r>
                </w:p>
              </w:tc>
              <w:tc>
                <w:tcPr>
                  <w:tcW w:w="450" w:type="pct"/>
                  <w:vAlign w:val="center"/>
                </w:tcPr>
                <w:p w:rsidR="00BD6A08" w:rsidRPr="00404DF5" w:rsidRDefault="0037012B" w:rsidP="0008693D">
                  <w:pPr>
                    <w:pStyle w:val="TableUnitsRow"/>
                  </w:pPr>
                  <w:r w:rsidRPr="00404DF5">
                    <w:t>5.0</w:t>
                  </w:r>
                  <w:r w:rsidR="00B4079E">
                    <w:t xml:space="preserve"> </w:t>
                  </w:r>
                  <w:r w:rsidR="004274DC">
                    <w:t xml:space="preserve">      </w:t>
                  </w:r>
                  <w:r w:rsidR="00B4079E">
                    <w:t>±</w:t>
                  </w:r>
                  <w:r w:rsidR="00454B1B">
                    <w:t xml:space="preserve"> 6.0</w:t>
                  </w:r>
                </w:p>
              </w:tc>
              <w:tc>
                <w:tcPr>
                  <w:tcW w:w="450" w:type="pct"/>
                  <w:vAlign w:val="center"/>
                </w:tcPr>
                <w:p w:rsidR="00BD6A08" w:rsidRPr="00404DF5" w:rsidRDefault="0037012B" w:rsidP="0008693D">
                  <w:pPr>
                    <w:pStyle w:val="TableUnitsRow"/>
                  </w:pPr>
                  <w:r w:rsidRPr="00404DF5">
                    <w:t>np</w:t>
                  </w:r>
                </w:p>
              </w:tc>
              <w:tc>
                <w:tcPr>
                  <w:tcW w:w="450" w:type="pct"/>
                  <w:vAlign w:val="center"/>
                </w:tcPr>
                <w:p w:rsidR="00BD6A08" w:rsidRPr="00404DF5" w:rsidRDefault="0037012B" w:rsidP="0008693D">
                  <w:pPr>
                    <w:pStyle w:val="TableUnitsRow"/>
                  </w:pPr>
                  <w:r w:rsidRPr="00404DF5">
                    <w:t>–</w:t>
                  </w:r>
                </w:p>
              </w:tc>
              <w:tc>
                <w:tcPr>
                  <w:tcW w:w="450" w:type="pct"/>
                  <w:vAlign w:val="center"/>
                </w:tcPr>
                <w:p w:rsidR="00BD6A08" w:rsidRPr="00404DF5" w:rsidRDefault="0037012B" w:rsidP="0008693D">
                  <w:pPr>
                    <w:pStyle w:val="TableUnitsRow"/>
                  </w:pPr>
                  <w:r w:rsidRPr="00404DF5">
                    <w:t>np</w:t>
                  </w:r>
                </w:p>
              </w:tc>
              <w:tc>
                <w:tcPr>
                  <w:tcW w:w="450" w:type="pct"/>
                  <w:vAlign w:val="center"/>
                </w:tcPr>
                <w:p w:rsidR="00BD6A08" w:rsidRPr="00404DF5" w:rsidRDefault="0037012B" w:rsidP="0008693D">
                  <w:pPr>
                    <w:pStyle w:val="TableUnitsRow"/>
                  </w:pPr>
                  <w:r w:rsidRPr="00404DF5">
                    <w:t>4.4</w:t>
                  </w:r>
                  <w:r w:rsidR="00B4079E">
                    <w:t xml:space="preserve"> </w:t>
                  </w:r>
                  <w:r w:rsidR="004274DC">
                    <w:t xml:space="preserve">      </w:t>
                  </w:r>
                  <w:r w:rsidR="00B4079E">
                    <w:t>±</w:t>
                  </w:r>
                  <w:r w:rsidR="00454B1B">
                    <w:t xml:space="preserve"> 1.9</w:t>
                  </w:r>
                  <w:r w:rsidR="00B4079E">
                    <w:t xml:space="preserve"> </w:t>
                  </w:r>
                </w:p>
              </w:tc>
            </w:tr>
            <w:tr w:rsidR="00B4079E" w:rsidTr="0008693D">
              <w:tc>
                <w:tcPr>
                  <w:tcW w:w="819" w:type="pct"/>
                </w:tcPr>
                <w:p w:rsidR="00BD6A08" w:rsidRDefault="0037012B" w:rsidP="00F1578E">
                  <w:pPr>
                    <w:pStyle w:val="TableUnitsRow"/>
                    <w:jc w:val="left"/>
                  </w:pPr>
                  <w:r>
                    <w:t>No child care available at all</w:t>
                  </w:r>
                </w:p>
              </w:tc>
              <w:tc>
                <w:tcPr>
                  <w:tcW w:w="450" w:type="pct"/>
                  <w:vAlign w:val="center"/>
                </w:tcPr>
                <w:p w:rsidR="00BD6A08" w:rsidRPr="00404DF5" w:rsidRDefault="0037012B" w:rsidP="0008693D">
                  <w:pPr>
                    <w:pStyle w:val="TableUnitsRow"/>
                  </w:pPr>
                  <w:r w:rsidRPr="00404DF5">
                    <w:t>2.5</w:t>
                  </w:r>
                  <w:r w:rsidR="00B4079E">
                    <w:t xml:space="preserve"> </w:t>
                  </w:r>
                  <w:r w:rsidR="004274DC">
                    <w:t xml:space="preserve">      </w:t>
                  </w:r>
                  <w:r w:rsidR="00B4079E">
                    <w:t>±</w:t>
                  </w:r>
                  <w:r w:rsidR="00454B1B">
                    <w:t xml:space="preserve"> 2.5</w:t>
                  </w:r>
                </w:p>
              </w:tc>
              <w:tc>
                <w:tcPr>
                  <w:tcW w:w="450" w:type="pct"/>
                  <w:vAlign w:val="center"/>
                </w:tcPr>
                <w:p w:rsidR="00BD6A08" w:rsidRPr="00404DF5" w:rsidRDefault="0037012B" w:rsidP="0008693D">
                  <w:pPr>
                    <w:pStyle w:val="TableUnitsRow"/>
                  </w:pPr>
                  <w:r w:rsidRPr="00404DF5">
                    <w:t>3.4</w:t>
                  </w:r>
                  <w:r w:rsidR="004274DC">
                    <w:t xml:space="preserve">       </w:t>
                  </w:r>
                  <w:r w:rsidR="00B4079E">
                    <w:t>±</w:t>
                  </w:r>
                  <w:r w:rsidR="00454B1B">
                    <w:t xml:space="preserve"> 2.6</w:t>
                  </w:r>
                  <w:r w:rsidR="00B4079E">
                    <w:t xml:space="preserve"> </w:t>
                  </w:r>
                </w:p>
              </w:tc>
              <w:tc>
                <w:tcPr>
                  <w:tcW w:w="450" w:type="pct"/>
                  <w:vAlign w:val="center"/>
                </w:tcPr>
                <w:p w:rsidR="00BD6A08" w:rsidRPr="00404DF5" w:rsidRDefault="0037012B" w:rsidP="0008693D">
                  <w:pPr>
                    <w:pStyle w:val="TableUnitsRow"/>
                  </w:pPr>
                  <w:r w:rsidRPr="00404DF5">
                    <w:t>4.9</w:t>
                  </w:r>
                  <w:r w:rsidR="00B4079E">
                    <w:t xml:space="preserve"> </w:t>
                  </w:r>
                  <w:r w:rsidR="004274DC">
                    <w:t xml:space="preserve">      </w:t>
                  </w:r>
                  <w:r w:rsidR="00B4079E">
                    <w:t>±</w:t>
                  </w:r>
                  <w:r w:rsidR="00454B1B">
                    <w:t xml:space="preserve"> 5.9</w:t>
                  </w:r>
                </w:p>
              </w:tc>
              <w:tc>
                <w:tcPr>
                  <w:tcW w:w="450" w:type="pct"/>
                  <w:vAlign w:val="center"/>
                </w:tcPr>
                <w:p w:rsidR="00BD6A08" w:rsidRPr="00404DF5" w:rsidRDefault="0037012B" w:rsidP="0008693D">
                  <w:pPr>
                    <w:pStyle w:val="TableUnitsRow"/>
                  </w:pPr>
                  <w:r w:rsidRPr="00404DF5">
                    <w:t>np</w:t>
                  </w:r>
                </w:p>
              </w:tc>
              <w:tc>
                <w:tcPr>
                  <w:tcW w:w="450" w:type="pct"/>
                  <w:vAlign w:val="center"/>
                </w:tcPr>
                <w:p w:rsidR="00BD6A08" w:rsidRPr="00404DF5" w:rsidRDefault="0037012B" w:rsidP="0008693D">
                  <w:pPr>
                    <w:pStyle w:val="TableUnitsRow"/>
                  </w:pPr>
                  <w:r w:rsidRPr="00404DF5">
                    <w:t>–</w:t>
                  </w:r>
                </w:p>
              </w:tc>
              <w:tc>
                <w:tcPr>
                  <w:tcW w:w="450" w:type="pct"/>
                  <w:vAlign w:val="center"/>
                </w:tcPr>
                <w:p w:rsidR="00BD6A08" w:rsidRPr="00404DF5" w:rsidRDefault="0037012B" w:rsidP="0008693D">
                  <w:pPr>
                    <w:pStyle w:val="TableUnitsRow"/>
                  </w:pPr>
                  <w:r w:rsidRPr="00404DF5">
                    <w:t>np</w:t>
                  </w:r>
                </w:p>
              </w:tc>
              <w:tc>
                <w:tcPr>
                  <w:tcW w:w="450" w:type="pct"/>
                  <w:vAlign w:val="center"/>
                </w:tcPr>
                <w:p w:rsidR="00BD6A08" w:rsidRPr="00404DF5" w:rsidRDefault="0037012B" w:rsidP="0008693D">
                  <w:pPr>
                    <w:pStyle w:val="TableUnitsRow"/>
                  </w:pPr>
                  <w:r w:rsidRPr="00404DF5">
                    <w:t>–</w:t>
                  </w:r>
                </w:p>
              </w:tc>
              <w:tc>
                <w:tcPr>
                  <w:tcW w:w="450" w:type="pct"/>
                  <w:vAlign w:val="center"/>
                </w:tcPr>
                <w:p w:rsidR="00BD6A08" w:rsidRPr="00404DF5" w:rsidRDefault="0037012B" w:rsidP="0008693D">
                  <w:pPr>
                    <w:pStyle w:val="TableUnitsRow"/>
                  </w:pPr>
                  <w:r w:rsidRPr="00404DF5">
                    <w:t>np</w:t>
                  </w:r>
                </w:p>
              </w:tc>
              <w:tc>
                <w:tcPr>
                  <w:tcW w:w="450" w:type="pct"/>
                  <w:vAlign w:val="center"/>
                </w:tcPr>
                <w:p w:rsidR="00BD6A08" w:rsidRPr="00404DF5" w:rsidRDefault="0037012B" w:rsidP="0008693D">
                  <w:pPr>
                    <w:pStyle w:val="TableUnitsRow"/>
                  </w:pPr>
                  <w:r w:rsidRPr="00404DF5">
                    <w:t>3.0</w:t>
                  </w:r>
                  <w:r w:rsidR="004274DC">
                    <w:t xml:space="preserve">       </w:t>
                  </w:r>
                  <w:r w:rsidR="00B4079E">
                    <w:t>±</w:t>
                  </w:r>
                  <w:r w:rsidR="00454B1B">
                    <w:t xml:space="preserve"> 1.6</w:t>
                  </w:r>
                  <w:r w:rsidR="00B4079E">
                    <w:t xml:space="preserve"> </w:t>
                  </w:r>
                </w:p>
              </w:tc>
            </w:tr>
            <w:tr w:rsidR="00B4079E" w:rsidTr="0008693D">
              <w:tc>
                <w:tcPr>
                  <w:tcW w:w="819" w:type="pct"/>
                </w:tcPr>
                <w:p w:rsidR="00BD6A08" w:rsidRDefault="0037012B" w:rsidP="00F1578E">
                  <w:pPr>
                    <w:pStyle w:val="TableUnitsRow"/>
                    <w:jc w:val="left"/>
                  </w:pPr>
                  <w:r>
                    <w:t>Booked out or no places at all</w:t>
                  </w:r>
                </w:p>
              </w:tc>
              <w:tc>
                <w:tcPr>
                  <w:tcW w:w="450" w:type="pct"/>
                  <w:vAlign w:val="center"/>
                </w:tcPr>
                <w:p w:rsidR="00BD6A08" w:rsidRPr="00404DF5" w:rsidRDefault="0037012B" w:rsidP="0008693D">
                  <w:pPr>
                    <w:pStyle w:val="TableUnitsRow"/>
                  </w:pPr>
                  <w:r w:rsidRPr="00404DF5">
                    <w:t>np</w:t>
                  </w:r>
                </w:p>
              </w:tc>
              <w:tc>
                <w:tcPr>
                  <w:tcW w:w="450" w:type="pct"/>
                  <w:vAlign w:val="center"/>
                </w:tcPr>
                <w:p w:rsidR="00BD6A08" w:rsidRPr="00404DF5" w:rsidRDefault="0037012B" w:rsidP="0008693D">
                  <w:pPr>
                    <w:pStyle w:val="TableUnitsRow"/>
                  </w:pPr>
                  <w:r w:rsidRPr="00404DF5">
                    <w:t>np</w:t>
                  </w:r>
                </w:p>
              </w:tc>
              <w:tc>
                <w:tcPr>
                  <w:tcW w:w="450" w:type="pct"/>
                  <w:vAlign w:val="center"/>
                </w:tcPr>
                <w:p w:rsidR="00BD6A08" w:rsidRPr="00404DF5" w:rsidRDefault="0037012B" w:rsidP="0008693D">
                  <w:pPr>
                    <w:pStyle w:val="TableUnitsRow"/>
                  </w:pPr>
                  <w:r w:rsidRPr="00404DF5">
                    <w:t>np</w:t>
                  </w:r>
                </w:p>
              </w:tc>
              <w:tc>
                <w:tcPr>
                  <w:tcW w:w="450" w:type="pct"/>
                  <w:vAlign w:val="center"/>
                </w:tcPr>
                <w:p w:rsidR="00BD6A08" w:rsidRPr="00404DF5" w:rsidRDefault="0037012B" w:rsidP="0008693D">
                  <w:pPr>
                    <w:pStyle w:val="TableUnitsRow"/>
                  </w:pPr>
                  <w:r w:rsidRPr="00404DF5">
                    <w:t>np</w:t>
                  </w:r>
                </w:p>
              </w:tc>
              <w:tc>
                <w:tcPr>
                  <w:tcW w:w="450" w:type="pct"/>
                  <w:vAlign w:val="center"/>
                </w:tcPr>
                <w:p w:rsidR="00BD6A08" w:rsidRPr="00404DF5" w:rsidRDefault="0037012B" w:rsidP="0008693D">
                  <w:pPr>
                    <w:pStyle w:val="TableUnitsRow"/>
                  </w:pPr>
                  <w:r w:rsidRPr="00404DF5">
                    <w:t>np</w:t>
                  </w:r>
                </w:p>
              </w:tc>
              <w:tc>
                <w:tcPr>
                  <w:tcW w:w="450" w:type="pct"/>
                  <w:vAlign w:val="center"/>
                </w:tcPr>
                <w:p w:rsidR="00BD6A08" w:rsidRPr="00404DF5" w:rsidRDefault="0037012B" w:rsidP="0008693D">
                  <w:pPr>
                    <w:pStyle w:val="TableUnitsRow"/>
                  </w:pPr>
                  <w:r w:rsidRPr="00404DF5">
                    <w:t>np</w:t>
                  </w:r>
                </w:p>
              </w:tc>
              <w:tc>
                <w:tcPr>
                  <w:tcW w:w="450" w:type="pct"/>
                  <w:vAlign w:val="center"/>
                </w:tcPr>
                <w:p w:rsidR="00BD6A08" w:rsidRPr="00404DF5" w:rsidRDefault="0037012B" w:rsidP="0008693D">
                  <w:pPr>
                    <w:pStyle w:val="TableUnitsRow"/>
                  </w:pPr>
                  <w:r w:rsidRPr="00404DF5">
                    <w:t>np</w:t>
                  </w:r>
                </w:p>
              </w:tc>
              <w:tc>
                <w:tcPr>
                  <w:tcW w:w="450" w:type="pct"/>
                  <w:vAlign w:val="center"/>
                </w:tcPr>
                <w:p w:rsidR="00BD6A08" w:rsidRPr="00404DF5" w:rsidRDefault="0037012B" w:rsidP="0008693D">
                  <w:pPr>
                    <w:pStyle w:val="TableUnitsRow"/>
                  </w:pPr>
                  <w:r w:rsidRPr="00404DF5">
                    <w:t>np</w:t>
                  </w:r>
                </w:p>
              </w:tc>
              <w:tc>
                <w:tcPr>
                  <w:tcW w:w="450" w:type="pct"/>
                  <w:vAlign w:val="center"/>
                </w:tcPr>
                <w:p w:rsidR="00BD6A08" w:rsidRPr="00404DF5" w:rsidRDefault="0037012B" w:rsidP="0008693D">
                  <w:pPr>
                    <w:pStyle w:val="TableUnitsRow"/>
                  </w:pPr>
                  <w:r w:rsidRPr="00404DF5">
                    <w:t>1.8</w:t>
                  </w:r>
                  <w:r w:rsidR="004274DC">
                    <w:t xml:space="preserve">       </w:t>
                  </w:r>
                  <w:r w:rsidR="00B4079E">
                    <w:t>±</w:t>
                  </w:r>
                  <w:r w:rsidR="00454B1B">
                    <w:t xml:space="preserve"> 1.3</w:t>
                  </w:r>
                  <w:r w:rsidR="00B4079E">
                    <w:t xml:space="preserve"> </w:t>
                  </w:r>
                </w:p>
              </w:tc>
            </w:tr>
            <w:tr w:rsidR="00B4079E" w:rsidTr="0008693D">
              <w:tc>
                <w:tcPr>
                  <w:tcW w:w="819" w:type="pct"/>
                </w:tcPr>
                <w:p w:rsidR="0037012B" w:rsidRDefault="0037012B" w:rsidP="00F1578E">
                  <w:pPr>
                    <w:pStyle w:val="TableBodyText"/>
                    <w:jc w:val="left"/>
                  </w:pPr>
                  <w:r>
                    <w:t>Quality of child care unsuitable</w:t>
                  </w:r>
                </w:p>
              </w:tc>
              <w:tc>
                <w:tcPr>
                  <w:tcW w:w="450" w:type="pct"/>
                  <w:vAlign w:val="center"/>
                </w:tcPr>
                <w:p w:rsidR="0037012B" w:rsidRPr="00404DF5" w:rsidRDefault="0037012B" w:rsidP="0008693D">
                  <w:pPr>
                    <w:pStyle w:val="TableUnitsRow"/>
                  </w:pPr>
                  <w:r w:rsidRPr="00404DF5">
                    <w:t>np</w:t>
                  </w:r>
                </w:p>
              </w:tc>
              <w:tc>
                <w:tcPr>
                  <w:tcW w:w="450" w:type="pct"/>
                  <w:vAlign w:val="center"/>
                </w:tcPr>
                <w:p w:rsidR="0037012B" w:rsidRPr="00404DF5" w:rsidRDefault="0037012B" w:rsidP="0008693D">
                  <w:pPr>
                    <w:pStyle w:val="TableUnitsRow"/>
                  </w:pPr>
                  <w:r w:rsidRPr="00404DF5">
                    <w:t>np</w:t>
                  </w:r>
                </w:p>
              </w:tc>
              <w:tc>
                <w:tcPr>
                  <w:tcW w:w="450" w:type="pct"/>
                  <w:vAlign w:val="center"/>
                </w:tcPr>
                <w:p w:rsidR="0037012B" w:rsidRPr="00404DF5" w:rsidRDefault="0037012B" w:rsidP="0008693D">
                  <w:pPr>
                    <w:pStyle w:val="TableUnitsRow"/>
                  </w:pPr>
                  <w:r w:rsidRPr="00404DF5">
                    <w:t>np</w:t>
                  </w:r>
                </w:p>
              </w:tc>
              <w:tc>
                <w:tcPr>
                  <w:tcW w:w="450" w:type="pct"/>
                  <w:vAlign w:val="center"/>
                </w:tcPr>
                <w:p w:rsidR="0037012B" w:rsidRPr="00404DF5" w:rsidRDefault="0037012B" w:rsidP="0008693D">
                  <w:pPr>
                    <w:pStyle w:val="TableUnitsRow"/>
                  </w:pPr>
                  <w:r w:rsidRPr="00404DF5">
                    <w:t>np</w:t>
                  </w:r>
                </w:p>
              </w:tc>
              <w:tc>
                <w:tcPr>
                  <w:tcW w:w="450" w:type="pct"/>
                  <w:vAlign w:val="center"/>
                </w:tcPr>
                <w:p w:rsidR="0037012B" w:rsidRPr="00404DF5" w:rsidRDefault="0037012B" w:rsidP="0008693D">
                  <w:pPr>
                    <w:pStyle w:val="TableUnitsRow"/>
                  </w:pPr>
                  <w:r w:rsidRPr="00404DF5">
                    <w:t>np</w:t>
                  </w:r>
                </w:p>
              </w:tc>
              <w:tc>
                <w:tcPr>
                  <w:tcW w:w="450" w:type="pct"/>
                  <w:vAlign w:val="center"/>
                </w:tcPr>
                <w:p w:rsidR="0037012B" w:rsidRPr="00404DF5" w:rsidRDefault="0037012B" w:rsidP="0008693D">
                  <w:pPr>
                    <w:pStyle w:val="TableUnitsRow"/>
                  </w:pPr>
                  <w:r w:rsidRPr="00404DF5">
                    <w:t>np</w:t>
                  </w:r>
                </w:p>
              </w:tc>
              <w:tc>
                <w:tcPr>
                  <w:tcW w:w="450" w:type="pct"/>
                  <w:vAlign w:val="center"/>
                </w:tcPr>
                <w:p w:rsidR="0037012B" w:rsidRPr="00404DF5" w:rsidRDefault="0037012B" w:rsidP="0008693D">
                  <w:pPr>
                    <w:pStyle w:val="TableUnitsRow"/>
                  </w:pPr>
                  <w:r w:rsidRPr="00404DF5">
                    <w:t>np</w:t>
                  </w:r>
                </w:p>
              </w:tc>
              <w:tc>
                <w:tcPr>
                  <w:tcW w:w="450" w:type="pct"/>
                  <w:vAlign w:val="center"/>
                </w:tcPr>
                <w:p w:rsidR="0037012B" w:rsidRPr="00404DF5" w:rsidRDefault="0037012B" w:rsidP="0008693D">
                  <w:pPr>
                    <w:pStyle w:val="TableUnitsRow"/>
                  </w:pPr>
                  <w:r w:rsidRPr="00404DF5">
                    <w:t>np</w:t>
                  </w:r>
                </w:p>
              </w:tc>
              <w:tc>
                <w:tcPr>
                  <w:tcW w:w="450" w:type="pct"/>
                  <w:vAlign w:val="center"/>
                </w:tcPr>
                <w:p w:rsidR="0037012B" w:rsidRPr="00404DF5" w:rsidRDefault="0037012B" w:rsidP="0008693D">
                  <w:pPr>
                    <w:pStyle w:val="TableUnitsRow"/>
                  </w:pPr>
                  <w:r w:rsidRPr="00404DF5">
                    <w:t>1.1</w:t>
                  </w:r>
                  <w:r w:rsidR="004274DC">
                    <w:t xml:space="preserve">       </w:t>
                  </w:r>
                  <w:r w:rsidR="00B4079E">
                    <w:t>±</w:t>
                  </w:r>
                  <w:r w:rsidR="00454B1B">
                    <w:t xml:space="preserve"> 1.0</w:t>
                  </w:r>
                </w:p>
              </w:tc>
            </w:tr>
            <w:tr w:rsidR="00B4079E" w:rsidTr="0008693D">
              <w:tc>
                <w:tcPr>
                  <w:tcW w:w="819" w:type="pct"/>
                </w:tcPr>
                <w:p w:rsidR="0037012B" w:rsidRDefault="0037012B" w:rsidP="00F1578E">
                  <w:pPr>
                    <w:pStyle w:val="TableBodyText"/>
                    <w:jc w:val="left"/>
                  </w:pPr>
                  <w:r>
                    <w:t>Other child care reasons</w:t>
                  </w:r>
                </w:p>
              </w:tc>
              <w:tc>
                <w:tcPr>
                  <w:tcW w:w="450" w:type="pct"/>
                  <w:vAlign w:val="center"/>
                </w:tcPr>
                <w:p w:rsidR="0037012B" w:rsidRPr="00404DF5" w:rsidRDefault="0037012B" w:rsidP="0008693D">
                  <w:pPr>
                    <w:pStyle w:val="TableBodyText"/>
                  </w:pPr>
                  <w:r w:rsidRPr="00404DF5">
                    <w:t>7.9</w:t>
                  </w:r>
                  <w:r w:rsidR="00B4079E">
                    <w:t xml:space="preserve"> </w:t>
                  </w:r>
                  <w:r w:rsidR="004274DC">
                    <w:t xml:space="preserve">      </w:t>
                  </w:r>
                  <w:r w:rsidR="00B4079E">
                    <w:t>±</w:t>
                  </w:r>
                  <w:r w:rsidR="00454B1B">
                    <w:t xml:space="preserve"> 4.1</w:t>
                  </w:r>
                </w:p>
              </w:tc>
              <w:tc>
                <w:tcPr>
                  <w:tcW w:w="450" w:type="pct"/>
                  <w:vAlign w:val="center"/>
                </w:tcPr>
                <w:p w:rsidR="0037012B" w:rsidRPr="00404DF5" w:rsidRDefault="0037012B" w:rsidP="0008693D">
                  <w:pPr>
                    <w:pStyle w:val="TableBodyText"/>
                  </w:pPr>
                  <w:r w:rsidRPr="00404DF5">
                    <w:t>7.1</w:t>
                  </w:r>
                  <w:r w:rsidR="004274DC">
                    <w:t xml:space="preserve">       </w:t>
                  </w:r>
                  <w:r w:rsidR="00B4079E">
                    <w:t>±</w:t>
                  </w:r>
                  <w:r w:rsidR="00454B1B">
                    <w:t xml:space="preserve"> 3.7</w:t>
                  </w:r>
                </w:p>
              </w:tc>
              <w:tc>
                <w:tcPr>
                  <w:tcW w:w="450" w:type="pct"/>
                  <w:vAlign w:val="center"/>
                </w:tcPr>
                <w:p w:rsidR="0037012B" w:rsidRPr="00404DF5" w:rsidRDefault="0037012B" w:rsidP="0008693D">
                  <w:pPr>
                    <w:pStyle w:val="TableBodyText"/>
                  </w:pPr>
                  <w:r w:rsidRPr="00404DF5">
                    <w:t>12.4</w:t>
                  </w:r>
                  <w:r w:rsidR="00B4079E">
                    <w:t xml:space="preserve"> </w:t>
                  </w:r>
                  <w:r w:rsidR="004274DC">
                    <w:t xml:space="preserve">    </w:t>
                  </w:r>
                  <w:r w:rsidR="00B4079E">
                    <w:t>±</w:t>
                  </w:r>
                  <w:r w:rsidR="00454B1B">
                    <w:t xml:space="preserve"> 8.3</w:t>
                  </w:r>
                </w:p>
              </w:tc>
              <w:tc>
                <w:tcPr>
                  <w:tcW w:w="450" w:type="pct"/>
                  <w:vAlign w:val="center"/>
                </w:tcPr>
                <w:p w:rsidR="0037012B" w:rsidRPr="00404DF5" w:rsidRDefault="0037012B" w:rsidP="0008693D">
                  <w:pPr>
                    <w:pStyle w:val="TableBodyText"/>
                  </w:pPr>
                  <w:r w:rsidRPr="00404DF5">
                    <w:t>4.8</w:t>
                  </w:r>
                  <w:r w:rsidR="00B4079E">
                    <w:t xml:space="preserve"> </w:t>
                  </w:r>
                  <w:r w:rsidR="004274DC">
                    <w:t xml:space="preserve">      </w:t>
                  </w:r>
                  <w:r w:rsidR="00B4079E">
                    <w:t>±</w:t>
                  </w:r>
                  <w:r w:rsidR="00454B1B">
                    <w:t xml:space="preserve"> 4.3</w:t>
                  </w:r>
                </w:p>
              </w:tc>
              <w:tc>
                <w:tcPr>
                  <w:tcW w:w="450" w:type="pct"/>
                  <w:vAlign w:val="center"/>
                </w:tcPr>
                <w:p w:rsidR="0037012B" w:rsidRPr="00404DF5" w:rsidRDefault="0037012B" w:rsidP="0008693D">
                  <w:pPr>
                    <w:pStyle w:val="TableBodyText"/>
                  </w:pPr>
                  <w:r w:rsidRPr="00404DF5">
                    <w:t>5.0</w:t>
                  </w:r>
                  <w:r w:rsidR="004274DC">
                    <w:t xml:space="preserve">       </w:t>
                  </w:r>
                  <w:r w:rsidR="00B4079E">
                    <w:t>±</w:t>
                  </w:r>
                  <w:r w:rsidR="00454B1B">
                    <w:t xml:space="preserve"> 6.0</w:t>
                  </w:r>
                </w:p>
              </w:tc>
              <w:tc>
                <w:tcPr>
                  <w:tcW w:w="450" w:type="pct"/>
                  <w:vAlign w:val="center"/>
                </w:tcPr>
                <w:p w:rsidR="0037012B" w:rsidRPr="00404DF5" w:rsidRDefault="0037012B" w:rsidP="0008693D">
                  <w:pPr>
                    <w:pStyle w:val="TableBodyText"/>
                  </w:pPr>
                  <w:r w:rsidRPr="00404DF5">
                    <w:t>np</w:t>
                  </w:r>
                </w:p>
              </w:tc>
              <w:tc>
                <w:tcPr>
                  <w:tcW w:w="450" w:type="pct"/>
                  <w:vAlign w:val="center"/>
                </w:tcPr>
                <w:p w:rsidR="0037012B" w:rsidRPr="00404DF5" w:rsidRDefault="0037012B" w:rsidP="0008693D">
                  <w:pPr>
                    <w:pStyle w:val="TableUnitsRow"/>
                  </w:pPr>
                  <w:r w:rsidRPr="00404DF5">
                    <w:t>np</w:t>
                  </w:r>
                </w:p>
              </w:tc>
              <w:tc>
                <w:tcPr>
                  <w:tcW w:w="450" w:type="pct"/>
                  <w:vAlign w:val="center"/>
                </w:tcPr>
                <w:p w:rsidR="0037012B" w:rsidRPr="00404DF5" w:rsidRDefault="0037012B" w:rsidP="0008693D">
                  <w:pPr>
                    <w:pStyle w:val="TableUnitsRow"/>
                  </w:pPr>
                  <w:r w:rsidRPr="00404DF5">
                    <w:t>–</w:t>
                  </w:r>
                </w:p>
              </w:tc>
              <w:tc>
                <w:tcPr>
                  <w:tcW w:w="450" w:type="pct"/>
                  <w:vAlign w:val="center"/>
                </w:tcPr>
                <w:p w:rsidR="0037012B" w:rsidRPr="00404DF5" w:rsidRDefault="0037012B" w:rsidP="0008693D">
                  <w:pPr>
                    <w:pStyle w:val="TableUnitsRow"/>
                  </w:pPr>
                  <w:r w:rsidRPr="00404DF5">
                    <w:t>7.9</w:t>
                  </w:r>
                  <w:r w:rsidR="004274DC">
                    <w:t xml:space="preserve">       </w:t>
                  </w:r>
                  <w:r w:rsidR="00B4079E">
                    <w:t>±</w:t>
                  </w:r>
                  <w:r w:rsidR="00454B1B">
                    <w:t xml:space="preserve"> 2.4</w:t>
                  </w:r>
                </w:p>
              </w:tc>
            </w:tr>
            <w:tr w:rsidR="00B4079E" w:rsidTr="0008693D">
              <w:tc>
                <w:tcPr>
                  <w:tcW w:w="819" w:type="pct"/>
                  <w:tcBorders>
                    <w:bottom w:val="single" w:sz="6" w:space="0" w:color="BFBFBF"/>
                  </w:tcBorders>
                </w:tcPr>
                <w:p w:rsidR="0037012B" w:rsidRPr="0037012B" w:rsidRDefault="0037012B" w:rsidP="00F1578E">
                  <w:pPr>
                    <w:pStyle w:val="TableBodyText"/>
                    <w:jc w:val="left"/>
                    <w:rPr>
                      <w:b/>
                    </w:rPr>
                  </w:pPr>
                  <w:r w:rsidRPr="0037012B">
                    <w:rPr>
                      <w:b/>
                    </w:rPr>
                    <w:t>Total child care reasons</w:t>
                  </w:r>
                </w:p>
              </w:tc>
              <w:tc>
                <w:tcPr>
                  <w:tcW w:w="450" w:type="pct"/>
                  <w:tcBorders>
                    <w:bottom w:val="single" w:sz="6" w:space="0" w:color="BFBFBF"/>
                  </w:tcBorders>
                  <w:vAlign w:val="center"/>
                </w:tcPr>
                <w:p w:rsidR="0037012B" w:rsidRPr="00454B1B" w:rsidRDefault="00561C00" w:rsidP="0008693D">
                  <w:pPr>
                    <w:pStyle w:val="TableBodyText"/>
                    <w:rPr>
                      <w:b/>
                    </w:rPr>
                  </w:pPr>
                  <w:r w:rsidRPr="00454B1B">
                    <w:rPr>
                      <w:b/>
                    </w:rPr>
                    <w:t>46.9</w:t>
                  </w:r>
                  <w:r w:rsidR="00B4079E" w:rsidRPr="00454B1B">
                    <w:rPr>
                      <w:b/>
                    </w:rPr>
                    <w:t xml:space="preserve"> </w:t>
                  </w:r>
                  <w:r w:rsidR="004274DC">
                    <w:rPr>
                      <w:b/>
                    </w:rPr>
                    <w:t xml:space="preserve">    </w:t>
                  </w:r>
                  <w:r w:rsidR="00B4079E" w:rsidRPr="00454B1B">
                    <w:rPr>
                      <w:b/>
                    </w:rPr>
                    <w:t>±</w:t>
                  </w:r>
                  <w:r w:rsidR="00454B1B" w:rsidRPr="00454B1B">
                    <w:rPr>
                      <w:b/>
                    </w:rPr>
                    <w:t xml:space="preserve"> 6.0</w:t>
                  </w:r>
                </w:p>
              </w:tc>
              <w:tc>
                <w:tcPr>
                  <w:tcW w:w="450" w:type="pct"/>
                  <w:tcBorders>
                    <w:bottom w:val="single" w:sz="6" w:space="0" w:color="BFBFBF"/>
                  </w:tcBorders>
                  <w:vAlign w:val="center"/>
                </w:tcPr>
                <w:p w:rsidR="0037012B" w:rsidRPr="00454B1B" w:rsidRDefault="00561C00" w:rsidP="0008693D">
                  <w:pPr>
                    <w:pStyle w:val="TableBodyText"/>
                    <w:rPr>
                      <w:b/>
                    </w:rPr>
                  </w:pPr>
                  <w:r w:rsidRPr="00454B1B">
                    <w:rPr>
                      <w:b/>
                    </w:rPr>
                    <w:t>49.4</w:t>
                  </w:r>
                  <w:r w:rsidR="004274DC">
                    <w:rPr>
                      <w:b/>
                    </w:rPr>
                    <w:t xml:space="preserve">     </w:t>
                  </w:r>
                  <w:r w:rsidR="00B4079E" w:rsidRPr="00454B1B">
                    <w:rPr>
                      <w:b/>
                    </w:rPr>
                    <w:t>±</w:t>
                  </w:r>
                  <w:r w:rsidR="00454B1B" w:rsidRPr="00454B1B">
                    <w:rPr>
                      <w:b/>
                    </w:rPr>
                    <w:t xml:space="preserve"> 6.0</w:t>
                  </w:r>
                </w:p>
              </w:tc>
              <w:tc>
                <w:tcPr>
                  <w:tcW w:w="450" w:type="pct"/>
                  <w:tcBorders>
                    <w:bottom w:val="single" w:sz="6" w:space="0" w:color="BFBFBF"/>
                  </w:tcBorders>
                  <w:vAlign w:val="center"/>
                </w:tcPr>
                <w:p w:rsidR="0037012B" w:rsidRPr="00454B1B" w:rsidRDefault="00561C00" w:rsidP="0008693D">
                  <w:pPr>
                    <w:pStyle w:val="TableBodyText"/>
                    <w:rPr>
                      <w:b/>
                    </w:rPr>
                  </w:pPr>
                  <w:r w:rsidRPr="00454B1B">
                    <w:rPr>
                      <w:b/>
                    </w:rPr>
                    <w:t>54.8</w:t>
                  </w:r>
                  <w:r w:rsidR="00B4079E" w:rsidRPr="00454B1B">
                    <w:rPr>
                      <w:b/>
                    </w:rPr>
                    <w:t xml:space="preserve"> </w:t>
                  </w:r>
                  <w:r w:rsidR="004274DC">
                    <w:rPr>
                      <w:b/>
                    </w:rPr>
                    <w:t xml:space="preserve">    </w:t>
                  </w:r>
                  <w:r w:rsidR="00B4079E" w:rsidRPr="00454B1B">
                    <w:rPr>
                      <w:b/>
                    </w:rPr>
                    <w:t>±</w:t>
                  </w:r>
                  <w:r w:rsidR="00454B1B" w:rsidRPr="00454B1B">
                    <w:rPr>
                      <w:b/>
                    </w:rPr>
                    <w:t xml:space="preserve"> 10.5</w:t>
                  </w:r>
                </w:p>
              </w:tc>
              <w:tc>
                <w:tcPr>
                  <w:tcW w:w="450" w:type="pct"/>
                  <w:tcBorders>
                    <w:bottom w:val="single" w:sz="6" w:space="0" w:color="BFBFBF"/>
                  </w:tcBorders>
                  <w:vAlign w:val="center"/>
                </w:tcPr>
                <w:p w:rsidR="0037012B" w:rsidRPr="00454B1B" w:rsidRDefault="00561C00" w:rsidP="0008693D">
                  <w:pPr>
                    <w:pStyle w:val="TableBodyText"/>
                    <w:rPr>
                      <w:b/>
                    </w:rPr>
                  </w:pPr>
                  <w:r w:rsidRPr="00454B1B">
                    <w:rPr>
                      <w:b/>
                    </w:rPr>
                    <w:t>44.1</w:t>
                  </w:r>
                  <w:r w:rsidR="004274DC">
                    <w:rPr>
                      <w:b/>
                    </w:rPr>
                    <w:t xml:space="preserve">     </w:t>
                  </w:r>
                  <w:r w:rsidR="00B4079E" w:rsidRPr="00454B1B">
                    <w:rPr>
                      <w:b/>
                    </w:rPr>
                    <w:t>±</w:t>
                  </w:r>
                  <w:r w:rsidR="00454B1B" w:rsidRPr="00454B1B">
                    <w:rPr>
                      <w:b/>
                    </w:rPr>
                    <w:t xml:space="preserve"> 7.8</w:t>
                  </w:r>
                </w:p>
              </w:tc>
              <w:tc>
                <w:tcPr>
                  <w:tcW w:w="450" w:type="pct"/>
                  <w:tcBorders>
                    <w:bottom w:val="single" w:sz="6" w:space="0" w:color="BFBFBF"/>
                  </w:tcBorders>
                  <w:vAlign w:val="center"/>
                </w:tcPr>
                <w:p w:rsidR="0037012B" w:rsidRPr="00454B1B" w:rsidRDefault="00561C00" w:rsidP="0008693D">
                  <w:pPr>
                    <w:pStyle w:val="TableBodyText"/>
                    <w:rPr>
                      <w:b/>
                    </w:rPr>
                  </w:pPr>
                  <w:r w:rsidRPr="00454B1B">
                    <w:rPr>
                      <w:b/>
                    </w:rPr>
                    <w:t>52.5</w:t>
                  </w:r>
                  <w:r w:rsidR="004274DC">
                    <w:rPr>
                      <w:b/>
                    </w:rPr>
                    <w:t xml:space="preserve">     </w:t>
                  </w:r>
                  <w:r w:rsidR="00B4079E" w:rsidRPr="00454B1B">
                    <w:rPr>
                      <w:b/>
                    </w:rPr>
                    <w:t>±</w:t>
                  </w:r>
                  <w:r w:rsidR="00454B1B" w:rsidRPr="00454B1B">
                    <w:rPr>
                      <w:b/>
                    </w:rPr>
                    <w:t xml:space="preserve"> 11.9</w:t>
                  </w:r>
                </w:p>
              </w:tc>
              <w:tc>
                <w:tcPr>
                  <w:tcW w:w="450" w:type="pct"/>
                  <w:tcBorders>
                    <w:bottom w:val="single" w:sz="6" w:space="0" w:color="BFBFBF"/>
                  </w:tcBorders>
                  <w:vAlign w:val="center"/>
                </w:tcPr>
                <w:p w:rsidR="0037012B" w:rsidRPr="00454B1B" w:rsidRDefault="00561C00" w:rsidP="0008693D">
                  <w:pPr>
                    <w:pStyle w:val="TableBodyText"/>
                    <w:rPr>
                      <w:b/>
                    </w:rPr>
                  </w:pPr>
                  <w:proofErr w:type="spellStart"/>
                  <w:r w:rsidRPr="00454B1B">
                    <w:rPr>
                      <w:b/>
                    </w:rPr>
                    <w:t>na</w:t>
                  </w:r>
                  <w:proofErr w:type="spellEnd"/>
                </w:p>
              </w:tc>
              <w:tc>
                <w:tcPr>
                  <w:tcW w:w="450" w:type="pct"/>
                  <w:tcBorders>
                    <w:bottom w:val="single" w:sz="6" w:space="0" w:color="BFBFBF"/>
                  </w:tcBorders>
                  <w:vAlign w:val="center"/>
                </w:tcPr>
                <w:p w:rsidR="0037012B" w:rsidRPr="00454B1B" w:rsidRDefault="00561C00" w:rsidP="0008693D">
                  <w:pPr>
                    <w:pStyle w:val="TableBodyText"/>
                    <w:rPr>
                      <w:b/>
                    </w:rPr>
                  </w:pPr>
                  <w:proofErr w:type="spellStart"/>
                  <w:r w:rsidRPr="00454B1B">
                    <w:rPr>
                      <w:b/>
                    </w:rPr>
                    <w:t>na</w:t>
                  </w:r>
                  <w:proofErr w:type="spellEnd"/>
                </w:p>
              </w:tc>
              <w:tc>
                <w:tcPr>
                  <w:tcW w:w="450" w:type="pct"/>
                  <w:tcBorders>
                    <w:bottom w:val="single" w:sz="6" w:space="0" w:color="BFBFBF"/>
                  </w:tcBorders>
                  <w:vAlign w:val="center"/>
                </w:tcPr>
                <w:p w:rsidR="0037012B" w:rsidRPr="00454B1B" w:rsidRDefault="00561C00" w:rsidP="0008693D">
                  <w:pPr>
                    <w:pStyle w:val="TableBodyText"/>
                    <w:rPr>
                      <w:b/>
                    </w:rPr>
                  </w:pPr>
                  <w:r w:rsidRPr="00454B1B">
                    <w:rPr>
                      <w:b/>
                    </w:rPr>
                    <w:t>60.6</w:t>
                  </w:r>
                  <w:r w:rsidR="004274DC">
                    <w:rPr>
                      <w:b/>
                    </w:rPr>
                    <w:t xml:space="preserve">      </w:t>
                  </w:r>
                  <w:r w:rsidR="00B4079E" w:rsidRPr="00454B1B">
                    <w:rPr>
                      <w:b/>
                    </w:rPr>
                    <w:t>±</w:t>
                  </w:r>
                  <w:r w:rsidR="00454B1B" w:rsidRPr="00454B1B">
                    <w:rPr>
                      <w:b/>
                    </w:rPr>
                    <w:t xml:space="preserve"> 12.9</w:t>
                  </w:r>
                </w:p>
              </w:tc>
              <w:tc>
                <w:tcPr>
                  <w:tcW w:w="450" w:type="pct"/>
                  <w:tcBorders>
                    <w:bottom w:val="single" w:sz="6" w:space="0" w:color="BFBFBF"/>
                  </w:tcBorders>
                  <w:vAlign w:val="center"/>
                </w:tcPr>
                <w:p w:rsidR="0037012B" w:rsidRPr="00454B1B" w:rsidRDefault="0037012B" w:rsidP="0008693D">
                  <w:pPr>
                    <w:pStyle w:val="TableBodyText"/>
                    <w:rPr>
                      <w:b/>
                    </w:rPr>
                  </w:pPr>
                  <w:r w:rsidRPr="00454B1B">
                    <w:rPr>
                      <w:b/>
                    </w:rPr>
                    <w:t>49.0</w:t>
                  </w:r>
                  <w:r w:rsidR="004274DC">
                    <w:rPr>
                      <w:b/>
                    </w:rPr>
                    <w:t xml:space="preserve">    </w:t>
                  </w:r>
                  <w:r w:rsidR="00B4079E" w:rsidRPr="00454B1B">
                    <w:rPr>
                      <w:b/>
                    </w:rPr>
                    <w:t xml:space="preserve"> ±</w:t>
                  </w:r>
                  <w:r w:rsidR="00454B1B" w:rsidRPr="00454B1B">
                    <w:rPr>
                      <w:b/>
                    </w:rPr>
                    <w:t xml:space="preserve"> 3.6</w:t>
                  </w:r>
                </w:p>
              </w:tc>
            </w:tr>
          </w:tbl>
          <w:p w:rsidR="00BD6A08" w:rsidRDefault="00BD6A08" w:rsidP="00F1578E">
            <w:pPr>
              <w:pStyle w:val="Box"/>
            </w:pPr>
          </w:p>
        </w:tc>
      </w:tr>
      <w:tr w:rsidR="00BD6A08" w:rsidTr="00F1578E">
        <w:trPr>
          <w:cantSplit/>
        </w:trPr>
        <w:tc>
          <w:tcPr>
            <w:tcW w:w="8771" w:type="dxa"/>
            <w:tcBorders>
              <w:top w:val="nil"/>
              <w:left w:val="nil"/>
              <w:bottom w:val="nil"/>
              <w:right w:val="nil"/>
            </w:tcBorders>
            <w:shd w:val="clear" w:color="auto" w:fill="auto"/>
          </w:tcPr>
          <w:p w:rsidR="00BD6A08" w:rsidRDefault="00BD6A08" w:rsidP="00F1578E">
            <w:pPr>
              <w:pStyle w:val="Note"/>
              <w:rPr>
                <w:i/>
              </w:rPr>
            </w:pPr>
            <w:r w:rsidRPr="008E77FE">
              <w:rPr>
                <w:rStyle w:val="NoteLabel"/>
              </w:rPr>
              <w:t>a</w:t>
            </w:r>
            <w:r w:rsidR="0035725F">
              <w:t xml:space="preserve"> </w:t>
            </w:r>
            <w:r w:rsidR="0035725F">
              <w:rPr>
                <w:rStyle w:val="NoteChar"/>
              </w:rPr>
              <w:t>See box</w:t>
            </w:r>
            <w:r w:rsidR="00697D43">
              <w:rPr>
                <w:rStyle w:val="NoteChar"/>
              </w:rPr>
              <w:t> </w:t>
            </w:r>
            <w:r w:rsidR="0035725F">
              <w:rPr>
                <w:rStyle w:val="NoteChar"/>
              </w:rPr>
              <w:t>3.23</w:t>
            </w:r>
            <w:r w:rsidR="0035725F" w:rsidRPr="00AA1455">
              <w:rPr>
                <w:rStyle w:val="NoteChar"/>
              </w:rPr>
              <w:t xml:space="preserve"> and table</w:t>
            </w:r>
            <w:r w:rsidR="00697D43">
              <w:rPr>
                <w:rStyle w:val="NoteChar"/>
              </w:rPr>
              <w:t> </w:t>
            </w:r>
            <w:proofErr w:type="spellStart"/>
            <w:r w:rsidR="0035725F">
              <w:rPr>
                <w:rStyle w:val="NoteChar"/>
              </w:rPr>
              <w:t>3</w:t>
            </w:r>
            <w:r w:rsidR="0035725F" w:rsidRPr="00AA1455">
              <w:rPr>
                <w:rStyle w:val="NoteChar"/>
              </w:rPr>
              <w:t>A.</w:t>
            </w:r>
            <w:r w:rsidR="0035725F">
              <w:rPr>
                <w:rStyle w:val="NoteChar"/>
              </w:rPr>
              <w:t>70</w:t>
            </w:r>
            <w:proofErr w:type="spellEnd"/>
            <w:r w:rsidR="0035725F" w:rsidRPr="00AA1455">
              <w:rPr>
                <w:rStyle w:val="NoteChar"/>
              </w:rPr>
              <w:t xml:space="preserve"> for </w:t>
            </w:r>
            <w:r w:rsidR="00937F53">
              <w:rPr>
                <w:rStyle w:val="NoteChar"/>
              </w:rPr>
              <w:t>detailed definitions, footnotes and caveats.</w:t>
            </w:r>
            <w:r w:rsidR="0035725F">
              <w:rPr>
                <w:rStyle w:val="NoteChar"/>
              </w:rPr>
              <w:t xml:space="preserve"> </w:t>
            </w:r>
            <w:proofErr w:type="spellStart"/>
            <w:r w:rsidR="0035725F" w:rsidRPr="0035725F">
              <w:rPr>
                <w:rStyle w:val="NoteChar"/>
                <w:b/>
              </w:rPr>
              <w:t>na</w:t>
            </w:r>
            <w:proofErr w:type="spellEnd"/>
            <w:r w:rsidR="0035725F">
              <w:rPr>
                <w:rStyle w:val="NoteChar"/>
              </w:rPr>
              <w:t xml:space="preserve"> Not available. – Nil or rounded to zero. </w:t>
            </w:r>
            <w:r w:rsidR="0035725F" w:rsidRPr="0035725F">
              <w:rPr>
                <w:rStyle w:val="NoteChar"/>
                <w:b/>
              </w:rPr>
              <w:t>np</w:t>
            </w:r>
            <w:r w:rsidR="0035725F">
              <w:rPr>
                <w:rStyle w:val="NoteChar"/>
              </w:rPr>
              <w:t xml:space="preserve"> Not published.</w:t>
            </w:r>
          </w:p>
        </w:tc>
      </w:tr>
      <w:tr w:rsidR="00BD6A08" w:rsidTr="00F1578E">
        <w:trPr>
          <w:cantSplit/>
        </w:trPr>
        <w:tc>
          <w:tcPr>
            <w:tcW w:w="8771" w:type="dxa"/>
            <w:tcBorders>
              <w:top w:val="nil"/>
              <w:left w:val="nil"/>
              <w:bottom w:val="nil"/>
              <w:right w:val="nil"/>
            </w:tcBorders>
            <w:shd w:val="clear" w:color="auto" w:fill="auto"/>
          </w:tcPr>
          <w:p w:rsidR="00BD6A08" w:rsidRDefault="00220E5D" w:rsidP="00F1578E">
            <w:pPr>
              <w:pStyle w:val="Source"/>
            </w:pPr>
            <w:r>
              <w:rPr>
                <w:i/>
              </w:rPr>
              <w:t>Source</w:t>
            </w:r>
            <w:r w:rsidR="00BD6A08" w:rsidRPr="00167F06">
              <w:t xml:space="preserve">: </w:t>
            </w:r>
            <w:r>
              <w:t>Derived from ABS</w:t>
            </w:r>
            <w:r w:rsidR="00404DF5">
              <w:t xml:space="preserve"> (2015) </w:t>
            </w:r>
            <w:r w:rsidR="00404DF5" w:rsidRPr="00404DF5">
              <w:rPr>
                <w:i/>
              </w:rPr>
              <w:t>Persons Not in the Labour Force, Underemployed Workers and Job Search Experience, Australia, February 2014</w:t>
            </w:r>
            <w:r w:rsidR="00404DF5">
              <w:t>, Cat. no. 6226.0.55.001; table</w:t>
            </w:r>
            <w:r w:rsidR="00697D43">
              <w:t> </w:t>
            </w:r>
            <w:proofErr w:type="spellStart"/>
            <w:r w:rsidR="00404DF5">
              <w:t>3A.70</w:t>
            </w:r>
            <w:proofErr w:type="spellEnd"/>
            <w:r w:rsidR="00404DF5">
              <w:t>.</w:t>
            </w:r>
          </w:p>
        </w:tc>
      </w:tr>
      <w:tr w:rsidR="00BD6A08" w:rsidTr="00F1578E">
        <w:trPr>
          <w:cantSplit/>
        </w:trPr>
        <w:tc>
          <w:tcPr>
            <w:tcW w:w="8771" w:type="dxa"/>
            <w:tcBorders>
              <w:top w:val="nil"/>
              <w:left w:val="nil"/>
              <w:bottom w:val="single" w:sz="6" w:space="0" w:color="78A22F"/>
              <w:right w:val="nil"/>
            </w:tcBorders>
            <w:shd w:val="clear" w:color="auto" w:fill="auto"/>
          </w:tcPr>
          <w:p w:rsidR="00BD6A08" w:rsidRDefault="00BD6A08" w:rsidP="00F1578E">
            <w:pPr>
              <w:pStyle w:val="Box"/>
              <w:spacing w:before="0" w:line="120" w:lineRule="exact"/>
            </w:pPr>
          </w:p>
        </w:tc>
      </w:tr>
      <w:tr w:rsidR="00BD6A08" w:rsidRPr="000863A5" w:rsidTr="00F1578E">
        <w:tc>
          <w:tcPr>
            <w:tcW w:w="8771" w:type="dxa"/>
            <w:tcBorders>
              <w:top w:val="single" w:sz="6" w:space="0" w:color="78A22F"/>
              <w:left w:val="nil"/>
              <w:bottom w:val="nil"/>
              <w:right w:val="nil"/>
            </w:tcBorders>
          </w:tcPr>
          <w:p w:rsidR="00BD6A08" w:rsidRPr="00626D32" w:rsidRDefault="00BD6A08" w:rsidP="00F1578E">
            <w:pPr>
              <w:pStyle w:val="BoxSpaceBelow"/>
            </w:pPr>
          </w:p>
        </w:tc>
      </w:tr>
    </w:tbl>
    <w:p w:rsidR="009E6AD8" w:rsidRDefault="00832D7E" w:rsidP="00591959">
      <w:pPr>
        <w:pStyle w:val="Heading4"/>
      </w:pPr>
      <w:r>
        <w:t>Dem</w:t>
      </w:r>
      <w:r w:rsidR="000E4C8C">
        <w:t xml:space="preserve">and for </w:t>
      </w:r>
      <w:proofErr w:type="spellStart"/>
      <w:r w:rsidR="0018407E">
        <w:t>ECEC</w:t>
      </w:r>
      <w:proofErr w:type="spellEnd"/>
    </w:p>
    <w:p w:rsidR="009E6AD8" w:rsidRDefault="00400EEB" w:rsidP="00C3586E">
      <w:pPr>
        <w:pStyle w:val="BodyText"/>
      </w:pPr>
      <w:r w:rsidRPr="006210DA">
        <w:rPr>
          <w:b/>
        </w:rPr>
        <w:t>‘</w:t>
      </w:r>
      <w:r w:rsidR="000E4C8C">
        <w:t xml:space="preserve">Demand for </w:t>
      </w:r>
      <w:proofErr w:type="spellStart"/>
      <w:r w:rsidR="0018407E">
        <w:t>ECEC</w:t>
      </w:r>
      <w:proofErr w:type="spellEnd"/>
      <w:r w:rsidRPr="006210DA">
        <w:t>’ is an indicator</w:t>
      </w:r>
      <w:r w:rsidRPr="00400EEB">
        <w:t xml:space="preserve"> of governments’ objective to ensure </w:t>
      </w:r>
      <w:r w:rsidR="000C1336">
        <w:t xml:space="preserve">that </w:t>
      </w:r>
      <w:proofErr w:type="spellStart"/>
      <w:r w:rsidR="0018407E">
        <w:t>ECEC</w:t>
      </w:r>
      <w:proofErr w:type="spellEnd"/>
      <w:r w:rsidRPr="00400EEB">
        <w:t xml:space="preserve"> services meet the requireme</w:t>
      </w:r>
      <w:r w:rsidR="005E4173">
        <w:t xml:space="preserve">nts of all Australian families </w:t>
      </w:r>
      <w:r w:rsidR="009E6AD8" w:rsidRPr="009E6AD8">
        <w:t>(</w:t>
      </w:r>
      <w:r w:rsidR="009E6AD8" w:rsidRPr="000B75A5">
        <w:t>box</w:t>
      </w:r>
      <w:r w:rsidR="00172534" w:rsidRPr="000B75A5">
        <w:t> </w:t>
      </w:r>
      <w:r w:rsidR="00923A1C" w:rsidRPr="000B75A5">
        <w:t>3.</w:t>
      </w:r>
      <w:r w:rsidR="00AD7B15">
        <w:t>25</w:t>
      </w:r>
      <w:r w:rsidR="009E6AD8" w:rsidRPr="000B75A5">
        <w:t>).</w:t>
      </w:r>
    </w:p>
    <w:p w:rsidR="00397085" w:rsidRDefault="00397085">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397085" w:rsidTr="00DB16AF">
        <w:tc>
          <w:tcPr>
            <w:tcW w:w="8771" w:type="dxa"/>
            <w:tcBorders>
              <w:top w:val="single" w:sz="6" w:space="0" w:color="78A22F"/>
              <w:left w:val="nil"/>
              <w:bottom w:val="nil"/>
              <w:right w:val="nil"/>
            </w:tcBorders>
            <w:shd w:val="clear" w:color="auto" w:fill="F2F2F2"/>
          </w:tcPr>
          <w:p w:rsidR="00397085" w:rsidRDefault="00397085" w:rsidP="000139A7">
            <w:pPr>
              <w:pStyle w:val="BoxTitle"/>
            </w:pPr>
            <w:r>
              <w:rPr>
                <w:b w:val="0"/>
              </w:rPr>
              <w:t xml:space="preserve">Box </w:t>
            </w:r>
            <w:r w:rsidR="000139A7">
              <w:rPr>
                <w:b w:val="0"/>
              </w:rPr>
              <w:t>3.</w:t>
            </w:r>
            <w:bookmarkStart w:id="75" w:name="OLE_LINK26"/>
            <w:r w:rsidR="000139A7">
              <w:rPr>
                <w:b w:val="0"/>
              </w:rPr>
              <w:t>2</w:t>
            </w:r>
            <w:bookmarkEnd w:id="75"/>
            <w:r w:rsidR="00AD7B15">
              <w:rPr>
                <w:b w:val="0"/>
              </w:rPr>
              <w:t>5</w:t>
            </w:r>
            <w:r>
              <w:tab/>
              <w:t xml:space="preserve">Demand for </w:t>
            </w:r>
            <w:proofErr w:type="spellStart"/>
            <w:r w:rsidR="0018407E">
              <w:t>ECEC</w:t>
            </w:r>
            <w:proofErr w:type="spellEnd"/>
          </w:p>
        </w:tc>
      </w:tr>
      <w:tr w:rsidR="00397085" w:rsidTr="00DB16AF">
        <w:trPr>
          <w:cantSplit/>
        </w:trPr>
        <w:tc>
          <w:tcPr>
            <w:tcW w:w="8771" w:type="dxa"/>
            <w:tcBorders>
              <w:top w:val="nil"/>
              <w:left w:val="nil"/>
              <w:bottom w:val="nil"/>
              <w:right w:val="nil"/>
            </w:tcBorders>
            <w:shd w:val="clear" w:color="auto" w:fill="F2F2F2"/>
          </w:tcPr>
          <w:p w:rsidR="00397085" w:rsidRPr="004C59A0" w:rsidRDefault="00397085" w:rsidP="00397085">
            <w:pPr>
              <w:pStyle w:val="Box"/>
            </w:pPr>
            <w:r>
              <w:t xml:space="preserve">‘Demand for </w:t>
            </w:r>
            <w:proofErr w:type="spellStart"/>
            <w:r w:rsidR="0018407E">
              <w:t>ECEC</w:t>
            </w:r>
            <w:proofErr w:type="spellEnd"/>
            <w:r w:rsidRPr="004C59A0">
              <w:t>’ is defined as the proportion of children aged 0</w:t>
            </w:r>
            <w:r w:rsidRPr="00397085">
              <w:t>–</w:t>
            </w:r>
            <w:r w:rsidRPr="004C59A0">
              <w:t xml:space="preserve">12 years for whom </w:t>
            </w:r>
            <w:r>
              <w:t xml:space="preserve">additional </w:t>
            </w:r>
            <w:r w:rsidRPr="004C59A0">
              <w:t>formal chil</w:t>
            </w:r>
            <w:r w:rsidR="00440AED">
              <w:t xml:space="preserve">d care or preschool services </w:t>
            </w:r>
            <w:r w:rsidRPr="004C59A0">
              <w:t xml:space="preserve">were </w:t>
            </w:r>
            <w:r>
              <w:t xml:space="preserve">currently </w:t>
            </w:r>
            <w:r w:rsidRPr="004C59A0">
              <w:t xml:space="preserve">required. </w:t>
            </w:r>
          </w:p>
          <w:p w:rsidR="00397085" w:rsidRDefault="00397085" w:rsidP="00397085">
            <w:pPr>
              <w:pStyle w:val="Box"/>
            </w:pPr>
            <w:r>
              <w:t xml:space="preserve">Additional care currently required refers to children who were already attending formal child care </w:t>
            </w:r>
            <w:r w:rsidR="00904AF3">
              <w:t xml:space="preserve">or preschool </w:t>
            </w:r>
            <w:r>
              <w:t xml:space="preserve">and parents wished for them to attend more, as well as children who did not attend any formal child care </w:t>
            </w:r>
            <w:r w:rsidR="00904AF3">
              <w:t xml:space="preserve">or preschool </w:t>
            </w:r>
            <w:r>
              <w:t>and parents wished for them to attend.</w:t>
            </w:r>
          </w:p>
          <w:p w:rsidR="003D3657" w:rsidRDefault="003D3657" w:rsidP="003D3657">
            <w:pPr>
              <w:pStyle w:val="Box"/>
            </w:pPr>
            <w:r>
              <w:t xml:space="preserve">An increasing proportion of children with expressed need for additional </w:t>
            </w:r>
            <w:proofErr w:type="spellStart"/>
            <w:r>
              <w:t>ECEC</w:t>
            </w:r>
            <w:proofErr w:type="spellEnd"/>
            <w:r>
              <w:t xml:space="preserve"> may suggest that additional service availability will be required in the future. </w:t>
            </w:r>
          </w:p>
          <w:p w:rsidR="003D3657" w:rsidRDefault="00397085" w:rsidP="00397085">
            <w:pPr>
              <w:pStyle w:val="Box"/>
            </w:pPr>
            <w:r>
              <w:t xml:space="preserve">Caution should be used when interpreting these data as they are not intended to represent the ‘unmet demand’ for formal child care or preschool services. Expressed need for additional formal child care or preschool services does not necessarily indicate whether the current additional need has been met or will be met. </w:t>
            </w:r>
            <w:r w:rsidR="003D3657">
              <w:t>The data do not identify the likelihood that a parent will take steps to access the care or preschool they require, or place their child in this care or preschool. Various factors including cost, location and the perceived suitability or quality of the service will have an influence on whether parents take these steps.</w:t>
            </w:r>
          </w:p>
          <w:p w:rsidR="00405EB9" w:rsidRPr="00405EB9" w:rsidRDefault="00405EB9" w:rsidP="00405EB9">
            <w:pPr>
              <w:pStyle w:val="Box"/>
            </w:pPr>
            <w:r w:rsidRPr="00405EB9">
              <w:t xml:space="preserve">Data for </w:t>
            </w:r>
            <w:r>
              <w:t xml:space="preserve">this measure </w:t>
            </w:r>
            <w:r w:rsidRPr="00405EB9">
              <w:t>include 95 per cent confidence intervals (in the form of error bars in figures).</w:t>
            </w:r>
          </w:p>
          <w:p w:rsidR="00397085" w:rsidRDefault="00A91405" w:rsidP="00397085">
            <w:pPr>
              <w:pStyle w:val="Box"/>
            </w:pPr>
            <w:r>
              <w:t>Data reported for this measure</w:t>
            </w:r>
            <w:r w:rsidR="00397085">
              <w:t xml:space="preserve"> are:</w:t>
            </w:r>
          </w:p>
          <w:p w:rsidR="00397085" w:rsidRPr="00DA5769" w:rsidRDefault="00397085" w:rsidP="00397085">
            <w:pPr>
              <w:pStyle w:val="BoxListBullet"/>
            </w:pPr>
            <w:r>
              <w:t>c</w:t>
            </w:r>
            <w:r w:rsidRPr="00DA5769">
              <w:t xml:space="preserve">omparable </w:t>
            </w:r>
            <w:r>
              <w:t>(subject to caveats) across jurisdictions and over time</w:t>
            </w:r>
          </w:p>
          <w:p w:rsidR="00397085" w:rsidRDefault="00397085" w:rsidP="00397085">
            <w:pPr>
              <w:pStyle w:val="BoxListBullet"/>
            </w:pPr>
            <w:r>
              <w:t>c</w:t>
            </w:r>
            <w:r w:rsidRPr="00DA5769">
              <w:t xml:space="preserve">omplete </w:t>
            </w:r>
            <w:r>
              <w:t xml:space="preserve">(subject to caveats) </w:t>
            </w:r>
            <w:r w:rsidRPr="00DA5769">
              <w:t>for</w:t>
            </w:r>
            <w:r w:rsidRPr="008E2083">
              <w:t xml:space="preserve"> </w:t>
            </w:r>
            <w:r>
              <w:t>the current rep</w:t>
            </w:r>
            <w:r w:rsidR="003D3657">
              <w:t>orting period. All required 2014</w:t>
            </w:r>
            <w:r>
              <w:t xml:space="preserve"> data are available for all jurisdictions.</w:t>
            </w:r>
          </w:p>
          <w:p w:rsidR="00397085" w:rsidRDefault="00397085" w:rsidP="00397085">
            <w:pPr>
              <w:pStyle w:val="Box"/>
            </w:pPr>
            <w:r w:rsidRPr="00397085">
              <w:t xml:space="preserve">Data quality information for this indicator </w:t>
            </w:r>
            <w:r w:rsidR="003F4FDF">
              <w:t xml:space="preserve">is at </w:t>
            </w:r>
            <w:proofErr w:type="spellStart"/>
            <w:r w:rsidR="003F4FDF">
              <w:t>www.pc.gov.au</w:t>
            </w:r>
            <w:proofErr w:type="spellEnd"/>
            <w:r w:rsidR="003F4FDF">
              <w:t>/</w:t>
            </w:r>
            <w:proofErr w:type="spellStart"/>
            <w:r w:rsidRPr="00397085">
              <w:t>rogs</w:t>
            </w:r>
            <w:proofErr w:type="spellEnd"/>
            <w:r w:rsidRPr="00397085">
              <w:t>/</w:t>
            </w:r>
            <w:r w:rsidR="00CB534C">
              <w:t>2016</w:t>
            </w:r>
            <w:r w:rsidRPr="00397085">
              <w:t>.</w:t>
            </w:r>
          </w:p>
        </w:tc>
      </w:tr>
      <w:tr w:rsidR="00397085" w:rsidTr="00DB16AF">
        <w:trPr>
          <w:cantSplit/>
        </w:trPr>
        <w:tc>
          <w:tcPr>
            <w:tcW w:w="8771" w:type="dxa"/>
            <w:tcBorders>
              <w:top w:val="nil"/>
              <w:left w:val="nil"/>
              <w:bottom w:val="single" w:sz="6" w:space="0" w:color="78A22F"/>
              <w:right w:val="nil"/>
            </w:tcBorders>
            <w:shd w:val="clear" w:color="auto" w:fill="F2F2F2"/>
          </w:tcPr>
          <w:p w:rsidR="00397085" w:rsidRDefault="00397085">
            <w:pPr>
              <w:pStyle w:val="Box"/>
              <w:spacing w:before="0" w:line="120" w:lineRule="exact"/>
            </w:pPr>
          </w:p>
        </w:tc>
      </w:tr>
      <w:tr w:rsidR="00397085" w:rsidRPr="000863A5" w:rsidTr="00DB16AF">
        <w:tc>
          <w:tcPr>
            <w:tcW w:w="8771" w:type="dxa"/>
            <w:tcBorders>
              <w:top w:val="single" w:sz="6" w:space="0" w:color="78A22F"/>
              <w:left w:val="nil"/>
              <w:bottom w:val="nil"/>
              <w:right w:val="nil"/>
            </w:tcBorders>
          </w:tcPr>
          <w:p w:rsidR="00397085" w:rsidRPr="00626D32" w:rsidRDefault="00397085" w:rsidP="00DB16AF">
            <w:pPr>
              <w:pStyle w:val="BoxSpaceBelow"/>
            </w:pPr>
          </w:p>
        </w:tc>
      </w:tr>
    </w:tbl>
    <w:p w:rsidR="00090481" w:rsidRDefault="004C3387" w:rsidP="005A418E">
      <w:pPr>
        <w:pStyle w:val="BodyText"/>
      </w:pPr>
      <w:r>
        <w:t xml:space="preserve">Nationally in 2014, additional formal child care or preschool was currently required for 10.0 per cent of 0–12 year olds. </w:t>
      </w:r>
      <w:r w:rsidR="00090481">
        <w:t>This is an increase from 5</w:t>
      </w:r>
      <w:r w:rsidR="007907DF">
        <w:t>.5 per cent in 2011 (figure</w:t>
      </w:r>
      <w:r w:rsidR="00697D43">
        <w:t> </w:t>
      </w:r>
      <w:r w:rsidR="005D73FF">
        <w:t>3.20</w:t>
      </w:r>
      <w:r w:rsidR="00EE77CE">
        <w:t>)</w:t>
      </w:r>
      <w:r w:rsidR="0089269C">
        <w:t>.</w:t>
      </w:r>
    </w:p>
    <w:p w:rsidR="005A418E" w:rsidRPr="005B67FB" w:rsidRDefault="00CF03E1" w:rsidP="005A418E">
      <w:pPr>
        <w:pStyle w:val="BodyText"/>
      </w:pPr>
      <w:r>
        <w:t xml:space="preserve">In 2014, </w:t>
      </w:r>
      <w:r w:rsidR="005B67FB">
        <w:t>the 10.0 per cent of 0–12 year olds for whom additional formal child care or p</w:t>
      </w:r>
      <w:r>
        <w:t>reschool was currently required</w:t>
      </w:r>
      <w:r w:rsidR="001C5FF8">
        <w:t xml:space="preserve"> comprised</w:t>
      </w:r>
      <w:r w:rsidR="005B67FB">
        <w:t xml:space="preserve"> 5.6 per cent </w:t>
      </w:r>
      <w:r>
        <w:t xml:space="preserve">that </w:t>
      </w:r>
      <w:r w:rsidR="005B67FB">
        <w:t>used formal child car</w:t>
      </w:r>
      <w:r w:rsidR="001C5FF8">
        <w:t>e or preschool in the last week,</w:t>
      </w:r>
      <w:r w:rsidR="005B67FB">
        <w:t xml:space="preserve"> 2.3 per cent </w:t>
      </w:r>
      <w:r w:rsidR="001C5FF8">
        <w:t xml:space="preserve">that </w:t>
      </w:r>
      <w:r w:rsidR="005B67FB">
        <w:t xml:space="preserve">used only informal child care, and 3.1 per cent </w:t>
      </w:r>
      <w:r w:rsidR="001C5FF8">
        <w:t xml:space="preserve">that </w:t>
      </w:r>
      <w:r w:rsidR="005B67FB">
        <w:t>did not use any chil</w:t>
      </w:r>
      <w:r w:rsidR="00134889">
        <w:t>d care or preschool (table</w:t>
      </w:r>
      <w:r w:rsidR="00697D43">
        <w:t> </w:t>
      </w:r>
      <w:proofErr w:type="spellStart"/>
      <w:r w:rsidR="00C42F50">
        <w:t>3A.71</w:t>
      </w:r>
      <w:proofErr w:type="spellEnd"/>
      <w:r w:rsidR="005B67FB">
        <w:t xml:space="preserve">). </w:t>
      </w:r>
      <w:r w:rsidR="0084538E">
        <w:t xml:space="preserve">This table also provides data on additional formal child care or preschool currently required for </w:t>
      </w:r>
      <w:r w:rsidR="0084538E" w:rsidRPr="00440AA3">
        <w:t>0</w:t>
      </w:r>
      <w:r w:rsidR="0084538E" w:rsidRPr="00440AA3">
        <w:rPr>
          <w:rFonts w:cs="Arial"/>
        </w:rPr>
        <w:t>–</w:t>
      </w:r>
      <w:r w:rsidR="005B67FB">
        <w:t>5 year olds, and their current use of care or preschool.</w:t>
      </w:r>
    </w:p>
    <w:p w:rsidR="00883F9A" w:rsidRDefault="00883F9A" w:rsidP="002C08A9">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883F9A" w:rsidTr="002C08A9">
        <w:tc>
          <w:tcPr>
            <w:tcW w:w="8771" w:type="dxa"/>
            <w:tcBorders>
              <w:top w:val="single" w:sz="6" w:space="0" w:color="78A22F"/>
              <w:left w:val="nil"/>
              <w:bottom w:val="nil"/>
              <w:right w:val="nil"/>
            </w:tcBorders>
            <w:shd w:val="clear" w:color="auto" w:fill="auto"/>
          </w:tcPr>
          <w:p w:rsidR="00883F9A" w:rsidRPr="00883F9A" w:rsidRDefault="00883F9A" w:rsidP="00682BBE">
            <w:pPr>
              <w:pStyle w:val="FigureTitle"/>
              <w:rPr>
                <w:b w:val="0"/>
                <w:position w:val="6"/>
                <w:sz w:val="18"/>
              </w:rPr>
            </w:pPr>
            <w:r w:rsidRPr="00784A05">
              <w:rPr>
                <w:b w:val="0"/>
              </w:rPr>
              <w:t xml:space="preserve">Figure </w:t>
            </w:r>
            <w:r>
              <w:rPr>
                <w:b w:val="0"/>
              </w:rPr>
              <w:t>3.</w:t>
            </w:r>
            <w:r w:rsidR="005D73FF">
              <w:rPr>
                <w:b w:val="0"/>
              </w:rPr>
              <w:t>20</w:t>
            </w:r>
            <w:r>
              <w:tab/>
            </w:r>
            <w:r w:rsidRPr="00883F9A">
              <w:t>Proportion of children aged 0–12 years who currently required additional form</w:t>
            </w:r>
            <w:r w:rsidR="002D1511">
              <w:t>al child care or preschool</w:t>
            </w:r>
            <w:r w:rsidR="00662DCA">
              <w:rPr>
                <w:rStyle w:val="NoteLabel"/>
                <w:b/>
              </w:rPr>
              <w:t>a</w:t>
            </w:r>
          </w:p>
        </w:tc>
      </w:tr>
      <w:tr w:rsidR="00883F9A" w:rsidTr="002C08A9">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883F9A" w:rsidTr="002C08A9">
              <w:trPr>
                <w:jc w:val="center"/>
              </w:trPr>
              <w:tc>
                <w:tcPr>
                  <w:tcW w:w="5000" w:type="pct"/>
                  <w:tcBorders>
                    <w:top w:val="nil"/>
                    <w:bottom w:val="nil"/>
                  </w:tcBorders>
                </w:tcPr>
                <w:p w:rsidR="00883F9A" w:rsidRDefault="00B337E3" w:rsidP="002C08A9">
                  <w:pPr>
                    <w:pStyle w:val="Figure"/>
                    <w:spacing w:before="60" w:after="60"/>
                  </w:pPr>
                  <w:r>
                    <w:rPr>
                      <w:noProof/>
                    </w:rPr>
                    <w:drawing>
                      <wp:inline distT="0" distB="0" distL="0" distR="0">
                        <wp:extent cx="5390515" cy="2679700"/>
                        <wp:effectExtent l="0" t="0" r="635" b="6350"/>
                        <wp:docPr id="19" name="Picture 19" descr="Figure 3.20 Proportion of children aged 0–12 years who currently required additional formal child care or preschool&#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5390515" cy="2679700"/>
                                </a:xfrm>
                                <a:prstGeom prst="rect">
                                  <a:avLst/>
                                </a:prstGeom>
                                <a:noFill/>
                                <a:ln>
                                  <a:noFill/>
                                </a:ln>
                              </pic:spPr>
                            </pic:pic>
                          </a:graphicData>
                        </a:graphic>
                      </wp:inline>
                    </w:drawing>
                  </w:r>
                </w:p>
              </w:tc>
            </w:tr>
          </w:tbl>
          <w:p w:rsidR="00883F9A" w:rsidRDefault="00883F9A" w:rsidP="002C08A9">
            <w:pPr>
              <w:pStyle w:val="Figure"/>
            </w:pPr>
          </w:p>
        </w:tc>
      </w:tr>
      <w:tr w:rsidR="00883F9A" w:rsidRPr="00176D3F" w:rsidTr="002C08A9">
        <w:tc>
          <w:tcPr>
            <w:tcW w:w="8771" w:type="dxa"/>
            <w:tcBorders>
              <w:top w:val="nil"/>
              <w:left w:val="nil"/>
              <w:bottom w:val="nil"/>
              <w:right w:val="nil"/>
            </w:tcBorders>
            <w:shd w:val="clear" w:color="auto" w:fill="auto"/>
          </w:tcPr>
          <w:p w:rsidR="00883F9A" w:rsidRPr="00176D3F" w:rsidRDefault="005729CA" w:rsidP="008E37F0">
            <w:pPr>
              <w:pStyle w:val="Note"/>
            </w:pPr>
            <w:r>
              <w:rPr>
                <w:rStyle w:val="NoteLabel"/>
              </w:rPr>
              <w:t>a</w:t>
            </w:r>
            <w:r w:rsidR="008E37F0">
              <w:t xml:space="preserve"> </w:t>
            </w:r>
            <w:r w:rsidR="008E37F0">
              <w:rPr>
                <w:rStyle w:val="NoteChar"/>
              </w:rPr>
              <w:t>See box</w:t>
            </w:r>
            <w:r w:rsidR="00697D43">
              <w:rPr>
                <w:rStyle w:val="NoteChar"/>
              </w:rPr>
              <w:t> </w:t>
            </w:r>
            <w:r w:rsidR="008E37F0">
              <w:rPr>
                <w:rStyle w:val="NoteChar"/>
              </w:rPr>
              <w:t>3.25</w:t>
            </w:r>
            <w:r w:rsidR="008E37F0" w:rsidRPr="00AA1455">
              <w:rPr>
                <w:rStyle w:val="NoteChar"/>
              </w:rPr>
              <w:t xml:space="preserve"> and table</w:t>
            </w:r>
            <w:r w:rsidR="00697D43">
              <w:rPr>
                <w:rStyle w:val="NoteChar"/>
              </w:rPr>
              <w:t> </w:t>
            </w:r>
            <w:proofErr w:type="spellStart"/>
            <w:r w:rsidR="008E37F0">
              <w:rPr>
                <w:rStyle w:val="NoteChar"/>
              </w:rPr>
              <w:t>3</w:t>
            </w:r>
            <w:r w:rsidR="008E37F0" w:rsidRPr="00AA1455">
              <w:rPr>
                <w:rStyle w:val="NoteChar"/>
              </w:rPr>
              <w:t>A.</w:t>
            </w:r>
            <w:r w:rsidR="008E37F0">
              <w:rPr>
                <w:rStyle w:val="NoteChar"/>
              </w:rPr>
              <w:t>71</w:t>
            </w:r>
            <w:proofErr w:type="spellEnd"/>
            <w:r w:rsidR="008E37F0" w:rsidRPr="00AA1455">
              <w:rPr>
                <w:rStyle w:val="NoteChar"/>
              </w:rPr>
              <w:t xml:space="preserve"> for </w:t>
            </w:r>
            <w:r w:rsidR="00937F53">
              <w:rPr>
                <w:rStyle w:val="NoteChar"/>
              </w:rPr>
              <w:t>detailed definitions, footnotes and caveats.</w:t>
            </w:r>
          </w:p>
        </w:tc>
      </w:tr>
      <w:tr w:rsidR="00883F9A" w:rsidRPr="00176D3F" w:rsidTr="002C08A9">
        <w:tc>
          <w:tcPr>
            <w:tcW w:w="8771" w:type="dxa"/>
            <w:tcBorders>
              <w:top w:val="nil"/>
              <w:left w:val="nil"/>
              <w:bottom w:val="nil"/>
              <w:right w:val="nil"/>
            </w:tcBorders>
            <w:shd w:val="clear" w:color="auto" w:fill="auto"/>
          </w:tcPr>
          <w:p w:rsidR="00883F9A" w:rsidRPr="00176D3F" w:rsidRDefault="00883F9A" w:rsidP="002C08A9">
            <w:pPr>
              <w:pStyle w:val="Source"/>
            </w:pPr>
            <w:r>
              <w:rPr>
                <w:i/>
              </w:rPr>
              <w:t>S</w:t>
            </w:r>
            <w:r w:rsidRPr="00784A05">
              <w:rPr>
                <w:i/>
              </w:rPr>
              <w:t>ource</w:t>
            </w:r>
            <w:r w:rsidRPr="00176D3F">
              <w:t xml:space="preserve">: </w:t>
            </w:r>
            <w:r w:rsidR="00170E9D">
              <w:t>ABS (unpublished</w:t>
            </w:r>
            <w:r w:rsidRPr="005024EA">
              <w:t xml:space="preserve">) </w:t>
            </w:r>
            <w:proofErr w:type="spellStart"/>
            <w:r w:rsidR="00170E9D" w:rsidRPr="00170E9D">
              <w:rPr>
                <w:i/>
              </w:rPr>
              <w:t>Microdata</w:t>
            </w:r>
            <w:proofErr w:type="spellEnd"/>
            <w:r w:rsidR="00170E9D" w:rsidRPr="00170E9D">
              <w:rPr>
                <w:i/>
              </w:rPr>
              <w:t>:</w:t>
            </w:r>
            <w:r w:rsidR="00170E9D">
              <w:t xml:space="preserve"> </w:t>
            </w:r>
            <w:r w:rsidRPr="005024EA">
              <w:rPr>
                <w:i/>
              </w:rPr>
              <w:t>Childhood Education and Care, Australia, June 2011</w:t>
            </w:r>
            <w:r w:rsidR="002D1511">
              <w:rPr>
                <w:i/>
              </w:rPr>
              <w:t xml:space="preserve"> and 2014</w:t>
            </w:r>
            <w:r w:rsidRPr="005024EA">
              <w:t>, Cat. no. 4402.0</w:t>
            </w:r>
            <w:r w:rsidR="00170E9D">
              <w:t>.55.001</w:t>
            </w:r>
            <w:r w:rsidRPr="005024EA">
              <w:t>; table </w:t>
            </w:r>
            <w:proofErr w:type="spellStart"/>
            <w:r w:rsidR="00C42F50">
              <w:t>3A.71</w:t>
            </w:r>
            <w:proofErr w:type="spellEnd"/>
            <w:r w:rsidRPr="005024EA">
              <w:t>.</w:t>
            </w:r>
          </w:p>
        </w:tc>
      </w:tr>
      <w:tr w:rsidR="00883F9A" w:rsidTr="002C08A9">
        <w:tc>
          <w:tcPr>
            <w:tcW w:w="8771" w:type="dxa"/>
            <w:tcBorders>
              <w:top w:val="nil"/>
              <w:left w:val="nil"/>
              <w:bottom w:val="single" w:sz="6" w:space="0" w:color="78A22F"/>
              <w:right w:val="nil"/>
            </w:tcBorders>
            <w:shd w:val="clear" w:color="auto" w:fill="auto"/>
          </w:tcPr>
          <w:p w:rsidR="00883F9A" w:rsidRDefault="00883F9A" w:rsidP="002C08A9">
            <w:pPr>
              <w:pStyle w:val="Figurespace"/>
            </w:pPr>
          </w:p>
        </w:tc>
      </w:tr>
      <w:tr w:rsidR="00883F9A" w:rsidRPr="000863A5" w:rsidTr="002C08A9">
        <w:tc>
          <w:tcPr>
            <w:tcW w:w="8771" w:type="dxa"/>
            <w:tcBorders>
              <w:top w:val="single" w:sz="6" w:space="0" w:color="78A22F"/>
              <w:left w:val="nil"/>
              <w:bottom w:val="nil"/>
              <w:right w:val="nil"/>
            </w:tcBorders>
          </w:tcPr>
          <w:p w:rsidR="00883F9A" w:rsidRPr="00626D32" w:rsidRDefault="00883F9A" w:rsidP="002C08A9">
            <w:pPr>
              <w:pStyle w:val="BoxSpaceBelow"/>
            </w:pPr>
          </w:p>
        </w:tc>
      </w:tr>
    </w:tbl>
    <w:p w:rsidR="00ED1189" w:rsidRPr="0097041F" w:rsidRDefault="004E5340" w:rsidP="009C7505">
      <w:pPr>
        <w:pStyle w:val="BodyText"/>
        <w:rPr>
          <w:rStyle w:val="BodyTextChar"/>
        </w:rPr>
      </w:pPr>
      <w:r>
        <w:rPr>
          <w:rStyle w:val="BodyTextChar"/>
        </w:rPr>
        <w:t xml:space="preserve">Data reporting the main reason for currently </w:t>
      </w:r>
      <w:r w:rsidR="008F7A23">
        <w:rPr>
          <w:rStyle w:val="BodyTextChar"/>
        </w:rPr>
        <w:t>requiring</w:t>
      </w:r>
      <w:r w:rsidR="00505DAE">
        <w:rPr>
          <w:rStyle w:val="BodyTextChar"/>
        </w:rPr>
        <w:t xml:space="preserve"> </w:t>
      </w:r>
      <w:r w:rsidR="00ED1189" w:rsidRPr="009C7505">
        <w:rPr>
          <w:rStyle w:val="BodyTextChar"/>
        </w:rPr>
        <w:t xml:space="preserve">additional formal child care or preschool in </w:t>
      </w:r>
      <w:r w:rsidR="00440AA3">
        <w:rPr>
          <w:rStyle w:val="BodyTextChar"/>
        </w:rPr>
        <w:t xml:space="preserve">2011 </w:t>
      </w:r>
      <w:r w:rsidR="002D1511">
        <w:rPr>
          <w:rStyle w:val="BodyTextChar"/>
        </w:rPr>
        <w:t xml:space="preserve">and 2014 </w:t>
      </w:r>
      <w:r w:rsidR="00ED1189" w:rsidRPr="009C7505">
        <w:rPr>
          <w:rStyle w:val="BodyTextChar"/>
        </w:rPr>
        <w:t xml:space="preserve">are </w:t>
      </w:r>
      <w:r w:rsidR="003C6BFC">
        <w:rPr>
          <w:rStyle w:val="BodyTextChar"/>
        </w:rPr>
        <w:t>included in table</w:t>
      </w:r>
      <w:r w:rsidR="00172534">
        <w:rPr>
          <w:rStyle w:val="BodyTextChar"/>
        </w:rPr>
        <w:t> </w:t>
      </w:r>
      <w:proofErr w:type="spellStart"/>
      <w:r w:rsidR="00D74096">
        <w:rPr>
          <w:rStyle w:val="BodyTextChar"/>
        </w:rPr>
        <w:t>3A.</w:t>
      </w:r>
      <w:r w:rsidR="00C42F50">
        <w:rPr>
          <w:rStyle w:val="BodyTextChar"/>
        </w:rPr>
        <w:t>72</w:t>
      </w:r>
      <w:proofErr w:type="spellEnd"/>
      <w:r w:rsidRPr="004C245C">
        <w:rPr>
          <w:rStyle w:val="BodyTextChar"/>
        </w:rPr>
        <w:t xml:space="preserve">. </w:t>
      </w:r>
      <w:r w:rsidRPr="001046D0">
        <w:rPr>
          <w:rStyle w:val="BodyTextChar"/>
        </w:rPr>
        <w:t xml:space="preserve">This table also provides information on </w:t>
      </w:r>
      <w:r w:rsidR="00682B40" w:rsidRPr="001046D0">
        <w:rPr>
          <w:rStyle w:val="BodyTextChar"/>
        </w:rPr>
        <w:t xml:space="preserve">whether additional child care or preschool currently required was available upon application and whether would use it if it became available within the next four weeks. </w:t>
      </w:r>
    </w:p>
    <w:p w:rsidR="005D73FF" w:rsidRDefault="001439DD" w:rsidP="00AA7DF3">
      <w:pPr>
        <w:pStyle w:val="Heading4"/>
      </w:pPr>
      <w:r>
        <w:t>Out</w:t>
      </w:r>
      <w:r w:rsidR="00172534">
        <w:noBreakHyphen/>
      </w:r>
      <w:r>
        <w:t>of</w:t>
      </w:r>
      <w:r w:rsidR="00172534">
        <w:noBreakHyphen/>
      </w:r>
      <w:r>
        <w:t>pocket cost</w:t>
      </w:r>
      <w:r w:rsidR="00A55187">
        <w:t>s</w:t>
      </w:r>
      <w:r>
        <w:t xml:space="preserve"> of child care</w:t>
      </w:r>
      <w:r w:rsidR="00951B6C">
        <w:t xml:space="preserve"> </w:t>
      </w:r>
    </w:p>
    <w:p w:rsidR="0081190F" w:rsidRDefault="001439DD" w:rsidP="005D73FF">
      <w:pPr>
        <w:pStyle w:val="BodyText"/>
      </w:pPr>
      <w:r>
        <w:t>‘</w:t>
      </w:r>
      <w:r w:rsidRPr="0097041F">
        <w:t>Out</w:t>
      </w:r>
      <w:r w:rsidR="00172534">
        <w:noBreakHyphen/>
      </w:r>
      <w:r w:rsidRPr="0097041F">
        <w:t>of</w:t>
      </w:r>
      <w:r w:rsidR="00172534">
        <w:noBreakHyphen/>
      </w:r>
      <w:r w:rsidRPr="0097041F">
        <w:t>pocket cost</w:t>
      </w:r>
      <w:r w:rsidR="00A55187">
        <w:t>s</w:t>
      </w:r>
      <w:r w:rsidRPr="0097041F">
        <w:t xml:space="preserve"> of child care</w:t>
      </w:r>
      <w:r w:rsidR="00400EEB" w:rsidRPr="0097041F">
        <w:t>’ is an indicator of governments’ objective that all Australian families</w:t>
      </w:r>
      <w:r w:rsidR="00400EEB" w:rsidRPr="00400EEB">
        <w:t xml:space="preserve"> have equitable access to </w:t>
      </w:r>
      <w:proofErr w:type="spellStart"/>
      <w:r w:rsidR="0018407E">
        <w:t>ECEC</w:t>
      </w:r>
      <w:proofErr w:type="spellEnd"/>
      <w:r w:rsidR="00440AA3">
        <w:t xml:space="preserve"> </w:t>
      </w:r>
      <w:r w:rsidR="00394CE2">
        <w:t>irrespective</w:t>
      </w:r>
      <w:r w:rsidR="00400EEB" w:rsidRPr="00400EEB">
        <w:t xml:space="preserve"> of their financial circumstances </w:t>
      </w:r>
      <w:r w:rsidR="0081190F" w:rsidRPr="0081190F">
        <w:t>(</w:t>
      </w:r>
      <w:r w:rsidR="0081190F" w:rsidRPr="004C245C">
        <w:t>box</w:t>
      </w:r>
      <w:r w:rsidR="00172534" w:rsidRPr="004C245C">
        <w:t> </w:t>
      </w:r>
      <w:r w:rsidR="00923A1C" w:rsidRPr="004C245C">
        <w:t>3.</w:t>
      </w:r>
      <w:r w:rsidR="00AD7B15">
        <w:t>26</w:t>
      </w:r>
      <w:r w:rsidR="0081190F" w:rsidRPr="004C245C">
        <w:t>).</w:t>
      </w:r>
    </w:p>
    <w:p w:rsidR="00F66307" w:rsidRDefault="00F66307">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F66307" w:rsidTr="00DB16AF">
        <w:tc>
          <w:tcPr>
            <w:tcW w:w="8771" w:type="dxa"/>
            <w:tcBorders>
              <w:top w:val="single" w:sz="6" w:space="0" w:color="78A22F"/>
              <w:left w:val="nil"/>
              <w:bottom w:val="nil"/>
              <w:right w:val="nil"/>
            </w:tcBorders>
            <w:shd w:val="clear" w:color="auto" w:fill="F2F2F2"/>
          </w:tcPr>
          <w:p w:rsidR="00F66307" w:rsidRDefault="00F66307" w:rsidP="000139A7">
            <w:pPr>
              <w:pStyle w:val="BoxTitle"/>
            </w:pPr>
            <w:r>
              <w:rPr>
                <w:b w:val="0"/>
              </w:rPr>
              <w:t xml:space="preserve">Box </w:t>
            </w:r>
            <w:r w:rsidR="000139A7">
              <w:rPr>
                <w:b w:val="0"/>
              </w:rPr>
              <w:t>3.</w:t>
            </w:r>
            <w:bookmarkStart w:id="76" w:name="OLE_LINK27"/>
            <w:r w:rsidR="000139A7">
              <w:rPr>
                <w:b w:val="0"/>
              </w:rPr>
              <w:t>2</w:t>
            </w:r>
            <w:bookmarkEnd w:id="76"/>
            <w:r w:rsidR="00AD7B15">
              <w:rPr>
                <w:b w:val="0"/>
              </w:rPr>
              <w:t>6</w:t>
            </w:r>
            <w:r>
              <w:tab/>
            </w:r>
            <w:r w:rsidRPr="00704343">
              <w:t>Out</w:t>
            </w:r>
            <w:r>
              <w:noBreakHyphen/>
            </w:r>
            <w:r w:rsidRPr="00704343">
              <w:t>of</w:t>
            </w:r>
            <w:r>
              <w:noBreakHyphen/>
            </w:r>
            <w:r w:rsidRPr="00704343">
              <w:t>pocket cost</w:t>
            </w:r>
            <w:r>
              <w:t>s</w:t>
            </w:r>
            <w:r w:rsidRPr="00704343">
              <w:t xml:space="preserve"> of child care</w:t>
            </w:r>
          </w:p>
        </w:tc>
      </w:tr>
      <w:tr w:rsidR="00F66307" w:rsidTr="00DB16AF">
        <w:trPr>
          <w:cantSplit/>
        </w:trPr>
        <w:tc>
          <w:tcPr>
            <w:tcW w:w="8771" w:type="dxa"/>
            <w:tcBorders>
              <w:top w:val="nil"/>
              <w:left w:val="nil"/>
              <w:bottom w:val="nil"/>
              <w:right w:val="nil"/>
            </w:tcBorders>
            <w:shd w:val="clear" w:color="auto" w:fill="F2F2F2"/>
          </w:tcPr>
          <w:p w:rsidR="00EA7A8A" w:rsidRDefault="00EA7A8A" w:rsidP="00EA7A8A">
            <w:pPr>
              <w:pStyle w:val="Box"/>
            </w:pPr>
            <w:r w:rsidRPr="00647500">
              <w:t>‘Out</w:t>
            </w:r>
            <w:r w:rsidRPr="00647500">
              <w:noBreakHyphen/>
              <w:t>of</w:t>
            </w:r>
            <w:r w:rsidRPr="00647500">
              <w:noBreakHyphen/>
              <w:t xml:space="preserve">pocket costs of child care’ is defined as the proportion of weekly disposable income that families spend on </w:t>
            </w:r>
            <w:r>
              <w:t xml:space="preserve">long day care and family day care </w:t>
            </w:r>
            <w:r w:rsidRPr="00647500">
              <w:t>before and after the payment of child care subsidies, for families with a 60:40 income split and gross annual income of $35 000, $55 000, $75 000, $95 000, $115 000, $135 000</w:t>
            </w:r>
            <w:r w:rsidR="001F0525">
              <w:t>,</w:t>
            </w:r>
            <w:r w:rsidRPr="00647500">
              <w:t xml:space="preserve"> </w:t>
            </w:r>
            <w:r>
              <w:t>$15</w:t>
            </w:r>
            <w:r w:rsidR="001F0525">
              <w:t xml:space="preserve">5 000, </w:t>
            </w:r>
            <w:r>
              <w:t>$17</w:t>
            </w:r>
            <w:r w:rsidRPr="00647500">
              <w:t>5 000</w:t>
            </w:r>
            <w:r>
              <w:t>, $19</w:t>
            </w:r>
            <w:r w:rsidRPr="00647500">
              <w:t>5 000</w:t>
            </w:r>
            <w:r>
              <w:t xml:space="preserve"> and $215</w:t>
            </w:r>
            <w:r w:rsidRPr="00647500">
              <w:t xml:space="preserve"> 000. This proportion is reported </w:t>
            </w:r>
            <w:r w:rsidR="0016595F">
              <w:t xml:space="preserve">for </w:t>
            </w:r>
            <w:r w:rsidRPr="00647500">
              <w:t>families with one child attend</w:t>
            </w:r>
            <w:r>
              <w:t>ing</w:t>
            </w:r>
            <w:r w:rsidRPr="00647500">
              <w:t xml:space="preserve"> 50 hours (full time) </w:t>
            </w:r>
            <w:r>
              <w:t xml:space="preserve">long day </w:t>
            </w:r>
            <w:r w:rsidRPr="00647500">
              <w:t xml:space="preserve">care </w:t>
            </w:r>
            <w:r>
              <w:t xml:space="preserve">or family day care </w:t>
            </w:r>
            <w:r w:rsidR="0016595F">
              <w:t xml:space="preserve">per week and for </w:t>
            </w:r>
            <w:r w:rsidRPr="00647500">
              <w:t>fam</w:t>
            </w:r>
            <w:r>
              <w:t>ilies with one child attending</w:t>
            </w:r>
            <w:r w:rsidRPr="00647500">
              <w:t xml:space="preserve"> 30 hours per week long day care or family day care.</w:t>
            </w:r>
            <w:r>
              <w:t xml:space="preserve"> </w:t>
            </w:r>
          </w:p>
          <w:p w:rsidR="00EA7A8A" w:rsidRPr="00704343" w:rsidRDefault="00D72958" w:rsidP="00EA7A8A">
            <w:pPr>
              <w:pStyle w:val="Box"/>
            </w:pPr>
            <w:r w:rsidRPr="009762D6">
              <w:t xml:space="preserve">The data </w:t>
            </w:r>
            <w:r>
              <w:t xml:space="preserve">on </w:t>
            </w:r>
            <w:r w:rsidR="00616791">
              <w:t xml:space="preserve">a </w:t>
            </w:r>
            <w:r>
              <w:t xml:space="preserve">50 hour basis </w:t>
            </w:r>
            <w:r w:rsidRPr="009762D6">
              <w:t>do not necessarily reflect the reality for a large proportion of families who use</w:t>
            </w:r>
            <w:r>
              <w:t xml:space="preserve"> less than 50 hours of </w:t>
            </w:r>
            <w:r w:rsidRPr="002635CF">
              <w:t xml:space="preserve">child care per week. In the March quarter 2015 the national average for long day care was </w:t>
            </w:r>
            <w:r w:rsidR="002635CF" w:rsidRPr="002635CF">
              <w:t>27.9</w:t>
            </w:r>
            <w:r w:rsidRPr="002635CF">
              <w:t xml:space="preserve"> hours attendance per week per child and </w:t>
            </w:r>
            <w:r w:rsidR="002635CF" w:rsidRPr="002635CF">
              <w:t>30.9</w:t>
            </w:r>
            <w:r w:rsidR="0069318F">
              <w:t> </w:t>
            </w:r>
            <w:r w:rsidRPr="002635CF">
              <w:t xml:space="preserve">hours for </w:t>
            </w:r>
            <w:r w:rsidR="00EB352F" w:rsidRPr="002635CF">
              <w:t>family</w:t>
            </w:r>
            <w:r w:rsidR="00C42F50" w:rsidRPr="002635CF">
              <w:t xml:space="preserve"> day care (see table</w:t>
            </w:r>
            <w:r w:rsidR="00697D43">
              <w:t> </w:t>
            </w:r>
            <w:proofErr w:type="spellStart"/>
            <w:r w:rsidR="00C42F50" w:rsidRPr="002635CF">
              <w:t>3A.23</w:t>
            </w:r>
            <w:proofErr w:type="spellEnd"/>
            <w:r w:rsidRPr="002635CF">
              <w:t>). Nationally</w:t>
            </w:r>
            <w:r w:rsidR="002635CF" w:rsidRPr="002635CF">
              <w:t xml:space="preserve"> in the March quarter 2015</w:t>
            </w:r>
            <w:r w:rsidRPr="002635CF">
              <w:t xml:space="preserve">, only </w:t>
            </w:r>
            <w:r w:rsidR="002635CF" w:rsidRPr="002635CF">
              <w:t>7.9</w:t>
            </w:r>
            <w:r w:rsidR="0069318F">
              <w:t> per </w:t>
            </w:r>
            <w:r w:rsidRPr="002635CF">
              <w:t xml:space="preserve">cent of children attended long day care for 50 hours </w:t>
            </w:r>
            <w:r w:rsidR="002635CF" w:rsidRPr="002635CF">
              <w:t xml:space="preserve">or more </w:t>
            </w:r>
            <w:r w:rsidRPr="002635CF">
              <w:t xml:space="preserve">and </w:t>
            </w:r>
            <w:r w:rsidR="002635CF" w:rsidRPr="002635CF">
              <w:t>10.3</w:t>
            </w:r>
            <w:r w:rsidRPr="002635CF">
              <w:t xml:space="preserve"> </w:t>
            </w:r>
            <w:r w:rsidR="00616791">
              <w:t>per cent attended</w:t>
            </w:r>
            <w:r>
              <w:t xml:space="preserve"> </w:t>
            </w:r>
            <w:r w:rsidR="00965BA4">
              <w:t xml:space="preserve">50 hours </w:t>
            </w:r>
            <w:r w:rsidR="002635CF">
              <w:t>or more</w:t>
            </w:r>
            <w:r w:rsidR="00965BA4">
              <w:t xml:space="preserve"> family</w:t>
            </w:r>
            <w:r>
              <w:t xml:space="preserve"> day care</w:t>
            </w:r>
            <w:r w:rsidR="00B50F2D">
              <w:t xml:space="preserve"> (Australian Government Department of Education and Training unpublished)</w:t>
            </w:r>
            <w:r>
              <w:t xml:space="preserve">. As 30 hours of child care per week more closely reflects the average use per week than 50 hours, </w:t>
            </w:r>
            <w:r w:rsidR="00EA7A8A">
              <w:t xml:space="preserve">the analysis on the basis of 30 hours of care may provide </w:t>
            </w:r>
            <w:r w:rsidR="00682BBE">
              <w:t>a</w:t>
            </w:r>
            <w:r w:rsidR="00EA7A8A">
              <w:t xml:space="preserve"> more </w:t>
            </w:r>
            <w:r w:rsidR="00682BBE">
              <w:t>meaningful</w:t>
            </w:r>
            <w:r w:rsidR="00EA7A8A">
              <w:t xml:space="preserve"> </w:t>
            </w:r>
            <w:r w:rsidR="00682BBE">
              <w:t>measure</w:t>
            </w:r>
            <w:r w:rsidR="00EA7A8A">
              <w:t xml:space="preserve"> of out</w:t>
            </w:r>
            <w:r w:rsidR="002D438E">
              <w:noBreakHyphen/>
            </w:r>
            <w:r w:rsidR="00EA7A8A">
              <w:t>of</w:t>
            </w:r>
            <w:r w:rsidR="002D438E">
              <w:noBreakHyphen/>
            </w:r>
            <w:r w:rsidR="00EA7A8A">
              <w:t>pocket costs currently faced by families.</w:t>
            </w:r>
          </w:p>
          <w:p w:rsidR="00EA7A8A" w:rsidRPr="00704343" w:rsidRDefault="00EA7A8A" w:rsidP="00EA7A8A">
            <w:pPr>
              <w:pStyle w:val="Box"/>
            </w:pPr>
            <w:r w:rsidRPr="00704343">
              <w:t>Lower out</w:t>
            </w:r>
            <w:r>
              <w:noBreakHyphen/>
            </w:r>
            <w:r w:rsidRPr="00704343">
              <w:t>of</w:t>
            </w:r>
            <w:r>
              <w:noBreakHyphen/>
            </w:r>
            <w:r w:rsidRPr="00704343">
              <w:t>pocket cost for child care as a proportion of weekly disposable income (after child care subsidies) represents more affordable child care. Similar percentages across income groups s</w:t>
            </w:r>
            <w:r>
              <w:t>uggest a more equitable outcome. Families who use more care per week (i.e. 50 hours rather than 30 hours) are expected to face higher out</w:t>
            </w:r>
            <w:r w:rsidR="002D438E">
              <w:noBreakHyphen/>
            </w:r>
            <w:r>
              <w:t>of</w:t>
            </w:r>
            <w:r w:rsidR="002D438E">
              <w:noBreakHyphen/>
            </w:r>
            <w:r>
              <w:t>pocket costs.</w:t>
            </w:r>
          </w:p>
          <w:p w:rsidR="00EA7A8A" w:rsidRPr="00704343" w:rsidRDefault="00EA7A8A" w:rsidP="00CA0948">
            <w:pPr>
              <w:pStyle w:val="Box"/>
            </w:pPr>
            <w:r w:rsidRPr="00704343">
              <w:t>Care needs to be exercised when interpreting results, because a variety of factors (</w:t>
            </w:r>
            <w:r w:rsidR="00682BBE">
              <w:t>f</w:t>
            </w:r>
            <w:r w:rsidRPr="00704343">
              <w:t>or example</w:t>
            </w:r>
            <w:r w:rsidR="00682BBE">
              <w:t>,</w:t>
            </w:r>
            <w:r w:rsidRPr="00704343">
              <w:t xml:space="preserve"> rates, rental costs and localised costs of living) can influence child care costs.</w:t>
            </w:r>
            <w:r>
              <w:t xml:space="preserve"> Also, data reflect particular scenarios of child care use and family income level so do not reflect out</w:t>
            </w:r>
            <w:r w:rsidR="002D438E">
              <w:noBreakHyphen/>
            </w:r>
            <w:r>
              <w:t>of</w:t>
            </w:r>
            <w:r w:rsidR="002D438E">
              <w:noBreakHyphen/>
            </w:r>
            <w:r>
              <w:t xml:space="preserve">pocket costs by families with different levels of income or care usage. </w:t>
            </w:r>
          </w:p>
          <w:p w:rsidR="00CA0948" w:rsidRDefault="002630F4" w:rsidP="00CA0948">
            <w:pPr>
              <w:pStyle w:val="Box"/>
            </w:pPr>
            <w:r>
              <w:t>Data reported for this measure</w:t>
            </w:r>
            <w:r w:rsidR="00CA0948">
              <w:t xml:space="preserve"> are:</w:t>
            </w:r>
          </w:p>
          <w:p w:rsidR="00CA0948" w:rsidRDefault="00CA0948" w:rsidP="00CA0948">
            <w:pPr>
              <w:pStyle w:val="BoxListBullet"/>
            </w:pPr>
            <w:r>
              <w:t>c</w:t>
            </w:r>
            <w:r w:rsidRPr="00DA5769">
              <w:t xml:space="preserve">omparable </w:t>
            </w:r>
            <w:r>
              <w:t>(subject to caveats) across jurisdictions and over time</w:t>
            </w:r>
          </w:p>
          <w:p w:rsidR="00CA0948" w:rsidRPr="00704343" w:rsidRDefault="00CA0948" w:rsidP="00CA0948">
            <w:pPr>
              <w:pStyle w:val="BoxListBullet"/>
            </w:pPr>
            <w:r>
              <w:t>c</w:t>
            </w:r>
            <w:r w:rsidRPr="00DA5769">
              <w:t xml:space="preserve">omplete </w:t>
            </w:r>
            <w:r>
              <w:t xml:space="preserve">(subject to caveats) </w:t>
            </w:r>
            <w:r w:rsidRPr="00DA5769">
              <w:t>for</w:t>
            </w:r>
            <w:r>
              <w:t xml:space="preserve"> the current reporting period. All required 2015 data are available for all jurisdictions. </w:t>
            </w:r>
          </w:p>
          <w:p w:rsidR="00CA0948" w:rsidRDefault="00CA0948" w:rsidP="00CA0948">
            <w:pPr>
              <w:pStyle w:val="Box"/>
            </w:pPr>
            <w:r>
              <w:rPr>
                <w:rFonts w:cs="Arial"/>
                <w:szCs w:val="26"/>
              </w:rPr>
              <w:t>D</w:t>
            </w:r>
            <w:r w:rsidRPr="007970A4">
              <w:rPr>
                <w:rFonts w:cs="Arial"/>
                <w:szCs w:val="26"/>
              </w:rPr>
              <w:t>ata quality</w:t>
            </w:r>
            <w:r>
              <w:rPr>
                <w:rFonts w:cs="Arial"/>
                <w:szCs w:val="26"/>
              </w:rPr>
              <w:t xml:space="preserve"> information</w:t>
            </w:r>
            <w:r w:rsidRPr="007970A4">
              <w:rPr>
                <w:rFonts w:cs="Arial"/>
                <w:szCs w:val="26"/>
              </w:rPr>
              <w:t xml:space="preserve"> for this indicator is at </w:t>
            </w:r>
            <w:proofErr w:type="spellStart"/>
            <w:r w:rsidRPr="007970A4">
              <w:rPr>
                <w:rFonts w:cs="Arial"/>
                <w:szCs w:val="26"/>
              </w:rPr>
              <w:t>www</w:t>
            </w:r>
            <w:r>
              <w:rPr>
                <w:rFonts w:cs="Arial"/>
                <w:szCs w:val="26"/>
              </w:rPr>
              <w:t>.pc.gov.au</w:t>
            </w:r>
            <w:proofErr w:type="spellEnd"/>
            <w:r>
              <w:rPr>
                <w:rFonts w:cs="Arial"/>
                <w:szCs w:val="26"/>
              </w:rPr>
              <w:t>/</w:t>
            </w:r>
            <w:proofErr w:type="spellStart"/>
            <w:r>
              <w:rPr>
                <w:rFonts w:cs="Arial"/>
                <w:szCs w:val="26"/>
              </w:rPr>
              <w:t>rogs</w:t>
            </w:r>
            <w:proofErr w:type="spellEnd"/>
            <w:r>
              <w:rPr>
                <w:rFonts w:cs="Arial"/>
                <w:szCs w:val="26"/>
              </w:rPr>
              <w:t>/2016</w:t>
            </w:r>
            <w:r w:rsidRPr="007970A4">
              <w:rPr>
                <w:rFonts w:cs="Arial"/>
                <w:szCs w:val="26"/>
              </w:rPr>
              <w:t>.</w:t>
            </w:r>
          </w:p>
        </w:tc>
      </w:tr>
      <w:tr w:rsidR="00F66307" w:rsidTr="00DB16AF">
        <w:trPr>
          <w:cantSplit/>
        </w:trPr>
        <w:tc>
          <w:tcPr>
            <w:tcW w:w="8771" w:type="dxa"/>
            <w:tcBorders>
              <w:top w:val="nil"/>
              <w:left w:val="nil"/>
              <w:bottom w:val="single" w:sz="6" w:space="0" w:color="78A22F"/>
              <w:right w:val="nil"/>
            </w:tcBorders>
            <w:shd w:val="clear" w:color="auto" w:fill="F2F2F2"/>
          </w:tcPr>
          <w:p w:rsidR="00F66307" w:rsidRDefault="00F66307">
            <w:pPr>
              <w:pStyle w:val="Box"/>
              <w:spacing w:before="0" w:line="120" w:lineRule="exact"/>
            </w:pPr>
          </w:p>
        </w:tc>
      </w:tr>
      <w:tr w:rsidR="00F66307" w:rsidRPr="000863A5" w:rsidTr="00DB16AF">
        <w:tc>
          <w:tcPr>
            <w:tcW w:w="8771" w:type="dxa"/>
            <w:tcBorders>
              <w:top w:val="single" w:sz="6" w:space="0" w:color="78A22F"/>
              <w:left w:val="nil"/>
              <w:bottom w:val="nil"/>
              <w:right w:val="nil"/>
            </w:tcBorders>
          </w:tcPr>
          <w:p w:rsidR="00F66307" w:rsidRPr="00626D32" w:rsidRDefault="00F66307" w:rsidP="00DB16AF">
            <w:pPr>
              <w:pStyle w:val="BoxSpaceBelow"/>
            </w:pPr>
          </w:p>
        </w:tc>
      </w:tr>
    </w:tbl>
    <w:p w:rsidR="00656958" w:rsidRDefault="00B67D72" w:rsidP="00656958">
      <w:pPr>
        <w:pStyle w:val="BodyText"/>
      </w:pPr>
      <w:r>
        <w:t>Nationally</w:t>
      </w:r>
      <w:r w:rsidR="00EA7A8A">
        <w:t xml:space="preserve"> </w:t>
      </w:r>
      <w:r>
        <w:t xml:space="preserve">for both 50 and 30 hours of </w:t>
      </w:r>
      <w:r w:rsidR="00656958">
        <w:t xml:space="preserve">long day </w:t>
      </w:r>
      <w:r>
        <w:t>care, t</w:t>
      </w:r>
      <w:r w:rsidR="0019446A">
        <w:t xml:space="preserve">here </w:t>
      </w:r>
      <w:r w:rsidR="0019446A" w:rsidRPr="006B10A3">
        <w:t xml:space="preserve">was </w:t>
      </w:r>
      <w:r w:rsidR="00EA7A8A" w:rsidRPr="006B10A3">
        <w:t xml:space="preserve">less variation </w:t>
      </w:r>
      <w:r w:rsidR="0019446A">
        <w:t>in</w:t>
      </w:r>
      <w:r w:rsidR="002D438E">
        <w:t xml:space="preserve"> </w:t>
      </w:r>
      <w:r w:rsidR="0019446A">
        <w:t>out</w:t>
      </w:r>
      <w:r w:rsidR="002D438E">
        <w:noBreakHyphen/>
      </w:r>
      <w:r w:rsidR="0019446A">
        <w:t>of</w:t>
      </w:r>
      <w:r w:rsidR="002D438E">
        <w:noBreakHyphen/>
      </w:r>
      <w:r w:rsidR="0019446A">
        <w:t xml:space="preserve">pocket costs </w:t>
      </w:r>
      <w:r w:rsidR="00EA7A8A" w:rsidRPr="00F42144">
        <w:t xml:space="preserve">across </w:t>
      </w:r>
      <w:r w:rsidR="008A2CD9">
        <w:t xml:space="preserve">selected </w:t>
      </w:r>
      <w:r w:rsidR="00EA7A8A" w:rsidRPr="00F42144">
        <w:t xml:space="preserve">income bands </w:t>
      </w:r>
      <w:r w:rsidR="00504164">
        <w:t xml:space="preserve">after subsidies </w:t>
      </w:r>
      <w:r w:rsidR="00EA7A8A" w:rsidRPr="00F42144">
        <w:t>than before subsidies were taken into account</w:t>
      </w:r>
      <w:r w:rsidR="00EA7A8A" w:rsidRPr="00336D05">
        <w:t>.</w:t>
      </w:r>
      <w:r w:rsidR="00300DF4">
        <w:t xml:space="preserve"> For the income</w:t>
      </w:r>
      <w:r w:rsidR="007907DF">
        <w:t xml:space="preserve"> levels presented in figure</w:t>
      </w:r>
      <w:r w:rsidR="00697D43">
        <w:t> </w:t>
      </w:r>
      <w:r w:rsidR="005D73FF">
        <w:t>3.21</w:t>
      </w:r>
      <w:r w:rsidR="00300DF4">
        <w:t>, t</w:t>
      </w:r>
      <w:r w:rsidR="00812CCB">
        <w:t>he out</w:t>
      </w:r>
      <w:r w:rsidR="00812CCB">
        <w:noBreakHyphen/>
        <w:t>of</w:t>
      </w:r>
      <w:r w:rsidR="00812CCB">
        <w:noBreakHyphen/>
        <w:t>pocket costs after subsidies</w:t>
      </w:r>
      <w:r w:rsidR="00656958">
        <w:t xml:space="preserve"> in 2015 </w:t>
      </w:r>
      <w:r w:rsidR="00656958" w:rsidRPr="0086464D">
        <w:t xml:space="preserve">were </w:t>
      </w:r>
      <w:r w:rsidR="00656958" w:rsidRPr="00B873D8">
        <w:t xml:space="preserve">between </w:t>
      </w:r>
      <w:r w:rsidR="006B10A3" w:rsidRPr="00B873D8">
        <w:t>7.6</w:t>
      </w:r>
      <w:r w:rsidR="00656958" w:rsidRPr="00B873D8">
        <w:t xml:space="preserve"> and </w:t>
      </w:r>
      <w:r w:rsidR="000D672E">
        <w:t>11.1</w:t>
      </w:r>
      <w:r w:rsidR="00656958" w:rsidRPr="00B873D8">
        <w:t xml:space="preserve"> per cent of weekly</w:t>
      </w:r>
      <w:r w:rsidR="00300DF4">
        <w:t xml:space="preserve"> disposable income for 50 hours </w:t>
      </w:r>
      <w:r w:rsidR="00656958" w:rsidRPr="00B873D8">
        <w:t xml:space="preserve">and </w:t>
      </w:r>
      <w:r w:rsidR="006B10A3" w:rsidRPr="00B873D8">
        <w:t>4.5</w:t>
      </w:r>
      <w:r w:rsidR="00656958" w:rsidRPr="00B873D8">
        <w:t xml:space="preserve"> and </w:t>
      </w:r>
      <w:r w:rsidR="000D672E">
        <w:t>6.0</w:t>
      </w:r>
      <w:r w:rsidR="00656958" w:rsidRPr="00B873D8">
        <w:t xml:space="preserve"> per cent for 30 hours </w:t>
      </w:r>
      <w:r w:rsidR="00616791">
        <w:t xml:space="preserve">of </w:t>
      </w:r>
      <w:r w:rsidR="00300DF4">
        <w:t>long day care</w:t>
      </w:r>
      <w:r w:rsidR="00656958" w:rsidRPr="00336D05">
        <w:t>.</w:t>
      </w:r>
    </w:p>
    <w:p w:rsidR="00EA7A8A" w:rsidRDefault="00EA7A8A" w:rsidP="00EA7A8A">
      <w:pPr>
        <w:pStyle w:val="BodyText"/>
      </w:pPr>
    </w:p>
    <w:p w:rsidR="00EA7A8A" w:rsidRPr="000C2010" w:rsidRDefault="00EA7A8A" w:rsidP="00740082">
      <w:pPr>
        <w:pStyle w:val="BodyText"/>
        <w:keepNext/>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EA7A8A" w:rsidRPr="002C08A9" w:rsidTr="000F5C2B">
        <w:tc>
          <w:tcPr>
            <w:tcW w:w="8771" w:type="dxa"/>
            <w:tcBorders>
              <w:top w:val="single" w:sz="6" w:space="0" w:color="78A22F"/>
              <w:left w:val="nil"/>
              <w:bottom w:val="nil"/>
              <w:right w:val="nil"/>
            </w:tcBorders>
            <w:shd w:val="clear" w:color="auto" w:fill="auto"/>
          </w:tcPr>
          <w:p w:rsidR="00EA7A8A" w:rsidRPr="002C08A9" w:rsidRDefault="00EA7A8A" w:rsidP="000431CD">
            <w:pPr>
              <w:pStyle w:val="FigureTitle"/>
              <w:rPr>
                <w:b w:val="0"/>
                <w:color w:val="00B050"/>
              </w:rPr>
            </w:pPr>
            <w:r w:rsidRPr="00784A05">
              <w:rPr>
                <w:b w:val="0"/>
              </w:rPr>
              <w:t xml:space="preserve">Figure </w:t>
            </w:r>
            <w:r>
              <w:rPr>
                <w:b w:val="0"/>
              </w:rPr>
              <w:t>3.</w:t>
            </w:r>
            <w:r w:rsidR="005D73FF">
              <w:rPr>
                <w:b w:val="0"/>
              </w:rPr>
              <w:t>21</w:t>
            </w:r>
            <w:r>
              <w:tab/>
            </w:r>
            <w:r w:rsidRPr="002C08A9">
              <w:t>Out</w:t>
            </w:r>
            <w:r w:rsidRPr="002C08A9">
              <w:noBreakHyphen/>
              <w:t>of</w:t>
            </w:r>
            <w:r w:rsidRPr="002C08A9">
              <w:noBreakHyphen/>
              <w:t>pocket costs o</w:t>
            </w:r>
            <w:r>
              <w:t xml:space="preserve">f Australian Government </w:t>
            </w:r>
            <w:proofErr w:type="spellStart"/>
            <w:r>
              <w:t>CCB</w:t>
            </w:r>
            <w:proofErr w:type="spellEnd"/>
            <w:r>
              <w:t xml:space="preserve"> approved child care for families with one child </w:t>
            </w:r>
            <w:r w:rsidRPr="002C08A9">
              <w:t xml:space="preserve">in </w:t>
            </w:r>
            <w:r>
              <w:t xml:space="preserve">50 </w:t>
            </w:r>
            <w:r w:rsidR="00C762F1">
              <w:t xml:space="preserve">and 30 </w:t>
            </w:r>
            <w:r>
              <w:t xml:space="preserve">hours </w:t>
            </w:r>
            <w:r w:rsidRPr="002C08A9">
              <w:t xml:space="preserve">long day care, as a proportion of weekly disposable income, by gross annual family income, </w:t>
            </w:r>
            <w:r w:rsidR="00724E72">
              <w:t xml:space="preserve">Australia, </w:t>
            </w:r>
            <w:r w:rsidRPr="002C08A9">
              <w:t>201</w:t>
            </w:r>
            <w:r>
              <w:t>5</w:t>
            </w:r>
            <w:r w:rsidRPr="002A66B6">
              <w:rPr>
                <w:rStyle w:val="NoteLabel"/>
                <w:b/>
              </w:rPr>
              <w:t xml:space="preserve">a </w:t>
            </w:r>
            <w:r w:rsidR="000431CD">
              <w:rPr>
                <w:rStyle w:val="NoteLabel"/>
                <w:b/>
                <w:color w:val="FF0000"/>
              </w:rPr>
              <w:t xml:space="preserve"> </w:t>
            </w:r>
          </w:p>
        </w:tc>
      </w:tr>
      <w:tr w:rsidR="00EA7A8A" w:rsidTr="000F5C2B">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EA7A8A" w:rsidTr="000F5C2B">
              <w:trPr>
                <w:jc w:val="center"/>
              </w:trPr>
              <w:tc>
                <w:tcPr>
                  <w:tcW w:w="5000" w:type="pct"/>
                  <w:tcBorders>
                    <w:top w:val="nil"/>
                    <w:bottom w:val="nil"/>
                  </w:tcBorders>
                </w:tcPr>
                <w:p w:rsidR="00EA7A8A" w:rsidRDefault="00B337E3" w:rsidP="003A2E2C">
                  <w:pPr>
                    <w:pStyle w:val="Figure"/>
                    <w:spacing w:before="60" w:after="60"/>
                  </w:pPr>
                  <w:r>
                    <w:rPr>
                      <w:noProof/>
                    </w:rPr>
                    <w:drawing>
                      <wp:inline distT="0" distB="0" distL="0" distR="0">
                        <wp:extent cx="5369560" cy="2722245"/>
                        <wp:effectExtent l="0" t="0" r="2540" b="1905"/>
                        <wp:docPr id="20" name="Picture 20" descr="Figure 3.21 Out of pocket costs of Australian Government CCB approved child care for families with one child in 50 and 30 hours long day care, as a proportion of weekly disposable income, by gross annual family income, Australia, 2015&#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5369560" cy="2722245"/>
                                </a:xfrm>
                                <a:prstGeom prst="rect">
                                  <a:avLst/>
                                </a:prstGeom>
                                <a:noFill/>
                                <a:ln>
                                  <a:noFill/>
                                </a:ln>
                              </pic:spPr>
                            </pic:pic>
                          </a:graphicData>
                        </a:graphic>
                      </wp:inline>
                    </w:drawing>
                  </w:r>
                </w:p>
              </w:tc>
            </w:tr>
          </w:tbl>
          <w:p w:rsidR="00EA7A8A" w:rsidRDefault="00EA7A8A" w:rsidP="000F5C2B">
            <w:pPr>
              <w:pStyle w:val="Figure"/>
            </w:pPr>
          </w:p>
        </w:tc>
      </w:tr>
      <w:tr w:rsidR="00EA7A8A" w:rsidRPr="00176D3F" w:rsidTr="000F5C2B">
        <w:tc>
          <w:tcPr>
            <w:tcW w:w="8771" w:type="dxa"/>
            <w:tcBorders>
              <w:top w:val="nil"/>
              <w:left w:val="nil"/>
              <w:bottom w:val="nil"/>
              <w:right w:val="nil"/>
            </w:tcBorders>
            <w:shd w:val="clear" w:color="auto" w:fill="auto"/>
          </w:tcPr>
          <w:p w:rsidR="00EA7A8A" w:rsidRPr="00176D3F" w:rsidRDefault="00EA7A8A" w:rsidP="000F5C2B">
            <w:pPr>
              <w:pStyle w:val="Note"/>
            </w:pPr>
            <w:r w:rsidRPr="00BC2C18">
              <w:rPr>
                <w:rStyle w:val="NoteLabel"/>
              </w:rPr>
              <w:t>a</w:t>
            </w:r>
            <w:r w:rsidR="00BC7EC6">
              <w:t xml:space="preserve"> </w:t>
            </w:r>
            <w:r w:rsidR="008E37F0">
              <w:rPr>
                <w:rStyle w:val="NoteChar"/>
              </w:rPr>
              <w:t>See box</w:t>
            </w:r>
            <w:r w:rsidR="00697D43">
              <w:rPr>
                <w:rStyle w:val="NoteChar"/>
              </w:rPr>
              <w:t> </w:t>
            </w:r>
            <w:r w:rsidR="008E37F0">
              <w:rPr>
                <w:rStyle w:val="NoteChar"/>
              </w:rPr>
              <w:t>3.26</w:t>
            </w:r>
            <w:r w:rsidR="008E37F0" w:rsidRPr="00AA1455">
              <w:rPr>
                <w:rStyle w:val="NoteChar"/>
              </w:rPr>
              <w:t xml:space="preserve"> and table</w:t>
            </w:r>
            <w:r w:rsidR="008E37F0">
              <w:rPr>
                <w:rStyle w:val="NoteChar"/>
              </w:rPr>
              <w:t>s</w:t>
            </w:r>
            <w:r w:rsidR="00697D43">
              <w:rPr>
                <w:rStyle w:val="NoteChar"/>
              </w:rPr>
              <w:t> </w:t>
            </w:r>
            <w:proofErr w:type="spellStart"/>
            <w:r w:rsidR="008E37F0">
              <w:rPr>
                <w:rStyle w:val="NoteChar"/>
              </w:rPr>
              <w:t>3A.73</w:t>
            </w:r>
            <w:proofErr w:type="spellEnd"/>
            <w:r w:rsidR="008E37F0">
              <w:rPr>
                <w:rStyle w:val="NoteChar"/>
              </w:rPr>
              <w:t xml:space="preserve"> and </w:t>
            </w:r>
            <w:proofErr w:type="spellStart"/>
            <w:r w:rsidR="008E37F0" w:rsidRPr="00AA1455">
              <w:rPr>
                <w:rStyle w:val="NoteChar"/>
              </w:rPr>
              <w:t>3A.</w:t>
            </w:r>
            <w:r w:rsidR="008E37F0">
              <w:rPr>
                <w:rStyle w:val="NoteChar"/>
              </w:rPr>
              <w:t>75</w:t>
            </w:r>
            <w:proofErr w:type="spellEnd"/>
            <w:r w:rsidR="008E37F0" w:rsidRPr="00AA1455">
              <w:rPr>
                <w:rStyle w:val="NoteChar"/>
              </w:rPr>
              <w:t xml:space="preserve"> for </w:t>
            </w:r>
            <w:r w:rsidR="00937F53">
              <w:rPr>
                <w:rStyle w:val="NoteChar"/>
              </w:rPr>
              <w:t>detailed definitions, footnotes and caveats.</w:t>
            </w:r>
          </w:p>
        </w:tc>
      </w:tr>
      <w:tr w:rsidR="00EA7A8A" w:rsidRPr="00176D3F" w:rsidTr="000F5C2B">
        <w:tc>
          <w:tcPr>
            <w:tcW w:w="8771" w:type="dxa"/>
            <w:tcBorders>
              <w:top w:val="nil"/>
              <w:left w:val="nil"/>
              <w:bottom w:val="nil"/>
              <w:right w:val="nil"/>
            </w:tcBorders>
            <w:shd w:val="clear" w:color="auto" w:fill="auto"/>
          </w:tcPr>
          <w:p w:rsidR="00EA7A8A" w:rsidRPr="00176D3F" w:rsidRDefault="00EA7A8A" w:rsidP="000F5C2B">
            <w:pPr>
              <w:pStyle w:val="Source"/>
              <w:keepNext/>
            </w:pPr>
            <w:r>
              <w:rPr>
                <w:i/>
              </w:rPr>
              <w:t>S</w:t>
            </w:r>
            <w:r w:rsidRPr="00784A05">
              <w:rPr>
                <w:i/>
              </w:rPr>
              <w:t>ource</w:t>
            </w:r>
            <w:r w:rsidRPr="00176D3F">
              <w:t xml:space="preserve">: </w:t>
            </w:r>
            <w:r>
              <w:t xml:space="preserve">Australian Government Department of </w:t>
            </w:r>
            <w:r w:rsidR="00ED4FA9">
              <w:t>Education and Training</w:t>
            </w:r>
            <w:r>
              <w:t xml:space="preserve"> (unpublished); table</w:t>
            </w:r>
            <w:r w:rsidR="0089269C">
              <w:t>s</w:t>
            </w:r>
            <w:r w:rsidR="00C42F50">
              <w:t> </w:t>
            </w:r>
            <w:proofErr w:type="spellStart"/>
            <w:r w:rsidR="00C42F50">
              <w:t>3A.73</w:t>
            </w:r>
            <w:proofErr w:type="spellEnd"/>
            <w:r w:rsidR="00C42F50">
              <w:t xml:space="preserve"> and </w:t>
            </w:r>
            <w:proofErr w:type="spellStart"/>
            <w:r w:rsidR="00C42F50">
              <w:t>3A.75</w:t>
            </w:r>
            <w:proofErr w:type="spellEnd"/>
            <w:r>
              <w:t>.</w:t>
            </w:r>
          </w:p>
        </w:tc>
      </w:tr>
      <w:tr w:rsidR="00EA7A8A" w:rsidTr="000F5C2B">
        <w:tc>
          <w:tcPr>
            <w:tcW w:w="8771" w:type="dxa"/>
            <w:tcBorders>
              <w:top w:val="nil"/>
              <w:left w:val="nil"/>
              <w:bottom w:val="single" w:sz="6" w:space="0" w:color="78A22F"/>
              <w:right w:val="nil"/>
            </w:tcBorders>
            <w:shd w:val="clear" w:color="auto" w:fill="auto"/>
          </w:tcPr>
          <w:p w:rsidR="00EA7A8A" w:rsidRDefault="00EA7A8A" w:rsidP="000F5C2B">
            <w:pPr>
              <w:pStyle w:val="Figurespace"/>
            </w:pPr>
          </w:p>
        </w:tc>
      </w:tr>
      <w:tr w:rsidR="00EA7A8A" w:rsidRPr="00626D32" w:rsidTr="000F5C2B">
        <w:tc>
          <w:tcPr>
            <w:tcW w:w="8771" w:type="dxa"/>
            <w:tcBorders>
              <w:top w:val="single" w:sz="6" w:space="0" w:color="78A22F"/>
              <w:left w:val="nil"/>
              <w:bottom w:val="nil"/>
              <w:right w:val="nil"/>
            </w:tcBorders>
          </w:tcPr>
          <w:p w:rsidR="00EA7A8A" w:rsidRPr="00626D32" w:rsidRDefault="00EA7A8A" w:rsidP="000F5C2B">
            <w:pPr>
              <w:pStyle w:val="BoxSpaceBelow"/>
            </w:pPr>
          </w:p>
        </w:tc>
      </w:tr>
    </w:tbl>
    <w:p w:rsidR="004B37CC" w:rsidRDefault="00616791" w:rsidP="004B37CC">
      <w:pPr>
        <w:pStyle w:val="BodyText"/>
      </w:pPr>
      <w:r>
        <w:t>I</w:t>
      </w:r>
      <w:r w:rsidR="0004549C">
        <w:t>n 2015</w:t>
      </w:r>
      <w:r>
        <w:t>,</w:t>
      </w:r>
      <w:r w:rsidR="0004549C">
        <w:t xml:space="preserve"> for the selected income</w:t>
      </w:r>
      <w:r w:rsidR="007907DF">
        <w:t xml:space="preserve"> levels presented in figure</w:t>
      </w:r>
      <w:r w:rsidR="00697D43">
        <w:t> </w:t>
      </w:r>
      <w:r w:rsidR="005D73FF">
        <w:t>3.22</w:t>
      </w:r>
      <w:r w:rsidR="0004549C">
        <w:t xml:space="preserve">, </w:t>
      </w:r>
      <w:r w:rsidR="00812CCB">
        <w:t>the out</w:t>
      </w:r>
      <w:r w:rsidR="002D438E">
        <w:noBreakHyphen/>
      </w:r>
      <w:r w:rsidR="00812CCB">
        <w:t>of</w:t>
      </w:r>
      <w:r w:rsidR="002D438E">
        <w:noBreakHyphen/>
      </w:r>
      <w:r w:rsidR="00812CCB">
        <w:t>pocket costs after subsides</w:t>
      </w:r>
      <w:r w:rsidR="004B37CC">
        <w:t xml:space="preserve"> for families with one child in 50 hours long day care varied</w:t>
      </w:r>
      <w:r w:rsidR="00CA3247">
        <w:t xml:space="preserve"> across states and territories</w:t>
      </w:r>
      <w:r w:rsidR="004B37CC">
        <w:t xml:space="preserve"> </w:t>
      </w:r>
      <w:r w:rsidR="004B37CC" w:rsidRPr="00DA0E9C">
        <w:t xml:space="preserve">from </w:t>
      </w:r>
      <w:r w:rsidR="00B873D8" w:rsidRPr="00DA0E9C">
        <w:t>6.6</w:t>
      </w:r>
      <w:r w:rsidR="004B37CC" w:rsidRPr="00DA0E9C">
        <w:t xml:space="preserve"> to </w:t>
      </w:r>
      <w:r w:rsidR="00AA53C3">
        <w:t>15.8</w:t>
      </w:r>
      <w:r w:rsidR="004B37CC" w:rsidRPr="00DA0E9C">
        <w:t xml:space="preserve"> per cent of weekl</w:t>
      </w:r>
      <w:r w:rsidR="0004549C">
        <w:t>y disposable income</w:t>
      </w:r>
      <w:r w:rsidR="004B37CC" w:rsidRPr="00DA0E9C">
        <w:t>. In comparison, the</w:t>
      </w:r>
      <w:r w:rsidR="002D438E">
        <w:t xml:space="preserve"> </w:t>
      </w:r>
      <w:r w:rsidR="004B37CC" w:rsidRPr="00DA0E9C">
        <w:t>out</w:t>
      </w:r>
      <w:r w:rsidR="002D438E">
        <w:noBreakHyphen/>
      </w:r>
      <w:r w:rsidR="004B37CC" w:rsidRPr="00DA0E9C">
        <w:t>of</w:t>
      </w:r>
      <w:r w:rsidR="002D438E">
        <w:noBreakHyphen/>
      </w:r>
      <w:r w:rsidR="004B37CC" w:rsidRPr="00DA0E9C">
        <w:t xml:space="preserve">pocket costs for 30 hours </w:t>
      </w:r>
      <w:r w:rsidR="00CA3247">
        <w:t xml:space="preserve">of long day care </w:t>
      </w:r>
      <w:r w:rsidR="004B37CC" w:rsidRPr="00DA0E9C">
        <w:t xml:space="preserve">varied across states and territories from </w:t>
      </w:r>
      <w:r w:rsidR="00B873D8" w:rsidRPr="00DA0E9C">
        <w:t>3.9</w:t>
      </w:r>
      <w:r w:rsidR="004B37CC" w:rsidRPr="00DA0E9C">
        <w:t xml:space="preserve"> to </w:t>
      </w:r>
      <w:r w:rsidR="00AA53C3">
        <w:t>8.8</w:t>
      </w:r>
      <w:r w:rsidR="004B37CC" w:rsidRPr="00DA0E9C">
        <w:t xml:space="preserve"> </w:t>
      </w:r>
      <w:r w:rsidR="007907DF">
        <w:t>per cent (figure</w:t>
      </w:r>
      <w:r w:rsidR="00697D43">
        <w:t> </w:t>
      </w:r>
      <w:r w:rsidR="005D73FF">
        <w:t>3.22</w:t>
      </w:r>
      <w:r w:rsidR="004B37CC" w:rsidRPr="00DA0E9C">
        <w:t xml:space="preserve">). </w:t>
      </w:r>
    </w:p>
    <w:p w:rsidR="00BC4831" w:rsidRPr="00290896" w:rsidRDefault="00BC4831" w:rsidP="00171F72">
      <w:pPr>
        <w:pStyle w:val="BodyText"/>
      </w:pPr>
    </w:p>
    <w:p w:rsidR="00EA7A8A" w:rsidRDefault="00EA7A8A" w:rsidP="00290896">
      <w:pPr>
        <w:pStyle w:val="BoxSpaceAbove"/>
        <w:rPr>
          <w:color w:val="FF0000"/>
        </w:rPr>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EA7A8A" w:rsidRPr="00176D3F" w:rsidTr="000F5C2B">
        <w:tc>
          <w:tcPr>
            <w:tcW w:w="8771" w:type="dxa"/>
            <w:tcBorders>
              <w:top w:val="single" w:sz="6" w:space="0" w:color="78A22F"/>
              <w:left w:val="nil"/>
              <w:bottom w:val="nil"/>
              <w:right w:val="nil"/>
            </w:tcBorders>
            <w:shd w:val="clear" w:color="auto" w:fill="auto"/>
          </w:tcPr>
          <w:p w:rsidR="00EA7A8A" w:rsidRPr="00176D3F" w:rsidRDefault="00EA7A8A" w:rsidP="003B2788">
            <w:pPr>
              <w:pStyle w:val="FigureTitle"/>
            </w:pPr>
            <w:r w:rsidRPr="00784A05">
              <w:rPr>
                <w:b w:val="0"/>
              </w:rPr>
              <w:t xml:space="preserve">Figure </w:t>
            </w:r>
            <w:r>
              <w:rPr>
                <w:b w:val="0"/>
              </w:rPr>
              <w:t>3.</w:t>
            </w:r>
            <w:r w:rsidR="000366F6">
              <w:rPr>
                <w:b w:val="0"/>
              </w:rPr>
              <w:t>2</w:t>
            </w:r>
            <w:r w:rsidR="005D73FF">
              <w:rPr>
                <w:b w:val="0"/>
              </w:rPr>
              <w:t>2</w:t>
            </w:r>
            <w:r>
              <w:tab/>
            </w:r>
            <w:r w:rsidRPr="002C08A9">
              <w:t>Out</w:t>
            </w:r>
            <w:r w:rsidRPr="002C08A9">
              <w:noBreakHyphen/>
              <w:t>o</w:t>
            </w:r>
            <w:r>
              <w:t>f</w:t>
            </w:r>
            <w:r>
              <w:noBreakHyphen/>
              <w:t>pocket costs for one child in 50</w:t>
            </w:r>
            <w:r w:rsidR="00BC4831">
              <w:t xml:space="preserve"> and 30</w:t>
            </w:r>
            <w:r>
              <w:t xml:space="preserve"> hours Australian Government </w:t>
            </w:r>
            <w:proofErr w:type="spellStart"/>
            <w:r>
              <w:t>CCB</w:t>
            </w:r>
            <w:proofErr w:type="spellEnd"/>
            <w:r>
              <w:t xml:space="preserve"> approved </w:t>
            </w:r>
            <w:r w:rsidRPr="002C08A9">
              <w:t xml:space="preserve">long day care (after subsidies), as a proportion of weekly disposable income, by </w:t>
            </w:r>
            <w:r>
              <w:t>gross annual family income, 2015</w:t>
            </w:r>
            <w:r w:rsidRPr="002A66B6">
              <w:rPr>
                <w:rStyle w:val="NoteLabel"/>
                <w:b/>
              </w:rPr>
              <w:t>a</w:t>
            </w:r>
          </w:p>
        </w:tc>
      </w:tr>
      <w:tr w:rsidR="00EA7A8A" w:rsidTr="000F5C2B">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EA7A8A" w:rsidTr="000F5C2B">
              <w:trPr>
                <w:jc w:val="center"/>
              </w:trPr>
              <w:tc>
                <w:tcPr>
                  <w:tcW w:w="5000" w:type="pct"/>
                  <w:tcBorders>
                    <w:top w:val="nil"/>
                    <w:bottom w:val="nil"/>
                  </w:tcBorders>
                </w:tcPr>
                <w:p w:rsidR="00EA7A8A" w:rsidRDefault="00B337E3" w:rsidP="00BC4831">
                  <w:pPr>
                    <w:pStyle w:val="Figure"/>
                    <w:spacing w:before="60" w:after="60"/>
                  </w:pPr>
                  <w:r>
                    <w:rPr>
                      <w:noProof/>
                    </w:rPr>
                    <w:drawing>
                      <wp:inline distT="0" distB="0" distL="0" distR="0">
                        <wp:extent cx="5380355" cy="2743200"/>
                        <wp:effectExtent l="0" t="0" r="0" b="0"/>
                        <wp:docPr id="21" name="Picture 21" descr="Figure 3.22 Out of pocket costs for one child in 50 and 30 hours Australian Government CCB approved long day care (after subsidies), as a proportion of weekly disposable income, by gross annual family income, 2015&#10;&#10;(a) 50 hours&#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5380355" cy="2743200"/>
                                </a:xfrm>
                                <a:prstGeom prst="rect">
                                  <a:avLst/>
                                </a:prstGeom>
                                <a:noFill/>
                                <a:ln>
                                  <a:noFill/>
                                </a:ln>
                              </pic:spPr>
                            </pic:pic>
                          </a:graphicData>
                        </a:graphic>
                      </wp:inline>
                    </w:drawing>
                  </w:r>
                </w:p>
                <w:p w:rsidR="00BC4831" w:rsidRDefault="00B337E3" w:rsidP="00BC4831">
                  <w:pPr>
                    <w:pStyle w:val="Figure"/>
                    <w:spacing w:before="60" w:after="60"/>
                  </w:pPr>
                  <w:r>
                    <w:rPr>
                      <w:noProof/>
                    </w:rPr>
                    <w:drawing>
                      <wp:inline distT="0" distB="0" distL="0" distR="0">
                        <wp:extent cx="5380355" cy="2743200"/>
                        <wp:effectExtent l="0" t="0" r="0" b="0"/>
                        <wp:docPr id="22" name="Picture 22" descr="Figure 3.22 Out of pocket costs for one child in 50 and 30 hours Australian Government CCB approved long day care (after subsidies), as a proportion of weekly disposable income, by gross annual family income, 2015&#10;&#10;(b) 30 hours&#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5380355" cy="2743200"/>
                                </a:xfrm>
                                <a:prstGeom prst="rect">
                                  <a:avLst/>
                                </a:prstGeom>
                                <a:noFill/>
                                <a:ln>
                                  <a:noFill/>
                                </a:ln>
                              </pic:spPr>
                            </pic:pic>
                          </a:graphicData>
                        </a:graphic>
                      </wp:inline>
                    </w:drawing>
                  </w:r>
                </w:p>
              </w:tc>
            </w:tr>
          </w:tbl>
          <w:p w:rsidR="00EA7A8A" w:rsidRDefault="00EA7A8A" w:rsidP="000F5C2B">
            <w:pPr>
              <w:pStyle w:val="Figure"/>
            </w:pPr>
          </w:p>
        </w:tc>
      </w:tr>
      <w:tr w:rsidR="00EA7A8A" w:rsidRPr="00176D3F" w:rsidTr="000F5C2B">
        <w:tc>
          <w:tcPr>
            <w:tcW w:w="8771" w:type="dxa"/>
            <w:tcBorders>
              <w:top w:val="nil"/>
              <w:left w:val="nil"/>
              <w:bottom w:val="nil"/>
              <w:right w:val="nil"/>
            </w:tcBorders>
            <w:shd w:val="clear" w:color="auto" w:fill="auto"/>
          </w:tcPr>
          <w:p w:rsidR="00EA7A8A" w:rsidRPr="00176D3F" w:rsidRDefault="00EA7A8A" w:rsidP="00BC7EC6">
            <w:pPr>
              <w:pStyle w:val="Note"/>
            </w:pPr>
            <w:r>
              <w:rPr>
                <w:rStyle w:val="NoteLabel"/>
              </w:rPr>
              <w:t>a</w:t>
            </w:r>
            <w:r>
              <w:t xml:space="preserve"> </w:t>
            </w:r>
            <w:r w:rsidR="008E37F0">
              <w:rPr>
                <w:rStyle w:val="NoteChar"/>
              </w:rPr>
              <w:t>See box</w:t>
            </w:r>
            <w:r w:rsidR="00697D43">
              <w:rPr>
                <w:rStyle w:val="NoteChar"/>
              </w:rPr>
              <w:t> </w:t>
            </w:r>
            <w:r w:rsidR="008E37F0">
              <w:rPr>
                <w:rStyle w:val="NoteChar"/>
              </w:rPr>
              <w:t>3.26</w:t>
            </w:r>
            <w:r w:rsidR="008E37F0" w:rsidRPr="00AA1455">
              <w:rPr>
                <w:rStyle w:val="NoteChar"/>
              </w:rPr>
              <w:t xml:space="preserve"> and table</w:t>
            </w:r>
            <w:r w:rsidR="008E37F0">
              <w:rPr>
                <w:rStyle w:val="NoteChar"/>
              </w:rPr>
              <w:t>s</w:t>
            </w:r>
            <w:r w:rsidR="00697D43">
              <w:rPr>
                <w:rStyle w:val="NoteChar"/>
              </w:rPr>
              <w:t> </w:t>
            </w:r>
            <w:proofErr w:type="spellStart"/>
            <w:r w:rsidR="008E37F0">
              <w:rPr>
                <w:rStyle w:val="NoteChar"/>
              </w:rPr>
              <w:t>3A.73</w:t>
            </w:r>
            <w:proofErr w:type="spellEnd"/>
            <w:r w:rsidR="008E37F0">
              <w:rPr>
                <w:rStyle w:val="NoteChar"/>
              </w:rPr>
              <w:t xml:space="preserve"> and </w:t>
            </w:r>
            <w:proofErr w:type="spellStart"/>
            <w:r w:rsidR="008E37F0" w:rsidRPr="00AA1455">
              <w:rPr>
                <w:rStyle w:val="NoteChar"/>
              </w:rPr>
              <w:t>3A.</w:t>
            </w:r>
            <w:r w:rsidR="008E37F0">
              <w:rPr>
                <w:rStyle w:val="NoteChar"/>
              </w:rPr>
              <w:t>75</w:t>
            </w:r>
            <w:proofErr w:type="spellEnd"/>
            <w:r w:rsidR="008E37F0" w:rsidRPr="00AA1455">
              <w:rPr>
                <w:rStyle w:val="NoteChar"/>
              </w:rPr>
              <w:t xml:space="preserve"> for </w:t>
            </w:r>
            <w:r w:rsidR="00937F53">
              <w:rPr>
                <w:rStyle w:val="NoteChar"/>
              </w:rPr>
              <w:t>detailed definitions, footnotes and caveats.</w:t>
            </w:r>
          </w:p>
        </w:tc>
      </w:tr>
      <w:tr w:rsidR="00EA7A8A" w:rsidRPr="00176D3F" w:rsidTr="000F5C2B">
        <w:tc>
          <w:tcPr>
            <w:tcW w:w="8771" w:type="dxa"/>
            <w:tcBorders>
              <w:top w:val="nil"/>
              <w:left w:val="nil"/>
              <w:bottom w:val="nil"/>
              <w:right w:val="nil"/>
            </w:tcBorders>
            <w:shd w:val="clear" w:color="auto" w:fill="auto"/>
          </w:tcPr>
          <w:p w:rsidR="00EA7A8A" w:rsidRPr="00176D3F" w:rsidRDefault="00EA7A8A" w:rsidP="000F5C2B">
            <w:pPr>
              <w:pStyle w:val="Source"/>
            </w:pPr>
            <w:r>
              <w:rPr>
                <w:i/>
              </w:rPr>
              <w:t>S</w:t>
            </w:r>
            <w:r w:rsidRPr="00784A05">
              <w:rPr>
                <w:i/>
              </w:rPr>
              <w:t>ource</w:t>
            </w:r>
            <w:r w:rsidRPr="00176D3F">
              <w:t xml:space="preserve">: </w:t>
            </w:r>
            <w:r>
              <w:t xml:space="preserve">Australian Government Department of </w:t>
            </w:r>
            <w:r w:rsidR="00ED4FA9">
              <w:t>Education and Training</w:t>
            </w:r>
            <w:r>
              <w:t xml:space="preserve"> (unpublished); table</w:t>
            </w:r>
            <w:r w:rsidR="00F376A0">
              <w:t>s</w:t>
            </w:r>
            <w:r w:rsidR="00C42F50">
              <w:t> </w:t>
            </w:r>
            <w:proofErr w:type="spellStart"/>
            <w:r w:rsidR="00C42F50">
              <w:t>3A.73</w:t>
            </w:r>
            <w:proofErr w:type="spellEnd"/>
            <w:r w:rsidR="00C42F50">
              <w:t xml:space="preserve"> and </w:t>
            </w:r>
            <w:proofErr w:type="spellStart"/>
            <w:r w:rsidR="00C42F50">
              <w:t>3A.75</w:t>
            </w:r>
            <w:proofErr w:type="spellEnd"/>
            <w:r w:rsidRPr="00BC2C18">
              <w:t>.</w:t>
            </w:r>
          </w:p>
        </w:tc>
      </w:tr>
      <w:tr w:rsidR="00EA7A8A" w:rsidTr="000F5C2B">
        <w:tc>
          <w:tcPr>
            <w:tcW w:w="8771" w:type="dxa"/>
            <w:tcBorders>
              <w:top w:val="nil"/>
              <w:left w:val="nil"/>
              <w:bottom w:val="single" w:sz="6" w:space="0" w:color="78A22F"/>
              <w:right w:val="nil"/>
            </w:tcBorders>
            <w:shd w:val="clear" w:color="auto" w:fill="auto"/>
          </w:tcPr>
          <w:p w:rsidR="00EA7A8A" w:rsidRDefault="00EA7A8A" w:rsidP="000F5C2B">
            <w:pPr>
              <w:pStyle w:val="Figurespace"/>
            </w:pPr>
          </w:p>
        </w:tc>
      </w:tr>
      <w:tr w:rsidR="00EA7A8A" w:rsidRPr="00626D32" w:rsidTr="000F5C2B">
        <w:tc>
          <w:tcPr>
            <w:tcW w:w="8771" w:type="dxa"/>
            <w:tcBorders>
              <w:top w:val="single" w:sz="6" w:space="0" w:color="78A22F"/>
              <w:left w:val="nil"/>
              <w:bottom w:val="nil"/>
              <w:right w:val="nil"/>
            </w:tcBorders>
          </w:tcPr>
          <w:p w:rsidR="00EA7A8A" w:rsidRPr="00626D32" w:rsidRDefault="00EA7A8A" w:rsidP="000F5C2B">
            <w:pPr>
              <w:pStyle w:val="BoxSpaceBelow"/>
            </w:pPr>
          </w:p>
        </w:tc>
      </w:tr>
    </w:tbl>
    <w:p w:rsidR="004B37CC" w:rsidRDefault="00656958" w:rsidP="004B37CC">
      <w:pPr>
        <w:pStyle w:val="BodyText"/>
      </w:pPr>
      <w:r>
        <w:t>Natio</w:t>
      </w:r>
      <w:r w:rsidR="00812CCB">
        <w:t>nally, the out</w:t>
      </w:r>
      <w:r w:rsidR="00812CCB">
        <w:noBreakHyphen/>
        <w:t>of</w:t>
      </w:r>
      <w:r w:rsidR="00812CCB">
        <w:noBreakHyphen/>
        <w:t xml:space="preserve">pocket costs </w:t>
      </w:r>
      <w:r>
        <w:t>after s</w:t>
      </w:r>
      <w:r w:rsidR="00812CCB">
        <w:t>ubsidies</w:t>
      </w:r>
      <w:r>
        <w:t xml:space="preserve"> for family day care in 2015 </w:t>
      </w:r>
      <w:r w:rsidRPr="0086464D">
        <w:t xml:space="preserve">were </w:t>
      </w:r>
      <w:r w:rsidRPr="001D3003">
        <w:t xml:space="preserve">between </w:t>
      </w:r>
      <w:r w:rsidR="001D3003">
        <w:t>7.1</w:t>
      </w:r>
      <w:r w:rsidRPr="001D3003">
        <w:t xml:space="preserve"> and </w:t>
      </w:r>
      <w:r w:rsidR="001D3003">
        <w:t>9</w:t>
      </w:r>
      <w:r w:rsidR="00F10101">
        <w:t>.6</w:t>
      </w:r>
      <w:r w:rsidR="001D3003" w:rsidRPr="001D3003">
        <w:t xml:space="preserve"> </w:t>
      </w:r>
      <w:r w:rsidRPr="00336D05">
        <w:t>per cent of weekl</w:t>
      </w:r>
      <w:r>
        <w:t xml:space="preserve">y disposable income for 50 hours and </w:t>
      </w:r>
      <w:r w:rsidR="001D3003" w:rsidRPr="001D3003">
        <w:t>3.6</w:t>
      </w:r>
      <w:r w:rsidRPr="001D3003">
        <w:t xml:space="preserve"> and </w:t>
      </w:r>
      <w:r w:rsidR="001D3003" w:rsidRPr="001D3003">
        <w:t>5.1</w:t>
      </w:r>
      <w:r w:rsidRPr="001D3003">
        <w:t xml:space="preserve"> </w:t>
      </w:r>
      <w:r>
        <w:t>per cent for 30 ho</w:t>
      </w:r>
      <w:r w:rsidR="005D73FF">
        <w:t>urs family day care (figure 3.23</w:t>
      </w:r>
      <w:r w:rsidRPr="00336D05">
        <w:t>).</w:t>
      </w:r>
      <w:r w:rsidR="001F2D5E">
        <w:t xml:space="preserve"> I</w:t>
      </w:r>
      <w:r w:rsidR="004B37CC">
        <w:t>n 2015</w:t>
      </w:r>
      <w:r w:rsidR="001F2D5E">
        <w:t>,</w:t>
      </w:r>
      <w:r w:rsidR="005D3AAE" w:rsidRPr="005D3AAE">
        <w:t xml:space="preserve"> </w:t>
      </w:r>
      <w:r w:rsidR="005D3AAE">
        <w:t>for the selected income</w:t>
      </w:r>
      <w:r w:rsidR="007907DF">
        <w:t xml:space="preserve"> levels presented in figure</w:t>
      </w:r>
      <w:r w:rsidR="00697D43">
        <w:t> </w:t>
      </w:r>
      <w:r w:rsidR="005D73FF">
        <w:t>3.23</w:t>
      </w:r>
      <w:r w:rsidR="004B37CC">
        <w:t>, the out</w:t>
      </w:r>
      <w:r w:rsidR="002D438E">
        <w:noBreakHyphen/>
      </w:r>
      <w:r w:rsidR="004B37CC">
        <w:t>of</w:t>
      </w:r>
      <w:r w:rsidR="002D438E">
        <w:noBreakHyphen/>
      </w:r>
      <w:r w:rsidR="004B37CC">
        <w:t xml:space="preserve">pocket costs (after subsides) for families with one child in 50 hours family day care varied </w:t>
      </w:r>
      <w:r w:rsidR="001F2D5E">
        <w:t xml:space="preserve">across states and territories </w:t>
      </w:r>
      <w:r w:rsidR="004B37CC">
        <w:t xml:space="preserve">from </w:t>
      </w:r>
      <w:r w:rsidR="001D3003" w:rsidRPr="001D3003">
        <w:t>6.6</w:t>
      </w:r>
      <w:r w:rsidR="004B37CC" w:rsidRPr="001D3003">
        <w:t xml:space="preserve"> to </w:t>
      </w:r>
      <w:r w:rsidR="00F10101">
        <w:t>13.5</w:t>
      </w:r>
      <w:r w:rsidR="004B37CC" w:rsidRPr="001D3003">
        <w:t xml:space="preserve"> </w:t>
      </w:r>
      <w:r w:rsidR="004B37CC">
        <w:t xml:space="preserve">per cent of </w:t>
      </w:r>
      <w:r w:rsidR="004B37CC">
        <w:lastRenderedPageBreak/>
        <w:t>weekly disposable income</w:t>
      </w:r>
      <w:r>
        <w:t xml:space="preserve">, and for families with one child in 30 hours </w:t>
      </w:r>
      <w:r w:rsidR="001F2D5E">
        <w:t xml:space="preserve">of family day care </w:t>
      </w:r>
      <w:r w:rsidR="004B37CC">
        <w:t xml:space="preserve">varied </w:t>
      </w:r>
      <w:r w:rsidR="004B37CC" w:rsidRPr="001D3003">
        <w:t xml:space="preserve">from </w:t>
      </w:r>
      <w:r w:rsidR="00F10101">
        <w:t>2.8</w:t>
      </w:r>
      <w:r w:rsidR="004B37CC" w:rsidRPr="001D3003">
        <w:t xml:space="preserve"> to </w:t>
      </w:r>
      <w:r w:rsidR="001D3003" w:rsidRPr="001D3003">
        <w:t>6.3</w:t>
      </w:r>
      <w:r w:rsidR="004B37CC" w:rsidRPr="001D3003">
        <w:t xml:space="preserve"> </w:t>
      </w:r>
      <w:r w:rsidR="005D3AAE">
        <w:t>per cent</w:t>
      </w:r>
      <w:r w:rsidR="004B37CC">
        <w:t xml:space="preserve">. </w:t>
      </w:r>
    </w:p>
    <w:p w:rsidR="00EA7A8A" w:rsidRDefault="00EA7A8A" w:rsidP="000C2010">
      <w:pPr>
        <w:pStyle w:val="BodyText"/>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EA7A8A" w:rsidRPr="00176D3F" w:rsidTr="000F5C2B">
        <w:tc>
          <w:tcPr>
            <w:tcW w:w="8771" w:type="dxa"/>
            <w:tcBorders>
              <w:top w:val="single" w:sz="6" w:space="0" w:color="78A22F"/>
              <w:left w:val="nil"/>
              <w:bottom w:val="nil"/>
              <w:right w:val="nil"/>
            </w:tcBorders>
            <w:shd w:val="clear" w:color="auto" w:fill="auto"/>
          </w:tcPr>
          <w:p w:rsidR="00EA7A8A" w:rsidRPr="00176D3F" w:rsidRDefault="00EA7A8A" w:rsidP="000F5C2B">
            <w:pPr>
              <w:pStyle w:val="FigureTitle"/>
            </w:pPr>
            <w:r w:rsidRPr="00784A05">
              <w:rPr>
                <w:b w:val="0"/>
              </w:rPr>
              <w:t xml:space="preserve">Figure </w:t>
            </w:r>
            <w:r>
              <w:rPr>
                <w:b w:val="0"/>
              </w:rPr>
              <w:t>3.</w:t>
            </w:r>
            <w:r w:rsidR="005D73FF">
              <w:rPr>
                <w:b w:val="0"/>
              </w:rPr>
              <w:t>23</w:t>
            </w:r>
            <w:r>
              <w:tab/>
            </w:r>
            <w:r w:rsidRPr="002C08A9">
              <w:t>Out</w:t>
            </w:r>
            <w:r w:rsidRPr="002C08A9">
              <w:noBreakHyphen/>
              <w:t>of</w:t>
            </w:r>
            <w:r w:rsidRPr="002C08A9">
              <w:noBreakHyphen/>
              <w:t xml:space="preserve">pocket costs for </w:t>
            </w:r>
            <w:r>
              <w:t xml:space="preserve">one child in 50 </w:t>
            </w:r>
            <w:r w:rsidR="00104EB5">
              <w:t xml:space="preserve">and 30 </w:t>
            </w:r>
            <w:r>
              <w:t xml:space="preserve">hours Australian Government </w:t>
            </w:r>
            <w:proofErr w:type="spellStart"/>
            <w:r>
              <w:t>CCB</w:t>
            </w:r>
            <w:proofErr w:type="spellEnd"/>
            <w:r>
              <w:t xml:space="preserve"> approved </w:t>
            </w:r>
            <w:r w:rsidRPr="002C08A9">
              <w:t xml:space="preserve">family day care (after subsidies), as a proportion of weekly disposable income, by </w:t>
            </w:r>
            <w:r>
              <w:t>gross annual family income, 2015</w:t>
            </w:r>
            <w:r w:rsidRPr="002A66B6">
              <w:rPr>
                <w:rStyle w:val="NoteLabel"/>
                <w:b/>
              </w:rPr>
              <w:t>a</w:t>
            </w:r>
          </w:p>
        </w:tc>
      </w:tr>
      <w:tr w:rsidR="00EA7A8A" w:rsidTr="000F5C2B">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EA7A8A" w:rsidTr="000F5C2B">
              <w:trPr>
                <w:jc w:val="center"/>
              </w:trPr>
              <w:tc>
                <w:tcPr>
                  <w:tcW w:w="5000" w:type="pct"/>
                  <w:tcBorders>
                    <w:top w:val="nil"/>
                    <w:bottom w:val="nil"/>
                  </w:tcBorders>
                </w:tcPr>
                <w:p w:rsidR="00EA7A8A" w:rsidRDefault="00B337E3" w:rsidP="0089269C">
                  <w:pPr>
                    <w:pStyle w:val="Figure"/>
                    <w:spacing w:before="60" w:after="60"/>
                  </w:pPr>
                  <w:r>
                    <w:rPr>
                      <w:noProof/>
                    </w:rPr>
                    <w:drawing>
                      <wp:inline distT="0" distB="0" distL="0" distR="0">
                        <wp:extent cx="5390515" cy="2679700"/>
                        <wp:effectExtent l="0" t="0" r="635" b="6350"/>
                        <wp:docPr id="23" name="Picture 23" descr="Figure 3.23 Out of pocket costs for one child in 50 and 30 hours Australian Government CCB approved family day care (after subsidies), as a proportion of weekly disposable income, by gross annual family income, 2015&#10;&#10;(a) 50 hours&#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5390515" cy="2679700"/>
                                </a:xfrm>
                                <a:prstGeom prst="rect">
                                  <a:avLst/>
                                </a:prstGeom>
                                <a:noFill/>
                                <a:ln>
                                  <a:noFill/>
                                </a:ln>
                              </pic:spPr>
                            </pic:pic>
                          </a:graphicData>
                        </a:graphic>
                      </wp:inline>
                    </w:drawing>
                  </w:r>
                </w:p>
                <w:p w:rsidR="0089269C" w:rsidRDefault="00B337E3" w:rsidP="0089269C">
                  <w:pPr>
                    <w:pStyle w:val="Figure"/>
                    <w:spacing w:before="60" w:after="60"/>
                  </w:pPr>
                  <w:r>
                    <w:rPr>
                      <w:noProof/>
                    </w:rPr>
                    <w:drawing>
                      <wp:inline distT="0" distB="0" distL="0" distR="0">
                        <wp:extent cx="5390515" cy="2679700"/>
                        <wp:effectExtent l="0" t="0" r="635" b="6350"/>
                        <wp:docPr id="24" name="Picture 24" descr="Figure 3.23 Out of pocket costs for one child in 50 and 30 hours Australian Government CCB approved family day care (after subsidies), as a proportion of weekly disposable income, by gross annual family income, 2015&#10;&#10;(a) 30 hours&#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5390515" cy="2679700"/>
                                </a:xfrm>
                                <a:prstGeom prst="rect">
                                  <a:avLst/>
                                </a:prstGeom>
                                <a:noFill/>
                                <a:ln>
                                  <a:noFill/>
                                </a:ln>
                              </pic:spPr>
                            </pic:pic>
                          </a:graphicData>
                        </a:graphic>
                      </wp:inline>
                    </w:drawing>
                  </w:r>
                </w:p>
              </w:tc>
            </w:tr>
          </w:tbl>
          <w:p w:rsidR="00EA7A8A" w:rsidRDefault="00EA7A8A" w:rsidP="000F5C2B">
            <w:pPr>
              <w:pStyle w:val="Figure"/>
            </w:pPr>
          </w:p>
        </w:tc>
      </w:tr>
      <w:tr w:rsidR="00EA7A8A" w:rsidRPr="00176D3F" w:rsidTr="000F5C2B">
        <w:tc>
          <w:tcPr>
            <w:tcW w:w="8771" w:type="dxa"/>
            <w:tcBorders>
              <w:top w:val="nil"/>
              <w:left w:val="nil"/>
              <w:bottom w:val="nil"/>
              <w:right w:val="nil"/>
            </w:tcBorders>
            <w:shd w:val="clear" w:color="auto" w:fill="auto"/>
          </w:tcPr>
          <w:p w:rsidR="00EA7A8A" w:rsidRPr="00176D3F" w:rsidRDefault="00EA7A8A" w:rsidP="00BC7EC6">
            <w:pPr>
              <w:pStyle w:val="Note"/>
            </w:pPr>
            <w:r>
              <w:rPr>
                <w:rStyle w:val="NoteLabel"/>
              </w:rPr>
              <w:t>a</w:t>
            </w:r>
            <w:r>
              <w:t xml:space="preserve"> </w:t>
            </w:r>
            <w:r w:rsidR="008E37F0">
              <w:rPr>
                <w:rStyle w:val="NoteChar"/>
              </w:rPr>
              <w:t>See box</w:t>
            </w:r>
            <w:r w:rsidR="00697D43">
              <w:rPr>
                <w:rStyle w:val="NoteChar"/>
              </w:rPr>
              <w:t> </w:t>
            </w:r>
            <w:r w:rsidR="008E37F0">
              <w:rPr>
                <w:rStyle w:val="NoteChar"/>
              </w:rPr>
              <w:t>3.26</w:t>
            </w:r>
            <w:r w:rsidR="008E37F0" w:rsidRPr="00AA1455">
              <w:rPr>
                <w:rStyle w:val="NoteChar"/>
              </w:rPr>
              <w:t xml:space="preserve"> and table</w:t>
            </w:r>
            <w:r w:rsidR="008E37F0">
              <w:rPr>
                <w:rStyle w:val="NoteChar"/>
              </w:rPr>
              <w:t>s</w:t>
            </w:r>
            <w:r w:rsidR="00697D43">
              <w:rPr>
                <w:rStyle w:val="NoteChar"/>
              </w:rPr>
              <w:t> </w:t>
            </w:r>
            <w:proofErr w:type="spellStart"/>
            <w:r w:rsidR="008E37F0">
              <w:rPr>
                <w:rStyle w:val="NoteChar"/>
              </w:rPr>
              <w:t>3A.74</w:t>
            </w:r>
            <w:proofErr w:type="spellEnd"/>
            <w:r w:rsidR="008E37F0">
              <w:rPr>
                <w:rStyle w:val="NoteChar"/>
              </w:rPr>
              <w:t xml:space="preserve"> and </w:t>
            </w:r>
            <w:proofErr w:type="spellStart"/>
            <w:r w:rsidR="008E37F0" w:rsidRPr="00AA1455">
              <w:rPr>
                <w:rStyle w:val="NoteChar"/>
              </w:rPr>
              <w:t>3A.</w:t>
            </w:r>
            <w:r w:rsidR="008E37F0">
              <w:rPr>
                <w:rStyle w:val="NoteChar"/>
              </w:rPr>
              <w:t>76</w:t>
            </w:r>
            <w:proofErr w:type="spellEnd"/>
            <w:r w:rsidR="008E37F0" w:rsidRPr="00AA1455">
              <w:rPr>
                <w:rStyle w:val="NoteChar"/>
              </w:rPr>
              <w:t xml:space="preserve"> for </w:t>
            </w:r>
            <w:r w:rsidR="00937F53">
              <w:rPr>
                <w:rStyle w:val="NoteChar"/>
              </w:rPr>
              <w:t>detailed definitions, footnotes and caveats.</w:t>
            </w:r>
          </w:p>
        </w:tc>
      </w:tr>
      <w:tr w:rsidR="00EA7A8A" w:rsidRPr="00176D3F" w:rsidTr="000F5C2B">
        <w:tc>
          <w:tcPr>
            <w:tcW w:w="8771" w:type="dxa"/>
            <w:tcBorders>
              <w:top w:val="nil"/>
              <w:left w:val="nil"/>
              <w:bottom w:val="nil"/>
              <w:right w:val="nil"/>
            </w:tcBorders>
            <w:shd w:val="clear" w:color="auto" w:fill="auto"/>
          </w:tcPr>
          <w:p w:rsidR="00EA7A8A" w:rsidRPr="00176D3F" w:rsidRDefault="00EA7A8A" w:rsidP="000F5C2B">
            <w:pPr>
              <w:pStyle w:val="Source"/>
            </w:pPr>
            <w:r>
              <w:rPr>
                <w:i/>
              </w:rPr>
              <w:t>Source</w:t>
            </w:r>
            <w:r w:rsidRPr="00167F06">
              <w:t xml:space="preserve">: </w:t>
            </w:r>
            <w:r>
              <w:t xml:space="preserve">Australian Government Department of </w:t>
            </w:r>
            <w:r w:rsidR="00ED4FA9">
              <w:t>Education and Training</w:t>
            </w:r>
            <w:r>
              <w:t xml:space="preserve"> (unpublished); table</w:t>
            </w:r>
            <w:r w:rsidR="00104EB5">
              <w:t>s</w:t>
            </w:r>
            <w:r>
              <w:t> </w:t>
            </w:r>
            <w:proofErr w:type="spellStart"/>
            <w:r>
              <w:t>3A.</w:t>
            </w:r>
            <w:r w:rsidR="00C42F50">
              <w:t>74</w:t>
            </w:r>
            <w:proofErr w:type="spellEnd"/>
            <w:r w:rsidR="00C42F50">
              <w:t xml:space="preserve"> and </w:t>
            </w:r>
            <w:proofErr w:type="spellStart"/>
            <w:r w:rsidR="00C42F50">
              <w:t>3A.76</w:t>
            </w:r>
            <w:proofErr w:type="spellEnd"/>
            <w:r w:rsidRPr="00BC2C18">
              <w:t>.</w:t>
            </w:r>
          </w:p>
        </w:tc>
      </w:tr>
      <w:tr w:rsidR="00EA7A8A" w:rsidTr="000F5C2B">
        <w:tc>
          <w:tcPr>
            <w:tcW w:w="8771" w:type="dxa"/>
            <w:tcBorders>
              <w:top w:val="nil"/>
              <w:left w:val="nil"/>
              <w:bottom w:val="single" w:sz="6" w:space="0" w:color="78A22F"/>
              <w:right w:val="nil"/>
            </w:tcBorders>
            <w:shd w:val="clear" w:color="auto" w:fill="auto"/>
          </w:tcPr>
          <w:p w:rsidR="00EA7A8A" w:rsidRDefault="00EA7A8A" w:rsidP="000F5C2B">
            <w:pPr>
              <w:pStyle w:val="Figurespace"/>
            </w:pPr>
          </w:p>
        </w:tc>
      </w:tr>
      <w:tr w:rsidR="00EA7A8A" w:rsidRPr="00626D32" w:rsidTr="000F5C2B">
        <w:tc>
          <w:tcPr>
            <w:tcW w:w="8771" w:type="dxa"/>
            <w:tcBorders>
              <w:top w:val="single" w:sz="6" w:space="0" w:color="78A22F"/>
              <w:left w:val="nil"/>
              <w:bottom w:val="nil"/>
              <w:right w:val="nil"/>
            </w:tcBorders>
          </w:tcPr>
          <w:p w:rsidR="00EA7A8A" w:rsidRPr="00626D32" w:rsidRDefault="00EA7A8A" w:rsidP="000F5C2B">
            <w:pPr>
              <w:pStyle w:val="BoxSpaceBelow"/>
            </w:pPr>
          </w:p>
        </w:tc>
      </w:tr>
    </w:tbl>
    <w:p w:rsidR="00441395" w:rsidRDefault="00200E05" w:rsidP="009B11B2">
      <w:pPr>
        <w:pStyle w:val="Heading4"/>
      </w:pPr>
      <w:proofErr w:type="spellStart"/>
      <w:r>
        <w:lastRenderedPageBreak/>
        <w:t>ECEC</w:t>
      </w:r>
      <w:proofErr w:type="spellEnd"/>
      <w:r w:rsidR="00441395">
        <w:t xml:space="preserve"> outcomes</w:t>
      </w:r>
    </w:p>
    <w:p w:rsidR="002C4245" w:rsidRDefault="00200E05" w:rsidP="00C3586E">
      <w:pPr>
        <w:pStyle w:val="BodyText"/>
      </w:pPr>
      <w:r>
        <w:t>‘</w:t>
      </w:r>
      <w:proofErr w:type="spellStart"/>
      <w:r>
        <w:t>ECEC</w:t>
      </w:r>
      <w:proofErr w:type="spellEnd"/>
      <w:r w:rsidR="00C153C2">
        <w:t xml:space="preserve"> outcomes</w:t>
      </w:r>
      <w:r w:rsidR="00A277C3" w:rsidRPr="00A277C3">
        <w:t xml:space="preserve">’ is an indicator of governments’ objective to provide </w:t>
      </w:r>
      <w:proofErr w:type="spellStart"/>
      <w:r w:rsidR="0018407E">
        <w:t>ECEC</w:t>
      </w:r>
      <w:proofErr w:type="spellEnd"/>
      <w:r w:rsidR="00440AA3">
        <w:t xml:space="preserve"> </w:t>
      </w:r>
      <w:r w:rsidR="00A277C3" w:rsidRPr="00A277C3">
        <w:t>that meet</w:t>
      </w:r>
      <w:r w:rsidR="00440AA3">
        <w:t>s</w:t>
      </w:r>
      <w:r w:rsidR="00A277C3" w:rsidRPr="00A277C3">
        <w:t xml:space="preserve"> the care, education</w:t>
      </w:r>
      <w:r w:rsidR="0021264F">
        <w:t>al</w:t>
      </w:r>
      <w:r w:rsidR="00A277C3" w:rsidRPr="00A277C3">
        <w:t xml:space="preserve"> and development</w:t>
      </w:r>
      <w:r w:rsidR="0021264F">
        <w:t>al</w:t>
      </w:r>
      <w:r w:rsidR="00A277C3" w:rsidRPr="00A277C3">
        <w:t xml:space="preserve"> needs of children, in a safe and nurturing environment </w:t>
      </w:r>
      <w:r w:rsidR="000B542E" w:rsidRPr="00430F3F">
        <w:t>(box</w:t>
      </w:r>
      <w:r w:rsidR="00172534" w:rsidRPr="00430F3F">
        <w:t> </w:t>
      </w:r>
      <w:r w:rsidR="00923A1C" w:rsidRPr="00430F3F">
        <w:t>3.</w:t>
      </w:r>
      <w:r w:rsidR="00AD7B15">
        <w:t>27</w:t>
      </w:r>
      <w:r w:rsidR="000B542E" w:rsidRPr="00430F3F">
        <w:t>).</w:t>
      </w:r>
      <w:r w:rsidR="00AA1034" w:rsidRPr="00430F3F">
        <w:t xml:space="preserve"> </w:t>
      </w:r>
    </w:p>
    <w:p w:rsidR="00F66307" w:rsidRDefault="00F66307">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F66307" w:rsidTr="00DB16AF">
        <w:tc>
          <w:tcPr>
            <w:tcW w:w="8771" w:type="dxa"/>
            <w:tcBorders>
              <w:top w:val="single" w:sz="6" w:space="0" w:color="78A22F"/>
              <w:left w:val="nil"/>
              <w:bottom w:val="nil"/>
              <w:right w:val="nil"/>
            </w:tcBorders>
            <w:shd w:val="clear" w:color="auto" w:fill="F2F2F2"/>
          </w:tcPr>
          <w:p w:rsidR="00F66307" w:rsidRDefault="00F66307" w:rsidP="000139A7">
            <w:pPr>
              <w:pStyle w:val="BoxTitle"/>
            </w:pPr>
            <w:r>
              <w:rPr>
                <w:b w:val="0"/>
              </w:rPr>
              <w:t xml:space="preserve">Box </w:t>
            </w:r>
            <w:r w:rsidR="000139A7">
              <w:rPr>
                <w:b w:val="0"/>
              </w:rPr>
              <w:t>3.</w:t>
            </w:r>
            <w:bookmarkStart w:id="77" w:name="OLE_LINK28"/>
            <w:r w:rsidR="000139A7">
              <w:rPr>
                <w:b w:val="0"/>
              </w:rPr>
              <w:t>2</w:t>
            </w:r>
            <w:bookmarkEnd w:id="77"/>
            <w:r w:rsidR="00AD7B15">
              <w:rPr>
                <w:b w:val="0"/>
              </w:rPr>
              <w:t>7</w:t>
            </w:r>
            <w:r w:rsidR="00B95B27">
              <w:tab/>
            </w:r>
            <w:proofErr w:type="spellStart"/>
            <w:r w:rsidR="00B95B27">
              <w:t>ECEC</w:t>
            </w:r>
            <w:proofErr w:type="spellEnd"/>
            <w:r>
              <w:t xml:space="preserve"> outcomes</w:t>
            </w:r>
          </w:p>
        </w:tc>
      </w:tr>
      <w:tr w:rsidR="00F66307" w:rsidTr="00DB16AF">
        <w:trPr>
          <w:cantSplit/>
        </w:trPr>
        <w:tc>
          <w:tcPr>
            <w:tcW w:w="8771" w:type="dxa"/>
            <w:tcBorders>
              <w:top w:val="nil"/>
              <w:left w:val="nil"/>
              <w:bottom w:val="nil"/>
              <w:right w:val="nil"/>
            </w:tcBorders>
            <w:shd w:val="clear" w:color="auto" w:fill="F2F2F2"/>
          </w:tcPr>
          <w:p w:rsidR="00F66307" w:rsidRDefault="00B95B27" w:rsidP="00F66307">
            <w:pPr>
              <w:pStyle w:val="Box"/>
            </w:pPr>
            <w:r>
              <w:t>‘</w:t>
            </w:r>
            <w:proofErr w:type="spellStart"/>
            <w:r>
              <w:t>ECEC</w:t>
            </w:r>
            <w:proofErr w:type="spellEnd"/>
            <w:r w:rsidR="00F66307">
              <w:t xml:space="preserve"> outcomes’ is defined as the proportion of children </w:t>
            </w:r>
            <w:r w:rsidR="0016572C">
              <w:t xml:space="preserve">with </w:t>
            </w:r>
            <w:proofErr w:type="spellStart"/>
            <w:r w:rsidR="0016572C">
              <w:t>ECEC</w:t>
            </w:r>
            <w:proofErr w:type="spellEnd"/>
            <w:r w:rsidR="0016572C">
              <w:t xml:space="preserve"> experience who</w:t>
            </w:r>
            <w:r>
              <w:t xml:space="preserve"> are </w:t>
            </w:r>
            <w:r w:rsidR="00F66307">
              <w:t>developmentally vulnerable on one or mor</w:t>
            </w:r>
            <w:r>
              <w:t xml:space="preserve">e domains of the </w:t>
            </w:r>
            <w:r w:rsidR="00A7056C">
              <w:t>Australian Early Development</w:t>
            </w:r>
            <w:r w:rsidR="002D438E">
              <w:t xml:space="preserve"> </w:t>
            </w:r>
            <w:r w:rsidR="00A7056C">
              <w:t>Census (</w:t>
            </w:r>
            <w:proofErr w:type="spellStart"/>
            <w:r>
              <w:t>AEDC</w:t>
            </w:r>
            <w:proofErr w:type="spellEnd"/>
            <w:r w:rsidR="00A7056C">
              <w:t>)</w:t>
            </w:r>
            <w:r w:rsidR="00F66307">
              <w:t xml:space="preserve">. </w:t>
            </w:r>
          </w:p>
          <w:p w:rsidR="00C14AAB" w:rsidRPr="007907DF" w:rsidRDefault="00C14AAB" w:rsidP="000C0CD0">
            <w:pPr>
              <w:pStyle w:val="Box"/>
            </w:pPr>
            <w:r w:rsidRPr="007907DF">
              <w:t xml:space="preserve">Developmental vulnerability is an outcome reported by the </w:t>
            </w:r>
            <w:proofErr w:type="spellStart"/>
            <w:r w:rsidRPr="007907DF">
              <w:t>AEDC</w:t>
            </w:r>
            <w:proofErr w:type="spellEnd"/>
            <w:r w:rsidRPr="007907DF">
              <w:t>.</w:t>
            </w:r>
            <w:r w:rsidR="002D438E">
              <w:t xml:space="preserve"> </w:t>
            </w:r>
            <w:r w:rsidRPr="007907DF">
              <w:t xml:space="preserve">In 2009, when the </w:t>
            </w:r>
            <w:proofErr w:type="spellStart"/>
            <w:r w:rsidRPr="007907DF">
              <w:t>AEDC</w:t>
            </w:r>
            <w:proofErr w:type="spellEnd"/>
            <w:r w:rsidRPr="007907DF">
              <w:t xml:space="preserve"> was first completed nationally, a series of cut</w:t>
            </w:r>
            <w:r w:rsidR="002D438E">
              <w:noBreakHyphen/>
            </w:r>
            <w:r w:rsidRPr="007907DF">
              <w:t>off scores was established for each of the five domains. Children falling below the 10th percentile were considered ‘developmentally vulnerable’.</w:t>
            </w:r>
            <w:r w:rsidR="002D438E">
              <w:t xml:space="preserve"> </w:t>
            </w:r>
            <w:r w:rsidRPr="007907DF">
              <w:t>These domains are:</w:t>
            </w:r>
            <w:r w:rsidR="002D438E">
              <w:t xml:space="preserve"> </w:t>
            </w:r>
            <w:r w:rsidRPr="007907DF">
              <w:t>language and cognitive skills; physical health and wellbeing; social competence; emotional maturity and communications skills and general knowledge.</w:t>
            </w:r>
            <w:r w:rsidR="002D438E">
              <w:t xml:space="preserve"> </w:t>
            </w:r>
          </w:p>
          <w:p w:rsidR="00B742DF" w:rsidRDefault="00B742DF" w:rsidP="00F66307">
            <w:pPr>
              <w:pStyle w:val="Box"/>
            </w:pPr>
            <w:r>
              <w:t>A low proportion of children reported as</w:t>
            </w:r>
            <w:r w:rsidR="00642B8B">
              <w:t xml:space="preserve"> developmentally vulnerable who received </w:t>
            </w:r>
            <w:proofErr w:type="spellStart"/>
            <w:r>
              <w:t>ECEC</w:t>
            </w:r>
            <w:proofErr w:type="spellEnd"/>
            <w:r>
              <w:t xml:space="preserve"> is desirable. In particular, a lower proportion of children reported as developmentally vulnerable who received some </w:t>
            </w:r>
            <w:proofErr w:type="spellStart"/>
            <w:r>
              <w:t>ECEC</w:t>
            </w:r>
            <w:proofErr w:type="spellEnd"/>
            <w:r>
              <w:t xml:space="preserve"> compared to children who did not receive any </w:t>
            </w:r>
            <w:proofErr w:type="spellStart"/>
            <w:r>
              <w:t>ECEC</w:t>
            </w:r>
            <w:proofErr w:type="spellEnd"/>
            <w:r>
              <w:t xml:space="preserve"> may indicate more positive development outcomes for children who receive some </w:t>
            </w:r>
            <w:proofErr w:type="spellStart"/>
            <w:r>
              <w:t>ECEC</w:t>
            </w:r>
            <w:proofErr w:type="spellEnd"/>
            <w:r>
              <w:t>.</w:t>
            </w:r>
          </w:p>
          <w:p w:rsidR="00F347EF" w:rsidRPr="00B742DF" w:rsidRDefault="00F347EF" w:rsidP="00F66307">
            <w:pPr>
              <w:pStyle w:val="Box"/>
            </w:pPr>
            <w:proofErr w:type="spellStart"/>
            <w:r>
              <w:t>ECEC</w:t>
            </w:r>
            <w:proofErr w:type="spellEnd"/>
            <w:r>
              <w:t xml:space="preserve"> experience is just one factor contributing to </w:t>
            </w:r>
            <w:proofErr w:type="spellStart"/>
            <w:r>
              <w:t>AEDC</w:t>
            </w:r>
            <w:proofErr w:type="spellEnd"/>
            <w:r>
              <w:t xml:space="preserve"> results. A range of other factors also have an impact on development outcomes including parental and family circumstances and the take</w:t>
            </w:r>
            <w:r>
              <w:noBreakHyphen/>
              <w:t xml:space="preserve">up of services such as health, allied health and parenting support. Also, the quality of data reported for whether a child attended an </w:t>
            </w:r>
            <w:proofErr w:type="spellStart"/>
            <w:r>
              <w:t>ECEC</w:t>
            </w:r>
            <w:proofErr w:type="spellEnd"/>
            <w:r>
              <w:t xml:space="preserve"> service is dependent on the teacher’s knowledge of the child’s previous experience. The data do not account for the extent to which children received </w:t>
            </w:r>
            <w:proofErr w:type="spellStart"/>
            <w:r>
              <w:t>ECEC</w:t>
            </w:r>
            <w:proofErr w:type="spellEnd"/>
            <w:r>
              <w:t xml:space="preserve"> (i.e. how many hours per week) or over how many years it was provided.</w:t>
            </w:r>
          </w:p>
          <w:p w:rsidR="00F66307" w:rsidRDefault="00A91405" w:rsidP="00F66307">
            <w:pPr>
              <w:pStyle w:val="Box"/>
            </w:pPr>
            <w:r>
              <w:t>Data reported for this measure</w:t>
            </w:r>
            <w:r w:rsidR="00F66307">
              <w:t xml:space="preserve"> are:</w:t>
            </w:r>
          </w:p>
          <w:p w:rsidR="00F66307" w:rsidRDefault="00F66307" w:rsidP="00F66307">
            <w:pPr>
              <w:pStyle w:val="BoxListBullet"/>
            </w:pPr>
            <w:r>
              <w:t>c</w:t>
            </w:r>
            <w:r w:rsidRPr="00DA5769">
              <w:t xml:space="preserve">omparable </w:t>
            </w:r>
            <w:r>
              <w:t>(subject to caveats) across jurisdictions and over time</w:t>
            </w:r>
          </w:p>
          <w:p w:rsidR="00F66307" w:rsidRPr="00704343" w:rsidRDefault="00F66307" w:rsidP="00F66307">
            <w:pPr>
              <w:pStyle w:val="BoxListBullet"/>
            </w:pPr>
            <w:r>
              <w:t>c</w:t>
            </w:r>
            <w:r w:rsidRPr="00DA5769">
              <w:t xml:space="preserve">omplete </w:t>
            </w:r>
            <w:r>
              <w:t xml:space="preserve">(subject to caveats) </w:t>
            </w:r>
            <w:r w:rsidRPr="00DA5769">
              <w:t>for</w:t>
            </w:r>
            <w:r>
              <w:t xml:space="preserve"> the current reporting period. All required 2012 data are available for all jurisdictions. </w:t>
            </w:r>
          </w:p>
          <w:p w:rsidR="00F66307" w:rsidRDefault="00F66307" w:rsidP="00F66307">
            <w:pPr>
              <w:pStyle w:val="Box"/>
            </w:pPr>
            <w:r>
              <w:rPr>
                <w:rFonts w:cs="Arial"/>
                <w:szCs w:val="26"/>
              </w:rPr>
              <w:t>D</w:t>
            </w:r>
            <w:r w:rsidRPr="007970A4">
              <w:rPr>
                <w:rFonts w:cs="Arial"/>
                <w:szCs w:val="26"/>
              </w:rPr>
              <w:t>ata quality</w:t>
            </w:r>
            <w:r>
              <w:rPr>
                <w:rFonts w:cs="Arial"/>
                <w:szCs w:val="26"/>
              </w:rPr>
              <w:t xml:space="preserve"> information</w:t>
            </w:r>
            <w:r w:rsidRPr="007970A4">
              <w:rPr>
                <w:rFonts w:cs="Arial"/>
                <w:szCs w:val="26"/>
              </w:rPr>
              <w:t xml:space="preserve"> for this indicator is at </w:t>
            </w:r>
            <w:proofErr w:type="spellStart"/>
            <w:r w:rsidRPr="007970A4">
              <w:rPr>
                <w:rFonts w:cs="Arial"/>
                <w:szCs w:val="26"/>
              </w:rPr>
              <w:t>www</w:t>
            </w:r>
            <w:r w:rsidR="003F4FDF">
              <w:rPr>
                <w:rFonts w:cs="Arial"/>
                <w:szCs w:val="26"/>
              </w:rPr>
              <w:t>.pc.gov.au</w:t>
            </w:r>
            <w:proofErr w:type="spellEnd"/>
            <w:r w:rsidR="003F4FDF">
              <w:rPr>
                <w:rFonts w:cs="Arial"/>
                <w:szCs w:val="26"/>
              </w:rPr>
              <w:t>/</w:t>
            </w:r>
            <w:proofErr w:type="spellStart"/>
            <w:r w:rsidR="00D40CCF">
              <w:rPr>
                <w:rFonts w:cs="Arial"/>
                <w:szCs w:val="26"/>
              </w:rPr>
              <w:t>rogs</w:t>
            </w:r>
            <w:proofErr w:type="spellEnd"/>
            <w:r w:rsidR="00D40CCF">
              <w:rPr>
                <w:rFonts w:cs="Arial"/>
                <w:szCs w:val="26"/>
              </w:rPr>
              <w:t>/2016</w:t>
            </w:r>
            <w:r w:rsidRPr="007970A4">
              <w:rPr>
                <w:rFonts w:cs="Arial"/>
                <w:szCs w:val="26"/>
              </w:rPr>
              <w:t>.</w:t>
            </w:r>
          </w:p>
        </w:tc>
      </w:tr>
      <w:tr w:rsidR="00F66307" w:rsidTr="00DB16AF">
        <w:trPr>
          <w:cantSplit/>
        </w:trPr>
        <w:tc>
          <w:tcPr>
            <w:tcW w:w="8771" w:type="dxa"/>
            <w:tcBorders>
              <w:top w:val="nil"/>
              <w:left w:val="nil"/>
              <w:bottom w:val="single" w:sz="6" w:space="0" w:color="78A22F"/>
              <w:right w:val="nil"/>
            </w:tcBorders>
            <w:shd w:val="clear" w:color="auto" w:fill="F2F2F2"/>
          </w:tcPr>
          <w:p w:rsidR="00F66307" w:rsidRDefault="00F66307">
            <w:pPr>
              <w:pStyle w:val="Box"/>
              <w:spacing w:before="0" w:line="120" w:lineRule="exact"/>
            </w:pPr>
          </w:p>
        </w:tc>
      </w:tr>
      <w:tr w:rsidR="00F66307" w:rsidRPr="000863A5" w:rsidTr="00DB16AF">
        <w:tc>
          <w:tcPr>
            <w:tcW w:w="8771" w:type="dxa"/>
            <w:tcBorders>
              <w:top w:val="single" w:sz="6" w:space="0" w:color="78A22F"/>
              <w:left w:val="nil"/>
              <w:bottom w:val="nil"/>
              <w:right w:val="nil"/>
            </w:tcBorders>
          </w:tcPr>
          <w:p w:rsidR="00F66307" w:rsidRPr="00626D32" w:rsidRDefault="00F66307" w:rsidP="00DB16AF">
            <w:pPr>
              <w:pStyle w:val="BoxSpaceBelow"/>
            </w:pPr>
          </w:p>
        </w:tc>
      </w:tr>
    </w:tbl>
    <w:p w:rsidR="00975D63" w:rsidRPr="00115656" w:rsidRDefault="000C0CD0" w:rsidP="00C3586E">
      <w:pPr>
        <w:pStyle w:val="BodyText"/>
      </w:pPr>
      <w:r w:rsidRPr="007907DF">
        <w:t xml:space="preserve">This indicator uses data from the </w:t>
      </w:r>
      <w:proofErr w:type="spellStart"/>
      <w:r w:rsidRPr="007907DF">
        <w:t>AEDC</w:t>
      </w:r>
      <w:proofErr w:type="spellEnd"/>
      <w:r w:rsidRPr="007907DF">
        <w:t xml:space="preserve"> 2012.</w:t>
      </w:r>
      <w:r>
        <w:t xml:space="preserve"> </w:t>
      </w:r>
      <w:r w:rsidR="00294074" w:rsidRPr="00115656">
        <w:t>Box</w:t>
      </w:r>
      <w:r w:rsidR="00697D43">
        <w:t> </w:t>
      </w:r>
      <w:r w:rsidR="00294074" w:rsidRPr="00115656">
        <w:t>3.</w:t>
      </w:r>
      <w:r w:rsidR="00AD7B15">
        <w:t>28</w:t>
      </w:r>
      <w:r w:rsidR="00975D63" w:rsidRPr="00115656">
        <w:t xml:space="preserve"> contains information on the </w:t>
      </w:r>
      <w:proofErr w:type="spellStart"/>
      <w:r w:rsidR="00975D63" w:rsidRPr="00115656">
        <w:t>AEDC</w:t>
      </w:r>
      <w:proofErr w:type="spellEnd"/>
      <w:r w:rsidR="00975D63" w:rsidRPr="00115656">
        <w:t xml:space="preserve">. </w:t>
      </w:r>
    </w:p>
    <w:p w:rsidR="00294074" w:rsidRDefault="00294074">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294074" w:rsidTr="00DB16AF">
        <w:tc>
          <w:tcPr>
            <w:tcW w:w="8771" w:type="dxa"/>
            <w:tcBorders>
              <w:top w:val="single" w:sz="6" w:space="0" w:color="78A22F"/>
              <w:left w:val="nil"/>
              <w:bottom w:val="nil"/>
              <w:right w:val="nil"/>
            </w:tcBorders>
            <w:shd w:val="clear" w:color="auto" w:fill="F2F2F2"/>
          </w:tcPr>
          <w:p w:rsidR="00294074" w:rsidRDefault="00294074" w:rsidP="00AD7B15">
            <w:pPr>
              <w:pStyle w:val="BoxTitle"/>
            </w:pPr>
            <w:r>
              <w:rPr>
                <w:b w:val="0"/>
              </w:rPr>
              <w:t xml:space="preserve">Box </w:t>
            </w:r>
            <w:r w:rsidR="000139A7">
              <w:rPr>
                <w:b w:val="0"/>
              </w:rPr>
              <w:t>3.</w:t>
            </w:r>
            <w:bookmarkStart w:id="78" w:name="OLE_LINK29"/>
            <w:r w:rsidR="000139A7">
              <w:rPr>
                <w:b w:val="0"/>
              </w:rPr>
              <w:t>2</w:t>
            </w:r>
            <w:bookmarkEnd w:id="78"/>
            <w:r w:rsidR="00AD7B15">
              <w:rPr>
                <w:b w:val="0"/>
              </w:rPr>
              <w:t>8</w:t>
            </w:r>
            <w:r>
              <w:tab/>
            </w:r>
            <w:r w:rsidRPr="000A1F1C">
              <w:t>Au</w:t>
            </w:r>
            <w:r>
              <w:t xml:space="preserve">stralian Early Development Census </w:t>
            </w:r>
          </w:p>
        </w:tc>
      </w:tr>
      <w:tr w:rsidR="00294074" w:rsidTr="00DB16AF">
        <w:trPr>
          <w:cantSplit/>
        </w:trPr>
        <w:tc>
          <w:tcPr>
            <w:tcW w:w="8771" w:type="dxa"/>
            <w:tcBorders>
              <w:top w:val="nil"/>
              <w:left w:val="nil"/>
              <w:bottom w:val="nil"/>
              <w:right w:val="nil"/>
            </w:tcBorders>
            <w:shd w:val="clear" w:color="auto" w:fill="F2F2F2"/>
          </w:tcPr>
          <w:p w:rsidR="00294074" w:rsidRPr="00546F8C" w:rsidRDefault="00294074" w:rsidP="00294074">
            <w:pPr>
              <w:pStyle w:val="Box"/>
            </w:pPr>
            <w:r w:rsidRPr="00546F8C">
              <w:t xml:space="preserve">The </w:t>
            </w:r>
            <w:proofErr w:type="spellStart"/>
            <w:r>
              <w:t>AEDC</w:t>
            </w:r>
            <w:proofErr w:type="spellEnd"/>
            <w:r w:rsidRPr="00546F8C">
              <w:t xml:space="preserve"> is a population based measure of how children have developed by the time they start school across five areas of early childhood develo</w:t>
            </w:r>
            <w:r>
              <w:t>pment: physical health and well</w:t>
            </w:r>
            <w:r w:rsidRPr="00546F8C">
              <w:t xml:space="preserve">being; social competence; emotional maturity; language and cognitive skills; and communication skills and general knowledge. </w:t>
            </w:r>
            <w:r>
              <w:t>Until 1</w:t>
            </w:r>
            <w:r w:rsidR="007B063C">
              <w:t> </w:t>
            </w:r>
            <w:r>
              <w:t xml:space="preserve">July 2014 the </w:t>
            </w:r>
            <w:proofErr w:type="spellStart"/>
            <w:r>
              <w:t>AEDC</w:t>
            </w:r>
            <w:proofErr w:type="spellEnd"/>
            <w:r>
              <w:t xml:space="preserve"> was known as the Australia</w:t>
            </w:r>
            <w:r w:rsidR="002D4494">
              <w:t>n Early Development Index</w:t>
            </w:r>
            <w:r>
              <w:t>.</w:t>
            </w:r>
          </w:p>
          <w:p w:rsidR="00294074" w:rsidRPr="00546F8C" w:rsidRDefault="00294074" w:rsidP="00294074">
            <w:pPr>
              <w:pStyle w:val="Box"/>
            </w:pPr>
            <w:r>
              <w:t xml:space="preserve">The </w:t>
            </w:r>
            <w:proofErr w:type="spellStart"/>
            <w:r>
              <w:t>AEDC</w:t>
            </w:r>
            <w:proofErr w:type="spellEnd"/>
            <w:r w:rsidRPr="00546F8C">
              <w:t xml:space="preserve"> has been endorsed by </w:t>
            </w:r>
            <w:proofErr w:type="spellStart"/>
            <w:r w:rsidRPr="00546F8C">
              <w:t>COAG</w:t>
            </w:r>
            <w:proofErr w:type="spellEnd"/>
            <w:r w:rsidRPr="00546F8C">
              <w:t xml:space="preserve"> as a national progress measure of early childhood development and all Australian governm</w:t>
            </w:r>
            <w:r>
              <w:t xml:space="preserve">ents have agreed to use the </w:t>
            </w:r>
            <w:proofErr w:type="spellStart"/>
            <w:r>
              <w:t>AEDC</w:t>
            </w:r>
            <w:proofErr w:type="spellEnd"/>
            <w:r w:rsidRPr="00546F8C">
              <w:t xml:space="preserve"> results to inform early development policy and investments. </w:t>
            </w:r>
          </w:p>
          <w:p w:rsidR="00294074" w:rsidRDefault="00294074" w:rsidP="00294074">
            <w:pPr>
              <w:pStyle w:val="Box"/>
            </w:pPr>
            <w:r w:rsidRPr="00546F8C">
              <w:t>The Australian Government and State and Territory governments are working in partnership with The Royal Children’s Hospital Centre for Community Child Health in Melbourne, the Murdoch Children’s Research Institute and the Telethon Insti</w:t>
            </w:r>
            <w:r>
              <w:t xml:space="preserve">tute for Child Health Research in Perth, to deliver the </w:t>
            </w:r>
            <w:proofErr w:type="spellStart"/>
            <w:r>
              <w:t>AEDC</w:t>
            </w:r>
            <w:proofErr w:type="spellEnd"/>
            <w:r w:rsidRPr="00546F8C">
              <w:t xml:space="preserve">. The Social Research Centre managed the 2012 data collection. In 2011, the Australian Government made a commitment to collect these data every three years, representing an investment of $28 million per collection cycle. </w:t>
            </w:r>
          </w:p>
          <w:p w:rsidR="00294074" w:rsidRPr="009B11B2" w:rsidRDefault="00294074" w:rsidP="00294074">
            <w:pPr>
              <w:pStyle w:val="Box"/>
            </w:pPr>
            <w:r w:rsidRPr="00546F8C">
              <w:t>The first</w:t>
            </w:r>
            <w:r>
              <w:t xml:space="preserve"> national collection of the </w:t>
            </w:r>
            <w:proofErr w:type="spellStart"/>
            <w:r>
              <w:t>AEDC</w:t>
            </w:r>
            <w:proofErr w:type="spellEnd"/>
            <w:r w:rsidRPr="00546F8C">
              <w:t xml:space="preserve"> took place between May and July 2009, with data collected on 97.5 per cent of the estimate</w:t>
            </w:r>
            <w:r>
              <w:t xml:space="preserve">d five year </w:t>
            </w:r>
            <w:r w:rsidRPr="00546F8C">
              <w:t>old population (261</w:t>
            </w:r>
            <w:r>
              <w:t> </w:t>
            </w:r>
            <w:r w:rsidRPr="00546F8C">
              <w:t>203 children) in their first year of full time school. The 2012 data collection took place from 1</w:t>
            </w:r>
            <w:r>
              <w:t> </w:t>
            </w:r>
            <w:r w:rsidRPr="00546F8C">
              <w:t>May 2012 to 31</w:t>
            </w:r>
            <w:r>
              <w:t> </w:t>
            </w:r>
            <w:r w:rsidRPr="00546F8C">
              <w:t>July 2012. Data were collected on 289</w:t>
            </w:r>
            <w:r>
              <w:t> </w:t>
            </w:r>
            <w:r w:rsidRPr="00546F8C">
              <w:t>973 children, covering almost 7500 schools and almost 16 </w:t>
            </w:r>
            <w:r>
              <w:t xml:space="preserve">500 teachers. </w:t>
            </w:r>
            <w:proofErr w:type="spellStart"/>
            <w:r>
              <w:t>AEDC</w:t>
            </w:r>
            <w:proofErr w:type="spellEnd"/>
            <w:r w:rsidRPr="00546F8C">
              <w:t xml:space="preserve"> 2012 results represent 96</w:t>
            </w:r>
            <w:r>
              <w:t>.5</w:t>
            </w:r>
            <w:r w:rsidRPr="00546F8C">
              <w:t xml:space="preserve"> per cent of Australian children enrolled to begin school in 2012. </w:t>
            </w:r>
          </w:p>
          <w:p w:rsidR="00294074" w:rsidRPr="00546F8C" w:rsidRDefault="00294074" w:rsidP="00294074">
            <w:pPr>
              <w:pStyle w:val="Box"/>
            </w:pPr>
            <w:r w:rsidRPr="00546F8C">
              <w:t xml:space="preserve">The Child care, education and training sector overview in this Report includes </w:t>
            </w:r>
            <w:proofErr w:type="spellStart"/>
            <w:r w:rsidRPr="00546F8C">
              <w:t>AED</w:t>
            </w:r>
            <w:r>
              <w:t>C</w:t>
            </w:r>
            <w:proofErr w:type="spellEnd"/>
            <w:r w:rsidRPr="00546F8C">
              <w:t xml:space="preserve"> data on the proport</w:t>
            </w:r>
            <w:r>
              <w:t xml:space="preserve">ion of children </w:t>
            </w:r>
            <w:r w:rsidRPr="00546F8C">
              <w:t xml:space="preserve">on track in at least four domains as they entered school in 2012. </w:t>
            </w:r>
          </w:p>
          <w:p w:rsidR="00294074" w:rsidRDefault="00294074" w:rsidP="00294074">
            <w:pPr>
              <w:pStyle w:val="Box"/>
            </w:pPr>
            <w:r w:rsidRPr="00546F8C">
              <w:t>Ad</w:t>
            </w:r>
            <w:r>
              <w:t xml:space="preserve">ditional information on the </w:t>
            </w:r>
            <w:proofErr w:type="spellStart"/>
            <w:r>
              <w:t>AEDC</w:t>
            </w:r>
            <w:proofErr w:type="spellEnd"/>
            <w:r w:rsidRPr="00546F8C">
              <w:t>, including access to the 2012 National Report,</w:t>
            </w:r>
            <w:r>
              <w:t xml:space="preserve"> 2012 Summary Report,</w:t>
            </w:r>
            <w:r w:rsidRPr="00546F8C">
              <w:t xml:space="preserve"> community maps and community profiles, are availa</w:t>
            </w:r>
            <w:r>
              <w:t xml:space="preserve">ble on the </w:t>
            </w:r>
            <w:proofErr w:type="spellStart"/>
            <w:r>
              <w:t>AEDC</w:t>
            </w:r>
            <w:proofErr w:type="spellEnd"/>
            <w:r>
              <w:t xml:space="preserve"> website </w:t>
            </w:r>
            <w:proofErr w:type="spellStart"/>
            <w:r>
              <w:t>www.aedc.gov.au</w:t>
            </w:r>
            <w:proofErr w:type="spellEnd"/>
          </w:p>
        </w:tc>
      </w:tr>
      <w:tr w:rsidR="00294074" w:rsidTr="00DB16AF">
        <w:trPr>
          <w:cantSplit/>
        </w:trPr>
        <w:tc>
          <w:tcPr>
            <w:tcW w:w="8771" w:type="dxa"/>
            <w:tcBorders>
              <w:top w:val="nil"/>
              <w:left w:val="nil"/>
              <w:bottom w:val="nil"/>
              <w:right w:val="nil"/>
            </w:tcBorders>
            <w:shd w:val="clear" w:color="auto" w:fill="F2F2F2"/>
          </w:tcPr>
          <w:p w:rsidR="00294074" w:rsidRDefault="00294074" w:rsidP="008349C8">
            <w:pPr>
              <w:pStyle w:val="BoxSource"/>
            </w:pPr>
            <w:r>
              <w:rPr>
                <w:i/>
              </w:rPr>
              <w:t>Source</w:t>
            </w:r>
            <w:r w:rsidRPr="00167F06">
              <w:t xml:space="preserve">: </w:t>
            </w:r>
            <w:r>
              <w:t xml:space="preserve">Australian Government </w:t>
            </w:r>
            <w:r w:rsidRPr="00546F8C">
              <w:t>Department of Education</w:t>
            </w:r>
            <w:r>
              <w:t xml:space="preserve"> </w:t>
            </w:r>
            <w:r w:rsidRPr="00546F8C">
              <w:t>(</w:t>
            </w:r>
            <w:r w:rsidR="008349C8">
              <w:t>2014</w:t>
            </w:r>
            <w:r w:rsidRPr="00AC4EE6">
              <w:rPr>
                <w:rStyle w:val="NoteLabel"/>
                <w:b w:val="0"/>
              </w:rPr>
              <w:t xml:space="preserve"> </w:t>
            </w:r>
            <w:r>
              <w:t xml:space="preserve">and </w:t>
            </w:r>
            <w:r w:rsidRPr="00546F8C">
              <w:t>unpublished)</w:t>
            </w:r>
            <w:r>
              <w:t>.</w:t>
            </w:r>
          </w:p>
        </w:tc>
      </w:tr>
      <w:tr w:rsidR="00294074" w:rsidTr="00DB16AF">
        <w:trPr>
          <w:cantSplit/>
        </w:trPr>
        <w:tc>
          <w:tcPr>
            <w:tcW w:w="8771" w:type="dxa"/>
            <w:tcBorders>
              <w:top w:val="nil"/>
              <w:left w:val="nil"/>
              <w:bottom w:val="single" w:sz="6" w:space="0" w:color="78A22F"/>
              <w:right w:val="nil"/>
            </w:tcBorders>
            <w:shd w:val="clear" w:color="auto" w:fill="F2F2F2"/>
          </w:tcPr>
          <w:p w:rsidR="00294074" w:rsidRDefault="00294074">
            <w:pPr>
              <w:pStyle w:val="Box"/>
              <w:spacing w:before="0" w:line="120" w:lineRule="exact"/>
            </w:pPr>
          </w:p>
        </w:tc>
      </w:tr>
      <w:tr w:rsidR="00294074" w:rsidRPr="000863A5" w:rsidTr="00DB16AF">
        <w:tc>
          <w:tcPr>
            <w:tcW w:w="8771" w:type="dxa"/>
            <w:tcBorders>
              <w:top w:val="single" w:sz="6" w:space="0" w:color="78A22F"/>
              <w:left w:val="nil"/>
              <w:bottom w:val="nil"/>
              <w:right w:val="nil"/>
            </w:tcBorders>
          </w:tcPr>
          <w:p w:rsidR="00294074" w:rsidRPr="00626D32" w:rsidRDefault="00294074" w:rsidP="00DB16AF">
            <w:pPr>
              <w:pStyle w:val="BoxSpaceBelow"/>
            </w:pPr>
          </w:p>
        </w:tc>
      </w:tr>
    </w:tbl>
    <w:p w:rsidR="00CB5BCF" w:rsidRPr="00115656" w:rsidRDefault="000C0CD0" w:rsidP="00C3586E">
      <w:pPr>
        <w:pStyle w:val="BodyText"/>
      </w:pPr>
      <w:r w:rsidRPr="006B1681">
        <w:t xml:space="preserve">While </w:t>
      </w:r>
      <w:proofErr w:type="spellStart"/>
      <w:r w:rsidRPr="006B1681">
        <w:t>ECEC</w:t>
      </w:r>
      <w:proofErr w:type="spellEnd"/>
      <w:r w:rsidRPr="006B1681">
        <w:t xml:space="preserve"> experience is just one factor contribu</w:t>
      </w:r>
      <w:r w:rsidR="00681635" w:rsidRPr="006B1681">
        <w:t xml:space="preserve">ting to </w:t>
      </w:r>
      <w:proofErr w:type="spellStart"/>
      <w:r w:rsidR="00681635" w:rsidRPr="006B1681">
        <w:t>AEDC</w:t>
      </w:r>
      <w:proofErr w:type="spellEnd"/>
      <w:r w:rsidR="00681635" w:rsidRPr="006B1681">
        <w:t xml:space="preserve"> results, </w:t>
      </w:r>
      <w:r w:rsidRPr="006B1681">
        <w:t xml:space="preserve">children who received some </w:t>
      </w:r>
      <w:proofErr w:type="spellStart"/>
      <w:r w:rsidRPr="006B1681">
        <w:t>ECEC</w:t>
      </w:r>
      <w:proofErr w:type="spellEnd"/>
      <w:r w:rsidRPr="006B1681">
        <w:t xml:space="preserve"> were less likely to be developmentally vulnerable on one or more domains (19.8 per cent</w:t>
      </w:r>
      <w:r w:rsidR="00681635" w:rsidRPr="006B1681">
        <w:t xml:space="preserve"> nationally</w:t>
      </w:r>
      <w:r w:rsidRPr="006B1681">
        <w:t>), compared to children who did not r</w:t>
      </w:r>
      <w:r w:rsidR="007907DF" w:rsidRPr="006B1681">
        <w:t xml:space="preserve">eceive any </w:t>
      </w:r>
      <w:proofErr w:type="spellStart"/>
      <w:r w:rsidR="007907DF" w:rsidRPr="006B1681">
        <w:t>ECEC</w:t>
      </w:r>
      <w:proofErr w:type="spellEnd"/>
      <w:r w:rsidR="007907DF" w:rsidRPr="006B1681">
        <w:t xml:space="preserve"> (35.1 per cent</w:t>
      </w:r>
      <w:r w:rsidR="00681635" w:rsidRPr="006B1681">
        <w:t xml:space="preserve"> nationally</w:t>
      </w:r>
      <w:r w:rsidR="007907DF" w:rsidRPr="006B1681">
        <w:t>)</w:t>
      </w:r>
      <w:r w:rsidR="007907DF">
        <w:t xml:space="preserve"> (figure</w:t>
      </w:r>
      <w:r w:rsidR="00697D43">
        <w:t> </w:t>
      </w:r>
      <w:r w:rsidR="005D73FF">
        <w:t>3.24</w:t>
      </w:r>
      <w:r w:rsidR="00F15960" w:rsidRPr="00115656">
        <w:t>).</w:t>
      </w:r>
    </w:p>
    <w:p w:rsidR="007C2FD4" w:rsidRDefault="007C2FD4" w:rsidP="00992176">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7C2FD4" w:rsidTr="00992176">
        <w:tc>
          <w:tcPr>
            <w:tcW w:w="8771" w:type="dxa"/>
            <w:tcBorders>
              <w:top w:val="single" w:sz="6" w:space="0" w:color="78A22F"/>
              <w:left w:val="nil"/>
              <w:bottom w:val="nil"/>
              <w:right w:val="nil"/>
            </w:tcBorders>
            <w:shd w:val="clear" w:color="auto" w:fill="auto"/>
          </w:tcPr>
          <w:p w:rsidR="007C2FD4" w:rsidRPr="00176D3F" w:rsidRDefault="007C2FD4" w:rsidP="00F15960">
            <w:pPr>
              <w:pStyle w:val="FigureTitle"/>
            </w:pPr>
            <w:r w:rsidRPr="00784A05">
              <w:rPr>
                <w:b w:val="0"/>
              </w:rPr>
              <w:t xml:space="preserve">Figure </w:t>
            </w:r>
            <w:r>
              <w:rPr>
                <w:b w:val="0"/>
              </w:rPr>
              <w:t>3.</w:t>
            </w:r>
            <w:r w:rsidR="005D73FF">
              <w:rPr>
                <w:b w:val="0"/>
              </w:rPr>
              <w:t>24</w:t>
            </w:r>
            <w:r>
              <w:tab/>
            </w:r>
            <w:r w:rsidRPr="007C2FD4">
              <w:t>Proportion of children developmentally vulnerable on one or more doma</w:t>
            </w:r>
            <w:r w:rsidR="00963CBA">
              <w:t xml:space="preserve">ins of the </w:t>
            </w:r>
            <w:proofErr w:type="spellStart"/>
            <w:r w:rsidR="00963CBA">
              <w:t>AEDC</w:t>
            </w:r>
            <w:proofErr w:type="spellEnd"/>
            <w:r w:rsidR="00963CBA">
              <w:t xml:space="preserve"> by </w:t>
            </w:r>
            <w:proofErr w:type="spellStart"/>
            <w:r w:rsidR="00963CBA">
              <w:t>ECEC</w:t>
            </w:r>
            <w:proofErr w:type="spellEnd"/>
            <w:r w:rsidR="00963CBA">
              <w:t xml:space="preserve"> experience</w:t>
            </w:r>
            <w:r w:rsidR="00934445">
              <w:t>, 2012</w:t>
            </w:r>
            <w:r w:rsidR="005F3158" w:rsidRPr="005F3158">
              <w:rPr>
                <w:rStyle w:val="NoteLabel"/>
                <w:b/>
              </w:rPr>
              <w:t>a</w:t>
            </w:r>
          </w:p>
        </w:tc>
      </w:tr>
      <w:tr w:rsidR="007C2FD4" w:rsidTr="00992176">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7C2FD4" w:rsidTr="00992176">
              <w:trPr>
                <w:jc w:val="center"/>
              </w:trPr>
              <w:tc>
                <w:tcPr>
                  <w:tcW w:w="5000" w:type="pct"/>
                  <w:tcBorders>
                    <w:top w:val="nil"/>
                    <w:bottom w:val="nil"/>
                  </w:tcBorders>
                </w:tcPr>
                <w:p w:rsidR="007C2FD4" w:rsidRDefault="00B337E3" w:rsidP="00992176">
                  <w:pPr>
                    <w:pStyle w:val="Figure"/>
                    <w:spacing w:before="60" w:after="60"/>
                  </w:pPr>
                  <w:r>
                    <w:rPr>
                      <w:noProof/>
                    </w:rPr>
                    <w:drawing>
                      <wp:inline distT="0" distB="0" distL="0" distR="0">
                        <wp:extent cx="5390515" cy="2679700"/>
                        <wp:effectExtent l="0" t="0" r="635" b="6350"/>
                        <wp:docPr id="25" name="Picture 25" descr="Figure 3.24 Proportion of children developmentally vulnerable on one or more domains of the AEDC by ECEC experience, 2012&#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5390515" cy="2679700"/>
                                </a:xfrm>
                                <a:prstGeom prst="rect">
                                  <a:avLst/>
                                </a:prstGeom>
                                <a:noFill/>
                                <a:ln>
                                  <a:noFill/>
                                </a:ln>
                              </pic:spPr>
                            </pic:pic>
                          </a:graphicData>
                        </a:graphic>
                      </wp:inline>
                    </w:drawing>
                  </w:r>
                </w:p>
              </w:tc>
            </w:tr>
          </w:tbl>
          <w:p w:rsidR="007C2FD4" w:rsidRDefault="007C2FD4" w:rsidP="00992176">
            <w:pPr>
              <w:pStyle w:val="Figure"/>
            </w:pPr>
          </w:p>
        </w:tc>
        <w:bookmarkStart w:id="79" w:name="_GoBack"/>
        <w:bookmarkEnd w:id="79"/>
      </w:tr>
      <w:tr w:rsidR="007C2FD4" w:rsidRPr="00176D3F" w:rsidTr="007116F0">
        <w:tc>
          <w:tcPr>
            <w:tcW w:w="8771" w:type="dxa"/>
            <w:tcBorders>
              <w:top w:val="nil"/>
              <w:left w:val="nil"/>
              <w:bottom w:val="nil"/>
              <w:right w:val="nil"/>
            </w:tcBorders>
            <w:shd w:val="clear" w:color="auto" w:fill="auto"/>
          </w:tcPr>
          <w:p w:rsidR="007C2FD4" w:rsidRPr="00176D3F" w:rsidRDefault="007C2FD4" w:rsidP="00BC7EC6">
            <w:pPr>
              <w:pStyle w:val="Note"/>
            </w:pPr>
            <w:r>
              <w:rPr>
                <w:rStyle w:val="NoteLabel"/>
              </w:rPr>
              <w:t>a</w:t>
            </w:r>
            <w:r>
              <w:t> </w:t>
            </w:r>
            <w:r w:rsidR="008E37F0">
              <w:rPr>
                <w:rStyle w:val="NoteChar"/>
              </w:rPr>
              <w:t>See box</w:t>
            </w:r>
            <w:r w:rsidR="00697D43">
              <w:rPr>
                <w:rStyle w:val="NoteChar"/>
              </w:rPr>
              <w:t> </w:t>
            </w:r>
            <w:r w:rsidR="008E37F0">
              <w:rPr>
                <w:rStyle w:val="NoteChar"/>
              </w:rPr>
              <w:t>3.27</w:t>
            </w:r>
            <w:r w:rsidR="008E37F0" w:rsidRPr="00AA1455">
              <w:rPr>
                <w:rStyle w:val="NoteChar"/>
              </w:rPr>
              <w:t xml:space="preserve"> and table</w:t>
            </w:r>
            <w:r w:rsidR="00697D43">
              <w:rPr>
                <w:rStyle w:val="NoteChar"/>
              </w:rPr>
              <w:t> </w:t>
            </w:r>
            <w:proofErr w:type="spellStart"/>
            <w:r w:rsidR="008E37F0" w:rsidRPr="00AA1455">
              <w:rPr>
                <w:rStyle w:val="NoteChar"/>
              </w:rPr>
              <w:t>3A.</w:t>
            </w:r>
            <w:r w:rsidR="008E37F0">
              <w:rPr>
                <w:rStyle w:val="NoteChar"/>
              </w:rPr>
              <w:t>77</w:t>
            </w:r>
            <w:proofErr w:type="spellEnd"/>
            <w:r w:rsidR="008E37F0" w:rsidRPr="00AA1455">
              <w:rPr>
                <w:rStyle w:val="NoteChar"/>
              </w:rPr>
              <w:t xml:space="preserve"> for </w:t>
            </w:r>
            <w:r w:rsidR="00937F53">
              <w:rPr>
                <w:rStyle w:val="NoteChar"/>
              </w:rPr>
              <w:t>detailed definitions, footnotes and caveats.</w:t>
            </w:r>
          </w:p>
        </w:tc>
      </w:tr>
      <w:tr w:rsidR="007C2FD4" w:rsidRPr="00176D3F" w:rsidTr="00992176">
        <w:tc>
          <w:tcPr>
            <w:tcW w:w="8771" w:type="dxa"/>
            <w:tcBorders>
              <w:top w:val="nil"/>
              <w:left w:val="nil"/>
              <w:bottom w:val="nil"/>
              <w:right w:val="nil"/>
            </w:tcBorders>
            <w:shd w:val="clear" w:color="auto" w:fill="auto"/>
          </w:tcPr>
          <w:p w:rsidR="007C2FD4" w:rsidRPr="00176D3F" w:rsidRDefault="007C2FD4" w:rsidP="00992176">
            <w:pPr>
              <w:pStyle w:val="Source"/>
            </w:pPr>
            <w:r>
              <w:rPr>
                <w:i/>
              </w:rPr>
              <w:t>S</w:t>
            </w:r>
            <w:r w:rsidRPr="00784A05">
              <w:rPr>
                <w:i/>
              </w:rPr>
              <w:t>ource</w:t>
            </w:r>
            <w:r w:rsidRPr="00176D3F">
              <w:t xml:space="preserve">: </w:t>
            </w:r>
            <w:r w:rsidR="00E558BD">
              <w:t xml:space="preserve">Australian Government </w:t>
            </w:r>
            <w:r>
              <w:t xml:space="preserve">Department of Education </w:t>
            </w:r>
            <w:r w:rsidR="00D40CCF">
              <w:t xml:space="preserve">and Training </w:t>
            </w:r>
            <w:r>
              <w:t xml:space="preserve">(unpublished) </w:t>
            </w:r>
            <w:r w:rsidRPr="00975D63">
              <w:rPr>
                <w:i/>
              </w:rPr>
              <w:t>Australian Early Development Census 2012</w:t>
            </w:r>
            <w:r>
              <w:t xml:space="preserve">; </w:t>
            </w:r>
            <w:r w:rsidRPr="007460CF">
              <w:t>table</w:t>
            </w:r>
            <w:r w:rsidR="00697D43">
              <w:t> </w:t>
            </w:r>
            <w:proofErr w:type="spellStart"/>
            <w:r w:rsidR="00C42F50">
              <w:t>3A.77</w:t>
            </w:r>
            <w:proofErr w:type="spellEnd"/>
            <w:r w:rsidR="007460CF">
              <w:t>.</w:t>
            </w:r>
          </w:p>
        </w:tc>
      </w:tr>
      <w:tr w:rsidR="007C2FD4" w:rsidTr="00992176">
        <w:tc>
          <w:tcPr>
            <w:tcW w:w="8771" w:type="dxa"/>
            <w:tcBorders>
              <w:top w:val="nil"/>
              <w:left w:val="nil"/>
              <w:bottom w:val="single" w:sz="6" w:space="0" w:color="78A22F"/>
              <w:right w:val="nil"/>
            </w:tcBorders>
            <w:shd w:val="clear" w:color="auto" w:fill="auto"/>
          </w:tcPr>
          <w:p w:rsidR="007C2FD4" w:rsidRDefault="007C2FD4" w:rsidP="00992176">
            <w:pPr>
              <w:pStyle w:val="Figurespace"/>
            </w:pPr>
          </w:p>
        </w:tc>
      </w:tr>
      <w:tr w:rsidR="007C2FD4" w:rsidRPr="000863A5" w:rsidTr="00992176">
        <w:tc>
          <w:tcPr>
            <w:tcW w:w="8771" w:type="dxa"/>
            <w:tcBorders>
              <w:top w:val="single" w:sz="6" w:space="0" w:color="78A22F"/>
              <w:left w:val="nil"/>
              <w:bottom w:val="nil"/>
              <w:right w:val="nil"/>
            </w:tcBorders>
          </w:tcPr>
          <w:p w:rsidR="007C2FD4" w:rsidRPr="00626D32" w:rsidRDefault="007C2FD4" w:rsidP="00992176">
            <w:pPr>
              <w:pStyle w:val="BoxSpaceBelow"/>
            </w:pPr>
          </w:p>
        </w:tc>
      </w:tr>
    </w:tbl>
    <w:p w:rsidR="00F11B78" w:rsidRDefault="00C7592A" w:rsidP="00BD4A96">
      <w:pPr>
        <w:pStyle w:val="BodyText"/>
      </w:pPr>
      <w:r>
        <w:t>Further measures may be developed in the future using</w:t>
      </w:r>
      <w:r w:rsidR="00F75EDB" w:rsidRPr="00F75EDB">
        <w:t xml:space="preserve"> data from the Longitudinal Study of Australian Children</w:t>
      </w:r>
      <w:r w:rsidR="000F37B1">
        <w:t xml:space="preserve"> (</w:t>
      </w:r>
      <w:proofErr w:type="spellStart"/>
      <w:r w:rsidR="000F37B1">
        <w:t>LSAC</w:t>
      </w:r>
      <w:proofErr w:type="spellEnd"/>
      <w:r w:rsidR="000F37B1">
        <w:t>)</w:t>
      </w:r>
      <w:r w:rsidR="00EF2CE2">
        <w:t xml:space="preserve"> </w:t>
      </w:r>
      <w:r w:rsidR="00F75EDB" w:rsidRPr="00F75EDB">
        <w:t>(</w:t>
      </w:r>
      <w:r w:rsidR="0044573C" w:rsidRPr="00430F3F">
        <w:t>box</w:t>
      </w:r>
      <w:r w:rsidR="00E37C38" w:rsidRPr="00430F3F">
        <w:t> </w:t>
      </w:r>
      <w:r w:rsidR="00923A1C" w:rsidRPr="00430F3F">
        <w:t>3</w:t>
      </w:r>
      <w:r w:rsidR="00E558BD" w:rsidRPr="00430F3F">
        <w:t>.</w:t>
      </w:r>
      <w:r w:rsidR="00AD7B15">
        <w:t>29</w:t>
      </w:r>
      <w:r w:rsidR="00F75EDB" w:rsidRPr="00430F3F">
        <w:t>)</w:t>
      </w:r>
      <w:r w:rsidRPr="00430F3F">
        <w:t>.</w:t>
      </w:r>
    </w:p>
    <w:p w:rsidR="00E558BD" w:rsidRDefault="00E558BD" w:rsidP="00BD4A96">
      <w:pPr>
        <w:pStyle w:val="BodyText"/>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E558BD" w:rsidTr="00DB16AF">
        <w:tc>
          <w:tcPr>
            <w:tcW w:w="8771" w:type="dxa"/>
            <w:tcBorders>
              <w:top w:val="single" w:sz="6" w:space="0" w:color="78A22F"/>
              <w:left w:val="nil"/>
              <w:bottom w:val="nil"/>
              <w:right w:val="nil"/>
            </w:tcBorders>
            <w:shd w:val="clear" w:color="auto" w:fill="F2F2F2"/>
          </w:tcPr>
          <w:p w:rsidR="00E558BD" w:rsidRDefault="00E558BD" w:rsidP="000139A7">
            <w:pPr>
              <w:pStyle w:val="BoxTitle"/>
            </w:pPr>
            <w:r>
              <w:rPr>
                <w:b w:val="0"/>
              </w:rPr>
              <w:t xml:space="preserve">Box </w:t>
            </w:r>
            <w:r w:rsidR="000139A7">
              <w:rPr>
                <w:b w:val="0"/>
              </w:rPr>
              <w:t>3.</w:t>
            </w:r>
            <w:r w:rsidR="00AD7B15">
              <w:rPr>
                <w:b w:val="0"/>
              </w:rPr>
              <w:t>29</w:t>
            </w:r>
            <w:r>
              <w:tab/>
            </w:r>
            <w:r w:rsidRPr="00F75EDB">
              <w:t>Longitudinal Study of Australian Children</w:t>
            </w:r>
          </w:p>
        </w:tc>
      </w:tr>
      <w:tr w:rsidR="00E558BD" w:rsidTr="00DB16AF">
        <w:trPr>
          <w:cantSplit/>
        </w:trPr>
        <w:tc>
          <w:tcPr>
            <w:tcW w:w="8771" w:type="dxa"/>
            <w:tcBorders>
              <w:top w:val="nil"/>
              <w:left w:val="nil"/>
              <w:bottom w:val="nil"/>
              <w:right w:val="nil"/>
            </w:tcBorders>
            <w:shd w:val="clear" w:color="auto" w:fill="F2F2F2"/>
          </w:tcPr>
          <w:p w:rsidR="00E558BD" w:rsidRDefault="00E558BD" w:rsidP="00E558BD">
            <w:pPr>
              <w:pStyle w:val="Box"/>
            </w:pPr>
            <w:r>
              <w:t xml:space="preserve">The </w:t>
            </w:r>
            <w:proofErr w:type="spellStart"/>
            <w:r w:rsidR="003A0F2E">
              <w:t>LSAC</w:t>
            </w:r>
            <w:proofErr w:type="spellEnd"/>
            <w:r>
              <w:t xml:space="preserve"> is a longitudinal study on a cohort of children that aims to examine the impact of Australia’s unique social, economic and cultural environment on children growing up in Australia today (</w:t>
            </w:r>
            <w:proofErr w:type="spellStart"/>
            <w:r>
              <w:t>AIFS</w:t>
            </w:r>
            <w:proofErr w:type="spellEnd"/>
            <w:r>
              <w:t> </w:t>
            </w:r>
            <w:proofErr w:type="spellStart"/>
            <w:r>
              <w:t>2005a</w:t>
            </w:r>
            <w:proofErr w:type="spellEnd"/>
            <w:r>
              <w:t>).</w:t>
            </w:r>
            <w:r w:rsidR="00A70A11">
              <w:t xml:space="preserve"> </w:t>
            </w:r>
            <w:r>
              <w:t xml:space="preserve">The </w:t>
            </w:r>
            <w:proofErr w:type="spellStart"/>
            <w:r>
              <w:t>LSAC</w:t>
            </w:r>
            <w:proofErr w:type="spellEnd"/>
            <w:r>
              <w:t xml:space="preserve"> was initiated and is funded by the Department of Social Services, with the Australian Institute of Family Studies (</w:t>
            </w:r>
            <w:proofErr w:type="spellStart"/>
            <w:r>
              <w:t>AIFS</w:t>
            </w:r>
            <w:proofErr w:type="spellEnd"/>
            <w:r>
              <w:t>) having responsibility for the design and management of the study.</w:t>
            </w:r>
          </w:p>
          <w:p w:rsidR="00E558BD" w:rsidRPr="00446999" w:rsidRDefault="00E558BD" w:rsidP="00E558BD">
            <w:pPr>
              <w:pStyle w:val="Box"/>
            </w:pPr>
            <w:r>
              <w:t xml:space="preserve">During 2004, the study recruited a sample of 5107 infants (children aged 0–1 year at the time) and 4983 children (children aged 4–5 years at the time) (see </w:t>
            </w:r>
            <w:proofErr w:type="spellStart"/>
            <w:r>
              <w:t>AIFS</w:t>
            </w:r>
            <w:proofErr w:type="spellEnd"/>
            <w:r>
              <w:t xml:space="preserve"> </w:t>
            </w:r>
            <w:proofErr w:type="spellStart"/>
            <w:r>
              <w:t>2005a</w:t>
            </w:r>
            <w:proofErr w:type="spellEnd"/>
            <w:r>
              <w:t xml:space="preserve"> for more details).</w:t>
            </w:r>
          </w:p>
          <w:p w:rsidR="00E558BD" w:rsidRPr="00446999" w:rsidRDefault="00E558BD" w:rsidP="00E558BD">
            <w:pPr>
              <w:pStyle w:val="BoxHeading2"/>
            </w:pPr>
            <w:proofErr w:type="spellStart"/>
            <w:r w:rsidRPr="00446999">
              <w:t>LSAC</w:t>
            </w:r>
            <w:proofErr w:type="spellEnd"/>
            <w:r w:rsidRPr="00446999">
              <w:t xml:space="preserve"> and outcomes for children</w:t>
            </w:r>
          </w:p>
          <w:p w:rsidR="00E558BD" w:rsidRDefault="00E558BD" w:rsidP="00E558BD">
            <w:pPr>
              <w:pStyle w:val="Box"/>
            </w:pPr>
            <w:r>
              <w:t xml:space="preserve">The </w:t>
            </w:r>
            <w:proofErr w:type="spellStart"/>
            <w:r>
              <w:t>LSAC</w:t>
            </w:r>
            <w:proofErr w:type="spellEnd"/>
            <w:r>
              <w:t xml:space="preserve"> Outcome Index, attached to each infant and child in the study, is a composite measure that indicates how children are developing across physical, social/emotional and learning domains of competence. It provides a means of summarising the development of children across multiple domains and, wherever possible, incorporates both positive and negative outcomes (see </w:t>
            </w:r>
            <w:proofErr w:type="spellStart"/>
            <w:r>
              <w:t>AIFS</w:t>
            </w:r>
            <w:proofErr w:type="spellEnd"/>
            <w:r>
              <w:t xml:space="preserve"> </w:t>
            </w:r>
            <w:proofErr w:type="spellStart"/>
            <w:r>
              <w:t>2005b</w:t>
            </w:r>
            <w:proofErr w:type="spellEnd"/>
            <w:r>
              <w:t xml:space="preserve"> for more details).</w:t>
            </w:r>
          </w:p>
          <w:p w:rsidR="00E558BD" w:rsidRDefault="00E558BD" w:rsidP="002D613A">
            <w:pPr>
              <w:pStyle w:val="Box"/>
            </w:pPr>
            <w:r>
              <w:t xml:space="preserve">The </w:t>
            </w:r>
            <w:proofErr w:type="spellStart"/>
            <w:r>
              <w:t>LSAC</w:t>
            </w:r>
            <w:proofErr w:type="spellEnd"/>
            <w:r>
              <w:t xml:space="preserve"> Outcome Index is being investigated as a possible measure of the developmental outcomes of</w:t>
            </w:r>
            <w:r w:rsidR="007C734F">
              <w:t xml:space="preserve"> infants/children in child care and </w:t>
            </w:r>
            <w:r>
              <w:t>preschool, compared with those infants/chi</w:t>
            </w:r>
            <w:r w:rsidR="007C734F">
              <w:t xml:space="preserve">ldren who are not in child care or </w:t>
            </w:r>
            <w:r>
              <w:t>preschool.</w:t>
            </w:r>
          </w:p>
        </w:tc>
      </w:tr>
      <w:tr w:rsidR="00E558BD" w:rsidTr="00DB16AF">
        <w:trPr>
          <w:cantSplit/>
        </w:trPr>
        <w:tc>
          <w:tcPr>
            <w:tcW w:w="8771" w:type="dxa"/>
            <w:tcBorders>
              <w:top w:val="nil"/>
              <w:left w:val="nil"/>
              <w:bottom w:val="single" w:sz="6" w:space="0" w:color="78A22F"/>
              <w:right w:val="nil"/>
            </w:tcBorders>
            <w:shd w:val="clear" w:color="auto" w:fill="F2F2F2"/>
          </w:tcPr>
          <w:p w:rsidR="00E558BD" w:rsidRDefault="00E558BD">
            <w:pPr>
              <w:pStyle w:val="Box"/>
              <w:spacing w:before="0" w:line="120" w:lineRule="exact"/>
            </w:pPr>
          </w:p>
        </w:tc>
      </w:tr>
      <w:tr w:rsidR="00E558BD" w:rsidRPr="000863A5" w:rsidTr="00DB16AF">
        <w:tc>
          <w:tcPr>
            <w:tcW w:w="8771" w:type="dxa"/>
            <w:tcBorders>
              <w:top w:val="single" w:sz="6" w:space="0" w:color="78A22F"/>
              <w:left w:val="nil"/>
              <w:bottom w:val="nil"/>
              <w:right w:val="nil"/>
            </w:tcBorders>
          </w:tcPr>
          <w:p w:rsidR="00E558BD" w:rsidRPr="00626D32" w:rsidRDefault="00E558BD" w:rsidP="00DB16AF">
            <w:pPr>
              <w:pStyle w:val="BoxSpaceBelow"/>
            </w:pPr>
          </w:p>
        </w:tc>
      </w:tr>
    </w:tbl>
    <w:p w:rsidR="00AB10B9" w:rsidRDefault="00AB10B9" w:rsidP="009B11B2">
      <w:pPr>
        <w:pStyle w:val="Heading4"/>
      </w:pPr>
      <w:r>
        <w:lastRenderedPageBreak/>
        <w:t>Cost</w:t>
      </w:r>
      <w:r w:rsidR="00591959">
        <w:t xml:space="preserve"> </w:t>
      </w:r>
      <w:r>
        <w:t>effectiveness</w:t>
      </w:r>
    </w:p>
    <w:p w:rsidR="00AB10B9" w:rsidRDefault="00AB10B9" w:rsidP="00C3586E">
      <w:pPr>
        <w:pStyle w:val="BodyText"/>
      </w:pPr>
      <w:r w:rsidRPr="000B542E">
        <w:t>‘Cost</w:t>
      </w:r>
      <w:r w:rsidR="00591959">
        <w:t xml:space="preserve"> </w:t>
      </w:r>
      <w:r w:rsidRPr="000B542E">
        <w:t xml:space="preserve">effectiveness’ is an indicator of </w:t>
      </w:r>
      <w:proofErr w:type="spellStart"/>
      <w:r w:rsidR="0018407E">
        <w:t>ECEC</w:t>
      </w:r>
      <w:proofErr w:type="spellEnd"/>
      <w:r w:rsidR="00440AA3">
        <w:t xml:space="preserve"> </w:t>
      </w:r>
      <w:r>
        <w:t>being provided in an effective and efficient manner</w:t>
      </w:r>
      <w:r w:rsidRPr="000B542E">
        <w:t xml:space="preserve"> (</w:t>
      </w:r>
      <w:r w:rsidRPr="00430F3F">
        <w:t>box </w:t>
      </w:r>
      <w:r w:rsidR="00C335FD" w:rsidRPr="00430F3F">
        <w:t>3.</w:t>
      </w:r>
      <w:r w:rsidR="00AD7B15">
        <w:t>30</w:t>
      </w:r>
      <w:r w:rsidRPr="00430F3F">
        <w:t>).</w:t>
      </w:r>
    </w:p>
    <w:p w:rsidR="00E558BD" w:rsidRDefault="00E558BD">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E558BD" w:rsidTr="00DB16AF">
        <w:tc>
          <w:tcPr>
            <w:tcW w:w="8771" w:type="dxa"/>
            <w:tcBorders>
              <w:top w:val="single" w:sz="6" w:space="0" w:color="78A22F"/>
              <w:left w:val="nil"/>
              <w:bottom w:val="nil"/>
              <w:right w:val="nil"/>
            </w:tcBorders>
            <w:shd w:val="clear" w:color="auto" w:fill="F2F2F2"/>
          </w:tcPr>
          <w:p w:rsidR="00E558BD" w:rsidRDefault="00E558BD" w:rsidP="000139A7">
            <w:pPr>
              <w:pStyle w:val="BoxTitle"/>
            </w:pPr>
            <w:r>
              <w:rPr>
                <w:b w:val="0"/>
              </w:rPr>
              <w:t xml:space="preserve">Box </w:t>
            </w:r>
            <w:r w:rsidR="000139A7">
              <w:rPr>
                <w:b w:val="0"/>
              </w:rPr>
              <w:t>3.</w:t>
            </w:r>
            <w:bookmarkStart w:id="80" w:name="OLE_LINK31"/>
            <w:r w:rsidR="000139A7">
              <w:rPr>
                <w:b w:val="0"/>
              </w:rPr>
              <w:t>3</w:t>
            </w:r>
            <w:bookmarkEnd w:id="80"/>
            <w:r w:rsidR="00AD7B15">
              <w:rPr>
                <w:b w:val="0"/>
              </w:rPr>
              <w:t>0</w:t>
            </w:r>
            <w:r>
              <w:tab/>
              <w:t>Cost effectiveness</w:t>
            </w:r>
          </w:p>
        </w:tc>
      </w:tr>
      <w:tr w:rsidR="00E558BD" w:rsidTr="00DB16AF">
        <w:trPr>
          <w:cantSplit/>
        </w:trPr>
        <w:tc>
          <w:tcPr>
            <w:tcW w:w="8771" w:type="dxa"/>
            <w:tcBorders>
              <w:top w:val="nil"/>
              <w:left w:val="nil"/>
              <w:bottom w:val="nil"/>
              <w:right w:val="nil"/>
            </w:tcBorders>
            <w:shd w:val="clear" w:color="auto" w:fill="F2F2F2"/>
          </w:tcPr>
          <w:p w:rsidR="00E558BD" w:rsidRDefault="00E558BD" w:rsidP="00E558BD">
            <w:pPr>
              <w:pStyle w:val="Box"/>
            </w:pPr>
            <w:r>
              <w:t xml:space="preserve">‘Cost effectiveness’ is an indicator of governments’ objective to provide </w:t>
            </w:r>
            <w:proofErr w:type="spellStart"/>
            <w:r w:rsidR="0018407E">
              <w:t>ECEC</w:t>
            </w:r>
            <w:proofErr w:type="spellEnd"/>
            <w:r>
              <w:t xml:space="preserve"> in an effective and efficient manner. </w:t>
            </w:r>
          </w:p>
          <w:p w:rsidR="00E558BD" w:rsidRDefault="00E558BD" w:rsidP="00E558BD">
            <w:pPr>
              <w:pStyle w:val="Box"/>
            </w:pPr>
            <w:r>
              <w:t>This indicator has been identified for development and reporting in future. Dat</w:t>
            </w:r>
            <w:r w:rsidR="00AD5D95">
              <w:t>a are not available for the 2016</w:t>
            </w:r>
            <w:r>
              <w:t xml:space="preserve"> Report.</w:t>
            </w:r>
          </w:p>
        </w:tc>
      </w:tr>
      <w:tr w:rsidR="00E558BD" w:rsidTr="00DB16AF">
        <w:trPr>
          <w:cantSplit/>
        </w:trPr>
        <w:tc>
          <w:tcPr>
            <w:tcW w:w="8771" w:type="dxa"/>
            <w:tcBorders>
              <w:top w:val="nil"/>
              <w:left w:val="nil"/>
              <w:bottom w:val="single" w:sz="6" w:space="0" w:color="78A22F"/>
              <w:right w:val="nil"/>
            </w:tcBorders>
            <w:shd w:val="clear" w:color="auto" w:fill="F2F2F2"/>
          </w:tcPr>
          <w:p w:rsidR="00E558BD" w:rsidRDefault="00E558BD">
            <w:pPr>
              <w:pStyle w:val="Box"/>
              <w:spacing w:before="0" w:line="120" w:lineRule="exact"/>
            </w:pPr>
          </w:p>
        </w:tc>
      </w:tr>
      <w:tr w:rsidR="00E558BD" w:rsidRPr="000863A5" w:rsidTr="00DB16AF">
        <w:tc>
          <w:tcPr>
            <w:tcW w:w="8771" w:type="dxa"/>
            <w:tcBorders>
              <w:top w:val="single" w:sz="6" w:space="0" w:color="78A22F"/>
              <w:left w:val="nil"/>
              <w:bottom w:val="nil"/>
              <w:right w:val="nil"/>
            </w:tcBorders>
          </w:tcPr>
          <w:p w:rsidR="00E558BD" w:rsidRPr="00626D32" w:rsidRDefault="00E558BD" w:rsidP="00DB16AF">
            <w:pPr>
              <w:pStyle w:val="BoxSpaceBelow"/>
            </w:pPr>
          </w:p>
        </w:tc>
      </w:tr>
    </w:tbl>
    <w:p w:rsidR="00775BDF" w:rsidRDefault="00923A1C" w:rsidP="00C3586E">
      <w:pPr>
        <w:pStyle w:val="Heading2"/>
      </w:pPr>
      <w:bookmarkStart w:id="81" w:name="_Toc372900001"/>
      <w:r>
        <w:t>3.</w:t>
      </w:r>
      <w:r w:rsidR="002E4BE8">
        <w:rPr>
          <w:noProof/>
        </w:rPr>
        <w:t>4</w:t>
      </w:r>
      <w:r w:rsidR="00775BDF">
        <w:tab/>
      </w:r>
      <w:r w:rsidR="00775BDF" w:rsidRPr="000B542E">
        <w:t>Future directions in performance reporting</w:t>
      </w:r>
      <w:bookmarkEnd w:id="81"/>
    </w:p>
    <w:p w:rsidR="000B542E" w:rsidRDefault="000B542E" w:rsidP="00C3586E">
      <w:pPr>
        <w:pStyle w:val="Heading3"/>
      </w:pPr>
      <w:r w:rsidRPr="000B542E">
        <w:t>Improving reporting of existing indicators</w:t>
      </w:r>
    </w:p>
    <w:p w:rsidR="0037252E" w:rsidRPr="00F80E64" w:rsidRDefault="000B542E" w:rsidP="00171F72">
      <w:pPr>
        <w:pStyle w:val="BodyText"/>
      </w:pPr>
      <w:r w:rsidRPr="00F80E64">
        <w:t>Further work is planned to improve the consistency and comparability of performance information across jurisdictions</w:t>
      </w:r>
      <w:r w:rsidR="00C84041" w:rsidRPr="00F80E64">
        <w:t>.</w:t>
      </w:r>
      <w:r w:rsidR="00186A79" w:rsidRPr="00F80E64">
        <w:t xml:space="preserve"> Pos</w:t>
      </w:r>
      <w:r w:rsidR="00F06C8A" w:rsidRPr="00F80E64">
        <w:t xml:space="preserve">sible improvements </w:t>
      </w:r>
      <w:r w:rsidR="00DB57CA" w:rsidRPr="00F80E64">
        <w:t xml:space="preserve">in data quality </w:t>
      </w:r>
      <w:r w:rsidR="00F06C8A" w:rsidRPr="00F80E64">
        <w:t xml:space="preserve">may occur from </w:t>
      </w:r>
      <w:r w:rsidR="00186A79" w:rsidRPr="00F80E64">
        <w:t xml:space="preserve">future developments </w:t>
      </w:r>
      <w:r w:rsidR="007C734F" w:rsidRPr="00F80E64">
        <w:t xml:space="preserve">in the </w:t>
      </w:r>
      <w:proofErr w:type="spellStart"/>
      <w:r w:rsidR="007C734F" w:rsidRPr="00F80E64">
        <w:t>NECECC</w:t>
      </w:r>
      <w:proofErr w:type="spellEnd"/>
      <w:r w:rsidR="00F06C8A" w:rsidRPr="00F80E64">
        <w:t xml:space="preserve"> and an increasing proportion of approved services assessed and rated against the </w:t>
      </w:r>
      <w:proofErr w:type="spellStart"/>
      <w:r w:rsidR="00F06C8A" w:rsidRPr="00F80E64">
        <w:t>NQS</w:t>
      </w:r>
      <w:proofErr w:type="spellEnd"/>
      <w:r w:rsidR="00F06C8A" w:rsidRPr="00F80E64">
        <w:t>.</w:t>
      </w:r>
    </w:p>
    <w:p w:rsidR="000B542E" w:rsidRPr="00C274FE" w:rsidRDefault="000B542E" w:rsidP="00C3586E">
      <w:pPr>
        <w:pStyle w:val="Heading3"/>
      </w:pPr>
      <w:r w:rsidRPr="00C274FE">
        <w:t>Future indicator development</w:t>
      </w:r>
    </w:p>
    <w:p w:rsidR="0037252E" w:rsidRPr="00D6543A" w:rsidRDefault="000B542E" w:rsidP="00D6543A">
      <w:pPr>
        <w:pStyle w:val="BodyText"/>
      </w:pPr>
      <w:r w:rsidRPr="003F5A83">
        <w:t xml:space="preserve">The </w:t>
      </w:r>
      <w:r w:rsidR="002311C5">
        <w:t>Steering Committee</w:t>
      </w:r>
      <w:r w:rsidRPr="003F5A83">
        <w:t xml:space="preserve"> will </w:t>
      </w:r>
      <w:r w:rsidRPr="00D17AA6">
        <w:t>continue to improve the appropriateness and completeness of the performance indicator framework. Future wo</w:t>
      </w:r>
      <w:r w:rsidR="00D6543A">
        <w:t>rk on indicators will focus on:</w:t>
      </w:r>
    </w:p>
    <w:p w:rsidR="003F5A83" w:rsidRPr="008B42D1" w:rsidRDefault="0037252E" w:rsidP="00471D41">
      <w:pPr>
        <w:pStyle w:val="ListBullet"/>
      </w:pPr>
      <w:r w:rsidRPr="00D6543A">
        <w:t>reporting</w:t>
      </w:r>
      <w:r w:rsidR="003F5A83" w:rsidRPr="00D6543A">
        <w:t xml:space="preserve"> on child care </w:t>
      </w:r>
      <w:r w:rsidR="00D17AA6" w:rsidRPr="00D6543A">
        <w:t>and pres</w:t>
      </w:r>
      <w:r w:rsidRPr="00D6543A">
        <w:t xml:space="preserve">chool service </w:t>
      </w:r>
      <w:r w:rsidRPr="008B42D1">
        <w:t>availability</w:t>
      </w:r>
    </w:p>
    <w:p w:rsidR="00A4238E" w:rsidRPr="008B42D1" w:rsidRDefault="00A4238E" w:rsidP="00471D41">
      <w:pPr>
        <w:pStyle w:val="ListBullet"/>
      </w:pPr>
      <w:r w:rsidRPr="008B42D1">
        <w:t xml:space="preserve">developing indicators to measure the extent to which </w:t>
      </w:r>
      <w:proofErr w:type="spellStart"/>
      <w:r w:rsidR="0018407E">
        <w:t>ECEC</w:t>
      </w:r>
      <w:proofErr w:type="spellEnd"/>
      <w:r w:rsidRPr="008B42D1">
        <w:t xml:space="preserve"> services meet children’s needs</w:t>
      </w:r>
    </w:p>
    <w:p w:rsidR="00D6543A" w:rsidRPr="008B42D1" w:rsidRDefault="00D6543A" w:rsidP="00471D41">
      <w:pPr>
        <w:pStyle w:val="ListBullet"/>
      </w:pPr>
      <w:r w:rsidRPr="008B42D1">
        <w:t xml:space="preserve">developing a cost effectiveness indicator. </w:t>
      </w:r>
    </w:p>
    <w:p w:rsidR="00D17AA6" w:rsidRDefault="00D17AA6" w:rsidP="00171F72">
      <w:pPr>
        <w:pStyle w:val="BodyText"/>
      </w:pPr>
      <w:r>
        <w:t>Data developments in future reports may be influenced by:</w:t>
      </w:r>
    </w:p>
    <w:p w:rsidR="00A70A11" w:rsidRDefault="00413A28" w:rsidP="00171F72">
      <w:pPr>
        <w:pStyle w:val="ListBullet"/>
      </w:pPr>
      <w:r w:rsidRPr="00990A6E">
        <w:t xml:space="preserve">developments under </w:t>
      </w:r>
      <w:r w:rsidR="00C567E0" w:rsidRPr="00990A6E">
        <w:t xml:space="preserve">the </w:t>
      </w:r>
      <w:r w:rsidR="00C567E0" w:rsidRPr="00990A6E">
        <w:rPr>
          <w:i/>
        </w:rPr>
        <w:t xml:space="preserve">National </w:t>
      </w:r>
      <w:r w:rsidR="00F27AEC" w:rsidRPr="00990A6E">
        <w:rPr>
          <w:i/>
        </w:rPr>
        <w:t xml:space="preserve">Information Agreement on </w:t>
      </w:r>
      <w:r w:rsidR="00C567E0" w:rsidRPr="00990A6E">
        <w:rPr>
          <w:i/>
        </w:rPr>
        <w:t>Early Childhood Education and Care</w:t>
      </w:r>
      <w:r w:rsidR="002D438E">
        <w:rPr>
          <w:i/>
        </w:rPr>
        <w:t xml:space="preserve"> </w:t>
      </w:r>
      <w:r w:rsidR="00200E05">
        <w:t xml:space="preserve">that commenced </w:t>
      </w:r>
      <w:r w:rsidR="00F12C6C" w:rsidRPr="00990A6E">
        <w:t>on 6</w:t>
      </w:r>
      <w:r w:rsidR="00172534">
        <w:t> </w:t>
      </w:r>
      <w:r w:rsidR="00F12C6C" w:rsidRPr="00990A6E">
        <w:t>November 2009</w:t>
      </w:r>
      <w:r w:rsidR="00C567E0" w:rsidRPr="00990A6E">
        <w:t>.</w:t>
      </w:r>
      <w:r w:rsidR="00C567E0" w:rsidRPr="00C567E0">
        <w:t xml:space="preserve"> The Agreement provides a framework for cooperation between the </w:t>
      </w:r>
      <w:r w:rsidR="00F12C6C">
        <w:t>Australian</w:t>
      </w:r>
      <w:r w:rsidR="00C567E0" w:rsidRPr="00C567E0">
        <w:t xml:space="preserve">, </w:t>
      </w:r>
      <w:r w:rsidR="00F12C6C">
        <w:t>S</w:t>
      </w:r>
      <w:r w:rsidR="00C567E0" w:rsidRPr="00C567E0">
        <w:t xml:space="preserve">tate and </w:t>
      </w:r>
      <w:r w:rsidR="00F12C6C">
        <w:t>T</w:t>
      </w:r>
      <w:r w:rsidR="00C567E0" w:rsidRPr="00C567E0">
        <w:t xml:space="preserve">erritory </w:t>
      </w:r>
      <w:r w:rsidR="00BF0A17">
        <w:t>g</w:t>
      </w:r>
      <w:r w:rsidR="00F12C6C">
        <w:t xml:space="preserve">overnments </w:t>
      </w:r>
      <w:r w:rsidR="00C567E0" w:rsidRPr="00C567E0">
        <w:t xml:space="preserve">and information agencies to develop the information base required for the </w:t>
      </w:r>
      <w:proofErr w:type="spellStart"/>
      <w:r w:rsidR="00C567E0" w:rsidRPr="00C567E0">
        <w:t>COAG</w:t>
      </w:r>
      <w:proofErr w:type="spellEnd"/>
      <w:r w:rsidR="00C567E0" w:rsidRPr="00C567E0">
        <w:t xml:space="preserve"> early childhood reform agenda </w:t>
      </w:r>
    </w:p>
    <w:p w:rsidR="00D31A45" w:rsidRPr="00503EF5" w:rsidRDefault="001B6ECF" w:rsidP="00503EF5">
      <w:pPr>
        <w:pStyle w:val="ListBullet"/>
        <w:rPr>
          <w:i/>
        </w:rPr>
      </w:pPr>
      <w:r w:rsidRPr="00A70A11">
        <w:rPr>
          <w:szCs w:val="26"/>
        </w:rPr>
        <w:t xml:space="preserve">developments under the </w:t>
      </w:r>
      <w:proofErr w:type="spellStart"/>
      <w:r w:rsidRPr="00A70A11">
        <w:rPr>
          <w:szCs w:val="26"/>
        </w:rPr>
        <w:t>COAG</w:t>
      </w:r>
      <w:proofErr w:type="spellEnd"/>
      <w:r w:rsidR="00332AE6" w:rsidRPr="00A70A11">
        <w:rPr>
          <w:szCs w:val="26"/>
        </w:rPr>
        <w:t xml:space="preserve"> agreed</w:t>
      </w:r>
      <w:r w:rsidRPr="00A70A11">
        <w:rPr>
          <w:szCs w:val="26"/>
        </w:rPr>
        <w:t xml:space="preserve"> </w:t>
      </w:r>
      <w:r w:rsidR="00C72D33" w:rsidRPr="00A70A11">
        <w:rPr>
          <w:szCs w:val="26"/>
        </w:rPr>
        <w:t>NP </w:t>
      </w:r>
      <w:proofErr w:type="spellStart"/>
      <w:r w:rsidR="006D58C8" w:rsidRPr="00A70A11">
        <w:rPr>
          <w:szCs w:val="26"/>
        </w:rPr>
        <w:t>NQAECEC</w:t>
      </w:r>
      <w:proofErr w:type="spellEnd"/>
      <w:r w:rsidR="001463FD">
        <w:rPr>
          <w:szCs w:val="26"/>
        </w:rPr>
        <w:t xml:space="preserve"> </w:t>
      </w:r>
      <w:r w:rsidR="002311C5">
        <w:t>development of o</w:t>
      </w:r>
      <w:r w:rsidR="00B57746">
        <w:t xml:space="preserve">ngoing </w:t>
      </w:r>
      <w:r w:rsidR="004C6B04">
        <w:t xml:space="preserve">national data </w:t>
      </w:r>
      <w:r w:rsidR="00B57746">
        <w:t>collections</w:t>
      </w:r>
      <w:r w:rsidR="00DB57CA">
        <w:t>,</w:t>
      </w:r>
      <w:r w:rsidR="00B57746">
        <w:t xml:space="preserve"> </w:t>
      </w:r>
      <w:r w:rsidR="00DB57CA">
        <w:t>including</w:t>
      </w:r>
      <w:r w:rsidR="004C6B04">
        <w:t xml:space="preserve"> </w:t>
      </w:r>
      <w:r w:rsidR="00B57746">
        <w:t>t</w:t>
      </w:r>
      <w:r w:rsidR="00294718" w:rsidRPr="009B01B3">
        <w:t xml:space="preserve">he </w:t>
      </w:r>
      <w:proofErr w:type="spellStart"/>
      <w:r w:rsidR="00294718" w:rsidRPr="009B01B3">
        <w:t>LSAC</w:t>
      </w:r>
      <w:proofErr w:type="spellEnd"/>
      <w:r w:rsidR="00294718" w:rsidRPr="009B01B3">
        <w:t xml:space="preserve"> </w:t>
      </w:r>
      <w:r w:rsidR="00B57746">
        <w:t>(</w:t>
      </w:r>
      <w:r w:rsidR="00B57746" w:rsidRPr="007C734F">
        <w:t>box </w:t>
      </w:r>
      <w:r w:rsidR="00AD7B15">
        <w:t>3.29</w:t>
      </w:r>
      <w:r w:rsidR="006B2A6D" w:rsidRPr="007C734F">
        <w:t>).</w:t>
      </w:r>
      <w:bookmarkStart w:id="82" w:name="OLE_LINK72"/>
      <w:bookmarkStart w:id="83" w:name="OLE_LINK15"/>
      <w:bookmarkStart w:id="84" w:name="_Toc372900003"/>
    </w:p>
    <w:p w:rsidR="00BD32BB" w:rsidRDefault="00923A1C" w:rsidP="00C3586E">
      <w:pPr>
        <w:pStyle w:val="Heading2"/>
      </w:pPr>
      <w:r>
        <w:lastRenderedPageBreak/>
        <w:t>3.</w:t>
      </w:r>
      <w:bookmarkEnd w:id="82"/>
      <w:bookmarkEnd w:id="83"/>
      <w:r w:rsidR="00D93BFE">
        <w:rPr>
          <w:noProof/>
        </w:rPr>
        <w:t>5</w:t>
      </w:r>
      <w:r w:rsidR="00BD32BB">
        <w:tab/>
      </w:r>
      <w:r w:rsidR="00BD32BB" w:rsidRPr="00BD32BB">
        <w:t>Definitions of key terms</w:t>
      </w:r>
      <w:bookmarkEnd w:id="84"/>
      <w:r w:rsidR="00BD44F7">
        <w:t xml:space="preserve"> </w:t>
      </w:r>
    </w:p>
    <w:p w:rsidR="00775BDF" w:rsidRPr="00775BDF" w:rsidRDefault="00775BDF" w:rsidP="00C3586E">
      <w:pPr>
        <w:pStyle w:val="BoxSpace"/>
      </w:pPr>
    </w:p>
    <w:tbl>
      <w:tblPr>
        <w:tblW w:w="8789" w:type="dxa"/>
        <w:tblInd w:w="108" w:type="dxa"/>
        <w:tblLayout w:type="fixed"/>
        <w:tblCellMar>
          <w:top w:w="28" w:type="dxa"/>
          <w:left w:w="57" w:type="dxa"/>
          <w:bottom w:w="28" w:type="dxa"/>
          <w:right w:w="57" w:type="dxa"/>
        </w:tblCellMar>
        <w:tblLook w:val="0000" w:firstRow="0" w:lastRow="0" w:firstColumn="0" w:lastColumn="0" w:noHBand="0" w:noVBand="0"/>
      </w:tblPr>
      <w:tblGrid>
        <w:gridCol w:w="2217"/>
        <w:gridCol w:w="6572"/>
      </w:tblGrid>
      <w:tr w:rsidR="00751E27" w:rsidRPr="00CC376D" w:rsidTr="0008693D">
        <w:trPr>
          <w:cantSplit/>
        </w:trPr>
        <w:tc>
          <w:tcPr>
            <w:tcW w:w="2217" w:type="dxa"/>
          </w:tcPr>
          <w:p w:rsidR="00751E27" w:rsidRPr="006B1681" w:rsidRDefault="00751E27" w:rsidP="00B7292C">
            <w:pPr>
              <w:pStyle w:val="TableBodyText"/>
              <w:jc w:val="left"/>
              <w:rPr>
                <w:b/>
              </w:rPr>
            </w:pPr>
            <w:r w:rsidRPr="006B1681">
              <w:rPr>
                <w:b/>
              </w:rPr>
              <w:t xml:space="preserve">Aboriginal and Torres Strait Islander children </w:t>
            </w:r>
          </w:p>
        </w:tc>
        <w:tc>
          <w:tcPr>
            <w:tcW w:w="6572" w:type="dxa"/>
          </w:tcPr>
          <w:p w:rsidR="00751E27" w:rsidRPr="006B1681" w:rsidRDefault="00751E27" w:rsidP="0008693D">
            <w:pPr>
              <w:pStyle w:val="TableBodyText"/>
              <w:jc w:val="left"/>
            </w:pPr>
            <w:r w:rsidRPr="0008693D">
              <w:t>Children of Aboriginal or Torres Strait Islander origin who self</w:t>
            </w:r>
            <w:r w:rsidR="007B063C" w:rsidRPr="0008693D">
              <w:noBreakHyphen/>
            </w:r>
            <w:r w:rsidRPr="0008693D">
              <w:t xml:space="preserve">identify or are identified by a parent or guardian to be of Aboriginal or Torres Strait Islander origin. Aboriginal and Torres Strait Islander children were previously reported as Indigenous children in </w:t>
            </w:r>
            <w:proofErr w:type="spellStart"/>
            <w:r w:rsidRPr="0008693D">
              <w:t>RoGS</w:t>
            </w:r>
            <w:proofErr w:type="spellEnd"/>
            <w:r w:rsidRPr="0008693D">
              <w:t>.</w:t>
            </w:r>
          </w:p>
        </w:tc>
      </w:tr>
      <w:tr w:rsidR="00751E27" w:rsidRPr="00CC376D" w:rsidTr="0008693D">
        <w:trPr>
          <w:cantSplit/>
        </w:trPr>
        <w:tc>
          <w:tcPr>
            <w:tcW w:w="2217" w:type="dxa"/>
          </w:tcPr>
          <w:p w:rsidR="00751E27" w:rsidRPr="006B1681" w:rsidRDefault="00751E27" w:rsidP="00FC4362">
            <w:pPr>
              <w:pStyle w:val="TableBodyText"/>
              <w:jc w:val="left"/>
              <w:rPr>
                <w:b/>
              </w:rPr>
            </w:pPr>
            <w:r w:rsidRPr="006B1681">
              <w:rPr>
                <w:b/>
              </w:rPr>
              <w:t>Administration expenditure</w:t>
            </w:r>
          </w:p>
        </w:tc>
        <w:tc>
          <w:tcPr>
            <w:tcW w:w="6572" w:type="dxa"/>
          </w:tcPr>
          <w:p w:rsidR="00751E27" w:rsidRPr="006B1681" w:rsidRDefault="00751E27" w:rsidP="0008693D">
            <w:pPr>
              <w:pStyle w:val="TableBodyText"/>
              <w:jc w:val="left"/>
            </w:pPr>
            <w:r w:rsidRPr="006B1681">
              <w:t>Administration expenditure includes all expenditure by the responsible departments associated with the provision of licensing, advice, policy development, grants administration and training services. Responsible departments include those departments that administer policy for, fund, and license/accredit child care and preschool services in each jurisdiction.</w:t>
            </w:r>
          </w:p>
        </w:tc>
      </w:tr>
      <w:tr w:rsidR="00751E27" w:rsidRPr="00CC376D" w:rsidTr="0008693D">
        <w:trPr>
          <w:cantSplit/>
        </w:trPr>
        <w:tc>
          <w:tcPr>
            <w:tcW w:w="2217" w:type="dxa"/>
          </w:tcPr>
          <w:p w:rsidR="00751E27" w:rsidRPr="006B1681" w:rsidRDefault="00751E27" w:rsidP="00B7292C">
            <w:pPr>
              <w:pStyle w:val="TableBodyText"/>
              <w:jc w:val="left"/>
              <w:rPr>
                <w:b/>
              </w:rPr>
            </w:pPr>
            <w:r w:rsidRPr="006B1681">
              <w:rPr>
                <w:b/>
              </w:rPr>
              <w:t xml:space="preserve">Budget Based Funded services </w:t>
            </w:r>
          </w:p>
        </w:tc>
        <w:tc>
          <w:tcPr>
            <w:tcW w:w="6572" w:type="dxa"/>
          </w:tcPr>
          <w:p w:rsidR="00515AB9" w:rsidRPr="006B1681" w:rsidRDefault="00515AB9" w:rsidP="0008693D">
            <w:pPr>
              <w:pStyle w:val="TableBodyText"/>
              <w:jc w:val="left"/>
            </w:pPr>
            <w:r w:rsidRPr="006B1681">
              <w:t xml:space="preserve">These services are part of the Australian Government’s Budget Based Funded </w:t>
            </w:r>
            <w:proofErr w:type="spellStart"/>
            <w:r w:rsidRPr="006B1681">
              <w:t>Programme</w:t>
            </w:r>
            <w:proofErr w:type="spellEnd"/>
            <w:r w:rsidRPr="006B1681">
              <w:t xml:space="preserve"> which provides an Australian Government contribution to the operational costs of child care and early learning and school aged care services in a limited number of approved locations. These services are predominantly located in regional, remote and Aboriginal and Torres Strait Islander communities where the market would otherwise fail to deliver services to meet the needs of children and their families. </w:t>
            </w:r>
          </w:p>
          <w:p w:rsidR="00515AB9" w:rsidRPr="006B1681" w:rsidRDefault="00515AB9" w:rsidP="0008693D">
            <w:pPr>
              <w:pStyle w:val="TableBodyText"/>
              <w:jc w:val="left"/>
            </w:pPr>
            <w:r w:rsidRPr="006B1681">
              <w:t xml:space="preserve">A range of service types are funded across Australia including crèches, mobile services, Multifunctional Aboriginal Children’s Services and </w:t>
            </w:r>
            <w:proofErr w:type="spellStart"/>
            <w:r w:rsidRPr="006B1681">
              <w:t>OSHC</w:t>
            </w:r>
            <w:proofErr w:type="spellEnd"/>
            <w:r w:rsidRPr="006B1681">
              <w:t xml:space="preserve"> services. Services reported as Budget Based Funded services are not approved to administer </w:t>
            </w:r>
            <w:proofErr w:type="spellStart"/>
            <w:r w:rsidRPr="006B1681">
              <w:t>CCB</w:t>
            </w:r>
            <w:proofErr w:type="spellEnd"/>
            <w:r w:rsidRPr="006B1681">
              <w:t xml:space="preserve"> on behalf of families. State and Territory governments may license or register Budget Based Funded services to operate.</w:t>
            </w:r>
          </w:p>
        </w:tc>
      </w:tr>
      <w:tr w:rsidR="00751E27" w:rsidRPr="00CC376D" w:rsidTr="0008693D">
        <w:trPr>
          <w:cantSplit/>
        </w:trPr>
        <w:tc>
          <w:tcPr>
            <w:tcW w:w="2217" w:type="dxa"/>
          </w:tcPr>
          <w:p w:rsidR="00751E27" w:rsidRPr="006B1681" w:rsidRDefault="00751E27" w:rsidP="00B7292C">
            <w:pPr>
              <w:pStyle w:val="TableBodyText"/>
              <w:jc w:val="left"/>
              <w:rPr>
                <w:b/>
              </w:rPr>
            </w:pPr>
            <w:r w:rsidRPr="006B1681">
              <w:rPr>
                <w:b/>
              </w:rPr>
              <w:t>Child Care Benefit (</w:t>
            </w:r>
            <w:proofErr w:type="spellStart"/>
            <w:r w:rsidRPr="006B1681">
              <w:rPr>
                <w:b/>
              </w:rPr>
              <w:t>CCB</w:t>
            </w:r>
            <w:proofErr w:type="spellEnd"/>
            <w:r w:rsidRPr="006B1681">
              <w:rPr>
                <w:b/>
              </w:rPr>
              <w:t xml:space="preserve">) approved </w:t>
            </w:r>
          </w:p>
        </w:tc>
        <w:tc>
          <w:tcPr>
            <w:tcW w:w="6572" w:type="dxa"/>
          </w:tcPr>
          <w:p w:rsidR="00751E27" w:rsidRPr="006B1681" w:rsidRDefault="00751E27" w:rsidP="0008693D">
            <w:pPr>
              <w:pStyle w:val="TableBodyText"/>
              <w:jc w:val="left"/>
            </w:pPr>
            <w:r w:rsidRPr="006B1681">
              <w:t>A child care service approved by the Australian Government to receive Child Care Benefit (</w:t>
            </w:r>
            <w:proofErr w:type="spellStart"/>
            <w:r w:rsidRPr="006B1681">
              <w:t>CCB</w:t>
            </w:r>
            <w:proofErr w:type="spellEnd"/>
            <w:r w:rsidRPr="006B1681">
              <w:t>) on behalf of families.</w:t>
            </w:r>
          </w:p>
        </w:tc>
      </w:tr>
      <w:tr w:rsidR="00751E27" w:rsidRPr="00CC376D" w:rsidTr="0008693D">
        <w:trPr>
          <w:cantSplit/>
        </w:trPr>
        <w:tc>
          <w:tcPr>
            <w:tcW w:w="2217" w:type="dxa"/>
          </w:tcPr>
          <w:p w:rsidR="00751E27" w:rsidRPr="006B1681" w:rsidRDefault="00751E27" w:rsidP="00FC4362">
            <w:pPr>
              <w:pStyle w:val="TableBodyText"/>
              <w:jc w:val="left"/>
              <w:rPr>
                <w:b/>
              </w:rPr>
            </w:pPr>
            <w:r w:rsidRPr="006B1681">
              <w:rPr>
                <w:b/>
              </w:rPr>
              <w:t>Child care services</w:t>
            </w:r>
          </w:p>
        </w:tc>
        <w:tc>
          <w:tcPr>
            <w:tcW w:w="6572" w:type="dxa"/>
          </w:tcPr>
          <w:p w:rsidR="00751E27" w:rsidRPr="006B1681" w:rsidRDefault="00751E27" w:rsidP="0008693D">
            <w:pPr>
              <w:pStyle w:val="TableBodyText"/>
              <w:jc w:val="left"/>
            </w:pPr>
            <w:r w:rsidRPr="006B1681">
              <w:t>The meeting of a child’s care, education and developmental needs by a person other than the child’s parent or guardian. The main type</w:t>
            </w:r>
            <w:r w:rsidR="00CC7BD7" w:rsidRPr="006B1681">
              <w:t xml:space="preserve">s of child care service are </w:t>
            </w:r>
            <w:r w:rsidRPr="006B1681">
              <w:t xml:space="preserve">long day care, family day care, </w:t>
            </w:r>
            <w:proofErr w:type="spellStart"/>
            <w:r w:rsidR="00A54883" w:rsidRPr="006B1681">
              <w:t>OSHC</w:t>
            </w:r>
            <w:proofErr w:type="spellEnd"/>
            <w:r w:rsidRPr="006B1681">
              <w:t xml:space="preserve"> (before/after school hours and ‘pupil free days’ care), vacation care, occasional care</w:t>
            </w:r>
            <w:r w:rsidR="00727330" w:rsidRPr="006B1681">
              <w:t>, other care and in home</w:t>
            </w:r>
            <w:r w:rsidRPr="006B1681">
              <w:t xml:space="preserve"> care</w:t>
            </w:r>
            <w:r w:rsidR="0069458A" w:rsidRPr="006B1681">
              <w:t>.</w:t>
            </w:r>
          </w:p>
        </w:tc>
      </w:tr>
      <w:tr w:rsidR="00751E27" w:rsidRPr="00CC376D" w:rsidTr="0008693D">
        <w:trPr>
          <w:cantSplit/>
        </w:trPr>
        <w:tc>
          <w:tcPr>
            <w:tcW w:w="2217" w:type="dxa"/>
          </w:tcPr>
          <w:p w:rsidR="00751E27" w:rsidRPr="006B1681" w:rsidRDefault="00751E27" w:rsidP="00FC4362">
            <w:pPr>
              <w:pStyle w:val="TableBodyText"/>
              <w:jc w:val="left"/>
              <w:rPr>
                <w:b/>
              </w:rPr>
            </w:pPr>
            <w:r w:rsidRPr="006B1681">
              <w:rPr>
                <w:b/>
              </w:rPr>
              <w:t>Children</w:t>
            </w:r>
          </w:p>
        </w:tc>
        <w:tc>
          <w:tcPr>
            <w:tcW w:w="6572" w:type="dxa"/>
          </w:tcPr>
          <w:p w:rsidR="00751E27" w:rsidRPr="006B1681" w:rsidRDefault="00751E27" w:rsidP="0008693D">
            <w:pPr>
              <w:pStyle w:val="TableBodyText"/>
              <w:jc w:val="left"/>
            </w:pPr>
            <w:r w:rsidRPr="006B1681">
              <w:t>All resident male and female Australians aged 12 years or younger at 30 June of each year (unless otherwise stated).</w:t>
            </w:r>
          </w:p>
        </w:tc>
      </w:tr>
      <w:tr w:rsidR="00751E27" w:rsidRPr="00CC376D" w:rsidTr="0008693D">
        <w:trPr>
          <w:cantSplit/>
        </w:trPr>
        <w:tc>
          <w:tcPr>
            <w:tcW w:w="2217" w:type="dxa"/>
          </w:tcPr>
          <w:p w:rsidR="00751E27" w:rsidRPr="006B1681" w:rsidRDefault="00751E27" w:rsidP="00FC4362">
            <w:pPr>
              <w:pStyle w:val="TableBodyText"/>
              <w:jc w:val="left"/>
              <w:rPr>
                <w:b/>
              </w:rPr>
            </w:pPr>
            <w:r w:rsidRPr="006B1681">
              <w:rPr>
                <w:b/>
              </w:rPr>
              <w:t>Children from low income families</w:t>
            </w:r>
          </w:p>
        </w:tc>
        <w:tc>
          <w:tcPr>
            <w:tcW w:w="6572" w:type="dxa"/>
          </w:tcPr>
          <w:p w:rsidR="00751E27" w:rsidRPr="006B1681" w:rsidRDefault="00A02DE1" w:rsidP="0008693D">
            <w:pPr>
              <w:pStyle w:val="TableBodyText"/>
              <w:jc w:val="left"/>
            </w:pPr>
            <w:r w:rsidRPr="006B1681">
              <w:t>Children in f</w:t>
            </w:r>
            <w:r w:rsidR="00623CB1" w:rsidRPr="006B1681">
              <w:t xml:space="preserve">amilies with gross income (excluding Family Tax Benefit) of less than the annual income threshold for receiving the maximum rate of </w:t>
            </w:r>
            <w:proofErr w:type="spellStart"/>
            <w:r w:rsidR="00623CB1" w:rsidRPr="006B1681">
              <w:t>CCB</w:t>
            </w:r>
            <w:proofErr w:type="spellEnd"/>
            <w:r w:rsidR="00623CB1" w:rsidRPr="006B1681">
              <w:t>.</w:t>
            </w:r>
          </w:p>
        </w:tc>
      </w:tr>
      <w:tr w:rsidR="00751E27" w:rsidRPr="00CC376D" w:rsidTr="0008693D">
        <w:trPr>
          <w:cantSplit/>
        </w:trPr>
        <w:tc>
          <w:tcPr>
            <w:tcW w:w="2217" w:type="dxa"/>
          </w:tcPr>
          <w:p w:rsidR="00751E27" w:rsidRPr="006B1681" w:rsidRDefault="00751E27" w:rsidP="00FC4362">
            <w:pPr>
              <w:pStyle w:val="TableBodyText"/>
              <w:jc w:val="left"/>
              <w:rPr>
                <w:b/>
              </w:rPr>
            </w:pPr>
            <w:r w:rsidRPr="006B1681">
              <w:rPr>
                <w:b/>
              </w:rPr>
              <w:t>Children from non</w:t>
            </w:r>
            <w:r w:rsidRPr="006B1681">
              <w:rPr>
                <w:b/>
              </w:rPr>
              <w:noBreakHyphen/>
              <w:t>English speaking backgrounds</w:t>
            </w:r>
          </w:p>
        </w:tc>
        <w:tc>
          <w:tcPr>
            <w:tcW w:w="6572" w:type="dxa"/>
          </w:tcPr>
          <w:p w:rsidR="00751E27" w:rsidRPr="006B1681" w:rsidRDefault="00751E27" w:rsidP="0008693D">
            <w:pPr>
              <w:pStyle w:val="TableBodyText"/>
              <w:jc w:val="left"/>
            </w:pPr>
            <w:r w:rsidRPr="006B1681">
              <w:t>Children living in situations where the main language spoken at home is not English.</w:t>
            </w:r>
          </w:p>
        </w:tc>
      </w:tr>
      <w:tr w:rsidR="00751E27" w:rsidRPr="00CC376D" w:rsidTr="0008693D">
        <w:trPr>
          <w:cantSplit/>
        </w:trPr>
        <w:tc>
          <w:tcPr>
            <w:tcW w:w="2217" w:type="dxa"/>
          </w:tcPr>
          <w:p w:rsidR="00751E27" w:rsidRPr="006B1681" w:rsidRDefault="00751E27" w:rsidP="00B7292C">
            <w:pPr>
              <w:pStyle w:val="TableBodyText"/>
              <w:jc w:val="left"/>
              <w:rPr>
                <w:b/>
              </w:rPr>
            </w:pPr>
            <w:r w:rsidRPr="006B1681">
              <w:rPr>
                <w:b/>
              </w:rPr>
              <w:t xml:space="preserve">Children with disability </w:t>
            </w:r>
          </w:p>
        </w:tc>
        <w:tc>
          <w:tcPr>
            <w:tcW w:w="6572" w:type="dxa"/>
          </w:tcPr>
          <w:p w:rsidR="00751E27" w:rsidRPr="006B1681" w:rsidRDefault="00751E27" w:rsidP="0008693D">
            <w:pPr>
              <w:pStyle w:val="TableBodyText"/>
              <w:jc w:val="left"/>
            </w:pPr>
            <w:r w:rsidRPr="006B1681">
              <w:t>A child that has a need for additional assistance in any of the following areas (learning and applying knowledge, education; communication; mobility; self</w:t>
            </w:r>
            <w:r w:rsidR="007B063C" w:rsidRPr="006B1681">
              <w:noBreakHyphen/>
            </w:r>
            <w:r w:rsidRPr="006B1681">
              <w:t>care; interpersonal interactions and relationships; other</w:t>
            </w:r>
            <w:r w:rsidR="007B063C" w:rsidRPr="006B1681">
              <w:noBreakHyphen/>
            </w:r>
            <w:r w:rsidRPr="006B1681">
              <w:t xml:space="preserve"> including general tasks, domestic life, community and social life) compared to children of a similar age, that is related to underlying long term health condition or disability (long term is longer than six months).</w:t>
            </w:r>
          </w:p>
        </w:tc>
      </w:tr>
      <w:tr w:rsidR="00B76BB5" w:rsidRPr="00CC376D" w:rsidTr="0008693D">
        <w:trPr>
          <w:cantSplit/>
        </w:trPr>
        <w:tc>
          <w:tcPr>
            <w:tcW w:w="2217" w:type="dxa"/>
            <w:shd w:val="clear" w:color="auto" w:fill="auto"/>
          </w:tcPr>
          <w:p w:rsidR="00B76BB5" w:rsidRPr="006B1681" w:rsidRDefault="00B76BB5" w:rsidP="00FC4362">
            <w:pPr>
              <w:pStyle w:val="TableBodyText"/>
              <w:jc w:val="left"/>
              <w:rPr>
                <w:b/>
              </w:rPr>
            </w:pPr>
            <w:r w:rsidRPr="006B1681">
              <w:rPr>
                <w:b/>
              </w:rPr>
              <w:t>Comparability</w:t>
            </w:r>
          </w:p>
        </w:tc>
        <w:tc>
          <w:tcPr>
            <w:tcW w:w="6572" w:type="dxa"/>
            <w:shd w:val="clear" w:color="auto" w:fill="auto"/>
          </w:tcPr>
          <w:p w:rsidR="00B76BB5" w:rsidRPr="006B1681" w:rsidRDefault="00B07910" w:rsidP="0008693D">
            <w:pPr>
              <w:pStyle w:val="TableBodyText"/>
              <w:jc w:val="left"/>
            </w:pPr>
            <w:r w:rsidRPr="006B1681">
              <w:t>Data are considered comparable if (subject to caveats) they can be used to inform an assessment of comparative performance. Typically, data are considered comparable when they are collected in the same way and in accordance with the same definitions. For comparable indicators or measures, significant differences in reported results allow an assessment of differences in performance, rather than being the result of anomalies in the data.</w:t>
            </w:r>
          </w:p>
        </w:tc>
      </w:tr>
      <w:tr w:rsidR="00B76BB5" w:rsidRPr="00CC376D" w:rsidTr="0008693D">
        <w:trPr>
          <w:cantSplit/>
        </w:trPr>
        <w:tc>
          <w:tcPr>
            <w:tcW w:w="2217" w:type="dxa"/>
            <w:shd w:val="clear" w:color="auto" w:fill="auto"/>
          </w:tcPr>
          <w:p w:rsidR="00B76BB5" w:rsidRPr="006B1681" w:rsidRDefault="00B76BB5" w:rsidP="00FC4362">
            <w:pPr>
              <w:pStyle w:val="TableBodyText"/>
              <w:jc w:val="left"/>
              <w:rPr>
                <w:b/>
              </w:rPr>
            </w:pPr>
            <w:r w:rsidRPr="006B1681">
              <w:rPr>
                <w:b/>
              </w:rPr>
              <w:t>Completeness</w:t>
            </w:r>
          </w:p>
        </w:tc>
        <w:tc>
          <w:tcPr>
            <w:tcW w:w="6572" w:type="dxa"/>
            <w:shd w:val="clear" w:color="auto" w:fill="auto"/>
          </w:tcPr>
          <w:p w:rsidR="00B76BB5" w:rsidRPr="006B1681" w:rsidRDefault="00B07910" w:rsidP="0008693D">
            <w:pPr>
              <w:pStyle w:val="TableBodyText"/>
              <w:jc w:val="left"/>
            </w:pPr>
            <w:r w:rsidRPr="006B1681">
              <w:t>Data are considered complete if all required data are available for all jurisdictions that provide the service.</w:t>
            </w:r>
          </w:p>
        </w:tc>
      </w:tr>
      <w:tr w:rsidR="00AD462F" w:rsidRPr="00CC376D" w:rsidTr="0008693D">
        <w:trPr>
          <w:cantSplit/>
        </w:trPr>
        <w:tc>
          <w:tcPr>
            <w:tcW w:w="2217" w:type="dxa"/>
          </w:tcPr>
          <w:p w:rsidR="00AD462F" w:rsidRPr="006B1681" w:rsidRDefault="00AD462F" w:rsidP="00FC4362">
            <w:pPr>
              <w:pStyle w:val="TableBodyText"/>
              <w:jc w:val="left"/>
              <w:rPr>
                <w:b/>
              </w:rPr>
            </w:pPr>
            <w:r w:rsidRPr="006B1681">
              <w:rPr>
                <w:b/>
              </w:rPr>
              <w:t>Family day care</w:t>
            </w:r>
          </w:p>
        </w:tc>
        <w:tc>
          <w:tcPr>
            <w:tcW w:w="6572" w:type="dxa"/>
          </w:tcPr>
          <w:p w:rsidR="00AD462F" w:rsidRPr="006B1681" w:rsidRDefault="00AD462F" w:rsidP="0008693D">
            <w:pPr>
              <w:pStyle w:val="TableBodyText"/>
              <w:jc w:val="left"/>
            </w:pPr>
            <w:r w:rsidRPr="006B1681">
              <w:t>Services providing small group early childhood education and care for children in the home environment of a registered carer. Family day care is primarily aimed at 0–5 year olds, but primary school children may also receive the service before and after school, and during school holidays. Staff work in partnership with scheme management and coordination unit staff.</w:t>
            </w:r>
          </w:p>
        </w:tc>
      </w:tr>
      <w:tr w:rsidR="00AD462F" w:rsidRPr="00CC376D" w:rsidTr="0008693D">
        <w:trPr>
          <w:cantSplit/>
        </w:trPr>
        <w:tc>
          <w:tcPr>
            <w:tcW w:w="2217" w:type="dxa"/>
          </w:tcPr>
          <w:p w:rsidR="00AD462F" w:rsidRPr="006B1681" w:rsidRDefault="00AD462F" w:rsidP="00FC4362">
            <w:pPr>
              <w:pStyle w:val="TableBodyText"/>
              <w:jc w:val="left"/>
              <w:rPr>
                <w:b/>
              </w:rPr>
            </w:pPr>
            <w:r w:rsidRPr="006B1681">
              <w:rPr>
                <w:b/>
              </w:rPr>
              <w:t>Financial support to families</w:t>
            </w:r>
          </w:p>
        </w:tc>
        <w:tc>
          <w:tcPr>
            <w:tcW w:w="6572" w:type="dxa"/>
          </w:tcPr>
          <w:p w:rsidR="00AD462F" w:rsidRPr="006B1681" w:rsidRDefault="00AD462F" w:rsidP="0008693D">
            <w:pPr>
              <w:pStyle w:val="TableBodyText"/>
              <w:jc w:val="left"/>
            </w:pPr>
            <w:r w:rsidRPr="006B1681">
              <w:t xml:space="preserve">Financial support to families includes any form of fee relief paid by governments to the users of </w:t>
            </w:r>
            <w:proofErr w:type="spellStart"/>
            <w:r w:rsidRPr="006B1681">
              <w:t>ECEC</w:t>
            </w:r>
            <w:proofErr w:type="spellEnd"/>
            <w:r w:rsidRPr="006B1681">
              <w:t xml:space="preserve"> services (for example, </w:t>
            </w:r>
            <w:proofErr w:type="spellStart"/>
            <w:r w:rsidRPr="006B1681">
              <w:t>CCB</w:t>
            </w:r>
            <w:proofErr w:type="spellEnd"/>
            <w:r w:rsidRPr="006B1681">
              <w:t>).</w:t>
            </w:r>
          </w:p>
        </w:tc>
      </w:tr>
      <w:tr w:rsidR="00AD462F" w:rsidRPr="00CC376D" w:rsidTr="0008693D">
        <w:trPr>
          <w:cantSplit/>
        </w:trPr>
        <w:tc>
          <w:tcPr>
            <w:tcW w:w="2217" w:type="dxa"/>
          </w:tcPr>
          <w:p w:rsidR="00AD462F" w:rsidRDefault="00AD462F" w:rsidP="00FC4362">
            <w:pPr>
              <w:pStyle w:val="TableBodyText"/>
              <w:jc w:val="left"/>
              <w:rPr>
                <w:b/>
              </w:rPr>
            </w:pPr>
            <w:r>
              <w:rPr>
                <w:b/>
              </w:rPr>
              <w:lastRenderedPageBreak/>
              <w:t>Formal child care</w:t>
            </w:r>
          </w:p>
        </w:tc>
        <w:tc>
          <w:tcPr>
            <w:tcW w:w="6572" w:type="dxa"/>
          </w:tcPr>
          <w:p w:rsidR="00AD462F" w:rsidRDefault="00AD462F" w:rsidP="0008693D">
            <w:pPr>
              <w:pStyle w:val="TableBodyText"/>
              <w:jc w:val="left"/>
            </w:pPr>
            <w:r>
              <w:t xml:space="preserve">Organised education and care provided by a person </w:t>
            </w:r>
            <w:r w:rsidRPr="009853D7">
              <w:t>other than the child’s parent or guardian, usually outside of the child’s h</w:t>
            </w:r>
            <w:r>
              <w:t xml:space="preserve">ome — includes, </w:t>
            </w:r>
            <w:r w:rsidRPr="009853D7">
              <w:t xml:space="preserve">long day care, family day care, </w:t>
            </w:r>
            <w:proofErr w:type="spellStart"/>
            <w:r>
              <w:t>OSHC</w:t>
            </w:r>
            <w:proofErr w:type="spellEnd"/>
            <w:r>
              <w:t xml:space="preserve">, vacation care, </w:t>
            </w:r>
            <w:r w:rsidRPr="009853D7">
              <w:t>occasion</w:t>
            </w:r>
            <w:r>
              <w:t>al care (excluding babysitting) , other care and in home care.</w:t>
            </w:r>
          </w:p>
        </w:tc>
      </w:tr>
      <w:tr w:rsidR="00AD462F" w:rsidRPr="00CC376D" w:rsidTr="0008693D">
        <w:trPr>
          <w:cantSplit/>
        </w:trPr>
        <w:tc>
          <w:tcPr>
            <w:tcW w:w="2217" w:type="dxa"/>
          </w:tcPr>
          <w:p w:rsidR="00AD462F" w:rsidRPr="00C941CD" w:rsidRDefault="00AD462F" w:rsidP="00FC4362">
            <w:pPr>
              <w:pStyle w:val="TableBodyText"/>
              <w:jc w:val="left"/>
              <w:rPr>
                <w:b/>
              </w:rPr>
            </w:pPr>
            <w:r w:rsidRPr="00C941CD">
              <w:rPr>
                <w:b/>
              </w:rPr>
              <w:t xml:space="preserve">Formal </w:t>
            </w:r>
            <w:r>
              <w:rPr>
                <w:b/>
              </w:rPr>
              <w:br/>
            </w:r>
            <w:r w:rsidRPr="00C941CD">
              <w:rPr>
                <w:b/>
              </w:rPr>
              <w:t>qualifications</w:t>
            </w:r>
          </w:p>
        </w:tc>
        <w:tc>
          <w:tcPr>
            <w:tcW w:w="6572" w:type="dxa"/>
          </w:tcPr>
          <w:p w:rsidR="00AD462F" w:rsidRPr="001D2CD0" w:rsidRDefault="00AD462F" w:rsidP="0008693D">
            <w:pPr>
              <w:pStyle w:val="TableBodyText"/>
              <w:jc w:val="left"/>
            </w:pPr>
            <w:r w:rsidRPr="001D2CD0">
              <w:t>Early childhood</w:t>
            </w:r>
            <w:r>
              <w:noBreakHyphen/>
            </w:r>
            <w:r w:rsidRPr="001D2CD0">
              <w:t>related teaching degree (three or four years), a child care certificate or associate diploma (two years) and/or other relevant qualifications (for example, a diploma or degree in child care [three years], primary teaching, other teaching, nursing [including mothercraft nursing], psychology and social work).</w:t>
            </w:r>
          </w:p>
        </w:tc>
      </w:tr>
      <w:tr w:rsidR="00AD462F" w:rsidRPr="00CC376D" w:rsidTr="0008693D">
        <w:trPr>
          <w:cantSplit/>
        </w:trPr>
        <w:tc>
          <w:tcPr>
            <w:tcW w:w="2217" w:type="dxa"/>
          </w:tcPr>
          <w:p w:rsidR="00AD462F" w:rsidRPr="00C941CD" w:rsidRDefault="00AD462F" w:rsidP="00FC4362">
            <w:pPr>
              <w:pStyle w:val="TableBodyText"/>
              <w:jc w:val="left"/>
            </w:pPr>
            <w:r w:rsidRPr="00C941CD">
              <w:rPr>
                <w:b/>
              </w:rPr>
              <w:t>Full time equivalent staff numbers</w:t>
            </w:r>
          </w:p>
        </w:tc>
        <w:tc>
          <w:tcPr>
            <w:tcW w:w="6572" w:type="dxa"/>
          </w:tcPr>
          <w:p w:rsidR="00AD462F" w:rsidRPr="00C941CD" w:rsidRDefault="00AD462F" w:rsidP="0008693D">
            <w:pPr>
              <w:pStyle w:val="TableBodyText"/>
              <w:jc w:val="left"/>
            </w:pPr>
            <w:r w:rsidRPr="001D2CD0">
              <w:t xml:space="preserve">A measure of the total level of staff resources used. A full time staff member is employed full time and engaged solely in activities that fall within </w:t>
            </w:r>
            <w:r>
              <w:t xml:space="preserve">the scope of </w:t>
            </w:r>
            <w:proofErr w:type="spellStart"/>
            <w:r>
              <w:t>ECEC</w:t>
            </w:r>
            <w:proofErr w:type="spellEnd"/>
            <w:r>
              <w:t xml:space="preserve"> services</w:t>
            </w:r>
            <w:r w:rsidRPr="001D2CD0">
              <w:t xml:space="preserve"> covered in the chapter. The full time equivalent of part time staff is calculated on the basis of the proportion of time spent on activities within the scope of the data collection compared with that spent by a full time staff member solely occupied by the same activities.</w:t>
            </w:r>
          </w:p>
        </w:tc>
      </w:tr>
      <w:tr w:rsidR="00AD462F" w:rsidRPr="00CC376D" w:rsidTr="0008693D">
        <w:trPr>
          <w:cantSplit/>
        </w:trPr>
        <w:tc>
          <w:tcPr>
            <w:tcW w:w="2217" w:type="dxa"/>
          </w:tcPr>
          <w:p w:rsidR="00AD462F" w:rsidRPr="00C941CD" w:rsidRDefault="00AD462F" w:rsidP="00C3586E">
            <w:pPr>
              <w:pStyle w:val="TableBodyText"/>
              <w:jc w:val="left"/>
            </w:pPr>
            <w:r>
              <w:rPr>
                <w:b/>
              </w:rPr>
              <w:t>Hospital separation</w:t>
            </w:r>
          </w:p>
        </w:tc>
        <w:tc>
          <w:tcPr>
            <w:tcW w:w="6572" w:type="dxa"/>
          </w:tcPr>
          <w:p w:rsidR="00AD462F" w:rsidRPr="00C941CD" w:rsidRDefault="00AD462F" w:rsidP="0008693D">
            <w:pPr>
              <w:pStyle w:val="TableBodyText"/>
              <w:jc w:val="left"/>
            </w:pPr>
            <w:r>
              <w:t>A</w:t>
            </w:r>
            <w:r w:rsidRPr="00581C9B">
              <w:t xml:space="preserve">n episode of care for a person admitted to a hospital. It can be a total hospital stay (from admission to discharge, transfer or death) or portions of hospital stays beginning or ending in a change of type of care (for example from acute to rehabilitation) that cease during a reference period. </w:t>
            </w:r>
          </w:p>
        </w:tc>
      </w:tr>
      <w:tr w:rsidR="00AD462F" w:rsidRPr="00CC376D" w:rsidTr="0008693D">
        <w:trPr>
          <w:cantSplit/>
        </w:trPr>
        <w:tc>
          <w:tcPr>
            <w:tcW w:w="2217" w:type="dxa"/>
          </w:tcPr>
          <w:p w:rsidR="00AD462F" w:rsidRPr="00C941CD" w:rsidRDefault="00AD462F" w:rsidP="00C3586E">
            <w:pPr>
              <w:pStyle w:val="TableBodyText"/>
              <w:jc w:val="left"/>
            </w:pPr>
            <w:r w:rsidRPr="00C941CD">
              <w:rPr>
                <w:b/>
              </w:rPr>
              <w:t xml:space="preserve">Informal child </w:t>
            </w:r>
            <w:r w:rsidRPr="00C941CD">
              <w:rPr>
                <w:b/>
              </w:rPr>
              <w:br/>
              <w:t>care</w:t>
            </w:r>
          </w:p>
        </w:tc>
        <w:tc>
          <w:tcPr>
            <w:tcW w:w="6572" w:type="dxa"/>
          </w:tcPr>
          <w:p w:rsidR="00AD462F" w:rsidRPr="00C941CD" w:rsidRDefault="00AD462F" w:rsidP="0008693D">
            <w:pPr>
              <w:pStyle w:val="TableBodyText"/>
              <w:jc w:val="left"/>
            </w:pPr>
            <w:r w:rsidRPr="00C941CD">
              <w:t xml:space="preserve">Child care arrangements provided privately (for example, by friends, relatives, nannies) for which no government assistance (other than </w:t>
            </w:r>
            <w:r>
              <w:t xml:space="preserve">the minimum rate of </w:t>
            </w:r>
            <w:proofErr w:type="spellStart"/>
            <w:r w:rsidRPr="00C941CD">
              <w:t>C</w:t>
            </w:r>
            <w:r>
              <w:t>CB</w:t>
            </w:r>
            <w:proofErr w:type="spellEnd"/>
            <w:r>
              <w:t xml:space="preserve"> for Registered Care</w:t>
            </w:r>
            <w:r w:rsidRPr="00C941CD">
              <w:t xml:space="preserve">) is provided. Such care is unregulated in most </w:t>
            </w:r>
            <w:r>
              <w:t>states and territories.</w:t>
            </w:r>
          </w:p>
        </w:tc>
      </w:tr>
      <w:tr w:rsidR="00AD462F" w:rsidRPr="00CC376D" w:rsidTr="0008693D">
        <w:trPr>
          <w:cantSplit/>
        </w:trPr>
        <w:tc>
          <w:tcPr>
            <w:tcW w:w="2217" w:type="dxa"/>
          </w:tcPr>
          <w:p w:rsidR="00AD462F" w:rsidRPr="00C941CD" w:rsidRDefault="00AD462F" w:rsidP="00C3586E">
            <w:pPr>
              <w:pStyle w:val="TableBodyText"/>
              <w:jc w:val="left"/>
            </w:pPr>
            <w:r w:rsidRPr="00C941CD">
              <w:rPr>
                <w:b/>
              </w:rPr>
              <w:t>In</w:t>
            </w:r>
            <w:r>
              <w:rPr>
                <w:b/>
              </w:rPr>
              <w:t xml:space="preserve"> </w:t>
            </w:r>
            <w:r w:rsidRPr="00C941CD">
              <w:rPr>
                <w:b/>
              </w:rPr>
              <w:t>home care</w:t>
            </w:r>
          </w:p>
        </w:tc>
        <w:tc>
          <w:tcPr>
            <w:tcW w:w="6572" w:type="dxa"/>
          </w:tcPr>
          <w:p w:rsidR="00AD462F" w:rsidRPr="00C941CD" w:rsidRDefault="00AD462F" w:rsidP="0008693D">
            <w:pPr>
              <w:pStyle w:val="TableBodyText"/>
              <w:jc w:val="left"/>
            </w:pPr>
            <w:r>
              <w:t>Education and c</w:t>
            </w:r>
            <w:r w:rsidRPr="00C941CD">
              <w:t xml:space="preserve">are </w:t>
            </w:r>
            <w:r>
              <w:t xml:space="preserve">service </w:t>
            </w:r>
            <w:r w:rsidRPr="00C941CD">
              <w:t>provided by an approved carer in the child’s home. Families eligible for in</w:t>
            </w:r>
            <w:r>
              <w:t xml:space="preserve"> </w:t>
            </w:r>
            <w:r w:rsidRPr="00C941CD">
              <w:t>home care include those where the parent(s) or child has an illness/disability, those in regional or remote areas, those where the parents are working shift work or non</w:t>
            </w:r>
            <w:r>
              <w:noBreakHyphen/>
            </w:r>
            <w:r w:rsidRPr="00C941CD">
              <w:t>standard hours, those with multiple births (more than two) and/or more than two children under school age, and those with a breastfeeding mother working from home.</w:t>
            </w:r>
          </w:p>
        </w:tc>
      </w:tr>
      <w:tr w:rsidR="00AD462F" w:rsidRPr="00CC376D" w:rsidTr="0008693D">
        <w:trPr>
          <w:cantSplit/>
        </w:trPr>
        <w:tc>
          <w:tcPr>
            <w:tcW w:w="2217" w:type="dxa"/>
          </w:tcPr>
          <w:p w:rsidR="00AD462F" w:rsidRPr="00C941CD" w:rsidRDefault="00AD462F" w:rsidP="00C3586E">
            <w:pPr>
              <w:pStyle w:val="TableBodyText"/>
              <w:jc w:val="left"/>
            </w:pPr>
            <w:r w:rsidRPr="00C941CD">
              <w:rPr>
                <w:b/>
              </w:rPr>
              <w:t>In</w:t>
            </w:r>
            <w:r>
              <w:rPr>
                <w:b/>
              </w:rPr>
              <w:noBreakHyphen/>
            </w:r>
            <w:r w:rsidRPr="00C941CD">
              <w:rPr>
                <w:b/>
              </w:rPr>
              <w:t>service training</w:t>
            </w:r>
          </w:p>
        </w:tc>
        <w:tc>
          <w:tcPr>
            <w:tcW w:w="6572" w:type="dxa"/>
          </w:tcPr>
          <w:p w:rsidR="00AD462F" w:rsidRDefault="00AD462F" w:rsidP="0008693D">
            <w:pPr>
              <w:pStyle w:val="TableBodyText"/>
              <w:jc w:val="left"/>
            </w:pPr>
            <w:r w:rsidRPr="000D50CA">
              <w:t xml:space="preserve">Formal training only (that is, structured training sessions that </w:t>
            </w:r>
            <w:r>
              <w:t>can</w:t>
            </w:r>
            <w:r w:rsidRPr="000D50CA">
              <w:t xml:space="preserve"> be conducted in</w:t>
            </w:r>
            <w:r>
              <w:noBreakHyphen/>
            </w:r>
            <w:r w:rsidRPr="000D50CA">
              <w:t>house or externally), including training in work or own time but not training towards qualifications included in obtaining formal qualifications. It includes:</w:t>
            </w:r>
          </w:p>
          <w:p w:rsidR="00AD462F" w:rsidRPr="000C55D0" w:rsidRDefault="00AD462F" w:rsidP="0008693D">
            <w:pPr>
              <w:pStyle w:val="TableBullet"/>
            </w:pPr>
            <w:r w:rsidRPr="0008693D">
              <w:t>management</w:t>
            </w:r>
            <w:r w:rsidRPr="000C55D0">
              <w:t xml:space="preserve"> or financial training</w:t>
            </w:r>
          </w:p>
          <w:p w:rsidR="00AD462F" w:rsidRPr="000C55D0" w:rsidRDefault="00AD462F" w:rsidP="0008693D">
            <w:pPr>
              <w:pStyle w:val="TableBullet"/>
            </w:pPr>
            <w:r w:rsidRPr="000C55D0">
              <w:t xml:space="preserve">training for additional needs children (such as children </w:t>
            </w:r>
            <w:r>
              <w:t>with disability</w:t>
            </w:r>
            <w:r w:rsidRPr="000C55D0">
              <w:t xml:space="preserve">, Aboriginal or Torres Strait Islander children and children from a culturally diverse background </w:t>
            </w:r>
          </w:p>
          <w:p w:rsidR="00AD462F" w:rsidRPr="000C55D0" w:rsidRDefault="00AD462F" w:rsidP="0008693D">
            <w:pPr>
              <w:pStyle w:val="TableBullet"/>
            </w:pPr>
            <w:r w:rsidRPr="000C55D0">
              <w:t>other child care</w:t>
            </w:r>
            <w:r>
              <w:noBreakHyphen/>
            </w:r>
            <w:r w:rsidRPr="000C55D0">
              <w:t>related training</w:t>
            </w:r>
          </w:p>
          <w:p w:rsidR="00AD462F" w:rsidRPr="00C941CD" w:rsidRDefault="00AD462F" w:rsidP="0008693D">
            <w:pPr>
              <w:pStyle w:val="TableBullet"/>
            </w:pPr>
            <w:r w:rsidRPr="000C55D0">
              <w:t>other relevant courses (such as a first aid certificate).</w:t>
            </w:r>
          </w:p>
        </w:tc>
      </w:tr>
      <w:tr w:rsidR="00AD462F" w:rsidRPr="00CC376D" w:rsidTr="0008693D">
        <w:trPr>
          <w:cantSplit/>
        </w:trPr>
        <w:tc>
          <w:tcPr>
            <w:tcW w:w="2217" w:type="dxa"/>
          </w:tcPr>
          <w:p w:rsidR="00AD462F" w:rsidRPr="00C941CD" w:rsidRDefault="00AD462F" w:rsidP="00C3586E">
            <w:pPr>
              <w:pStyle w:val="TableBodyText"/>
              <w:jc w:val="left"/>
            </w:pPr>
            <w:r>
              <w:rPr>
                <w:b/>
              </w:rPr>
              <w:t>Long day care</w:t>
            </w:r>
          </w:p>
        </w:tc>
        <w:tc>
          <w:tcPr>
            <w:tcW w:w="6572" w:type="dxa"/>
          </w:tcPr>
          <w:p w:rsidR="00AD462F" w:rsidRPr="000D50CA" w:rsidRDefault="00AD462F" w:rsidP="0008693D">
            <w:pPr>
              <w:pStyle w:val="TableBodyText"/>
              <w:jc w:val="left"/>
              <w:rPr>
                <w:szCs w:val="26"/>
                <w:lang w:eastAsia="en-US"/>
              </w:rPr>
            </w:pPr>
            <w:r w:rsidRPr="00A27318">
              <w:t>Services aimed primarily at 0–5 year olds that are provided in a centre, usually by a mix of qualified and other staff. Educational, care and recreational programs are provided based on the developmental needs, interests and experience of each child. In some jurisdictions, primary school children may also receive care before and after school</w:t>
            </w:r>
            <w:r>
              <w:t>, and during school vacations. Some long day care centres may also provide preschool and kindergarten services (i.e. a preschool progra</w:t>
            </w:r>
            <w:r w:rsidR="00EC7821">
              <w:t xml:space="preserve">m) and </w:t>
            </w:r>
            <w:proofErr w:type="spellStart"/>
            <w:r w:rsidR="00EC7821">
              <w:t>OSHC</w:t>
            </w:r>
            <w:proofErr w:type="spellEnd"/>
            <w:r>
              <w:t xml:space="preserve"> (see relevant definitions). Long day care services may operate from stand</w:t>
            </w:r>
            <w:r w:rsidR="002D438E">
              <w:noBreakHyphen/>
            </w:r>
            <w:r>
              <w:t xml:space="preserve">alone or shared premises, including on school grounds. </w:t>
            </w:r>
          </w:p>
        </w:tc>
      </w:tr>
      <w:tr w:rsidR="00AD462F" w:rsidRPr="00CC376D" w:rsidTr="0008693D">
        <w:trPr>
          <w:cantSplit/>
        </w:trPr>
        <w:tc>
          <w:tcPr>
            <w:tcW w:w="2217" w:type="dxa"/>
          </w:tcPr>
          <w:p w:rsidR="00AD462F" w:rsidRDefault="00AD462F" w:rsidP="00C3586E">
            <w:pPr>
              <w:pStyle w:val="TableBodyText"/>
              <w:jc w:val="left"/>
              <w:rPr>
                <w:b/>
              </w:rPr>
            </w:pPr>
            <w:r>
              <w:rPr>
                <w:b/>
              </w:rPr>
              <w:t xml:space="preserve">Management type </w:t>
            </w:r>
          </w:p>
        </w:tc>
        <w:tc>
          <w:tcPr>
            <w:tcW w:w="6572" w:type="dxa"/>
          </w:tcPr>
          <w:p w:rsidR="00AD462F" w:rsidRDefault="00AD462F" w:rsidP="0008693D">
            <w:pPr>
              <w:pStyle w:val="TableBodyText"/>
              <w:jc w:val="left"/>
              <w:rPr>
                <w:szCs w:val="26"/>
              </w:rPr>
            </w:pPr>
            <w:r>
              <w:rPr>
                <w:szCs w:val="26"/>
              </w:rPr>
              <w:t xml:space="preserve">When </w:t>
            </w:r>
            <w:r w:rsidRPr="0008693D">
              <w:t>the</w:t>
            </w:r>
            <w:r>
              <w:rPr>
                <w:szCs w:val="26"/>
              </w:rPr>
              <w:t xml:space="preserve"> concept relates to data reported using the </w:t>
            </w:r>
            <w:proofErr w:type="spellStart"/>
            <w:r>
              <w:rPr>
                <w:szCs w:val="26"/>
              </w:rPr>
              <w:t>NQAITS</w:t>
            </w:r>
            <w:proofErr w:type="spellEnd"/>
            <w:r>
              <w:rPr>
                <w:szCs w:val="26"/>
              </w:rPr>
              <w:t>: the kind of management structure the service provider has.</w:t>
            </w:r>
          </w:p>
          <w:p w:rsidR="00AD462F" w:rsidRDefault="00AD462F" w:rsidP="0008693D">
            <w:pPr>
              <w:pStyle w:val="TableBodyText"/>
              <w:ind w:left="34"/>
              <w:jc w:val="left"/>
              <w:rPr>
                <w:szCs w:val="26"/>
              </w:rPr>
            </w:pPr>
            <w:r>
              <w:rPr>
                <w:szCs w:val="26"/>
              </w:rPr>
              <w:t xml:space="preserve">When the concept relates to data reported using the </w:t>
            </w:r>
            <w:proofErr w:type="spellStart"/>
            <w:r>
              <w:rPr>
                <w:szCs w:val="26"/>
              </w:rPr>
              <w:t>NECECC</w:t>
            </w:r>
            <w:proofErr w:type="spellEnd"/>
            <w:r>
              <w:rPr>
                <w:szCs w:val="26"/>
              </w:rPr>
              <w:t xml:space="preserve"> (Preschool Educatio</w:t>
            </w:r>
            <w:r w:rsidR="00AB6799">
              <w:rPr>
                <w:szCs w:val="26"/>
              </w:rPr>
              <w:t>n, Australia) (based on the National Minimum Data Set</w:t>
            </w:r>
            <w:r>
              <w:rPr>
                <w:szCs w:val="26"/>
              </w:rPr>
              <w:t xml:space="preserve">): the type of legal or social entity responsible for managing the delivery of an </w:t>
            </w:r>
            <w:proofErr w:type="spellStart"/>
            <w:r>
              <w:rPr>
                <w:szCs w:val="26"/>
              </w:rPr>
              <w:t>ECEC</w:t>
            </w:r>
            <w:proofErr w:type="spellEnd"/>
            <w:r>
              <w:rPr>
                <w:szCs w:val="26"/>
              </w:rPr>
              <w:t xml:space="preserve"> service. </w:t>
            </w:r>
          </w:p>
          <w:p w:rsidR="00AD462F" w:rsidRDefault="00AD462F" w:rsidP="0008693D">
            <w:pPr>
              <w:pStyle w:val="TableBodyText"/>
              <w:jc w:val="left"/>
            </w:pPr>
            <w:r w:rsidRPr="00D40802">
              <w:rPr>
                <w:szCs w:val="26"/>
              </w:rPr>
              <w:t>In both cases the management type categories are: private not for profit – community managed; private not for profit – other organisation, state and territory and local government managed; private for profit; state and territory government schools; independent schools; catholic schools and other. Some services may have a management type of not stated/inadequately described.</w:t>
            </w:r>
          </w:p>
        </w:tc>
      </w:tr>
      <w:tr w:rsidR="00AD462F" w:rsidRPr="00CC376D" w:rsidTr="0008693D">
        <w:trPr>
          <w:cantSplit/>
        </w:trPr>
        <w:tc>
          <w:tcPr>
            <w:tcW w:w="2217" w:type="dxa"/>
          </w:tcPr>
          <w:p w:rsidR="00AD462F" w:rsidRDefault="00AD462F" w:rsidP="00AB6DBE">
            <w:pPr>
              <w:pStyle w:val="TableBodyText"/>
              <w:jc w:val="left"/>
              <w:rPr>
                <w:b/>
              </w:rPr>
            </w:pPr>
            <w:r w:rsidRPr="00BD4166">
              <w:rPr>
                <w:b/>
              </w:rPr>
              <w:lastRenderedPageBreak/>
              <w:t>National Quality Framework (</w:t>
            </w:r>
            <w:proofErr w:type="spellStart"/>
            <w:r w:rsidRPr="00BD4166">
              <w:rPr>
                <w:b/>
              </w:rPr>
              <w:t>NQF</w:t>
            </w:r>
            <w:proofErr w:type="spellEnd"/>
            <w:r w:rsidRPr="00BD4166">
              <w:rPr>
                <w:b/>
              </w:rPr>
              <w:t xml:space="preserve">) approved </w:t>
            </w:r>
          </w:p>
        </w:tc>
        <w:tc>
          <w:tcPr>
            <w:tcW w:w="6572" w:type="dxa"/>
          </w:tcPr>
          <w:p w:rsidR="00AD462F" w:rsidRPr="00BD4166" w:rsidRDefault="00AD462F" w:rsidP="0008693D">
            <w:pPr>
              <w:pStyle w:val="TableBodyText"/>
              <w:jc w:val="left"/>
            </w:pPr>
            <w:r w:rsidRPr="00BD4166">
              <w:t>Under the National Quality Framework (</w:t>
            </w:r>
            <w:proofErr w:type="spellStart"/>
            <w:r w:rsidRPr="00BD4166">
              <w:t>NQF</w:t>
            </w:r>
            <w:proofErr w:type="spellEnd"/>
            <w:r w:rsidRPr="00BD4166">
              <w:t>) an approved provider must apply for and be granted a service approval for each education and care service it wants to operate. There are two types of approved services unde</w:t>
            </w:r>
            <w:r>
              <w:t xml:space="preserve">r the </w:t>
            </w:r>
            <w:proofErr w:type="spellStart"/>
            <w:r>
              <w:t>NQF</w:t>
            </w:r>
            <w:proofErr w:type="spellEnd"/>
            <w:r w:rsidRPr="00BD4166">
              <w:t xml:space="preserve">: </w:t>
            </w:r>
          </w:p>
          <w:p w:rsidR="00AD462F" w:rsidRPr="00975605" w:rsidRDefault="00AD462F" w:rsidP="0008693D">
            <w:pPr>
              <w:pStyle w:val="TableBullet"/>
            </w:pPr>
            <w:r w:rsidRPr="00975605">
              <w:t>Centre</w:t>
            </w:r>
            <w:r>
              <w:noBreakHyphen/>
            </w:r>
            <w:r w:rsidRPr="00975605">
              <w:t xml:space="preserve">based </w:t>
            </w:r>
            <w:r>
              <w:t xml:space="preserve">care </w:t>
            </w:r>
            <w:r w:rsidRPr="00975605">
              <w:t xml:space="preserve">service: </w:t>
            </w:r>
            <w:r>
              <w:t xml:space="preserve">an education and care service other than a family day care service. This </w:t>
            </w:r>
            <w:r w:rsidRPr="00975605">
              <w:t xml:space="preserve">includes </w:t>
            </w:r>
            <w:r>
              <w:t xml:space="preserve">most </w:t>
            </w:r>
            <w:r w:rsidRPr="00975605">
              <w:t xml:space="preserve">long day care, preschool and </w:t>
            </w:r>
            <w:proofErr w:type="spellStart"/>
            <w:r>
              <w:t>OSHC</w:t>
            </w:r>
            <w:proofErr w:type="spellEnd"/>
            <w:r w:rsidRPr="00975605">
              <w:t xml:space="preserve"> services</w:t>
            </w:r>
            <w:r>
              <w:t xml:space="preserve"> that are delivered at a centre</w:t>
            </w:r>
          </w:p>
          <w:p w:rsidR="00AD462F" w:rsidRDefault="00AD462F" w:rsidP="0008693D">
            <w:pPr>
              <w:pStyle w:val="TableBullet"/>
            </w:pPr>
            <w:r w:rsidRPr="00975605">
              <w:t xml:space="preserve">Family day care service: </w:t>
            </w:r>
            <w:r>
              <w:t xml:space="preserve">an education and care service delivered through the use of two or more educators to provide education and care for children in residences, whether or not the service also provides education and care to children at a place other than the residence. </w:t>
            </w:r>
          </w:p>
        </w:tc>
      </w:tr>
      <w:tr w:rsidR="00AD462F" w:rsidRPr="00CC376D" w:rsidTr="0008693D">
        <w:trPr>
          <w:cantSplit/>
        </w:trPr>
        <w:tc>
          <w:tcPr>
            <w:tcW w:w="2217" w:type="dxa"/>
          </w:tcPr>
          <w:p w:rsidR="00AD462F" w:rsidRPr="00BD4166" w:rsidRDefault="00AD462F" w:rsidP="00B7292C">
            <w:pPr>
              <w:pStyle w:val="TableBodyText"/>
              <w:jc w:val="left"/>
              <w:rPr>
                <w:b/>
              </w:rPr>
            </w:pPr>
            <w:r w:rsidRPr="009B1F94">
              <w:rPr>
                <w:b/>
              </w:rPr>
              <w:t>Net capital expenditure</w:t>
            </w:r>
          </w:p>
        </w:tc>
        <w:tc>
          <w:tcPr>
            <w:tcW w:w="6572" w:type="dxa"/>
          </w:tcPr>
          <w:p w:rsidR="00AD462F" w:rsidRPr="00BD4166" w:rsidRDefault="00AD462F" w:rsidP="0008693D">
            <w:pPr>
              <w:pStyle w:val="TableBodyText"/>
              <w:jc w:val="left"/>
              <w:rPr>
                <w:szCs w:val="26"/>
                <w:lang w:eastAsia="en-US"/>
              </w:rPr>
            </w:pPr>
            <w:r>
              <w:t>Expenditure on the acquisition or enhancement of fixed assets, less trade</w:t>
            </w:r>
            <w:r>
              <w:noBreakHyphen/>
              <w:t>in values and/or receipts from the sale of replaced or otherwise disposed of items. Capital expenditure does not include expenditure on fixed assets which fall below threshold capitalisation levels, depreciation or costs associated with maintaining, renting or leasing equipment.</w:t>
            </w:r>
          </w:p>
        </w:tc>
      </w:tr>
      <w:tr w:rsidR="00AD462F" w:rsidRPr="00CC376D" w:rsidTr="0008693D">
        <w:trPr>
          <w:cantSplit/>
        </w:trPr>
        <w:tc>
          <w:tcPr>
            <w:tcW w:w="2217" w:type="dxa"/>
          </w:tcPr>
          <w:p w:rsidR="00AD462F" w:rsidRPr="00577729" w:rsidRDefault="00AD462F" w:rsidP="00C3586E">
            <w:pPr>
              <w:pStyle w:val="TableBodyText"/>
              <w:jc w:val="left"/>
              <w:rPr>
                <w:b/>
                <w:color w:val="FF0000"/>
              </w:rPr>
            </w:pPr>
            <w:r>
              <w:rPr>
                <w:b/>
              </w:rPr>
              <w:t>Non</w:t>
            </w:r>
            <w:r>
              <w:rPr>
                <w:b/>
              </w:rPr>
              <w:noBreakHyphen/>
              <w:t>standard hours of care</w:t>
            </w:r>
            <w:r w:rsidRPr="004C279F">
              <w:rPr>
                <w:b/>
                <w:color w:val="FF0000"/>
              </w:rPr>
              <w:t xml:space="preserve"> </w:t>
            </w:r>
          </w:p>
        </w:tc>
        <w:tc>
          <w:tcPr>
            <w:tcW w:w="6572" w:type="dxa"/>
          </w:tcPr>
          <w:p w:rsidR="00AD462F" w:rsidRDefault="00AD462F" w:rsidP="0008693D">
            <w:pPr>
              <w:pStyle w:val="TableBodyText"/>
              <w:jc w:val="left"/>
            </w:pPr>
            <w:r>
              <w:t>Defined by service type as:</w:t>
            </w:r>
          </w:p>
          <w:p w:rsidR="00AD462F" w:rsidRPr="00DB76BB" w:rsidRDefault="00AD462F" w:rsidP="0008693D">
            <w:pPr>
              <w:pStyle w:val="TableBullet"/>
            </w:pPr>
            <w:r w:rsidRPr="00DB76BB">
              <w:t xml:space="preserve">long day care — service operates before </w:t>
            </w:r>
            <w:proofErr w:type="spellStart"/>
            <w:r w:rsidRPr="00DB76BB">
              <w:t>7am</w:t>
            </w:r>
            <w:proofErr w:type="spellEnd"/>
            <w:r w:rsidRPr="00DB76BB">
              <w:t xml:space="preserve"> or after </w:t>
            </w:r>
            <w:proofErr w:type="spellStart"/>
            <w:r w:rsidRPr="00DB76BB">
              <w:t>6.30pm</w:t>
            </w:r>
            <w:proofErr w:type="spellEnd"/>
            <w:r w:rsidRPr="00DB76BB">
              <w:t xml:space="preserve"> on any day Monday to Friday or on weekends (to be considered a service offering non</w:t>
            </w:r>
            <w:r>
              <w:noBreakHyphen/>
            </w:r>
            <w:r w:rsidRPr="00DB76BB">
              <w:t>standard hours of care just need to meet 1 of these 3 criteria)</w:t>
            </w:r>
          </w:p>
          <w:p w:rsidR="00AD462F" w:rsidRPr="00DB76BB" w:rsidRDefault="00AD462F" w:rsidP="0008693D">
            <w:pPr>
              <w:pStyle w:val="TableBullet"/>
            </w:pPr>
            <w:r w:rsidRPr="00DB76BB">
              <w:t xml:space="preserve">family day care — service operates before </w:t>
            </w:r>
            <w:proofErr w:type="spellStart"/>
            <w:r w:rsidRPr="00DB76BB">
              <w:t>7am</w:t>
            </w:r>
            <w:proofErr w:type="spellEnd"/>
            <w:r w:rsidRPr="00DB76BB">
              <w:t xml:space="preserve">, or after </w:t>
            </w:r>
            <w:proofErr w:type="spellStart"/>
            <w:r w:rsidRPr="00DB76BB">
              <w:t>6.30pm</w:t>
            </w:r>
            <w:proofErr w:type="spellEnd"/>
            <w:r w:rsidRPr="00DB76BB">
              <w:t xml:space="preserve"> on any day Monday to Friday or overnight or on weekends (to be considered a service offering non</w:t>
            </w:r>
            <w:r w:rsidRPr="00DB76BB">
              <w:noBreakHyphen/>
              <w:t>standard hours of care only need to meet 1 of these 4 criteria)</w:t>
            </w:r>
          </w:p>
          <w:p w:rsidR="00AD462F" w:rsidRPr="00DB76BB" w:rsidRDefault="00AD462F" w:rsidP="0008693D">
            <w:pPr>
              <w:pStyle w:val="TableBullet"/>
            </w:pPr>
            <w:r w:rsidRPr="00DB76BB">
              <w:t>vacation care —</w:t>
            </w:r>
            <w:r>
              <w:t xml:space="preserve"> </w:t>
            </w:r>
            <w:r w:rsidRPr="00DB76BB">
              <w:t xml:space="preserve">service operates before </w:t>
            </w:r>
            <w:proofErr w:type="spellStart"/>
            <w:r w:rsidRPr="00DB76BB">
              <w:t>7am</w:t>
            </w:r>
            <w:proofErr w:type="spellEnd"/>
            <w:r w:rsidRPr="00DB76BB">
              <w:t xml:space="preserve"> or after </w:t>
            </w:r>
            <w:proofErr w:type="spellStart"/>
            <w:r w:rsidRPr="00DB76BB">
              <w:t>6.30pm</w:t>
            </w:r>
            <w:proofErr w:type="spellEnd"/>
            <w:r w:rsidRPr="00DB76BB">
              <w:t xml:space="preserve"> on any day Monday to Friday (to be considered a service offering non</w:t>
            </w:r>
            <w:r>
              <w:noBreakHyphen/>
            </w:r>
            <w:r w:rsidRPr="00DB76BB">
              <w:t>standard hours of care only need to meet 1 of these 2 criteria)</w:t>
            </w:r>
          </w:p>
          <w:p w:rsidR="00AD462F" w:rsidRPr="00DB76BB" w:rsidRDefault="00AD462F" w:rsidP="0008693D">
            <w:pPr>
              <w:pStyle w:val="TableBullet"/>
            </w:pPr>
            <w:proofErr w:type="spellStart"/>
            <w:r>
              <w:t>OSHC</w:t>
            </w:r>
            <w:proofErr w:type="spellEnd"/>
            <w:r w:rsidRPr="00DB76BB">
              <w:t xml:space="preserve"> — service operates before </w:t>
            </w:r>
            <w:proofErr w:type="spellStart"/>
            <w:r w:rsidRPr="00DB76BB">
              <w:t>7am</w:t>
            </w:r>
            <w:proofErr w:type="spellEnd"/>
            <w:r w:rsidRPr="00DB76BB">
              <w:t xml:space="preserve"> (before school) or after </w:t>
            </w:r>
            <w:proofErr w:type="spellStart"/>
            <w:r w:rsidRPr="00DB76BB">
              <w:t>6.30pm</w:t>
            </w:r>
            <w:proofErr w:type="spellEnd"/>
            <w:r w:rsidRPr="00DB76BB">
              <w:t xml:space="preserve"> (after school) on any day Monday to Friday (to be considered a service offering non</w:t>
            </w:r>
            <w:r>
              <w:noBreakHyphen/>
            </w:r>
            <w:r w:rsidRPr="00DB76BB">
              <w:t>standard hours of care only need to meet 1 of these 2 criteria)</w:t>
            </w:r>
          </w:p>
          <w:p w:rsidR="00AD462F" w:rsidRDefault="00AD462F" w:rsidP="0008693D">
            <w:pPr>
              <w:pStyle w:val="TableBullet"/>
              <w:rPr>
                <w:szCs w:val="26"/>
                <w:lang w:eastAsia="en-US"/>
              </w:rPr>
            </w:pPr>
            <w:r w:rsidRPr="00DB76BB">
              <w:t xml:space="preserve">occasional care — service operates before </w:t>
            </w:r>
            <w:proofErr w:type="spellStart"/>
            <w:r w:rsidRPr="00DB76BB">
              <w:t>7am</w:t>
            </w:r>
            <w:proofErr w:type="spellEnd"/>
            <w:r w:rsidRPr="00DB76BB">
              <w:t xml:space="preserve"> or after </w:t>
            </w:r>
            <w:proofErr w:type="spellStart"/>
            <w:r w:rsidRPr="00DB76BB">
              <w:t>6.30pm</w:t>
            </w:r>
            <w:proofErr w:type="spellEnd"/>
            <w:r w:rsidRPr="00DB76BB">
              <w:t xml:space="preserve"> on any day Monday to Friday or on weekends (to be considered a service offering non</w:t>
            </w:r>
            <w:r>
              <w:noBreakHyphen/>
            </w:r>
            <w:r w:rsidRPr="00DB76BB">
              <w:t>standard hours of care only need</w:t>
            </w:r>
            <w:r>
              <w:t xml:space="preserve"> to meet 1 of these 3 criteria)</w:t>
            </w:r>
          </w:p>
          <w:p w:rsidR="00AD462F" w:rsidRPr="00D02A07" w:rsidRDefault="00AD462F" w:rsidP="0008693D">
            <w:pPr>
              <w:pStyle w:val="TableBullet"/>
            </w:pPr>
            <w:r w:rsidRPr="00DB76BB">
              <w:t xml:space="preserve">other — service operates before </w:t>
            </w:r>
            <w:proofErr w:type="spellStart"/>
            <w:r w:rsidRPr="00DB76BB">
              <w:t>7am</w:t>
            </w:r>
            <w:proofErr w:type="spellEnd"/>
            <w:r w:rsidRPr="00DB76BB">
              <w:t xml:space="preserve"> or after </w:t>
            </w:r>
            <w:proofErr w:type="spellStart"/>
            <w:r w:rsidRPr="00DB76BB">
              <w:t>6.30pm</w:t>
            </w:r>
            <w:proofErr w:type="spellEnd"/>
            <w:r w:rsidRPr="00DB76BB">
              <w:t xml:space="preserve"> on any day Monday to Friday or on weekends (to be considered a service offering non</w:t>
            </w:r>
            <w:r>
              <w:noBreakHyphen/>
            </w:r>
            <w:r w:rsidRPr="00DB76BB">
              <w:t>standard hours of care only need to meet 1 of these 3 criteria)</w:t>
            </w:r>
            <w:r>
              <w:t>.</w:t>
            </w:r>
          </w:p>
        </w:tc>
      </w:tr>
      <w:tr w:rsidR="00AD462F" w:rsidRPr="00CC376D" w:rsidTr="0008693D">
        <w:trPr>
          <w:cantSplit/>
        </w:trPr>
        <w:tc>
          <w:tcPr>
            <w:tcW w:w="2217" w:type="dxa"/>
          </w:tcPr>
          <w:p w:rsidR="00AD462F" w:rsidRPr="009B1F94" w:rsidRDefault="00AD462F" w:rsidP="00B7292C">
            <w:pPr>
              <w:pStyle w:val="TableBodyText"/>
              <w:jc w:val="left"/>
              <w:rPr>
                <w:b/>
              </w:rPr>
            </w:pPr>
            <w:r>
              <w:rPr>
                <w:b/>
              </w:rPr>
              <w:t>Occasional care</w:t>
            </w:r>
          </w:p>
        </w:tc>
        <w:tc>
          <w:tcPr>
            <w:tcW w:w="6572" w:type="dxa"/>
          </w:tcPr>
          <w:p w:rsidR="00AD462F" w:rsidRDefault="00AD462F" w:rsidP="0008693D">
            <w:pPr>
              <w:pStyle w:val="TableBodyText"/>
              <w:jc w:val="left"/>
              <w:rPr>
                <w:szCs w:val="26"/>
                <w:lang w:eastAsia="en-US"/>
              </w:rPr>
            </w:pPr>
            <w:r>
              <w:t>S</w:t>
            </w:r>
            <w:r w:rsidRPr="00342A4D">
              <w:t xml:space="preserve">ervices usually provided at a centre on an hourly or sessional basis for short periods or at irregular intervals for parents who need time to attend appointments, take care of personal matters, undertake casual and part time employment, study or have temporary respite from full time parenting. These services provide developmental </w:t>
            </w:r>
            <w:r>
              <w:t xml:space="preserve">education and care </w:t>
            </w:r>
            <w:r w:rsidRPr="00342A4D">
              <w:t>activities for children</w:t>
            </w:r>
            <w:r>
              <w:t>,</w:t>
            </w:r>
            <w:r w:rsidRPr="00342A4D">
              <w:t xml:space="preserve"> and are </w:t>
            </w:r>
            <w:r>
              <w:t xml:space="preserve">primarily </w:t>
            </w:r>
            <w:r w:rsidRPr="00342A4D">
              <w:t>aimed at</w:t>
            </w:r>
            <w:r>
              <w:t xml:space="preserve"> </w:t>
            </w:r>
            <w:r w:rsidRPr="00342A4D">
              <w:t>0</w:t>
            </w:r>
            <w:r>
              <w:t>–</w:t>
            </w:r>
            <w:r w:rsidRPr="00342A4D">
              <w:t>5 year</w:t>
            </w:r>
            <w:r>
              <w:t xml:space="preserve"> olds</w:t>
            </w:r>
            <w:r w:rsidRPr="00342A4D">
              <w:t>. Centres providing these services usually employ a mix of qualified and other staff.</w:t>
            </w:r>
          </w:p>
        </w:tc>
      </w:tr>
      <w:tr w:rsidR="00AD462F" w:rsidRPr="00CC376D" w:rsidTr="0008693D">
        <w:trPr>
          <w:cantSplit/>
        </w:trPr>
        <w:tc>
          <w:tcPr>
            <w:tcW w:w="2217" w:type="dxa"/>
          </w:tcPr>
          <w:p w:rsidR="00AD462F" w:rsidRDefault="00AD462F" w:rsidP="00C3586E">
            <w:pPr>
              <w:pStyle w:val="TableBodyText"/>
              <w:jc w:val="left"/>
              <w:rPr>
                <w:b/>
              </w:rPr>
            </w:pPr>
            <w:r w:rsidRPr="007F5F9D">
              <w:rPr>
                <w:b/>
              </w:rPr>
              <w:t xml:space="preserve">Other care </w:t>
            </w:r>
          </w:p>
        </w:tc>
        <w:tc>
          <w:tcPr>
            <w:tcW w:w="6572" w:type="dxa"/>
          </w:tcPr>
          <w:p w:rsidR="00AD462F" w:rsidRDefault="00AD462F" w:rsidP="0008693D">
            <w:pPr>
              <w:pStyle w:val="TableBodyText"/>
              <w:jc w:val="left"/>
            </w:pPr>
            <w:r w:rsidRPr="007F5F9D">
              <w:t xml:space="preserve">A child care service type in this Report that does not meet any of the other child care service type definitions. It may include services which support children with additional needs or in particular situations (including Aboriginal and Torres Strait Islander children, children from </w:t>
            </w:r>
            <w:proofErr w:type="spellStart"/>
            <w:r w:rsidRPr="007F5F9D">
              <w:t>NESB</w:t>
            </w:r>
            <w:proofErr w:type="spellEnd"/>
            <w:r w:rsidRPr="007F5F9D">
              <w:t>, children with disability or of parents with disability, and children living in regional and remote areas). Other care services may include 3 year old</w:t>
            </w:r>
            <w:r w:rsidR="002D438E">
              <w:t xml:space="preserve"> </w:t>
            </w:r>
            <w:r w:rsidRPr="007F5F9D">
              <w:t>preschool (or kindergarten) services</w:t>
            </w:r>
            <w:r>
              <w:t xml:space="preserve"> (which do not meet the preschool service definition because the</w:t>
            </w:r>
            <w:r w:rsidR="00E048BA">
              <w:t xml:space="preserve">y are not delivered by a </w:t>
            </w:r>
            <w:r>
              <w:t>qualified teacher)</w:t>
            </w:r>
            <w:r w:rsidRPr="007F5F9D">
              <w:t>, mobile services, playschools and nannies. Usage of other care services is reported only for State and Territory government funded services (i.e. non</w:t>
            </w:r>
            <w:r w:rsidR="002D438E">
              <w:noBreakHyphen/>
            </w:r>
            <w:proofErr w:type="spellStart"/>
            <w:r w:rsidRPr="007F5F9D">
              <w:t>CCB</w:t>
            </w:r>
            <w:proofErr w:type="spellEnd"/>
            <w:r w:rsidRPr="007F5F9D">
              <w:t xml:space="preserve"> approved services).</w:t>
            </w:r>
          </w:p>
        </w:tc>
      </w:tr>
      <w:tr w:rsidR="00AD462F" w:rsidRPr="00CC376D" w:rsidTr="0008693D">
        <w:trPr>
          <w:cantSplit/>
        </w:trPr>
        <w:tc>
          <w:tcPr>
            <w:tcW w:w="2217" w:type="dxa"/>
          </w:tcPr>
          <w:p w:rsidR="00AD462F" w:rsidRPr="007F5F9D" w:rsidRDefault="00AD462F" w:rsidP="00B7292C">
            <w:pPr>
              <w:pStyle w:val="TableBodyText"/>
              <w:jc w:val="left"/>
              <w:rPr>
                <w:b/>
              </w:rPr>
            </w:pPr>
            <w:r>
              <w:rPr>
                <w:b/>
              </w:rPr>
              <w:t>Other territories</w:t>
            </w:r>
          </w:p>
        </w:tc>
        <w:tc>
          <w:tcPr>
            <w:tcW w:w="6572" w:type="dxa"/>
          </w:tcPr>
          <w:p w:rsidR="00AD462F" w:rsidRPr="007F5F9D" w:rsidRDefault="00AD462F" w:rsidP="0008693D">
            <w:pPr>
              <w:pStyle w:val="TableBodyText"/>
              <w:jc w:val="left"/>
            </w:pPr>
            <w:r>
              <w:t xml:space="preserve">A separate category for data collections, which includes </w:t>
            </w:r>
            <w:r w:rsidRPr="000D3B58">
              <w:t>Jervis Bay Territory, the Territory of Christmas Island and the Territory of Cocos (Keeling) Islands</w:t>
            </w:r>
            <w:r>
              <w:t>.</w:t>
            </w:r>
          </w:p>
        </w:tc>
      </w:tr>
      <w:tr w:rsidR="00AD462F" w:rsidRPr="00CC376D" w:rsidTr="0008693D">
        <w:trPr>
          <w:cantSplit/>
        </w:trPr>
        <w:tc>
          <w:tcPr>
            <w:tcW w:w="2217" w:type="dxa"/>
          </w:tcPr>
          <w:p w:rsidR="00AD462F" w:rsidRPr="00C941CD" w:rsidRDefault="00AD462F" w:rsidP="00C3586E">
            <w:pPr>
              <w:pStyle w:val="TableBodyText"/>
              <w:jc w:val="left"/>
              <w:rPr>
                <w:b/>
              </w:rPr>
            </w:pPr>
            <w:r w:rsidRPr="007F5F9D">
              <w:rPr>
                <w:b/>
              </w:rPr>
              <w:t>Outside school hours care</w:t>
            </w:r>
            <w:r w:rsidR="00EC7821">
              <w:rPr>
                <w:b/>
              </w:rPr>
              <w:t xml:space="preserve"> (</w:t>
            </w:r>
            <w:proofErr w:type="spellStart"/>
            <w:r w:rsidR="00EC7821">
              <w:rPr>
                <w:b/>
              </w:rPr>
              <w:t>OSHC</w:t>
            </w:r>
            <w:proofErr w:type="spellEnd"/>
            <w:r w:rsidR="00EC7821">
              <w:rPr>
                <w:b/>
              </w:rPr>
              <w:t>)</w:t>
            </w:r>
          </w:p>
        </w:tc>
        <w:tc>
          <w:tcPr>
            <w:tcW w:w="6572" w:type="dxa"/>
          </w:tcPr>
          <w:p w:rsidR="00AD462F" w:rsidRDefault="00AD462F" w:rsidP="0008693D">
            <w:pPr>
              <w:pStyle w:val="TableBodyText"/>
              <w:jc w:val="left"/>
            </w:pPr>
            <w:r w:rsidRPr="007F5F9D">
              <w:t xml:space="preserve">Services that provide care for school aged children before school, after school, during school holidays, and on pupil free days. </w:t>
            </w:r>
            <w:proofErr w:type="spellStart"/>
            <w:r w:rsidRPr="007F5F9D">
              <w:t>OSHC</w:t>
            </w:r>
            <w:proofErr w:type="spellEnd"/>
            <w:r w:rsidRPr="007F5F9D">
              <w:t xml:space="preserve"> may use stand</w:t>
            </w:r>
            <w:r w:rsidRPr="007F5F9D">
              <w:noBreakHyphen/>
              <w:t>alone facilities, share school buildings and grounds and/or share facilities such as community halls.</w:t>
            </w:r>
          </w:p>
        </w:tc>
      </w:tr>
      <w:tr w:rsidR="00AD462F" w:rsidRPr="00CC376D" w:rsidTr="0008693D">
        <w:trPr>
          <w:cantSplit/>
        </w:trPr>
        <w:tc>
          <w:tcPr>
            <w:tcW w:w="2217" w:type="dxa"/>
          </w:tcPr>
          <w:p w:rsidR="00AD462F" w:rsidRPr="007F5F9D" w:rsidRDefault="00AD462F" w:rsidP="00C3586E">
            <w:pPr>
              <w:pStyle w:val="TableBodyText"/>
              <w:jc w:val="left"/>
              <w:rPr>
                <w:b/>
              </w:rPr>
            </w:pPr>
            <w:r w:rsidRPr="00B443B8">
              <w:rPr>
                <w:b/>
              </w:rPr>
              <w:lastRenderedPageBreak/>
              <w:t xml:space="preserve">Preschool program </w:t>
            </w:r>
          </w:p>
        </w:tc>
        <w:tc>
          <w:tcPr>
            <w:tcW w:w="6572" w:type="dxa"/>
          </w:tcPr>
          <w:p w:rsidR="00AD462F" w:rsidRPr="0008693D" w:rsidRDefault="00AD462F" w:rsidP="0008693D">
            <w:pPr>
              <w:pStyle w:val="TableBodyText"/>
              <w:jc w:val="left"/>
            </w:pPr>
            <w:r w:rsidRPr="0008693D">
              <w:t>A preschool program is a structured, play</w:t>
            </w:r>
            <w:r w:rsidRPr="0008693D">
              <w:noBreakHyphen/>
              <w:t>based learnin</w:t>
            </w:r>
            <w:r w:rsidR="00E048BA" w:rsidRPr="0008693D">
              <w:t>g program, delivered by a</w:t>
            </w:r>
            <w:r w:rsidRPr="0008693D">
              <w:t xml:space="preserve"> qualified teacher, aimed at children in the year or two before they commence full time schooling. This definition of a preschool program is the same for all types of institutions that provide it, for all service settings and includes both government funded and privately provided preschool programs. Although various delivery models of preschool programs exist across jurisdictions, the </w:t>
            </w:r>
            <w:proofErr w:type="spellStart"/>
            <w:r w:rsidRPr="0008693D">
              <w:t>YBFS</w:t>
            </w:r>
            <w:proofErr w:type="spellEnd"/>
            <w:r w:rsidRPr="0008693D">
              <w:t xml:space="preserve"> is the term used to describe the ‘preschool’ program cohort.</w:t>
            </w:r>
          </w:p>
          <w:p w:rsidR="00AD462F" w:rsidRPr="007F5F9D" w:rsidRDefault="00AD462F" w:rsidP="0008693D">
            <w:pPr>
              <w:pStyle w:val="TableBodyText"/>
              <w:jc w:val="left"/>
            </w:pPr>
            <w:r w:rsidRPr="0008693D">
              <w:t xml:space="preserve">Preschool programs delivered to children in the year or two before full time schooling are intended to be available for a minimum of 600 hours per calendar year (or 15 hours per week for 40 weeks). Children aged 3 to 6 years may be enrolled in a preschool program in the </w:t>
            </w:r>
            <w:proofErr w:type="spellStart"/>
            <w:r w:rsidRPr="0008693D">
              <w:t>YBFS</w:t>
            </w:r>
            <w:proofErr w:type="spellEnd"/>
            <w:r w:rsidRPr="0008693D">
              <w:t xml:space="preserve"> although the programs are typically delivered to 4 and 5 year olds.</w:t>
            </w:r>
          </w:p>
        </w:tc>
      </w:tr>
      <w:tr w:rsidR="00AD462F" w:rsidRPr="00CC376D" w:rsidTr="0008693D">
        <w:trPr>
          <w:cantSplit/>
        </w:trPr>
        <w:tc>
          <w:tcPr>
            <w:tcW w:w="2217" w:type="dxa"/>
          </w:tcPr>
          <w:p w:rsidR="00AD462F" w:rsidRDefault="00AD462F" w:rsidP="00B7292C">
            <w:pPr>
              <w:pStyle w:val="TableBodyText"/>
              <w:jc w:val="left"/>
              <w:rPr>
                <w:b/>
              </w:rPr>
            </w:pPr>
            <w:r w:rsidRPr="00B443B8">
              <w:rPr>
                <w:b/>
              </w:rPr>
              <w:t xml:space="preserve">Preschool services </w:t>
            </w:r>
          </w:p>
        </w:tc>
        <w:tc>
          <w:tcPr>
            <w:tcW w:w="6572" w:type="dxa"/>
          </w:tcPr>
          <w:p w:rsidR="00AD462F" w:rsidRDefault="00AD462F" w:rsidP="0008693D">
            <w:pPr>
              <w:pStyle w:val="TableBodyText"/>
              <w:jc w:val="left"/>
            </w:pPr>
            <w:r>
              <w:t>S</w:t>
            </w:r>
            <w:r w:rsidRPr="00B443B8">
              <w:t>ervices which deliver a preschool program. The preschool service type can be delivered from a range of service settings. Service settings include stand</w:t>
            </w:r>
            <w:r>
              <w:noBreakHyphen/>
            </w:r>
            <w:r w:rsidRPr="00B443B8">
              <w:t xml:space="preserve">alone preschools or kindergartens, preschools attached to a school and other service centres, </w:t>
            </w:r>
            <w:r>
              <w:t xml:space="preserve">such as long day care centres. </w:t>
            </w:r>
          </w:p>
        </w:tc>
      </w:tr>
      <w:tr w:rsidR="00AD462F" w:rsidRPr="00CC376D" w:rsidTr="0008693D">
        <w:trPr>
          <w:cantSplit/>
        </w:trPr>
        <w:tc>
          <w:tcPr>
            <w:tcW w:w="2217" w:type="dxa"/>
          </w:tcPr>
          <w:p w:rsidR="00AD462F" w:rsidRPr="00472A91" w:rsidRDefault="00AD462F" w:rsidP="00B7292C">
            <w:pPr>
              <w:pStyle w:val="TableBodyText"/>
              <w:jc w:val="left"/>
              <w:rPr>
                <w:b/>
                <w:color w:val="FF0000"/>
              </w:rPr>
            </w:pPr>
            <w:r w:rsidRPr="00C941CD">
              <w:rPr>
                <w:b/>
              </w:rPr>
              <w:t xml:space="preserve">Primary </w:t>
            </w:r>
            <w:r>
              <w:rPr>
                <w:b/>
              </w:rPr>
              <w:br/>
            </w:r>
            <w:r w:rsidRPr="00C941CD">
              <w:rPr>
                <w:b/>
              </w:rPr>
              <w:t>contact staff</w:t>
            </w:r>
          </w:p>
        </w:tc>
        <w:tc>
          <w:tcPr>
            <w:tcW w:w="6572" w:type="dxa"/>
          </w:tcPr>
          <w:p w:rsidR="00AD462F" w:rsidRPr="007F5F9D" w:rsidRDefault="00AD462F" w:rsidP="0008693D">
            <w:pPr>
              <w:pStyle w:val="TableBodyText"/>
              <w:jc w:val="left"/>
            </w:pPr>
            <w:r w:rsidRPr="006710D8">
              <w:t xml:space="preserve">Staff whose primary function is to </w:t>
            </w:r>
            <w:r w:rsidRPr="00ED72F2">
              <w:t>provide child care</w:t>
            </w:r>
            <w:r w:rsidRPr="006710D8">
              <w:t xml:space="preserve"> and/or preschool services to children.</w:t>
            </w:r>
          </w:p>
        </w:tc>
      </w:tr>
      <w:tr w:rsidR="00AD462F" w:rsidRPr="00CC376D" w:rsidTr="0008693D">
        <w:tc>
          <w:tcPr>
            <w:tcW w:w="2217" w:type="dxa"/>
          </w:tcPr>
          <w:p w:rsidR="00AD462F" w:rsidRPr="00C941CD" w:rsidRDefault="00AD462F" w:rsidP="00B244CB">
            <w:pPr>
              <w:pStyle w:val="TableBodyText"/>
              <w:jc w:val="left"/>
            </w:pPr>
            <w:r>
              <w:rPr>
                <w:b/>
              </w:rPr>
              <w:t>Priority of access</w:t>
            </w:r>
          </w:p>
        </w:tc>
        <w:tc>
          <w:tcPr>
            <w:tcW w:w="6572" w:type="dxa"/>
          </w:tcPr>
          <w:p w:rsidR="00AD462F" w:rsidRDefault="00AD462F" w:rsidP="0008693D">
            <w:pPr>
              <w:pStyle w:val="TableBodyText"/>
              <w:jc w:val="left"/>
            </w:pPr>
            <w:r w:rsidRPr="003541F7">
              <w:t>The Australian Government funds child care with a major purpose of meeting the child care needs of Australian families. However, the demand for child care sometimes exceeds supply in some l</w:t>
            </w:r>
            <w:r>
              <w:t>ocations. When this happens, it i</w:t>
            </w:r>
            <w:r w:rsidRPr="003541F7">
              <w:t>s important for services to allocate available places to those families with the greatest need for child care support.</w:t>
            </w:r>
          </w:p>
          <w:p w:rsidR="00AD462F" w:rsidRDefault="00AD462F" w:rsidP="0008693D">
            <w:pPr>
              <w:pStyle w:val="TableBodyText"/>
              <w:jc w:val="left"/>
            </w:pPr>
            <w:r w:rsidRPr="003541F7">
              <w:t>The Government has determined Guidelines for allocating places in these circumstances. These Guidelines apply to centre based long day care, in</w:t>
            </w:r>
            <w:r>
              <w:t xml:space="preserve"> </w:t>
            </w:r>
            <w:r w:rsidRPr="003541F7">
              <w:t xml:space="preserve">home care, family day care and </w:t>
            </w:r>
            <w:proofErr w:type="spellStart"/>
            <w:r>
              <w:t>OSHC</w:t>
            </w:r>
            <w:proofErr w:type="spellEnd"/>
            <w:r w:rsidRPr="003541F7">
              <w:t xml:space="preserve"> services. They set out the following three levels of priority, which child care services must follow when filling vacant places:</w:t>
            </w:r>
          </w:p>
          <w:p w:rsidR="00AD462F" w:rsidRDefault="00AD462F" w:rsidP="0008693D">
            <w:pPr>
              <w:pStyle w:val="TableBullet"/>
            </w:pPr>
            <w:r>
              <w:t>priority 1: a child at risk of serious abuse or neglect</w:t>
            </w:r>
          </w:p>
          <w:p w:rsidR="00AD462F" w:rsidRDefault="00AD462F" w:rsidP="0008693D">
            <w:pPr>
              <w:pStyle w:val="TableBullet"/>
            </w:pPr>
            <w:r>
              <w:t>priority 2: a child of a single parent who satisfies, or of parents who both satisfy, the work/training/study test under section 14 of the Family Assistance Act</w:t>
            </w:r>
          </w:p>
          <w:p w:rsidR="00AD462F" w:rsidRDefault="00AD462F" w:rsidP="0008693D">
            <w:pPr>
              <w:pStyle w:val="TableBullet"/>
            </w:pPr>
            <w:r>
              <w:t>priority 3: any other child.</w:t>
            </w:r>
          </w:p>
          <w:p w:rsidR="00AD462F" w:rsidRDefault="00AD462F" w:rsidP="0008693D">
            <w:pPr>
              <w:pStyle w:val="TableBodyText"/>
              <w:jc w:val="left"/>
            </w:pPr>
            <w:r w:rsidRPr="003541F7">
              <w:t xml:space="preserve">Within these main categories priority should also be given to the following children: </w:t>
            </w:r>
          </w:p>
          <w:p w:rsidR="00AD462F" w:rsidRDefault="00AD462F" w:rsidP="0008693D">
            <w:pPr>
              <w:pStyle w:val="TableBullet"/>
            </w:pPr>
            <w:r>
              <w:t>children in Aboriginal and Torres Strait Islander families</w:t>
            </w:r>
          </w:p>
          <w:p w:rsidR="00AD462F" w:rsidRDefault="00AD462F" w:rsidP="0008693D">
            <w:pPr>
              <w:pStyle w:val="TableBullet"/>
            </w:pPr>
            <w:r>
              <w:t>children in families which include a disabled person</w:t>
            </w:r>
          </w:p>
          <w:p w:rsidR="00AD462F" w:rsidRDefault="00AD462F" w:rsidP="0008693D">
            <w:pPr>
              <w:pStyle w:val="TableBullet"/>
            </w:pPr>
            <w:r>
              <w:t>children in families on lower incomes</w:t>
            </w:r>
          </w:p>
          <w:p w:rsidR="00AD462F" w:rsidRDefault="00AD462F" w:rsidP="0008693D">
            <w:pPr>
              <w:pStyle w:val="TableBullet"/>
            </w:pPr>
            <w:r>
              <w:t xml:space="preserve">children in families with </w:t>
            </w:r>
            <w:proofErr w:type="spellStart"/>
            <w:r>
              <w:t>NESB</w:t>
            </w:r>
            <w:proofErr w:type="spellEnd"/>
          </w:p>
          <w:p w:rsidR="00AD462F" w:rsidRDefault="00AD462F" w:rsidP="0008693D">
            <w:pPr>
              <w:pStyle w:val="TableBullet"/>
            </w:pPr>
            <w:r>
              <w:t>children in socially isolated families</w:t>
            </w:r>
          </w:p>
          <w:p w:rsidR="00AD462F" w:rsidRPr="00C941CD" w:rsidRDefault="00AD462F" w:rsidP="0008693D">
            <w:pPr>
              <w:pStyle w:val="TableBullet"/>
            </w:pPr>
            <w:r>
              <w:t>children of single parents.</w:t>
            </w:r>
          </w:p>
        </w:tc>
      </w:tr>
      <w:tr w:rsidR="00AD462F" w:rsidRPr="00CC376D" w:rsidTr="0008693D">
        <w:trPr>
          <w:cantSplit/>
        </w:trPr>
        <w:tc>
          <w:tcPr>
            <w:tcW w:w="2217" w:type="dxa"/>
          </w:tcPr>
          <w:p w:rsidR="00AD462F" w:rsidRPr="00C941CD" w:rsidRDefault="00AD462F" w:rsidP="00B244CB">
            <w:pPr>
              <w:pStyle w:val="TableBodyText"/>
              <w:jc w:val="left"/>
              <w:rPr>
                <w:b/>
              </w:rPr>
            </w:pPr>
            <w:r>
              <w:br w:type="page"/>
            </w:r>
            <w:r>
              <w:br w:type="page"/>
            </w:r>
            <w:r w:rsidRPr="00C941CD">
              <w:rPr>
                <w:b/>
              </w:rPr>
              <w:t>Real expenditure</w:t>
            </w:r>
          </w:p>
        </w:tc>
        <w:tc>
          <w:tcPr>
            <w:tcW w:w="6572" w:type="dxa"/>
          </w:tcPr>
          <w:p w:rsidR="00AD462F" w:rsidRPr="003541F7" w:rsidRDefault="00AD462F" w:rsidP="0008693D">
            <w:pPr>
              <w:pStyle w:val="TableBodyText"/>
              <w:jc w:val="left"/>
            </w:pPr>
            <w:r w:rsidRPr="00C941CD">
              <w:t>Actual expenditure adjusted for changes in prices. Adj</w:t>
            </w:r>
            <w:r>
              <w:t>us</w:t>
            </w:r>
            <w:r w:rsidR="00A546AA">
              <w:t>tments were made using the General Government Final Consumption Expenditure</w:t>
            </w:r>
            <w:r w:rsidRPr="00C941CD">
              <w:t xml:space="preserve"> price deflator and expressed in terms of final year prices.</w:t>
            </w:r>
          </w:p>
        </w:tc>
      </w:tr>
      <w:tr w:rsidR="00AD462F" w:rsidRPr="00CC376D" w:rsidTr="0008693D">
        <w:trPr>
          <w:cantSplit/>
        </w:trPr>
        <w:tc>
          <w:tcPr>
            <w:tcW w:w="2217" w:type="dxa"/>
          </w:tcPr>
          <w:p w:rsidR="00AD462F" w:rsidRPr="00C941CD" w:rsidRDefault="00AD462F" w:rsidP="00B244CB">
            <w:pPr>
              <w:pStyle w:val="TableBodyText"/>
              <w:jc w:val="left"/>
            </w:pPr>
            <w:r w:rsidRPr="00C941CD">
              <w:rPr>
                <w:b/>
              </w:rPr>
              <w:t xml:space="preserve">Recurrent </w:t>
            </w:r>
            <w:r>
              <w:rPr>
                <w:b/>
              </w:rPr>
              <w:br/>
            </w:r>
            <w:r w:rsidRPr="00C941CD">
              <w:rPr>
                <w:b/>
              </w:rPr>
              <w:t>expenditure</w:t>
            </w:r>
          </w:p>
        </w:tc>
        <w:tc>
          <w:tcPr>
            <w:tcW w:w="6572" w:type="dxa"/>
          </w:tcPr>
          <w:p w:rsidR="00AD462F" w:rsidRPr="00C941CD" w:rsidRDefault="00AD462F" w:rsidP="0008693D">
            <w:pPr>
              <w:pStyle w:val="TableBodyText"/>
              <w:jc w:val="left"/>
            </w:pPr>
            <w:r w:rsidRPr="00DA393D">
              <w:t>Expenditure that does not result in the creation or acquisition of fixed assets (new or second hand). It consists mainly of expenditure on wages, salaries and supplements, purchases of goods and services, and the consumption of fixed capital (depreciation).</w:t>
            </w:r>
          </w:p>
        </w:tc>
      </w:tr>
      <w:tr w:rsidR="00AD462F" w:rsidRPr="00CC376D" w:rsidTr="0008693D">
        <w:trPr>
          <w:cantSplit/>
        </w:trPr>
        <w:tc>
          <w:tcPr>
            <w:tcW w:w="2217" w:type="dxa"/>
          </w:tcPr>
          <w:p w:rsidR="00AD462F" w:rsidRPr="00C941CD" w:rsidRDefault="00AD462F" w:rsidP="00B244CB">
            <w:pPr>
              <w:pStyle w:val="TableBodyText"/>
              <w:jc w:val="left"/>
            </w:pPr>
            <w:r>
              <w:rPr>
                <w:b/>
              </w:rPr>
              <w:t>Reference period</w:t>
            </w:r>
          </w:p>
        </w:tc>
        <w:tc>
          <w:tcPr>
            <w:tcW w:w="6572" w:type="dxa"/>
          </w:tcPr>
          <w:p w:rsidR="00AD462F" w:rsidRPr="00C941CD" w:rsidRDefault="00AD462F" w:rsidP="0008693D">
            <w:pPr>
              <w:pStyle w:val="TableBodyText"/>
              <w:jc w:val="left"/>
            </w:pPr>
            <w:r>
              <w:t>The reference period refers to when data are collected during the financial year or point in time.</w:t>
            </w:r>
          </w:p>
        </w:tc>
      </w:tr>
      <w:tr w:rsidR="00AD462F" w:rsidRPr="00CC376D" w:rsidTr="0008693D">
        <w:trPr>
          <w:cantSplit/>
        </w:trPr>
        <w:tc>
          <w:tcPr>
            <w:tcW w:w="2217" w:type="dxa"/>
          </w:tcPr>
          <w:p w:rsidR="00AD462F" w:rsidRPr="00C941CD" w:rsidRDefault="00AD462F" w:rsidP="00B7292C">
            <w:pPr>
              <w:pStyle w:val="TableBodyText"/>
              <w:jc w:val="left"/>
              <w:rPr>
                <w:b/>
              </w:rPr>
            </w:pPr>
            <w:r w:rsidRPr="00C941CD">
              <w:rPr>
                <w:b/>
              </w:rPr>
              <w:t xml:space="preserve">Regional and </w:t>
            </w:r>
            <w:r>
              <w:rPr>
                <w:b/>
              </w:rPr>
              <w:br/>
            </w:r>
            <w:r w:rsidRPr="00C941CD">
              <w:rPr>
                <w:b/>
              </w:rPr>
              <w:t>remote areas</w:t>
            </w:r>
            <w:r>
              <w:rPr>
                <w:b/>
              </w:rPr>
              <w:t xml:space="preserve"> </w:t>
            </w:r>
          </w:p>
        </w:tc>
        <w:tc>
          <w:tcPr>
            <w:tcW w:w="6572" w:type="dxa"/>
          </w:tcPr>
          <w:p w:rsidR="00AD462F" w:rsidRDefault="00AD462F" w:rsidP="0008693D">
            <w:pPr>
              <w:pStyle w:val="TableBodyText"/>
              <w:jc w:val="left"/>
            </w:pPr>
            <w:r>
              <w:t>Regional and remote areas refer to remoteness areas based on the ABS’</w:t>
            </w:r>
            <w:r w:rsidRPr="00C941CD">
              <w:t xml:space="preserve"> Australian </w:t>
            </w:r>
            <w:r>
              <w:t>Stati</w:t>
            </w:r>
            <w:r w:rsidR="0007091C">
              <w:t>stical Geography Standard</w:t>
            </w:r>
            <w:r>
              <w:t>. The criteria for r</w:t>
            </w:r>
            <w:r w:rsidRPr="00C941CD">
              <w:t xml:space="preserve">emoteness </w:t>
            </w:r>
            <w:r>
              <w:t>a</w:t>
            </w:r>
            <w:r w:rsidRPr="00C941CD">
              <w:t>reas are based on the Accessibility/Remoteness Index</w:t>
            </w:r>
            <w:r w:rsidR="002D438E">
              <w:t xml:space="preserve"> </w:t>
            </w:r>
            <w:r w:rsidRPr="00C941CD">
              <w:t>of Australia</w:t>
            </w:r>
            <w:r>
              <w:t>,</w:t>
            </w:r>
            <w:r w:rsidRPr="00C941CD">
              <w:t xml:space="preserve"> which measures the remoteness of a point based on the physical road distance to the nearest urban centre in each of five size classes</w:t>
            </w:r>
            <w:r>
              <w:t>. Regional areas includes ‘</w:t>
            </w:r>
            <w:r w:rsidRPr="00C941CD">
              <w:t>inner regional</w:t>
            </w:r>
            <w:r>
              <w:t>’</w:t>
            </w:r>
            <w:r w:rsidRPr="00C941CD">
              <w:t xml:space="preserve"> and </w:t>
            </w:r>
            <w:r>
              <w:t>‘</w:t>
            </w:r>
            <w:r w:rsidRPr="00C941CD">
              <w:t>outer regional</w:t>
            </w:r>
            <w:r>
              <w:t>’</w:t>
            </w:r>
            <w:r w:rsidRPr="00C941CD">
              <w:t xml:space="preserve"> areas. </w:t>
            </w:r>
            <w:r>
              <w:t>Remote areas includes ‘</w:t>
            </w:r>
            <w:r w:rsidRPr="00C941CD">
              <w:t>remote</w:t>
            </w:r>
            <w:r>
              <w:t>’ and ‘</w:t>
            </w:r>
            <w:r w:rsidRPr="00C941CD">
              <w:t>very remote</w:t>
            </w:r>
            <w:r>
              <w:t>’</w:t>
            </w:r>
            <w:r w:rsidRPr="00C941CD">
              <w:t xml:space="preserve"> areas.</w:t>
            </w:r>
          </w:p>
        </w:tc>
      </w:tr>
      <w:tr w:rsidR="00AD462F" w:rsidRPr="00CC376D" w:rsidTr="0008693D">
        <w:trPr>
          <w:cantSplit/>
        </w:trPr>
        <w:tc>
          <w:tcPr>
            <w:tcW w:w="2217" w:type="dxa"/>
          </w:tcPr>
          <w:p w:rsidR="00AD462F" w:rsidRPr="00C941CD" w:rsidRDefault="00AD462F" w:rsidP="00B7292C">
            <w:pPr>
              <w:pStyle w:val="TableBodyText"/>
              <w:jc w:val="left"/>
            </w:pPr>
            <w:r w:rsidRPr="00B443B8">
              <w:rPr>
                <w:b/>
              </w:rPr>
              <w:lastRenderedPageBreak/>
              <w:t>Service</w:t>
            </w:r>
            <w:r>
              <w:rPr>
                <w:b/>
                <w:color w:val="FF0000"/>
              </w:rPr>
              <w:t xml:space="preserve"> </w:t>
            </w:r>
          </w:p>
        </w:tc>
        <w:tc>
          <w:tcPr>
            <w:tcW w:w="6572" w:type="dxa"/>
          </w:tcPr>
          <w:p w:rsidR="00AD462F" w:rsidRPr="00C941CD" w:rsidRDefault="00AD462F" w:rsidP="0008693D">
            <w:pPr>
              <w:pStyle w:val="TableBodyText"/>
              <w:jc w:val="left"/>
            </w:pPr>
            <w:r>
              <w:t>A service refers to an individual location or establishment</w:t>
            </w:r>
            <w:r w:rsidRPr="00B443B8">
              <w:t xml:space="preserve"> providing an </w:t>
            </w:r>
            <w:proofErr w:type="spellStart"/>
            <w:r>
              <w:t>ECEC</w:t>
            </w:r>
            <w:proofErr w:type="spellEnd"/>
            <w:r>
              <w:t xml:space="preserve"> service or services. One </w:t>
            </w:r>
            <w:r w:rsidRPr="00B443B8">
              <w:t xml:space="preserve">service (i.e. location or establishment) may provide more than one </w:t>
            </w:r>
            <w:proofErr w:type="spellStart"/>
            <w:r>
              <w:t>ECEC</w:t>
            </w:r>
            <w:proofErr w:type="spellEnd"/>
            <w:r w:rsidRPr="00B443B8">
              <w:t xml:space="preserve"> service type, i.e. provide a long day care service and preschool service</w:t>
            </w:r>
            <w:r>
              <w:t>, or two child care service types.</w:t>
            </w:r>
          </w:p>
        </w:tc>
      </w:tr>
      <w:tr w:rsidR="00AD462F" w:rsidRPr="00CC376D" w:rsidTr="0008693D">
        <w:trPr>
          <w:cantSplit/>
        </w:trPr>
        <w:tc>
          <w:tcPr>
            <w:tcW w:w="2217" w:type="dxa"/>
          </w:tcPr>
          <w:p w:rsidR="00AD462F" w:rsidRPr="00C941CD" w:rsidRDefault="00AD462F" w:rsidP="00B7292C">
            <w:pPr>
              <w:pStyle w:val="TableBodyText"/>
              <w:jc w:val="left"/>
              <w:rPr>
                <w:b/>
              </w:rPr>
            </w:pPr>
            <w:r w:rsidRPr="00A35873">
              <w:rPr>
                <w:b/>
              </w:rPr>
              <w:t xml:space="preserve">Service type </w:t>
            </w:r>
          </w:p>
        </w:tc>
        <w:tc>
          <w:tcPr>
            <w:tcW w:w="6572" w:type="dxa"/>
          </w:tcPr>
          <w:p w:rsidR="00AD462F" w:rsidRPr="00A35873" w:rsidRDefault="00AD462F" w:rsidP="0008693D">
            <w:pPr>
              <w:pStyle w:val="TableBodyText"/>
              <w:jc w:val="left"/>
            </w:pPr>
            <w:r w:rsidRPr="00A35873">
              <w:t xml:space="preserve">Refers to the following categories of </w:t>
            </w:r>
            <w:proofErr w:type="spellStart"/>
            <w:r w:rsidRPr="00A35873">
              <w:t>ECEC</w:t>
            </w:r>
            <w:proofErr w:type="spellEnd"/>
            <w:r w:rsidRPr="00A35873">
              <w:t xml:space="preserve"> services:</w:t>
            </w:r>
          </w:p>
          <w:p w:rsidR="00AD462F" w:rsidRPr="00A35873" w:rsidRDefault="00AD462F" w:rsidP="0008693D">
            <w:pPr>
              <w:pStyle w:val="TableBullet"/>
            </w:pPr>
            <w:r w:rsidRPr="00A35873">
              <w:t>long day care</w:t>
            </w:r>
          </w:p>
          <w:p w:rsidR="00AD462F" w:rsidRPr="00A35873" w:rsidRDefault="00AD462F" w:rsidP="0008693D">
            <w:pPr>
              <w:pStyle w:val="TableBullet"/>
            </w:pPr>
            <w:r w:rsidRPr="00A35873">
              <w:t>family day care</w:t>
            </w:r>
          </w:p>
          <w:p w:rsidR="00AD462F" w:rsidRPr="00A35873" w:rsidRDefault="00AD462F" w:rsidP="0008693D">
            <w:pPr>
              <w:pStyle w:val="TableBullet"/>
            </w:pPr>
            <w:proofErr w:type="spellStart"/>
            <w:r w:rsidRPr="00A35873">
              <w:t>OSHC</w:t>
            </w:r>
            <w:proofErr w:type="spellEnd"/>
            <w:r w:rsidRPr="00A35873">
              <w:t xml:space="preserve"> </w:t>
            </w:r>
          </w:p>
          <w:p w:rsidR="00AD462F" w:rsidRPr="00A35873" w:rsidRDefault="00AD462F" w:rsidP="0008693D">
            <w:pPr>
              <w:pStyle w:val="TableBullet"/>
            </w:pPr>
            <w:r w:rsidRPr="00A35873">
              <w:t>before/after school care</w:t>
            </w:r>
          </w:p>
          <w:p w:rsidR="00AD462F" w:rsidRPr="00A35873" w:rsidRDefault="00AD462F" w:rsidP="0008693D">
            <w:pPr>
              <w:pStyle w:val="TableBullet"/>
            </w:pPr>
            <w:r w:rsidRPr="00A35873">
              <w:t>vacation care</w:t>
            </w:r>
          </w:p>
          <w:p w:rsidR="00AD462F" w:rsidRPr="00A35873" w:rsidRDefault="00AD462F" w:rsidP="0008693D">
            <w:pPr>
              <w:pStyle w:val="TableBullet"/>
            </w:pPr>
            <w:r w:rsidRPr="00A35873">
              <w:t>occasional care</w:t>
            </w:r>
          </w:p>
          <w:p w:rsidR="00AD462F" w:rsidRPr="00A35873" w:rsidRDefault="00AD462F" w:rsidP="0008693D">
            <w:pPr>
              <w:pStyle w:val="TableBullet"/>
            </w:pPr>
            <w:r w:rsidRPr="00A35873">
              <w:t xml:space="preserve">in home care (for </w:t>
            </w:r>
            <w:proofErr w:type="spellStart"/>
            <w:r w:rsidRPr="00A35873">
              <w:t>CCB</w:t>
            </w:r>
            <w:proofErr w:type="spellEnd"/>
            <w:r w:rsidRPr="00A35873">
              <w:t xml:space="preserve"> approved services) </w:t>
            </w:r>
          </w:p>
          <w:p w:rsidR="00AD462F" w:rsidRPr="00A35873" w:rsidRDefault="00AD462F" w:rsidP="0008693D">
            <w:pPr>
              <w:pStyle w:val="TableBullet"/>
            </w:pPr>
            <w:r w:rsidRPr="00A35873">
              <w:t>other care (for State and Territory government funded services)</w:t>
            </w:r>
          </w:p>
          <w:p w:rsidR="00AD462F" w:rsidRPr="00A35873" w:rsidRDefault="00AD462F" w:rsidP="0008693D">
            <w:pPr>
              <w:pStyle w:val="TableBullet"/>
            </w:pPr>
            <w:r w:rsidRPr="00A35873">
              <w:t>preschool services.</w:t>
            </w:r>
          </w:p>
          <w:p w:rsidR="00AD462F" w:rsidRDefault="00AD462F" w:rsidP="0008693D">
            <w:pPr>
              <w:pStyle w:val="TableBodyText"/>
              <w:jc w:val="left"/>
            </w:pPr>
            <w:r w:rsidRPr="00A35873">
              <w:t xml:space="preserve">All service </w:t>
            </w:r>
            <w:r w:rsidRPr="0008693D">
              <w:t>type</w:t>
            </w:r>
            <w:r w:rsidRPr="00A35873">
              <w:t xml:space="preserve"> categories are considered child care services, except for preschool services.</w:t>
            </w:r>
          </w:p>
        </w:tc>
      </w:tr>
      <w:tr w:rsidR="00AD462F" w:rsidRPr="00CC376D" w:rsidTr="0008693D">
        <w:trPr>
          <w:cantSplit/>
        </w:trPr>
        <w:tc>
          <w:tcPr>
            <w:tcW w:w="2217" w:type="dxa"/>
          </w:tcPr>
          <w:p w:rsidR="00AD462F" w:rsidRPr="00A35873" w:rsidRDefault="00AD462F" w:rsidP="00B7292C">
            <w:pPr>
              <w:pStyle w:val="TableBodyText"/>
              <w:jc w:val="left"/>
              <w:rPr>
                <w:b/>
              </w:rPr>
            </w:pPr>
            <w:r>
              <w:rPr>
                <w:b/>
              </w:rPr>
              <w:t>Special needs group</w:t>
            </w:r>
          </w:p>
        </w:tc>
        <w:tc>
          <w:tcPr>
            <w:tcW w:w="6572" w:type="dxa"/>
          </w:tcPr>
          <w:p w:rsidR="00AD462F" w:rsidRPr="00A35873" w:rsidRDefault="00AD462F" w:rsidP="0008693D">
            <w:pPr>
              <w:pStyle w:val="TableBodyText"/>
              <w:jc w:val="left"/>
              <w:rPr>
                <w:szCs w:val="26"/>
                <w:lang w:eastAsia="en-US"/>
              </w:rPr>
            </w:pPr>
            <w:r w:rsidRPr="00B7127B">
              <w:rPr>
                <w:szCs w:val="26"/>
              </w:rPr>
              <w:t xml:space="preserve">An identifiable group within the general population who can have special difficulty accessing services. Special needs groups for which data are reported in this </w:t>
            </w:r>
            <w:r w:rsidRPr="0008693D">
              <w:t>chapter</w:t>
            </w:r>
            <w:r w:rsidRPr="00B7127B">
              <w:rPr>
                <w:szCs w:val="26"/>
              </w:rPr>
              <w:t xml:space="preserve"> include: children from </w:t>
            </w:r>
            <w:proofErr w:type="spellStart"/>
            <w:r w:rsidRPr="00B7127B">
              <w:rPr>
                <w:szCs w:val="26"/>
              </w:rPr>
              <w:t>NESB</w:t>
            </w:r>
            <w:proofErr w:type="spellEnd"/>
            <w:r w:rsidRPr="00B7127B">
              <w:rPr>
                <w:szCs w:val="26"/>
              </w:rPr>
              <w:t>; Aboriginal and Torres Strait Islander children; children from low income families (</w:t>
            </w:r>
            <w:proofErr w:type="spellStart"/>
            <w:r w:rsidRPr="00B7127B">
              <w:rPr>
                <w:szCs w:val="26"/>
              </w:rPr>
              <w:t>CCB</w:t>
            </w:r>
            <w:proofErr w:type="spellEnd"/>
            <w:r w:rsidRPr="00B7127B">
              <w:rPr>
                <w:szCs w:val="26"/>
              </w:rPr>
              <w:t xml:space="preserve"> approved child care services only); children with disability; and children from regional or remote areas.</w:t>
            </w:r>
          </w:p>
        </w:tc>
      </w:tr>
      <w:tr w:rsidR="00AD462F" w:rsidRPr="00CC376D" w:rsidTr="0008693D">
        <w:trPr>
          <w:cantSplit/>
        </w:trPr>
        <w:tc>
          <w:tcPr>
            <w:tcW w:w="2217" w:type="dxa"/>
          </w:tcPr>
          <w:p w:rsidR="00AD462F" w:rsidRPr="00C941CD" w:rsidRDefault="00AD462F" w:rsidP="008B3432">
            <w:pPr>
              <w:pStyle w:val="TableBodyText"/>
              <w:jc w:val="left"/>
              <w:rPr>
                <w:b/>
              </w:rPr>
            </w:pPr>
            <w:r w:rsidRPr="00F55ABF">
              <w:rPr>
                <w:b/>
              </w:rPr>
              <w:t>Standard hours of care</w:t>
            </w:r>
            <w:r w:rsidRPr="004C279F">
              <w:rPr>
                <w:b/>
                <w:color w:val="FF0000"/>
              </w:rPr>
              <w:t xml:space="preserve"> </w:t>
            </w:r>
          </w:p>
        </w:tc>
        <w:tc>
          <w:tcPr>
            <w:tcW w:w="6572" w:type="dxa"/>
          </w:tcPr>
          <w:p w:rsidR="00AD462F" w:rsidRPr="0031403C" w:rsidRDefault="00AD462F" w:rsidP="0008693D">
            <w:pPr>
              <w:pStyle w:val="TableBodyText"/>
              <w:jc w:val="left"/>
              <w:rPr>
                <w:szCs w:val="26"/>
              </w:rPr>
            </w:pPr>
            <w:r w:rsidRPr="0031403C">
              <w:rPr>
                <w:szCs w:val="26"/>
              </w:rPr>
              <w:t>Defined by service type as:</w:t>
            </w:r>
          </w:p>
          <w:p w:rsidR="00AD462F" w:rsidRPr="0008693D" w:rsidRDefault="00AD462F" w:rsidP="0008693D">
            <w:pPr>
              <w:pStyle w:val="TableBullet"/>
            </w:pPr>
            <w:r w:rsidRPr="0008693D">
              <w:t xml:space="preserve">long day care — service opens at </w:t>
            </w:r>
            <w:proofErr w:type="spellStart"/>
            <w:r w:rsidRPr="0008693D">
              <w:t>7am</w:t>
            </w:r>
            <w:proofErr w:type="spellEnd"/>
            <w:r w:rsidRPr="0008693D">
              <w:t xml:space="preserve"> or later and closes at </w:t>
            </w:r>
            <w:proofErr w:type="spellStart"/>
            <w:r w:rsidRPr="0008693D">
              <w:t>6.30pm</w:t>
            </w:r>
            <w:proofErr w:type="spellEnd"/>
            <w:r w:rsidRPr="0008693D">
              <w:t xml:space="preserve"> or earlier every day Monday to Friday (does not </w:t>
            </w:r>
            <w:r w:rsidR="00F8478D" w:rsidRPr="0008693D">
              <w:t>operate on weekends</w:t>
            </w:r>
            <w:r w:rsidRPr="0008693D">
              <w:t>)</w:t>
            </w:r>
          </w:p>
          <w:p w:rsidR="00AD462F" w:rsidRPr="0008693D" w:rsidRDefault="00AD462F" w:rsidP="0008693D">
            <w:pPr>
              <w:pStyle w:val="TableBullet"/>
            </w:pPr>
            <w:r w:rsidRPr="0008693D">
              <w:t xml:space="preserve">family day care — service operates at </w:t>
            </w:r>
            <w:proofErr w:type="spellStart"/>
            <w:r w:rsidRPr="0008693D">
              <w:t>7am</w:t>
            </w:r>
            <w:proofErr w:type="spellEnd"/>
            <w:r w:rsidRPr="0008693D">
              <w:t xml:space="preserve"> or later and no later than </w:t>
            </w:r>
            <w:proofErr w:type="spellStart"/>
            <w:r w:rsidRPr="0008693D">
              <w:t>6.30pm</w:t>
            </w:r>
            <w:proofErr w:type="spellEnd"/>
            <w:r w:rsidRPr="0008693D">
              <w:t xml:space="preserve"> every day Monday to Friday (does not operate on weekends or overnight)</w:t>
            </w:r>
          </w:p>
          <w:p w:rsidR="00F8478D" w:rsidRPr="0008693D" w:rsidRDefault="00F8478D" w:rsidP="0008693D">
            <w:pPr>
              <w:pStyle w:val="TableBullet"/>
            </w:pPr>
            <w:r w:rsidRPr="0008693D">
              <w:t xml:space="preserve">vacation care — service operates at </w:t>
            </w:r>
            <w:proofErr w:type="spellStart"/>
            <w:r w:rsidRPr="0008693D">
              <w:t>7am</w:t>
            </w:r>
            <w:proofErr w:type="spellEnd"/>
            <w:r w:rsidRPr="0008693D">
              <w:t xml:space="preserve"> or later and no later than </w:t>
            </w:r>
            <w:proofErr w:type="spellStart"/>
            <w:r w:rsidRPr="0008693D">
              <w:t>6.30pm</w:t>
            </w:r>
            <w:proofErr w:type="spellEnd"/>
            <w:r w:rsidRPr="0008693D">
              <w:t xml:space="preserve"> every day Monday to Friday </w:t>
            </w:r>
          </w:p>
          <w:p w:rsidR="00AD462F" w:rsidRPr="0008693D" w:rsidRDefault="00AD462F" w:rsidP="0008693D">
            <w:pPr>
              <w:pStyle w:val="TableBullet"/>
            </w:pPr>
            <w:proofErr w:type="spellStart"/>
            <w:r w:rsidRPr="0008693D">
              <w:t>OSHC</w:t>
            </w:r>
            <w:proofErr w:type="spellEnd"/>
            <w:r w:rsidRPr="0008693D">
              <w:t xml:space="preserve"> — service opens at </w:t>
            </w:r>
            <w:proofErr w:type="spellStart"/>
            <w:r w:rsidRPr="0008693D">
              <w:t>7am</w:t>
            </w:r>
            <w:proofErr w:type="spellEnd"/>
            <w:r w:rsidRPr="0008693D">
              <w:t xml:space="preserve"> or later (before school) and closes at </w:t>
            </w:r>
            <w:proofErr w:type="spellStart"/>
            <w:r w:rsidRPr="0008693D">
              <w:t>6.30pm</w:t>
            </w:r>
            <w:proofErr w:type="spellEnd"/>
            <w:r w:rsidRPr="0008693D">
              <w:t xml:space="preserve"> or earlier (after school) every day Monday to Friday</w:t>
            </w:r>
          </w:p>
          <w:p w:rsidR="00AD462F" w:rsidRPr="0008693D" w:rsidRDefault="00AD462F" w:rsidP="0008693D">
            <w:pPr>
              <w:pStyle w:val="TableBullet"/>
            </w:pPr>
            <w:r w:rsidRPr="0008693D">
              <w:t xml:space="preserve">occasional care — service operates at </w:t>
            </w:r>
            <w:proofErr w:type="spellStart"/>
            <w:r w:rsidRPr="0008693D">
              <w:t>7am</w:t>
            </w:r>
            <w:proofErr w:type="spellEnd"/>
            <w:r w:rsidRPr="0008693D">
              <w:t xml:space="preserve"> or later and no later than </w:t>
            </w:r>
            <w:proofErr w:type="spellStart"/>
            <w:r w:rsidRPr="0008693D">
              <w:t>6.30pm</w:t>
            </w:r>
            <w:proofErr w:type="spellEnd"/>
            <w:r w:rsidRPr="0008693D">
              <w:t xml:space="preserve"> every day Monday to Friday (does not </w:t>
            </w:r>
            <w:r w:rsidR="00F8478D" w:rsidRPr="0008693D">
              <w:t>operate on weekends</w:t>
            </w:r>
            <w:r w:rsidRPr="0008693D">
              <w:t>)</w:t>
            </w:r>
          </w:p>
          <w:p w:rsidR="00D8426D" w:rsidRPr="00CF7F81" w:rsidRDefault="00AD462F" w:rsidP="0008693D">
            <w:pPr>
              <w:pStyle w:val="TableBullet"/>
            </w:pPr>
            <w:r w:rsidRPr="0008693D">
              <w:t xml:space="preserve">in home care — service operates at </w:t>
            </w:r>
            <w:proofErr w:type="spellStart"/>
            <w:r w:rsidRPr="0008693D">
              <w:t>7am</w:t>
            </w:r>
            <w:proofErr w:type="spellEnd"/>
            <w:r w:rsidRPr="0008693D">
              <w:t xml:space="preserve"> or later and no later than </w:t>
            </w:r>
            <w:proofErr w:type="spellStart"/>
            <w:r w:rsidRPr="0008693D">
              <w:t>6.30pm</w:t>
            </w:r>
            <w:proofErr w:type="spellEnd"/>
            <w:r w:rsidRPr="0008693D">
              <w:t xml:space="preserve"> every day Monday to Friday (does not</w:t>
            </w:r>
            <w:r w:rsidRPr="0031403C">
              <w:t xml:space="preserve"> operate on </w:t>
            </w:r>
            <w:r w:rsidR="00F8478D">
              <w:t>weekends</w:t>
            </w:r>
            <w:r w:rsidRPr="0031403C">
              <w:t>)</w:t>
            </w:r>
          </w:p>
          <w:p w:rsidR="00D8426D" w:rsidRPr="00F8478D" w:rsidRDefault="00D8426D" w:rsidP="0008693D">
            <w:pPr>
              <w:pStyle w:val="TableBodyText"/>
              <w:jc w:val="left"/>
              <w:rPr>
                <w:szCs w:val="26"/>
              </w:rPr>
            </w:pPr>
            <w:r>
              <w:rPr>
                <w:szCs w:val="26"/>
              </w:rPr>
              <w:t xml:space="preserve">Also </w:t>
            </w:r>
            <w:r w:rsidRPr="0008693D">
              <w:t>see</w:t>
            </w:r>
            <w:r>
              <w:rPr>
                <w:szCs w:val="26"/>
              </w:rPr>
              <w:t xml:space="preserve"> non</w:t>
            </w:r>
            <w:r w:rsidR="002D438E">
              <w:rPr>
                <w:szCs w:val="26"/>
              </w:rPr>
              <w:noBreakHyphen/>
            </w:r>
            <w:r>
              <w:rPr>
                <w:szCs w:val="26"/>
              </w:rPr>
              <w:t>standard hours of care definition.</w:t>
            </w:r>
          </w:p>
        </w:tc>
      </w:tr>
      <w:tr w:rsidR="00AD462F" w:rsidRPr="00CC376D" w:rsidTr="0008693D">
        <w:trPr>
          <w:cantSplit/>
        </w:trPr>
        <w:tc>
          <w:tcPr>
            <w:tcW w:w="2217" w:type="dxa"/>
          </w:tcPr>
          <w:p w:rsidR="00AD462F" w:rsidRDefault="00AD462F" w:rsidP="00B7292C">
            <w:pPr>
              <w:pStyle w:val="TableBodyText"/>
              <w:jc w:val="left"/>
              <w:rPr>
                <w:b/>
              </w:rPr>
            </w:pPr>
            <w:r w:rsidRPr="00A4361F">
              <w:rPr>
                <w:b/>
              </w:rPr>
              <w:t xml:space="preserve">State/Territory government (only) funded </w:t>
            </w:r>
          </w:p>
        </w:tc>
        <w:tc>
          <w:tcPr>
            <w:tcW w:w="6572" w:type="dxa"/>
          </w:tcPr>
          <w:p w:rsidR="00AD462F" w:rsidRPr="0008693D" w:rsidRDefault="00AD462F" w:rsidP="0008693D">
            <w:pPr>
              <w:pStyle w:val="TableBodyText"/>
              <w:jc w:val="left"/>
            </w:pPr>
            <w:r w:rsidRPr="0008693D">
              <w:t xml:space="preserve">State and Territory government financed services — in particular, services that only receive State and Territory government contributions towards providing a specified service (i.e. excluding services which receive Australian Government funding) . </w:t>
            </w:r>
          </w:p>
        </w:tc>
      </w:tr>
      <w:tr w:rsidR="00AD462F" w:rsidRPr="00CC376D" w:rsidTr="0008693D">
        <w:trPr>
          <w:cantSplit/>
        </w:trPr>
        <w:tc>
          <w:tcPr>
            <w:tcW w:w="2217" w:type="dxa"/>
          </w:tcPr>
          <w:p w:rsidR="00AD462F" w:rsidRPr="00A4361F" w:rsidRDefault="00AD462F" w:rsidP="00A4361F">
            <w:pPr>
              <w:pStyle w:val="TableBodyText"/>
              <w:jc w:val="left"/>
              <w:rPr>
                <w:b/>
              </w:rPr>
            </w:pPr>
            <w:r w:rsidRPr="00516A2D">
              <w:rPr>
                <w:b/>
              </w:rPr>
              <w:t>State/Territory government licensed</w:t>
            </w:r>
            <w:r>
              <w:rPr>
                <w:b/>
              </w:rPr>
              <w:t xml:space="preserve"> </w:t>
            </w:r>
          </w:p>
        </w:tc>
        <w:tc>
          <w:tcPr>
            <w:tcW w:w="6572" w:type="dxa"/>
          </w:tcPr>
          <w:p w:rsidR="00AD462F" w:rsidRPr="0008693D" w:rsidRDefault="00AD462F" w:rsidP="0008693D">
            <w:pPr>
              <w:pStyle w:val="TableBodyText"/>
              <w:jc w:val="left"/>
            </w:pPr>
            <w:r w:rsidRPr="0008693D">
              <w:t xml:space="preserve">Services that comply with the relevant State or Territory licensing regulations. These regulations cover matters such as the number of children whom the service can care for, safety requirements and the required qualifications of carers. State/Territory government licensed services are not </w:t>
            </w:r>
            <w:proofErr w:type="spellStart"/>
            <w:r w:rsidRPr="0008693D">
              <w:t>NQF</w:t>
            </w:r>
            <w:proofErr w:type="spellEnd"/>
            <w:r w:rsidRPr="0008693D">
              <w:t xml:space="preserve"> approved.</w:t>
            </w:r>
          </w:p>
        </w:tc>
      </w:tr>
      <w:tr w:rsidR="00AD462F" w:rsidRPr="00CC376D" w:rsidTr="0008693D">
        <w:trPr>
          <w:cantSplit/>
        </w:trPr>
        <w:tc>
          <w:tcPr>
            <w:tcW w:w="2217" w:type="dxa"/>
          </w:tcPr>
          <w:p w:rsidR="00AD462F" w:rsidRPr="00516A2D" w:rsidRDefault="00AD462F" w:rsidP="00B7292C">
            <w:pPr>
              <w:pStyle w:val="TableBodyText"/>
              <w:jc w:val="left"/>
              <w:rPr>
                <w:b/>
              </w:rPr>
            </w:pPr>
            <w:r w:rsidRPr="00C941CD">
              <w:rPr>
                <w:b/>
              </w:rPr>
              <w:t xml:space="preserve">Substantiated </w:t>
            </w:r>
            <w:r>
              <w:rPr>
                <w:b/>
              </w:rPr>
              <w:t xml:space="preserve">breach arising from a </w:t>
            </w:r>
            <w:r w:rsidRPr="00C941CD">
              <w:rPr>
                <w:b/>
              </w:rPr>
              <w:t>complaint</w:t>
            </w:r>
          </w:p>
        </w:tc>
        <w:tc>
          <w:tcPr>
            <w:tcW w:w="6572" w:type="dxa"/>
          </w:tcPr>
          <w:p w:rsidR="00AD462F" w:rsidRPr="0008693D" w:rsidRDefault="00AD462F" w:rsidP="0008693D">
            <w:pPr>
              <w:pStyle w:val="TableBodyText"/>
              <w:jc w:val="left"/>
            </w:pPr>
            <w:r w:rsidRPr="0008693D">
              <w:t xml:space="preserve">An expression of concern about a child care or preschool service, made orally, in writing or in person to the regulatory authority, which constitutes a failure by the </w:t>
            </w:r>
            <w:proofErr w:type="spellStart"/>
            <w:r w:rsidRPr="0008693D">
              <w:t>NQF</w:t>
            </w:r>
            <w:proofErr w:type="spellEnd"/>
            <w:r w:rsidRPr="0008693D">
              <w:t xml:space="preserve"> approved or State and Territory licensed service to abide by the national regulations, State or Territory legislation, regulations or conditions. This concern is investigated and subsequently considered to have substance by the regulatory body.</w:t>
            </w:r>
          </w:p>
        </w:tc>
      </w:tr>
      <w:tr w:rsidR="00AD462F" w:rsidRPr="00CC376D" w:rsidTr="0008693D">
        <w:trPr>
          <w:cantSplit/>
        </w:trPr>
        <w:tc>
          <w:tcPr>
            <w:tcW w:w="2217" w:type="dxa"/>
          </w:tcPr>
          <w:p w:rsidR="00AD462F" w:rsidRPr="00F55ABF" w:rsidRDefault="00AD462F" w:rsidP="008B3432">
            <w:pPr>
              <w:pStyle w:val="TableBodyText"/>
              <w:jc w:val="left"/>
              <w:rPr>
                <w:b/>
              </w:rPr>
            </w:pPr>
            <w:r>
              <w:rPr>
                <w:b/>
              </w:rPr>
              <w:t xml:space="preserve">Vacation care </w:t>
            </w:r>
          </w:p>
        </w:tc>
        <w:tc>
          <w:tcPr>
            <w:tcW w:w="6572" w:type="dxa"/>
          </w:tcPr>
          <w:p w:rsidR="00AD462F" w:rsidRPr="00F55ABF" w:rsidRDefault="00AD462F" w:rsidP="0008693D">
            <w:pPr>
              <w:pStyle w:val="TableBodyText"/>
              <w:jc w:val="left"/>
            </w:pPr>
            <w:r w:rsidRPr="0008693D">
              <w:t>Services provided for children enrolled in schools (4–12 year olds) during the school holidays.</w:t>
            </w:r>
          </w:p>
        </w:tc>
      </w:tr>
    </w:tbl>
    <w:p w:rsidR="00CF7F81" w:rsidRDefault="00CF7F81" w:rsidP="00CF7F81">
      <w:pPr>
        <w:pStyle w:val="BodyText"/>
        <w:rPr>
          <w:rFonts w:ascii="Arial" w:hAnsi="Arial"/>
          <w:sz w:val="32"/>
        </w:rPr>
      </w:pPr>
      <w:bookmarkStart w:id="85" w:name="_Toc372900004"/>
      <w:r>
        <w:br w:type="page"/>
      </w:r>
    </w:p>
    <w:p w:rsidR="00335CEF" w:rsidRPr="009B11B2" w:rsidRDefault="00923A1C" w:rsidP="009B11B2">
      <w:pPr>
        <w:pStyle w:val="Heading2"/>
      </w:pPr>
      <w:r w:rsidRPr="009B11B2">
        <w:lastRenderedPageBreak/>
        <w:t>3.</w:t>
      </w:r>
      <w:r w:rsidR="00D93BFE">
        <w:t>6</w:t>
      </w:r>
      <w:r w:rsidR="00335CEF" w:rsidRPr="009B11B2">
        <w:tab/>
      </w:r>
      <w:r w:rsidR="00C630AB" w:rsidRPr="009B11B2">
        <w:t>List of a</w:t>
      </w:r>
      <w:r w:rsidR="00E67D1A" w:rsidRPr="009B11B2">
        <w:t>ttachment</w:t>
      </w:r>
      <w:r w:rsidR="00335CEF" w:rsidRPr="009B11B2">
        <w:t xml:space="preserve"> tables</w:t>
      </w:r>
      <w:bookmarkEnd w:id="85"/>
      <w:r w:rsidR="00C06D5A">
        <w:t xml:space="preserve"> </w:t>
      </w:r>
    </w:p>
    <w:p w:rsidR="00020029" w:rsidRDefault="0045479F" w:rsidP="00834038">
      <w:pPr>
        <w:pStyle w:val="BodyText"/>
      </w:pPr>
      <w:r w:rsidRPr="0045479F">
        <w:t>Attachment tables are identified in referenc</w:t>
      </w:r>
      <w:r w:rsidR="00AC6D39">
        <w:t>es throughout this chapter by a</w:t>
      </w:r>
      <w:r w:rsidRPr="0045479F">
        <w:t xml:space="preserve"> ‘</w:t>
      </w:r>
      <w:proofErr w:type="spellStart"/>
      <w:r w:rsidRPr="0045479F">
        <w:t>3A</w:t>
      </w:r>
      <w:proofErr w:type="spellEnd"/>
      <w:r w:rsidRPr="0045479F">
        <w:t>’</w:t>
      </w:r>
      <w:r w:rsidR="0046031F">
        <w:t xml:space="preserve"> prefix (for example, table</w:t>
      </w:r>
      <w:r w:rsidR="00172534">
        <w:t> </w:t>
      </w:r>
      <w:proofErr w:type="spellStart"/>
      <w:r w:rsidR="0046031F">
        <w:t>3A.1</w:t>
      </w:r>
      <w:proofErr w:type="spellEnd"/>
      <w:r w:rsidRPr="0045479F">
        <w:t xml:space="preserve">). Attachment tables are </w:t>
      </w:r>
      <w:r w:rsidR="00D24CA3">
        <w:t xml:space="preserve">available </w:t>
      </w:r>
      <w:r w:rsidRPr="0045479F">
        <w:t xml:space="preserve">on the </w:t>
      </w:r>
      <w:r w:rsidR="002E4D12">
        <w:t xml:space="preserve">website </w:t>
      </w:r>
      <w:r w:rsidR="00A1745C">
        <w:t>(</w:t>
      </w:r>
      <w:proofErr w:type="spellStart"/>
      <w:r w:rsidR="00AC6D39">
        <w:t>www.pc.gov.au</w:t>
      </w:r>
      <w:proofErr w:type="spellEnd"/>
      <w:r w:rsidR="00AC6D39">
        <w:t>/</w:t>
      </w:r>
      <w:proofErr w:type="spellStart"/>
      <w:r w:rsidR="00AC6D39">
        <w:t>rogs</w:t>
      </w:r>
      <w:proofErr w:type="spellEnd"/>
      <w:r w:rsidR="00AC6D39">
        <w:t>/2016</w:t>
      </w:r>
      <w:r w:rsidR="00A1745C">
        <w:t>)</w:t>
      </w:r>
      <w:r w:rsidR="00D24CA3" w:rsidRPr="0091551E">
        <w:t>.</w:t>
      </w:r>
    </w:p>
    <w:p w:rsidR="0008539E" w:rsidRDefault="0008539E" w:rsidP="00834038">
      <w:pPr>
        <w:pStyle w:val="BodyText"/>
      </w:pPr>
    </w:p>
    <w:tbl>
      <w:tblPr>
        <w:tblW w:w="8860" w:type="dxa"/>
        <w:tblInd w:w="108" w:type="dxa"/>
        <w:tblLook w:val="04A0" w:firstRow="1" w:lastRow="0" w:firstColumn="1" w:lastColumn="0" w:noHBand="0" w:noVBand="1"/>
      </w:tblPr>
      <w:tblGrid>
        <w:gridCol w:w="1456"/>
        <w:gridCol w:w="7404"/>
      </w:tblGrid>
      <w:tr w:rsidR="0008539E" w:rsidRPr="0008539E" w:rsidTr="0008539E">
        <w:trPr>
          <w:trHeight w:val="357"/>
        </w:trPr>
        <w:tc>
          <w:tcPr>
            <w:tcW w:w="1456" w:type="dxa"/>
            <w:tcBorders>
              <w:top w:val="nil"/>
              <w:left w:val="nil"/>
              <w:bottom w:val="nil"/>
              <w:right w:val="nil"/>
            </w:tcBorders>
            <w:shd w:val="clear" w:color="auto" w:fill="auto"/>
            <w:noWrap/>
            <w:hideMark/>
          </w:tcPr>
          <w:p w:rsidR="0008539E" w:rsidRPr="0008539E" w:rsidRDefault="0008539E" w:rsidP="0008539E">
            <w:pPr>
              <w:rPr>
                <w:rFonts w:ascii="Arial" w:hAnsi="Arial" w:cs="Arial"/>
                <w:b/>
                <w:bCs/>
                <w:color w:val="0000FF"/>
                <w:sz w:val="20"/>
                <w:szCs w:val="20"/>
              </w:rPr>
            </w:pPr>
            <w:r w:rsidRPr="0008539E">
              <w:rPr>
                <w:rFonts w:ascii="Arial" w:hAnsi="Arial" w:cs="Arial"/>
                <w:b/>
                <w:bCs/>
                <w:color w:val="0000FF"/>
                <w:sz w:val="20"/>
                <w:szCs w:val="20"/>
              </w:rPr>
              <w:t>Table</w:t>
            </w:r>
            <w:r w:rsidR="00697D43">
              <w:rPr>
                <w:rFonts w:ascii="Arial" w:hAnsi="Arial" w:cs="Arial"/>
                <w:b/>
                <w:bCs/>
                <w:color w:val="0000FF"/>
                <w:sz w:val="20"/>
                <w:szCs w:val="20"/>
              </w:rPr>
              <w:t> </w:t>
            </w:r>
            <w:proofErr w:type="spellStart"/>
            <w:r w:rsidRPr="0008539E">
              <w:rPr>
                <w:rFonts w:ascii="Arial" w:hAnsi="Arial" w:cs="Arial"/>
                <w:b/>
                <w:bCs/>
                <w:color w:val="0000FF"/>
                <w:sz w:val="20"/>
                <w:szCs w:val="20"/>
              </w:rPr>
              <w:t>3A.1</w:t>
            </w:r>
            <w:proofErr w:type="spellEnd"/>
          </w:p>
        </w:tc>
        <w:tc>
          <w:tcPr>
            <w:tcW w:w="7404" w:type="dxa"/>
            <w:tcBorders>
              <w:top w:val="nil"/>
              <w:left w:val="nil"/>
              <w:bottom w:val="nil"/>
              <w:right w:val="nil"/>
            </w:tcBorders>
            <w:shd w:val="clear" w:color="auto" w:fill="auto"/>
            <w:hideMark/>
          </w:tcPr>
          <w:p w:rsidR="0008539E" w:rsidRPr="0008539E" w:rsidRDefault="0008539E" w:rsidP="0008539E">
            <w:pPr>
              <w:jc w:val="both"/>
              <w:rPr>
                <w:rFonts w:ascii="Arial" w:hAnsi="Arial" w:cs="Arial"/>
                <w:sz w:val="20"/>
                <w:szCs w:val="20"/>
              </w:rPr>
            </w:pPr>
            <w:r w:rsidRPr="0008539E">
              <w:rPr>
                <w:rFonts w:ascii="Arial" w:hAnsi="Arial" w:cs="Arial"/>
                <w:sz w:val="20"/>
                <w:szCs w:val="20"/>
              </w:rPr>
              <w:t>Early Childhood Education and Care (</w:t>
            </w:r>
            <w:proofErr w:type="spellStart"/>
            <w:r w:rsidRPr="0008539E">
              <w:rPr>
                <w:rFonts w:ascii="Arial" w:hAnsi="Arial" w:cs="Arial"/>
                <w:sz w:val="20"/>
                <w:szCs w:val="20"/>
              </w:rPr>
              <w:t>ECEC</w:t>
            </w:r>
            <w:proofErr w:type="spellEnd"/>
            <w:r w:rsidRPr="0008539E">
              <w:rPr>
                <w:rFonts w:ascii="Arial" w:hAnsi="Arial" w:cs="Arial"/>
                <w:sz w:val="20"/>
                <w:szCs w:val="20"/>
              </w:rPr>
              <w:t>) in Australia, as at 30</w:t>
            </w:r>
            <w:r w:rsidR="002D438E">
              <w:rPr>
                <w:rFonts w:ascii="Arial" w:hAnsi="Arial" w:cs="Arial"/>
                <w:sz w:val="20"/>
                <w:szCs w:val="20"/>
              </w:rPr>
              <w:t> </w:t>
            </w:r>
            <w:r w:rsidRPr="0008539E">
              <w:rPr>
                <w:rFonts w:ascii="Arial" w:hAnsi="Arial" w:cs="Arial"/>
                <w:sz w:val="20"/>
                <w:szCs w:val="20"/>
              </w:rPr>
              <w:t xml:space="preserve">June 2015 </w:t>
            </w:r>
          </w:p>
        </w:tc>
      </w:tr>
      <w:tr w:rsidR="0008539E" w:rsidRPr="0008539E" w:rsidTr="0008539E">
        <w:trPr>
          <w:trHeight w:val="612"/>
        </w:trPr>
        <w:tc>
          <w:tcPr>
            <w:tcW w:w="1456" w:type="dxa"/>
            <w:tcBorders>
              <w:top w:val="nil"/>
              <w:left w:val="nil"/>
              <w:bottom w:val="nil"/>
              <w:right w:val="nil"/>
            </w:tcBorders>
            <w:shd w:val="clear" w:color="auto" w:fill="auto"/>
            <w:noWrap/>
            <w:hideMark/>
          </w:tcPr>
          <w:p w:rsidR="0008539E" w:rsidRPr="0008539E" w:rsidRDefault="0008539E" w:rsidP="0008539E">
            <w:pPr>
              <w:rPr>
                <w:rFonts w:ascii="Arial" w:hAnsi="Arial" w:cs="Arial"/>
                <w:b/>
                <w:bCs/>
                <w:color w:val="0000FF"/>
                <w:sz w:val="20"/>
                <w:szCs w:val="20"/>
              </w:rPr>
            </w:pPr>
            <w:r w:rsidRPr="0008539E">
              <w:rPr>
                <w:rFonts w:ascii="Arial" w:hAnsi="Arial" w:cs="Arial"/>
                <w:b/>
                <w:bCs/>
                <w:color w:val="0000FF"/>
                <w:sz w:val="20"/>
                <w:szCs w:val="20"/>
              </w:rPr>
              <w:t>Table</w:t>
            </w:r>
            <w:r w:rsidR="00697D43">
              <w:rPr>
                <w:rFonts w:ascii="Arial" w:hAnsi="Arial" w:cs="Arial"/>
                <w:b/>
                <w:bCs/>
                <w:color w:val="0000FF"/>
                <w:sz w:val="20"/>
                <w:szCs w:val="20"/>
              </w:rPr>
              <w:t> </w:t>
            </w:r>
            <w:proofErr w:type="spellStart"/>
            <w:r w:rsidRPr="0008539E">
              <w:rPr>
                <w:rFonts w:ascii="Arial" w:hAnsi="Arial" w:cs="Arial"/>
                <w:b/>
                <w:bCs/>
                <w:color w:val="0000FF"/>
                <w:sz w:val="20"/>
                <w:szCs w:val="20"/>
              </w:rPr>
              <w:t>3A.2</w:t>
            </w:r>
            <w:proofErr w:type="spellEnd"/>
          </w:p>
        </w:tc>
        <w:tc>
          <w:tcPr>
            <w:tcW w:w="7404" w:type="dxa"/>
            <w:tcBorders>
              <w:top w:val="nil"/>
              <w:left w:val="nil"/>
              <w:bottom w:val="nil"/>
              <w:right w:val="nil"/>
            </w:tcBorders>
            <w:shd w:val="clear" w:color="auto" w:fill="auto"/>
            <w:hideMark/>
          </w:tcPr>
          <w:p w:rsidR="0008539E" w:rsidRPr="0008539E" w:rsidRDefault="0008539E" w:rsidP="0008539E">
            <w:pPr>
              <w:jc w:val="both"/>
              <w:rPr>
                <w:rFonts w:ascii="Arial" w:hAnsi="Arial" w:cs="Arial"/>
                <w:sz w:val="20"/>
                <w:szCs w:val="20"/>
              </w:rPr>
            </w:pPr>
            <w:r w:rsidRPr="0008539E">
              <w:rPr>
                <w:rFonts w:ascii="Arial" w:hAnsi="Arial" w:cs="Arial"/>
                <w:sz w:val="20"/>
                <w:szCs w:val="20"/>
              </w:rPr>
              <w:t>Estimated resident population (</w:t>
            </w:r>
            <w:proofErr w:type="spellStart"/>
            <w:r w:rsidRPr="0008539E">
              <w:rPr>
                <w:rFonts w:ascii="Arial" w:hAnsi="Arial" w:cs="Arial"/>
                <w:sz w:val="20"/>
                <w:szCs w:val="20"/>
              </w:rPr>
              <w:t>ERP</w:t>
            </w:r>
            <w:proofErr w:type="spellEnd"/>
            <w:r w:rsidRPr="0008539E">
              <w:rPr>
                <w:rFonts w:ascii="Arial" w:hAnsi="Arial" w:cs="Arial"/>
                <w:sz w:val="20"/>
                <w:szCs w:val="20"/>
              </w:rPr>
              <w:t xml:space="preserve">), children aged 12 years and younger, 31 December (’000) </w:t>
            </w:r>
          </w:p>
        </w:tc>
      </w:tr>
      <w:tr w:rsidR="0008539E" w:rsidRPr="0008539E" w:rsidTr="0008539E">
        <w:trPr>
          <w:trHeight w:val="357"/>
        </w:trPr>
        <w:tc>
          <w:tcPr>
            <w:tcW w:w="1456" w:type="dxa"/>
            <w:tcBorders>
              <w:top w:val="nil"/>
              <w:left w:val="nil"/>
              <w:bottom w:val="nil"/>
              <w:right w:val="nil"/>
            </w:tcBorders>
            <w:shd w:val="clear" w:color="auto" w:fill="auto"/>
            <w:noWrap/>
            <w:hideMark/>
          </w:tcPr>
          <w:p w:rsidR="0008539E" w:rsidRPr="0008539E" w:rsidRDefault="0008539E" w:rsidP="0008539E">
            <w:pPr>
              <w:rPr>
                <w:rFonts w:ascii="Arial" w:hAnsi="Arial" w:cs="Arial"/>
                <w:b/>
                <w:bCs/>
                <w:color w:val="0000FF"/>
                <w:sz w:val="20"/>
                <w:szCs w:val="20"/>
              </w:rPr>
            </w:pPr>
            <w:r w:rsidRPr="0008539E">
              <w:rPr>
                <w:rFonts w:ascii="Arial" w:hAnsi="Arial" w:cs="Arial"/>
                <w:b/>
                <w:bCs/>
                <w:color w:val="0000FF"/>
                <w:sz w:val="20"/>
                <w:szCs w:val="20"/>
              </w:rPr>
              <w:t>Table</w:t>
            </w:r>
            <w:r w:rsidR="00697D43">
              <w:rPr>
                <w:rFonts w:ascii="Arial" w:hAnsi="Arial" w:cs="Arial"/>
                <w:b/>
                <w:bCs/>
                <w:color w:val="0000FF"/>
                <w:sz w:val="20"/>
                <w:szCs w:val="20"/>
              </w:rPr>
              <w:t> </w:t>
            </w:r>
            <w:proofErr w:type="spellStart"/>
            <w:r w:rsidRPr="0008539E">
              <w:rPr>
                <w:rFonts w:ascii="Arial" w:hAnsi="Arial" w:cs="Arial"/>
                <w:b/>
                <w:bCs/>
                <w:color w:val="0000FF"/>
                <w:sz w:val="20"/>
                <w:szCs w:val="20"/>
              </w:rPr>
              <w:t>3A.3</w:t>
            </w:r>
            <w:proofErr w:type="spellEnd"/>
          </w:p>
        </w:tc>
        <w:tc>
          <w:tcPr>
            <w:tcW w:w="7404" w:type="dxa"/>
            <w:tcBorders>
              <w:top w:val="nil"/>
              <w:left w:val="nil"/>
              <w:bottom w:val="nil"/>
              <w:right w:val="nil"/>
            </w:tcBorders>
            <w:shd w:val="clear" w:color="auto" w:fill="auto"/>
            <w:hideMark/>
          </w:tcPr>
          <w:p w:rsidR="0008539E" w:rsidRPr="0008539E" w:rsidRDefault="0008539E" w:rsidP="0008539E">
            <w:pPr>
              <w:jc w:val="both"/>
              <w:rPr>
                <w:rFonts w:ascii="Arial" w:hAnsi="Arial" w:cs="Arial"/>
                <w:sz w:val="20"/>
                <w:szCs w:val="20"/>
              </w:rPr>
            </w:pPr>
            <w:r w:rsidRPr="0008539E">
              <w:rPr>
                <w:rFonts w:ascii="Arial" w:hAnsi="Arial" w:cs="Arial"/>
                <w:sz w:val="20"/>
                <w:szCs w:val="20"/>
              </w:rPr>
              <w:t xml:space="preserve">Total government real expenditure on </w:t>
            </w:r>
            <w:proofErr w:type="spellStart"/>
            <w:r w:rsidRPr="0008539E">
              <w:rPr>
                <w:rFonts w:ascii="Arial" w:hAnsi="Arial" w:cs="Arial"/>
                <w:sz w:val="20"/>
                <w:szCs w:val="20"/>
              </w:rPr>
              <w:t>ECEC</w:t>
            </w:r>
            <w:proofErr w:type="spellEnd"/>
            <w:r w:rsidRPr="0008539E">
              <w:rPr>
                <w:rFonts w:ascii="Arial" w:hAnsi="Arial" w:cs="Arial"/>
                <w:sz w:val="20"/>
                <w:szCs w:val="20"/>
              </w:rPr>
              <w:t xml:space="preserve"> (2014</w:t>
            </w:r>
            <w:r w:rsidR="002D438E">
              <w:rPr>
                <w:rFonts w:ascii="Arial" w:hAnsi="Arial" w:cs="Arial"/>
                <w:sz w:val="20"/>
                <w:szCs w:val="20"/>
              </w:rPr>
              <w:noBreakHyphen/>
            </w:r>
            <w:r w:rsidRPr="0008539E">
              <w:rPr>
                <w:rFonts w:ascii="Arial" w:hAnsi="Arial" w:cs="Arial"/>
                <w:sz w:val="20"/>
                <w:szCs w:val="20"/>
              </w:rPr>
              <w:t>15 dollars) ($000)</w:t>
            </w:r>
            <w:r w:rsidR="002D438E">
              <w:rPr>
                <w:rFonts w:ascii="Arial" w:hAnsi="Arial" w:cs="Arial"/>
                <w:sz w:val="20"/>
                <w:szCs w:val="20"/>
              </w:rPr>
              <w:t xml:space="preserve"> </w:t>
            </w:r>
          </w:p>
        </w:tc>
      </w:tr>
      <w:tr w:rsidR="0008539E" w:rsidRPr="0008539E" w:rsidTr="0008539E">
        <w:trPr>
          <w:trHeight w:val="612"/>
        </w:trPr>
        <w:tc>
          <w:tcPr>
            <w:tcW w:w="1456" w:type="dxa"/>
            <w:tcBorders>
              <w:top w:val="nil"/>
              <w:left w:val="nil"/>
              <w:bottom w:val="nil"/>
              <w:right w:val="nil"/>
            </w:tcBorders>
            <w:shd w:val="clear" w:color="auto" w:fill="auto"/>
            <w:noWrap/>
            <w:hideMark/>
          </w:tcPr>
          <w:p w:rsidR="0008539E" w:rsidRPr="0008539E" w:rsidRDefault="0008539E" w:rsidP="0008539E">
            <w:pPr>
              <w:rPr>
                <w:rFonts w:ascii="Arial" w:hAnsi="Arial" w:cs="Arial"/>
                <w:b/>
                <w:bCs/>
                <w:color w:val="0000FF"/>
                <w:sz w:val="20"/>
                <w:szCs w:val="20"/>
              </w:rPr>
            </w:pPr>
            <w:r w:rsidRPr="0008539E">
              <w:rPr>
                <w:rFonts w:ascii="Arial" w:hAnsi="Arial" w:cs="Arial"/>
                <w:b/>
                <w:bCs/>
                <w:color w:val="0000FF"/>
                <w:sz w:val="20"/>
                <w:szCs w:val="20"/>
              </w:rPr>
              <w:t>Table</w:t>
            </w:r>
            <w:r w:rsidR="00697D43">
              <w:rPr>
                <w:rFonts w:ascii="Arial" w:hAnsi="Arial" w:cs="Arial"/>
                <w:b/>
                <w:bCs/>
                <w:color w:val="0000FF"/>
                <w:sz w:val="20"/>
                <w:szCs w:val="20"/>
              </w:rPr>
              <w:t> </w:t>
            </w:r>
            <w:proofErr w:type="spellStart"/>
            <w:r w:rsidRPr="0008539E">
              <w:rPr>
                <w:rFonts w:ascii="Arial" w:hAnsi="Arial" w:cs="Arial"/>
                <w:b/>
                <w:bCs/>
                <w:color w:val="0000FF"/>
                <w:sz w:val="20"/>
                <w:szCs w:val="20"/>
              </w:rPr>
              <w:t>3A.4</w:t>
            </w:r>
            <w:proofErr w:type="spellEnd"/>
          </w:p>
        </w:tc>
        <w:tc>
          <w:tcPr>
            <w:tcW w:w="7404" w:type="dxa"/>
            <w:tcBorders>
              <w:top w:val="nil"/>
              <w:left w:val="nil"/>
              <w:bottom w:val="nil"/>
              <w:right w:val="nil"/>
            </w:tcBorders>
            <w:shd w:val="clear" w:color="auto" w:fill="auto"/>
            <w:hideMark/>
          </w:tcPr>
          <w:p w:rsidR="0008539E" w:rsidRPr="0008539E" w:rsidRDefault="0008539E" w:rsidP="0008539E">
            <w:pPr>
              <w:jc w:val="both"/>
              <w:rPr>
                <w:rFonts w:ascii="Arial" w:hAnsi="Arial" w:cs="Arial"/>
                <w:sz w:val="20"/>
                <w:szCs w:val="20"/>
              </w:rPr>
            </w:pPr>
            <w:r w:rsidRPr="0008539E">
              <w:rPr>
                <w:rFonts w:ascii="Arial" w:hAnsi="Arial" w:cs="Arial"/>
                <w:sz w:val="20"/>
                <w:szCs w:val="20"/>
              </w:rPr>
              <w:t>Australian Government real expenditure on child care services (2014</w:t>
            </w:r>
            <w:r w:rsidR="002D438E">
              <w:rPr>
                <w:rFonts w:ascii="Arial" w:hAnsi="Arial" w:cs="Arial"/>
                <w:sz w:val="20"/>
                <w:szCs w:val="20"/>
              </w:rPr>
              <w:noBreakHyphen/>
            </w:r>
            <w:r w:rsidRPr="0008539E">
              <w:rPr>
                <w:rFonts w:ascii="Arial" w:hAnsi="Arial" w:cs="Arial"/>
                <w:sz w:val="20"/>
                <w:szCs w:val="20"/>
              </w:rPr>
              <w:t>15 dollars) ($000)</w:t>
            </w:r>
            <w:r w:rsidR="002D438E">
              <w:rPr>
                <w:rFonts w:ascii="Arial" w:hAnsi="Arial" w:cs="Arial"/>
                <w:sz w:val="20"/>
                <w:szCs w:val="20"/>
              </w:rPr>
              <w:t xml:space="preserve"> </w:t>
            </w:r>
          </w:p>
        </w:tc>
      </w:tr>
      <w:tr w:rsidR="0008539E" w:rsidRPr="0008539E" w:rsidTr="0008539E">
        <w:trPr>
          <w:trHeight w:val="612"/>
        </w:trPr>
        <w:tc>
          <w:tcPr>
            <w:tcW w:w="1456" w:type="dxa"/>
            <w:tcBorders>
              <w:top w:val="nil"/>
              <w:left w:val="nil"/>
              <w:bottom w:val="nil"/>
              <w:right w:val="nil"/>
            </w:tcBorders>
            <w:shd w:val="clear" w:color="auto" w:fill="auto"/>
            <w:noWrap/>
            <w:hideMark/>
          </w:tcPr>
          <w:p w:rsidR="0008539E" w:rsidRPr="0008539E" w:rsidRDefault="0008539E" w:rsidP="0008539E">
            <w:pPr>
              <w:rPr>
                <w:rFonts w:ascii="Arial" w:hAnsi="Arial" w:cs="Arial"/>
                <w:b/>
                <w:bCs/>
                <w:color w:val="0000FF"/>
                <w:sz w:val="20"/>
                <w:szCs w:val="20"/>
              </w:rPr>
            </w:pPr>
            <w:r w:rsidRPr="0008539E">
              <w:rPr>
                <w:rFonts w:ascii="Arial" w:hAnsi="Arial" w:cs="Arial"/>
                <w:b/>
                <w:bCs/>
                <w:color w:val="0000FF"/>
                <w:sz w:val="20"/>
                <w:szCs w:val="20"/>
              </w:rPr>
              <w:t>Table</w:t>
            </w:r>
            <w:r w:rsidR="00697D43">
              <w:rPr>
                <w:rFonts w:ascii="Arial" w:hAnsi="Arial" w:cs="Arial"/>
                <w:b/>
                <w:bCs/>
                <w:color w:val="0000FF"/>
                <w:sz w:val="20"/>
                <w:szCs w:val="20"/>
              </w:rPr>
              <w:t> </w:t>
            </w:r>
            <w:proofErr w:type="spellStart"/>
            <w:r w:rsidRPr="0008539E">
              <w:rPr>
                <w:rFonts w:ascii="Arial" w:hAnsi="Arial" w:cs="Arial"/>
                <w:b/>
                <w:bCs/>
                <w:color w:val="0000FF"/>
                <w:sz w:val="20"/>
                <w:szCs w:val="20"/>
              </w:rPr>
              <w:t>3A.5</w:t>
            </w:r>
            <w:proofErr w:type="spellEnd"/>
          </w:p>
        </w:tc>
        <w:tc>
          <w:tcPr>
            <w:tcW w:w="7404" w:type="dxa"/>
            <w:tcBorders>
              <w:top w:val="nil"/>
              <w:left w:val="nil"/>
              <w:bottom w:val="nil"/>
              <w:right w:val="nil"/>
            </w:tcBorders>
            <w:shd w:val="clear" w:color="auto" w:fill="auto"/>
            <w:hideMark/>
          </w:tcPr>
          <w:p w:rsidR="0008539E" w:rsidRPr="0008539E" w:rsidRDefault="0008539E" w:rsidP="0008539E">
            <w:pPr>
              <w:jc w:val="both"/>
              <w:rPr>
                <w:rFonts w:ascii="Arial" w:hAnsi="Arial" w:cs="Arial"/>
                <w:sz w:val="20"/>
                <w:szCs w:val="20"/>
              </w:rPr>
            </w:pPr>
            <w:r w:rsidRPr="0008539E">
              <w:rPr>
                <w:rFonts w:ascii="Arial" w:hAnsi="Arial" w:cs="Arial"/>
                <w:sz w:val="20"/>
                <w:szCs w:val="20"/>
              </w:rPr>
              <w:t xml:space="preserve">State and Territory government real expenditure on </w:t>
            </w:r>
            <w:proofErr w:type="spellStart"/>
            <w:r w:rsidRPr="0008539E">
              <w:rPr>
                <w:rFonts w:ascii="Arial" w:hAnsi="Arial" w:cs="Arial"/>
                <w:sz w:val="20"/>
                <w:szCs w:val="20"/>
              </w:rPr>
              <w:t>ECEC</w:t>
            </w:r>
            <w:proofErr w:type="spellEnd"/>
            <w:r w:rsidRPr="0008539E">
              <w:rPr>
                <w:rFonts w:ascii="Arial" w:hAnsi="Arial" w:cs="Arial"/>
                <w:sz w:val="20"/>
                <w:szCs w:val="20"/>
              </w:rPr>
              <w:t xml:space="preserve"> services (2014</w:t>
            </w:r>
            <w:r w:rsidR="002D438E">
              <w:rPr>
                <w:rFonts w:ascii="Arial" w:hAnsi="Arial" w:cs="Arial"/>
                <w:sz w:val="20"/>
                <w:szCs w:val="20"/>
              </w:rPr>
              <w:noBreakHyphen/>
            </w:r>
            <w:r w:rsidRPr="0008539E">
              <w:rPr>
                <w:rFonts w:ascii="Arial" w:hAnsi="Arial" w:cs="Arial"/>
                <w:sz w:val="20"/>
                <w:szCs w:val="20"/>
              </w:rPr>
              <w:t>15 dollars) ($000)</w:t>
            </w:r>
            <w:r w:rsidR="002D438E">
              <w:rPr>
                <w:rFonts w:ascii="Arial" w:hAnsi="Arial" w:cs="Arial"/>
                <w:sz w:val="20"/>
                <w:szCs w:val="20"/>
              </w:rPr>
              <w:t xml:space="preserve"> </w:t>
            </w:r>
          </w:p>
        </w:tc>
      </w:tr>
      <w:tr w:rsidR="0008539E" w:rsidRPr="0008539E" w:rsidTr="0008539E">
        <w:trPr>
          <w:trHeight w:val="612"/>
        </w:trPr>
        <w:tc>
          <w:tcPr>
            <w:tcW w:w="1456" w:type="dxa"/>
            <w:tcBorders>
              <w:top w:val="nil"/>
              <w:left w:val="nil"/>
              <w:bottom w:val="nil"/>
              <w:right w:val="nil"/>
            </w:tcBorders>
            <w:shd w:val="clear" w:color="auto" w:fill="auto"/>
            <w:noWrap/>
            <w:hideMark/>
          </w:tcPr>
          <w:p w:rsidR="0008539E" w:rsidRPr="0008539E" w:rsidRDefault="0008539E" w:rsidP="0008539E">
            <w:pPr>
              <w:rPr>
                <w:rFonts w:ascii="Arial" w:hAnsi="Arial" w:cs="Arial"/>
                <w:b/>
                <w:bCs/>
                <w:color w:val="0000FF"/>
                <w:sz w:val="20"/>
                <w:szCs w:val="20"/>
              </w:rPr>
            </w:pPr>
            <w:r w:rsidRPr="0008539E">
              <w:rPr>
                <w:rFonts w:ascii="Arial" w:hAnsi="Arial" w:cs="Arial"/>
                <w:b/>
                <w:bCs/>
                <w:color w:val="0000FF"/>
                <w:sz w:val="20"/>
                <w:szCs w:val="20"/>
              </w:rPr>
              <w:t>Table</w:t>
            </w:r>
            <w:r w:rsidR="00697D43">
              <w:rPr>
                <w:rFonts w:ascii="Arial" w:hAnsi="Arial" w:cs="Arial"/>
                <w:b/>
                <w:bCs/>
                <w:color w:val="0000FF"/>
                <w:sz w:val="20"/>
                <w:szCs w:val="20"/>
              </w:rPr>
              <w:t> </w:t>
            </w:r>
            <w:proofErr w:type="spellStart"/>
            <w:r w:rsidRPr="0008539E">
              <w:rPr>
                <w:rFonts w:ascii="Arial" w:hAnsi="Arial" w:cs="Arial"/>
                <w:b/>
                <w:bCs/>
                <w:color w:val="0000FF"/>
                <w:sz w:val="20"/>
                <w:szCs w:val="20"/>
              </w:rPr>
              <w:t>3A.6</w:t>
            </w:r>
            <w:proofErr w:type="spellEnd"/>
          </w:p>
        </w:tc>
        <w:tc>
          <w:tcPr>
            <w:tcW w:w="7404" w:type="dxa"/>
            <w:tcBorders>
              <w:top w:val="nil"/>
              <w:left w:val="nil"/>
              <w:bottom w:val="nil"/>
              <w:right w:val="nil"/>
            </w:tcBorders>
            <w:shd w:val="clear" w:color="auto" w:fill="auto"/>
            <w:hideMark/>
          </w:tcPr>
          <w:p w:rsidR="0008539E" w:rsidRPr="0008539E" w:rsidRDefault="0008539E" w:rsidP="0008539E">
            <w:pPr>
              <w:jc w:val="both"/>
              <w:rPr>
                <w:rFonts w:ascii="Arial" w:hAnsi="Arial" w:cs="Arial"/>
                <w:sz w:val="20"/>
                <w:szCs w:val="20"/>
              </w:rPr>
            </w:pPr>
            <w:r w:rsidRPr="0008539E">
              <w:rPr>
                <w:rFonts w:ascii="Arial" w:hAnsi="Arial" w:cs="Arial"/>
                <w:sz w:val="20"/>
                <w:szCs w:val="20"/>
              </w:rPr>
              <w:t xml:space="preserve">Australian Government funding to State and Territory governments under the NP </w:t>
            </w:r>
            <w:proofErr w:type="spellStart"/>
            <w:r w:rsidRPr="0008539E">
              <w:rPr>
                <w:rFonts w:ascii="Arial" w:hAnsi="Arial" w:cs="Arial"/>
                <w:sz w:val="20"/>
                <w:szCs w:val="20"/>
              </w:rPr>
              <w:t>UAECE</w:t>
            </w:r>
            <w:proofErr w:type="spellEnd"/>
            <w:r w:rsidR="002D438E">
              <w:rPr>
                <w:rFonts w:ascii="Arial" w:hAnsi="Arial" w:cs="Arial"/>
                <w:sz w:val="20"/>
                <w:szCs w:val="20"/>
              </w:rPr>
              <w:t xml:space="preserve"> </w:t>
            </w:r>
          </w:p>
        </w:tc>
      </w:tr>
      <w:tr w:rsidR="0008539E" w:rsidRPr="0008539E" w:rsidTr="0008539E">
        <w:trPr>
          <w:trHeight w:val="357"/>
        </w:trPr>
        <w:tc>
          <w:tcPr>
            <w:tcW w:w="1456" w:type="dxa"/>
            <w:tcBorders>
              <w:top w:val="nil"/>
              <w:left w:val="nil"/>
              <w:bottom w:val="nil"/>
              <w:right w:val="nil"/>
            </w:tcBorders>
            <w:shd w:val="clear" w:color="auto" w:fill="auto"/>
            <w:noWrap/>
            <w:hideMark/>
          </w:tcPr>
          <w:p w:rsidR="0008539E" w:rsidRPr="0008539E" w:rsidRDefault="0008539E" w:rsidP="0008539E">
            <w:pPr>
              <w:rPr>
                <w:rFonts w:ascii="Arial" w:hAnsi="Arial" w:cs="Arial"/>
                <w:b/>
                <w:bCs/>
                <w:color w:val="0000FF"/>
                <w:sz w:val="20"/>
                <w:szCs w:val="20"/>
              </w:rPr>
            </w:pPr>
            <w:r w:rsidRPr="0008539E">
              <w:rPr>
                <w:rFonts w:ascii="Arial" w:hAnsi="Arial" w:cs="Arial"/>
                <w:b/>
                <w:bCs/>
                <w:color w:val="0000FF"/>
                <w:sz w:val="20"/>
                <w:szCs w:val="20"/>
              </w:rPr>
              <w:t>Table</w:t>
            </w:r>
            <w:r w:rsidR="00697D43">
              <w:rPr>
                <w:rFonts w:ascii="Arial" w:hAnsi="Arial" w:cs="Arial"/>
                <w:b/>
                <w:bCs/>
                <w:color w:val="0000FF"/>
                <w:sz w:val="20"/>
                <w:szCs w:val="20"/>
              </w:rPr>
              <w:t> </w:t>
            </w:r>
            <w:proofErr w:type="spellStart"/>
            <w:r w:rsidRPr="0008539E">
              <w:rPr>
                <w:rFonts w:ascii="Arial" w:hAnsi="Arial" w:cs="Arial"/>
                <w:b/>
                <w:bCs/>
                <w:color w:val="0000FF"/>
                <w:sz w:val="20"/>
                <w:szCs w:val="20"/>
              </w:rPr>
              <w:t>3A.7</w:t>
            </w:r>
            <w:proofErr w:type="spellEnd"/>
          </w:p>
        </w:tc>
        <w:tc>
          <w:tcPr>
            <w:tcW w:w="7404" w:type="dxa"/>
            <w:tcBorders>
              <w:top w:val="nil"/>
              <w:left w:val="nil"/>
              <w:bottom w:val="nil"/>
              <w:right w:val="nil"/>
            </w:tcBorders>
            <w:shd w:val="clear" w:color="auto" w:fill="auto"/>
            <w:hideMark/>
          </w:tcPr>
          <w:p w:rsidR="0008539E" w:rsidRPr="0008539E" w:rsidRDefault="0008539E" w:rsidP="0008539E">
            <w:pPr>
              <w:jc w:val="both"/>
              <w:rPr>
                <w:rFonts w:ascii="Arial" w:hAnsi="Arial" w:cs="Arial"/>
                <w:sz w:val="20"/>
                <w:szCs w:val="20"/>
              </w:rPr>
            </w:pPr>
            <w:r w:rsidRPr="0008539E">
              <w:rPr>
                <w:rFonts w:ascii="Arial" w:hAnsi="Arial" w:cs="Arial"/>
                <w:sz w:val="20"/>
                <w:szCs w:val="20"/>
              </w:rPr>
              <w:t>Comparability of expenditure — items included, 2014</w:t>
            </w:r>
            <w:r w:rsidR="002D438E">
              <w:rPr>
                <w:rFonts w:ascii="Arial" w:hAnsi="Arial" w:cs="Arial"/>
                <w:sz w:val="20"/>
                <w:szCs w:val="20"/>
              </w:rPr>
              <w:noBreakHyphen/>
            </w:r>
            <w:r w:rsidRPr="0008539E">
              <w:rPr>
                <w:rFonts w:ascii="Arial" w:hAnsi="Arial" w:cs="Arial"/>
                <w:sz w:val="20"/>
                <w:szCs w:val="20"/>
              </w:rPr>
              <w:t>15</w:t>
            </w:r>
          </w:p>
        </w:tc>
      </w:tr>
      <w:tr w:rsidR="0008539E" w:rsidRPr="0008539E" w:rsidTr="0008539E">
        <w:trPr>
          <w:trHeight w:val="612"/>
        </w:trPr>
        <w:tc>
          <w:tcPr>
            <w:tcW w:w="1456" w:type="dxa"/>
            <w:tcBorders>
              <w:top w:val="nil"/>
              <w:left w:val="nil"/>
              <w:bottom w:val="nil"/>
              <w:right w:val="nil"/>
            </w:tcBorders>
            <w:shd w:val="clear" w:color="auto" w:fill="auto"/>
            <w:noWrap/>
            <w:hideMark/>
          </w:tcPr>
          <w:p w:rsidR="0008539E" w:rsidRPr="0008539E" w:rsidRDefault="0008539E" w:rsidP="0008539E">
            <w:pPr>
              <w:rPr>
                <w:rFonts w:ascii="Arial" w:hAnsi="Arial" w:cs="Arial"/>
                <w:b/>
                <w:bCs/>
                <w:color w:val="0000FF"/>
                <w:sz w:val="20"/>
                <w:szCs w:val="20"/>
              </w:rPr>
            </w:pPr>
            <w:r w:rsidRPr="0008539E">
              <w:rPr>
                <w:rFonts w:ascii="Arial" w:hAnsi="Arial" w:cs="Arial"/>
                <w:b/>
                <w:bCs/>
                <w:color w:val="0000FF"/>
                <w:sz w:val="20"/>
                <w:szCs w:val="20"/>
              </w:rPr>
              <w:t>Table</w:t>
            </w:r>
            <w:r w:rsidR="00697D43">
              <w:rPr>
                <w:rFonts w:ascii="Arial" w:hAnsi="Arial" w:cs="Arial"/>
                <w:b/>
                <w:bCs/>
                <w:color w:val="0000FF"/>
                <w:sz w:val="20"/>
                <w:szCs w:val="20"/>
              </w:rPr>
              <w:t> </w:t>
            </w:r>
            <w:proofErr w:type="spellStart"/>
            <w:r w:rsidRPr="0008539E">
              <w:rPr>
                <w:rFonts w:ascii="Arial" w:hAnsi="Arial" w:cs="Arial"/>
                <w:b/>
                <w:bCs/>
                <w:color w:val="0000FF"/>
                <w:sz w:val="20"/>
                <w:szCs w:val="20"/>
              </w:rPr>
              <w:t>3A.8</w:t>
            </w:r>
            <w:proofErr w:type="spellEnd"/>
          </w:p>
        </w:tc>
        <w:tc>
          <w:tcPr>
            <w:tcW w:w="7404" w:type="dxa"/>
            <w:tcBorders>
              <w:top w:val="nil"/>
              <w:left w:val="nil"/>
              <w:bottom w:val="nil"/>
              <w:right w:val="nil"/>
            </w:tcBorders>
            <w:shd w:val="clear" w:color="auto" w:fill="auto"/>
            <w:hideMark/>
          </w:tcPr>
          <w:p w:rsidR="0008539E" w:rsidRPr="0008539E" w:rsidRDefault="0008539E" w:rsidP="0008539E">
            <w:pPr>
              <w:jc w:val="both"/>
              <w:rPr>
                <w:rFonts w:ascii="Arial" w:hAnsi="Arial" w:cs="Arial"/>
                <w:sz w:val="20"/>
                <w:szCs w:val="20"/>
              </w:rPr>
            </w:pPr>
            <w:r w:rsidRPr="0008539E">
              <w:rPr>
                <w:rFonts w:ascii="Arial" w:hAnsi="Arial" w:cs="Arial"/>
                <w:sz w:val="20"/>
                <w:szCs w:val="20"/>
              </w:rPr>
              <w:t>Number of Australian Government Child Care Benefit (</w:t>
            </w:r>
            <w:proofErr w:type="spellStart"/>
            <w:r w:rsidRPr="0008539E">
              <w:rPr>
                <w:rFonts w:ascii="Arial" w:hAnsi="Arial" w:cs="Arial"/>
                <w:sz w:val="20"/>
                <w:szCs w:val="20"/>
              </w:rPr>
              <w:t>CCB</w:t>
            </w:r>
            <w:proofErr w:type="spellEnd"/>
            <w:r w:rsidRPr="0008539E">
              <w:rPr>
                <w:rFonts w:ascii="Arial" w:hAnsi="Arial" w:cs="Arial"/>
                <w:sz w:val="20"/>
                <w:szCs w:val="20"/>
              </w:rPr>
              <w:t>) approved child care services, by service type</w:t>
            </w:r>
            <w:r w:rsidR="002D438E">
              <w:rPr>
                <w:rFonts w:ascii="Arial" w:hAnsi="Arial" w:cs="Arial"/>
                <w:sz w:val="20"/>
                <w:szCs w:val="20"/>
              </w:rPr>
              <w:t xml:space="preserve"> </w:t>
            </w:r>
          </w:p>
        </w:tc>
      </w:tr>
      <w:tr w:rsidR="0008539E" w:rsidRPr="0008539E" w:rsidTr="0008539E">
        <w:trPr>
          <w:trHeight w:val="612"/>
        </w:trPr>
        <w:tc>
          <w:tcPr>
            <w:tcW w:w="1456" w:type="dxa"/>
            <w:tcBorders>
              <w:top w:val="nil"/>
              <w:left w:val="nil"/>
              <w:bottom w:val="nil"/>
              <w:right w:val="nil"/>
            </w:tcBorders>
            <w:shd w:val="clear" w:color="auto" w:fill="auto"/>
            <w:noWrap/>
            <w:hideMark/>
          </w:tcPr>
          <w:p w:rsidR="0008539E" w:rsidRPr="0008539E" w:rsidRDefault="0008539E" w:rsidP="0008539E">
            <w:pPr>
              <w:rPr>
                <w:rFonts w:ascii="Arial" w:hAnsi="Arial" w:cs="Arial"/>
                <w:b/>
                <w:bCs/>
                <w:color w:val="0000FF"/>
                <w:sz w:val="20"/>
                <w:szCs w:val="20"/>
              </w:rPr>
            </w:pPr>
            <w:r w:rsidRPr="0008539E">
              <w:rPr>
                <w:rFonts w:ascii="Arial" w:hAnsi="Arial" w:cs="Arial"/>
                <w:b/>
                <w:bCs/>
                <w:color w:val="0000FF"/>
                <w:sz w:val="20"/>
                <w:szCs w:val="20"/>
              </w:rPr>
              <w:t>Table</w:t>
            </w:r>
            <w:r w:rsidR="00697D43">
              <w:rPr>
                <w:rFonts w:ascii="Arial" w:hAnsi="Arial" w:cs="Arial"/>
                <w:b/>
                <w:bCs/>
                <w:color w:val="0000FF"/>
                <w:sz w:val="20"/>
                <w:szCs w:val="20"/>
              </w:rPr>
              <w:t> </w:t>
            </w:r>
            <w:proofErr w:type="spellStart"/>
            <w:r w:rsidRPr="0008539E">
              <w:rPr>
                <w:rFonts w:ascii="Arial" w:hAnsi="Arial" w:cs="Arial"/>
                <w:b/>
                <w:bCs/>
                <w:color w:val="0000FF"/>
                <w:sz w:val="20"/>
                <w:szCs w:val="20"/>
              </w:rPr>
              <w:t>3A.9</w:t>
            </w:r>
            <w:proofErr w:type="spellEnd"/>
          </w:p>
        </w:tc>
        <w:tc>
          <w:tcPr>
            <w:tcW w:w="7404" w:type="dxa"/>
            <w:tcBorders>
              <w:top w:val="nil"/>
              <w:left w:val="nil"/>
              <w:bottom w:val="nil"/>
              <w:right w:val="nil"/>
            </w:tcBorders>
            <w:shd w:val="clear" w:color="auto" w:fill="auto"/>
            <w:hideMark/>
          </w:tcPr>
          <w:p w:rsidR="0008539E" w:rsidRPr="0008539E" w:rsidRDefault="0008539E" w:rsidP="0008539E">
            <w:pPr>
              <w:jc w:val="both"/>
              <w:rPr>
                <w:rFonts w:ascii="Arial" w:hAnsi="Arial" w:cs="Arial"/>
                <w:sz w:val="20"/>
                <w:szCs w:val="20"/>
              </w:rPr>
            </w:pPr>
            <w:r w:rsidRPr="0008539E">
              <w:rPr>
                <w:rFonts w:ascii="Arial" w:hAnsi="Arial" w:cs="Arial"/>
                <w:sz w:val="20"/>
                <w:szCs w:val="20"/>
              </w:rPr>
              <w:t xml:space="preserve">Number of State and Territory government funded </w:t>
            </w:r>
            <w:proofErr w:type="spellStart"/>
            <w:r w:rsidRPr="0008539E">
              <w:rPr>
                <w:rFonts w:ascii="Arial" w:hAnsi="Arial" w:cs="Arial"/>
                <w:sz w:val="20"/>
                <w:szCs w:val="20"/>
              </w:rPr>
              <w:t>ECEC</w:t>
            </w:r>
            <w:proofErr w:type="spellEnd"/>
            <w:r w:rsidRPr="0008539E">
              <w:rPr>
                <w:rFonts w:ascii="Arial" w:hAnsi="Arial" w:cs="Arial"/>
                <w:sz w:val="20"/>
                <w:szCs w:val="20"/>
              </w:rPr>
              <w:t xml:space="preserve"> services, by service type, 30</w:t>
            </w:r>
            <w:r w:rsidR="002D438E">
              <w:rPr>
                <w:rFonts w:ascii="Arial" w:hAnsi="Arial" w:cs="Arial"/>
                <w:sz w:val="20"/>
                <w:szCs w:val="20"/>
              </w:rPr>
              <w:t> </w:t>
            </w:r>
            <w:r w:rsidRPr="0008539E">
              <w:rPr>
                <w:rFonts w:ascii="Arial" w:hAnsi="Arial" w:cs="Arial"/>
                <w:sz w:val="20"/>
                <w:szCs w:val="20"/>
              </w:rPr>
              <w:t>June 2015</w:t>
            </w:r>
            <w:r w:rsidR="002D438E">
              <w:rPr>
                <w:rFonts w:ascii="Arial" w:hAnsi="Arial" w:cs="Arial"/>
                <w:sz w:val="20"/>
                <w:szCs w:val="20"/>
              </w:rPr>
              <w:t xml:space="preserve"> </w:t>
            </w:r>
          </w:p>
        </w:tc>
      </w:tr>
      <w:tr w:rsidR="0008539E" w:rsidRPr="0008539E" w:rsidTr="0008539E">
        <w:trPr>
          <w:trHeight w:val="330"/>
        </w:trPr>
        <w:tc>
          <w:tcPr>
            <w:tcW w:w="1456" w:type="dxa"/>
            <w:tcBorders>
              <w:top w:val="nil"/>
              <w:left w:val="nil"/>
              <w:bottom w:val="nil"/>
              <w:right w:val="nil"/>
            </w:tcBorders>
            <w:shd w:val="clear" w:color="auto" w:fill="auto"/>
            <w:noWrap/>
            <w:hideMark/>
          </w:tcPr>
          <w:p w:rsidR="0008539E" w:rsidRPr="0008539E" w:rsidRDefault="0008539E" w:rsidP="0008539E">
            <w:pPr>
              <w:rPr>
                <w:rFonts w:ascii="Arial" w:hAnsi="Arial" w:cs="Arial"/>
                <w:b/>
                <w:bCs/>
                <w:color w:val="0000FF"/>
                <w:sz w:val="20"/>
                <w:szCs w:val="20"/>
              </w:rPr>
            </w:pPr>
            <w:r w:rsidRPr="0008539E">
              <w:rPr>
                <w:rFonts w:ascii="Arial" w:hAnsi="Arial" w:cs="Arial"/>
                <w:b/>
                <w:bCs/>
                <w:color w:val="0000FF"/>
                <w:sz w:val="20"/>
                <w:szCs w:val="20"/>
              </w:rPr>
              <w:t>Table</w:t>
            </w:r>
            <w:r w:rsidR="00697D43">
              <w:rPr>
                <w:rFonts w:ascii="Arial" w:hAnsi="Arial" w:cs="Arial"/>
                <w:b/>
                <w:bCs/>
                <w:color w:val="0000FF"/>
                <w:sz w:val="20"/>
                <w:szCs w:val="20"/>
              </w:rPr>
              <w:t> </w:t>
            </w:r>
            <w:proofErr w:type="spellStart"/>
            <w:r w:rsidRPr="0008539E">
              <w:rPr>
                <w:rFonts w:ascii="Arial" w:hAnsi="Arial" w:cs="Arial"/>
                <w:b/>
                <w:bCs/>
                <w:color w:val="0000FF"/>
                <w:sz w:val="20"/>
                <w:szCs w:val="20"/>
              </w:rPr>
              <w:t>3A.10</w:t>
            </w:r>
            <w:proofErr w:type="spellEnd"/>
          </w:p>
        </w:tc>
        <w:tc>
          <w:tcPr>
            <w:tcW w:w="7404" w:type="dxa"/>
            <w:tcBorders>
              <w:top w:val="nil"/>
              <w:left w:val="nil"/>
              <w:bottom w:val="nil"/>
              <w:right w:val="nil"/>
            </w:tcBorders>
            <w:shd w:val="clear" w:color="auto" w:fill="auto"/>
            <w:hideMark/>
          </w:tcPr>
          <w:p w:rsidR="0008539E" w:rsidRPr="0008539E" w:rsidRDefault="0008539E" w:rsidP="0008539E">
            <w:pPr>
              <w:jc w:val="both"/>
              <w:rPr>
                <w:rFonts w:ascii="Arial" w:hAnsi="Arial" w:cs="Arial"/>
                <w:sz w:val="20"/>
                <w:szCs w:val="20"/>
              </w:rPr>
            </w:pPr>
            <w:proofErr w:type="spellStart"/>
            <w:r w:rsidRPr="0008539E">
              <w:rPr>
                <w:rFonts w:ascii="Arial" w:hAnsi="Arial" w:cs="Arial"/>
                <w:sz w:val="20"/>
                <w:szCs w:val="20"/>
              </w:rPr>
              <w:t>NQF</w:t>
            </w:r>
            <w:proofErr w:type="spellEnd"/>
            <w:r w:rsidRPr="0008539E">
              <w:rPr>
                <w:rFonts w:ascii="Arial" w:hAnsi="Arial" w:cs="Arial"/>
                <w:sz w:val="20"/>
                <w:szCs w:val="20"/>
              </w:rPr>
              <w:t xml:space="preserve"> approved </w:t>
            </w:r>
            <w:proofErr w:type="spellStart"/>
            <w:r w:rsidRPr="0008539E">
              <w:rPr>
                <w:rFonts w:ascii="Arial" w:hAnsi="Arial" w:cs="Arial"/>
                <w:sz w:val="20"/>
                <w:szCs w:val="20"/>
              </w:rPr>
              <w:t>ECEC</w:t>
            </w:r>
            <w:proofErr w:type="spellEnd"/>
            <w:r w:rsidRPr="0008539E">
              <w:rPr>
                <w:rFonts w:ascii="Arial" w:hAnsi="Arial" w:cs="Arial"/>
                <w:sz w:val="20"/>
                <w:szCs w:val="20"/>
              </w:rPr>
              <w:t xml:space="preserve"> services, by service type, by management type, 30</w:t>
            </w:r>
            <w:r w:rsidR="002D438E">
              <w:rPr>
                <w:rFonts w:ascii="Arial" w:hAnsi="Arial" w:cs="Arial"/>
                <w:sz w:val="20"/>
                <w:szCs w:val="20"/>
              </w:rPr>
              <w:t> </w:t>
            </w:r>
            <w:r w:rsidRPr="0008539E">
              <w:rPr>
                <w:rFonts w:ascii="Arial" w:hAnsi="Arial" w:cs="Arial"/>
                <w:sz w:val="20"/>
                <w:szCs w:val="20"/>
              </w:rPr>
              <w:t>June 2015</w:t>
            </w:r>
            <w:r w:rsidR="002D438E">
              <w:rPr>
                <w:rFonts w:ascii="Arial" w:hAnsi="Arial" w:cs="Arial"/>
                <w:sz w:val="20"/>
                <w:szCs w:val="20"/>
              </w:rPr>
              <w:t xml:space="preserve"> </w:t>
            </w:r>
          </w:p>
        </w:tc>
      </w:tr>
      <w:tr w:rsidR="0008539E" w:rsidRPr="0008539E" w:rsidTr="0008539E">
        <w:trPr>
          <w:trHeight w:val="612"/>
        </w:trPr>
        <w:tc>
          <w:tcPr>
            <w:tcW w:w="1456" w:type="dxa"/>
            <w:tcBorders>
              <w:top w:val="nil"/>
              <w:left w:val="nil"/>
              <w:bottom w:val="nil"/>
              <w:right w:val="nil"/>
            </w:tcBorders>
            <w:shd w:val="clear" w:color="auto" w:fill="auto"/>
            <w:noWrap/>
            <w:hideMark/>
          </w:tcPr>
          <w:p w:rsidR="0008539E" w:rsidRPr="0008539E" w:rsidRDefault="0008539E" w:rsidP="0008539E">
            <w:pPr>
              <w:rPr>
                <w:rFonts w:ascii="Arial" w:hAnsi="Arial" w:cs="Arial"/>
                <w:b/>
                <w:bCs/>
                <w:color w:val="0000FF"/>
                <w:sz w:val="20"/>
                <w:szCs w:val="20"/>
              </w:rPr>
            </w:pPr>
            <w:r w:rsidRPr="0008539E">
              <w:rPr>
                <w:rFonts w:ascii="Arial" w:hAnsi="Arial" w:cs="Arial"/>
                <w:b/>
                <w:bCs/>
                <w:color w:val="0000FF"/>
                <w:sz w:val="20"/>
                <w:szCs w:val="20"/>
              </w:rPr>
              <w:t>Table</w:t>
            </w:r>
            <w:r w:rsidR="00697D43">
              <w:rPr>
                <w:rFonts w:ascii="Arial" w:hAnsi="Arial" w:cs="Arial"/>
                <w:b/>
                <w:bCs/>
                <w:color w:val="0000FF"/>
                <w:sz w:val="20"/>
                <w:szCs w:val="20"/>
              </w:rPr>
              <w:t> </w:t>
            </w:r>
            <w:proofErr w:type="spellStart"/>
            <w:r w:rsidRPr="0008539E">
              <w:rPr>
                <w:rFonts w:ascii="Arial" w:hAnsi="Arial" w:cs="Arial"/>
                <w:b/>
                <w:bCs/>
                <w:color w:val="0000FF"/>
                <w:sz w:val="20"/>
                <w:szCs w:val="20"/>
              </w:rPr>
              <w:t>3A.11</w:t>
            </w:r>
            <w:proofErr w:type="spellEnd"/>
          </w:p>
        </w:tc>
        <w:tc>
          <w:tcPr>
            <w:tcW w:w="7404" w:type="dxa"/>
            <w:tcBorders>
              <w:top w:val="nil"/>
              <w:left w:val="nil"/>
              <w:bottom w:val="nil"/>
              <w:right w:val="nil"/>
            </w:tcBorders>
            <w:shd w:val="clear" w:color="auto" w:fill="auto"/>
            <w:hideMark/>
          </w:tcPr>
          <w:p w:rsidR="0008539E" w:rsidRPr="0008539E" w:rsidRDefault="0008539E" w:rsidP="0008539E">
            <w:pPr>
              <w:jc w:val="both"/>
              <w:rPr>
                <w:rFonts w:ascii="Arial" w:hAnsi="Arial" w:cs="Arial"/>
                <w:sz w:val="20"/>
                <w:szCs w:val="20"/>
              </w:rPr>
            </w:pPr>
            <w:r w:rsidRPr="0008539E">
              <w:rPr>
                <w:rFonts w:ascii="Arial" w:hAnsi="Arial" w:cs="Arial"/>
                <w:sz w:val="20"/>
                <w:szCs w:val="20"/>
              </w:rPr>
              <w:t xml:space="preserve">State and Territory government licensed or registered </w:t>
            </w:r>
            <w:proofErr w:type="spellStart"/>
            <w:r w:rsidRPr="0008539E">
              <w:rPr>
                <w:rFonts w:ascii="Arial" w:hAnsi="Arial" w:cs="Arial"/>
                <w:sz w:val="20"/>
                <w:szCs w:val="20"/>
              </w:rPr>
              <w:t>ECEC</w:t>
            </w:r>
            <w:proofErr w:type="spellEnd"/>
            <w:r w:rsidRPr="0008539E">
              <w:rPr>
                <w:rFonts w:ascii="Arial" w:hAnsi="Arial" w:cs="Arial"/>
                <w:sz w:val="20"/>
                <w:szCs w:val="20"/>
              </w:rPr>
              <w:t xml:space="preserve"> services, by service type, 30</w:t>
            </w:r>
            <w:r w:rsidR="002D438E">
              <w:rPr>
                <w:rFonts w:ascii="Arial" w:hAnsi="Arial" w:cs="Arial"/>
                <w:sz w:val="20"/>
                <w:szCs w:val="20"/>
              </w:rPr>
              <w:t> </w:t>
            </w:r>
            <w:r w:rsidRPr="0008539E">
              <w:rPr>
                <w:rFonts w:ascii="Arial" w:hAnsi="Arial" w:cs="Arial"/>
                <w:sz w:val="20"/>
                <w:szCs w:val="20"/>
              </w:rPr>
              <w:t>June 2015</w:t>
            </w:r>
            <w:r w:rsidR="002D438E">
              <w:rPr>
                <w:rFonts w:ascii="Arial" w:hAnsi="Arial" w:cs="Arial"/>
                <w:sz w:val="20"/>
                <w:szCs w:val="20"/>
              </w:rPr>
              <w:t xml:space="preserve"> </w:t>
            </w:r>
          </w:p>
        </w:tc>
      </w:tr>
      <w:tr w:rsidR="0008539E" w:rsidRPr="0008539E" w:rsidTr="0008539E">
        <w:trPr>
          <w:trHeight w:val="357"/>
        </w:trPr>
        <w:tc>
          <w:tcPr>
            <w:tcW w:w="1456" w:type="dxa"/>
            <w:tcBorders>
              <w:top w:val="nil"/>
              <w:left w:val="nil"/>
              <w:bottom w:val="nil"/>
              <w:right w:val="nil"/>
            </w:tcBorders>
            <w:shd w:val="clear" w:color="auto" w:fill="auto"/>
            <w:noWrap/>
            <w:hideMark/>
          </w:tcPr>
          <w:p w:rsidR="0008539E" w:rsidRPr="0008539E" w:rsidRDefault="0008539E" w:rsidP="0008539E">
            <w:pPr>
              <w:rPr>
                <w:rFonts w:ascii="Arial" w:hAnsi="Arial" w:cs="Arial"/>
                <w:b/>
                <w:bCs/>
                <w:color w:val="0000FF"/>
                <w:sz w:val="20"/>
                <w:szCs w:val="20"/>
              </w:rPr>
            </w:pPr>
            <w:r w:rsidRPr="0008539E">
              <w:rPr>
                <w:rFonts w:ascii="Arial" w:hAnsi="Arial" w:cs="Arial"/>
                <w:b/>
                <w:bCs/>
                <w:color w:val="0000FF"/>
                <w:sz w:val="20"/>
                <w:szCs w:val="20"/>
              </w:rPr>
              <w:t>Table</w:t>
            </w:r>
            <w:r w:rsidR="00697D43">
              <w:rPr>
                <w:rFonts w:ascii="Arial" w:hAnsi="Arial" w:cs="Arial"/>
                <w:b/>
                <w:bCs/>
                <w:color w:val="0000FF"/>
                <w:sz w:val="20"/>
                <w:szCs w:val="20"/>
              </w:rPr>
              <w:t> </w:t>
            </w:r>
            <w:proofErr w:type="spellStart"/>
            <w:r w:rsidRPr="0008539E">
              <w:rPr>
                <w:rFonts w:ascii="Arial" w:hAnsi="Arial" w:cs="Arial"/>
                <w:b/>
                <w:bCs/>
                <w:color w:val="0000FF"/>
                <w:sz w:val="20"/>
                <w:szCs w:val="20"/>
              </w:rPr>
              <w:t>3A.12</w:t>
            </w:r>
            <w:proofErr w:type="spellEnd"/>
          </w:p>
        </w:tc>
        <w:tc>
          <w:tcPr>
            <w:tcW w:w="7404" w:type="dxa"/>
            <w:tcBorders>
              <w:top w:val="nil"/>
              <w:left w:val="nil"/>
              <w:bottom w:val="nil"/>
              <w:right w:val="nil"/>
            </w:tcBorders>
            <w:shd w:val="clear" w:color="auto" w:fill="auto"/>
            <w:hideMark/>
          </w:tcPr>
          <w:p w:rsidR="0008539E" w:rsidRPr="0008539E" w:rsidRDefault="0008539E" w:rsidP="0008539E">
            <w:pPr>
              <w:jc w:val="both"/>
              <w:rPr>
                <w:rFonts w:ascii="Arial" w:hAnsi="Arial" w:cs="Arial"/>
                <w:sz w:val="20"/>
                <w:szCs w:val="20"/>
              </w:rPr>
            </w:pPr>
            <w:r w:rsidRPr="0008539E">
              <w:rPr>
                <w:rFonts w:ascii="Arial" w:hAnsi="Arial" w:cs="Arial"/>
                <w:sz w:val="20"/>
                <w:szCs w:val="20"/>
              </w:rPr>
              <w:t>Preschool services, by service delivery setting, by management type</w:t>
            </w:r>
            <w:r w:rsidR="002D438E">
              <w:rPr>
                <w:rFonts w:ascii="Arial" w:hAnsi="Arial" w:cs="Arial"/>
                <w:sz w:val="20"/>
                <w:szCs w:val="20"/>
              </w:rPr>
              <w:t xml:space="preserve"> </w:t>
            </w:r>
          </w:p>
        </w:tc>
      </w:tr>
      <w:tr w:rsidR="0008539E" w:rsidRPr="0008539E" w:rsidTr="0008539E">
        <w:trPr>
          <w:trHeight w:val="867"/>
        </w:trPr>
        <w:tc>
          <w:tcPr>
            <w:tcW w:w="1456" w:type="dxa"/>
            <w:tcBorders>
              <w:top w:val="nil"/>
              <w:left w:val="nil"/>
              <w:bottom w:val="nil"/>
              <w:right w:val="nil"/>
            </w:tcBorders>
            <w:shd w:val="clear" w:color="auto" w:fill="auto"/>
            <w:noWrap/>
            <w:hideMark/>
          </w:tcPr>
          <w:p w:rsidR="0008539E" w:rsidRPr="0008539E" w:rsidRDefault="0008539E" w:rsidP="0008539E">
            <w:pPr>
              <w:rPr>
                <w:rFonts w:ascii="Arial" w:hAnsi="Arial" w:cs="Arial"/>
                <w:b/>
                <w:bCs/>
                <w:color w:val="0000FF"/>
                <w:sz w:val="20"/>
                <w:szCs w:val="20"/>
              </w:rPr>
            </w:pPr>
            <w:r w:rsidRPr="0008539E">
              <w:rPr>
                <w:rFonts w:ascii="Arial" w:hAnsi="Arial" w:cs="Arial"/>
                <w:b/>
                <w:bCs/>
                <w:color w:val="0000FF"/>
                <w:sz w:val="20"/>
                <w:szCs w:val="20"/>
              </w:rPr>
              <w:t>Table</w:t>
            </w:r>
            <w:r w:rsidR="00697D43">
              <w:rPr>
                <w:rFonts w:ascii="Arial" w:hAnsi="Arial" w:cs="Arial"/>
                <w:b/>
                <w:bCs/>
                <w:color w:val="0000FF"/>
                <w:sz w:val="20"/>
                <w:szCs w:val="20"/>
              </w:rPr>
              <w:t> </w:t>
            </w:r>
            <w:proofErr w:type="spellStart"/>
            <w:r w:rsidRPr="0008539E">
              <w:rPr>
                <w:rFonts w:ascii="Arial" w:hAnsi="Arial" w:cs="Arial"/>
                <w:b/>
                <w:bCs/>
                <w:color w:val="0000FF"/>
                <w:sz w:val="20"/>
                <w:szCs w:val="20"/>
              </w:rPr>
              <w:t>3A.13</w:t>
            </w:r>
            <w:proofErr w:type="spellEnd"/>
          </w:p>
        </w:tc>
        <w:tc>
          <w:tcPr>
            <w:tcW w:w="7404" w:type="dxa"/>
            <w:tcBorders>
              <w:top w:val="nil"/>
              <w:left w:val="nil"/>
              <w:bottom w:val="nil"/>
              <w:right w:val="nil"/>
            </w:tcBorders>
            <w:shd w:val="clear" w:color="auto" w:fill="auto"/>
            <w:hideMark/>
          </w:tcPr>
          <w:p w:rsidR="0008539E" w:rsidRPr="0008539E" w:rsidRDefault="0008539E" w:rsidP="0008539E">
            <w:pPr>
              <w:jc w:val="both"/>
              <w:rPr>
                <w:rFonts w:ascii="Arial" w:hAnsi="Arial" w:cs="Arial"/>
                <w:sz w:val="20"/>
                <w:szCs w:val="20"/>
              </w:rPr>
            </w:pPr>
            <w:r w:rsidRPr="0008539E">
              <w:rPr>
                <w:rFonts w:ascii="Arial" w:hAnsi="Arial" w:cs="Arial"/>
                <w:sz w:val="20"/>
                <w:szCs w:val="20"/>
              </w:rPr>
              <w:t xml:space="preserve">Proportion of children aged 0–5 and 6–12 years attending Australian Government </w:t>
            </w:r>
            <w:proofErr w:type="spellStart"/>
            <w:r w:rsidRPr="0008539E">
              <w:rPr>
                <w:rFonts w:ascii="Arial" w:hAnsi="Arial" w:cs="Arial"/>
                <w:sz w:val="20"/>
                <w:szCs w:val="20"/>
              </w:rPr>
              <w:t>CCB</w:t>
            </w:r>
            <w:proofErr w:type="spellEnd"/>
            <w:r w:rsidRPr="0008539E">
              <w:rPr>
                <w:rFonts w:ascii="Arial" w:hAnsi="Arial" w:cs="Arial"/>
                <w:sz w:val="20"/>
                <w:szCs w:val="20"/>
              </w:rPr>
              <w:t xml:space="preserve"> approved child care services who are from special needs groups, compared with their representation in the community (per cent)</w:t>
            </w:r>
            <w:r w:rsidR="002D438E">
              <w:rPr>
                <w:rFonts w:ascii="Arial" w:hAnsi="Arial" w:cs="Arial"/>
                <w:sz w:val="20"/>
                <w:szCs w:val="20"/>
              </w:rPr>
              <w:t xml:space="preserve"> </w:t>
            </w:r>
          </w:p>
        </w:tc>
      </w:tr>
      <w:tr w:rsidR="0008539E" w:rsidRPr="0008539E" w:rsidTr="0008539E">
        <w:trPr>
          <w:trHeight w:val="867"/>
        </w:trPr>
        <w:tc>
          <w:tcPr>
            <w:tcW w:w="1456" w:type="dxa"/>
            <w:tcBorders>
              <w:top w:val="nil"/>
              <w:left w:val="nil"/>
              <w:bottom w:val="nil"/>
              <w:right w:val="nil"/>
            </w:tcBorders>
            <w:shd w:val="clear" w:color="auto" w:fill="auto"/>
            <w:noWrap/>
            <w:hideMark/>
          </w:tcPr>
          <w:p w:rsidR="0008539E" w:rsidRPr="0008539E" w:rsidRDefault="0008539E" w:rsidP="0008539E">
            <w:pPr>
              <w:rPr>
                <w:rFonts w:ascii="Arial" w:hAnsi="Arial" w:cs="Arial"/>
                <w:b/>
                <w:bCs/>
                <w:color w:val="0000FF"/>
                <w:sz w:val="20"/>
                <w:szCs w:val="20"/>
              </w:rPr>
            </w:pPr>
            <w:r w:rsidRPr="0008539E">
              <w:rPr>
                <w:rFonts w:ascii="Arial" w:hAnsi="Arial" w:cs="Arial"/>
                <w:b/>
                <w:bCs/>
                <w:color w:val="0000FF"/>
                <w:sz w:val="20"/>
                <w:szCs w:val="20"/>
              </w:rPr>
              <w:t>Table</w:t>
            </w:r>
            <w:r w:rsidR="00697D43">
              <w:rPr>
                <w:rFonts w:ascii="Arial" w:hAnsi="Arial" w:cs="Arial"/>
                <w:b/>
                <w:bCs/>
                <w:color w:val="0000FF"/>
                <w:sz w:val="20"/>
                <w:szCs w:val="20"/>
              </w:rPr>
              <w:t> </w:t>
            </w:r>
            <w:proofErr w:type="spellStart"/>
            <w:r w:rsidRPr="0008539E">
              <w:rPr>
                <w:rFonts w:ascii="Arial" w:hAnsi="Arial" w:cs="Arial"/>
                <w:b/>
                <w:bCs/>
                <w:color w:val="0000FF"/>
                <w:sz w:val="20"/>
                <w:szCs w:val="20"/>
              </w:rPr>
              <w:t>3A.14</w:t>
            </w:r>
            <w:proofErr w:type="spellEnd"/>
          </w:p>
        </w:tc>
        <w:tc>
          <w:tcPr>
            <w:tcW w:w="7404" w:type="dxa"/>
            <w:tcBorders>
              <w:top w:val="nil"/>
              <w:left w:val="nil"/>
              <w:bottom w:val="nil"/>
              <w:right w:val="nil"/>
            </w:tcBorders>
            <w:shd w:val="clear" w:color="auto" w:fill="auto"/>
            <w:hideMark/>
          </w:tcPr>
          <w:p w:rsidR="0008539E" w:rsidRPr="0008539E" w:rsidRDefault="0008539E" w:rsidP="0008539E">
            <w:pPr>
              <w:jc w:val="both"/>
              <w:rPr>
                <w:rFonts w:ascii="Arial" w:hAnsi="Arial" w:cs="Arial"/>
                <w:sz w:val="20"/>
                <w:szCs w:val="20"/>
              </w:rPr>
            </w:pPr>
            <w:r w:rsidRPr="0008539E">
              <w:rPr>
                <w:rFonts w:ascii="Arial" w:hAnsi="Arial" w:cs="Arial"/>
                <w:sz w:val="20"/>
                <w:szCs w:val="20"/>
              </w:rPr>
              <w:t xml:space="preserve">Proportion of children aged 0–12 years attending Australian Government </w:t>
            </w:r>
            <w:proofErr w:type="spellStart"/>
            <w:r w:rsidRPr="0008539E">
              <w:rPr>
                <w:rFonts w:ascii="Arial" w:hAnsi="Arial" w:cs="Arial"/>
                <w:sz w:val="20"/>
                <w:szCs w:val="20"/>
              </w:rPr>
              <w:t>CCB</w:t>
            </w:r>
            <w:proofErr w:type="spellEnd"/>
            <w:r w:rsidRPr="0008539E">
              <w:rPr>
                <w:rFonts w:ascii="Arial" w:hAnsi="Arial" w:cs="Arial"/>
                <w:sz w:val="20"/>
                <w:szCs w:val="20"/>
              </w:rPr>
              <w:t xml:space="preserve"> approved child care services who are from special needs groups, compared with their representation in the community (per cent)</w:t>
            </w:r>
            <w:r w:rsidR="002D438E">
              <w:rPr>
                <w:rFonts w:ascii="Arial" w:hAnsi="Arial" w:cs="Arial"/>
                <w:sz w:val="20"/>
                <w:szCs w:val="20"/>
              </w:rPr>
              <w:t xml:space="preserve"> </w:t>
            </w:r>
          </w:p>
        </w:tc>
      </w:tr>
      <w:tr w:rsidR="0008539E" w:rsidRPr="0008539E" w:rsidTr="0008539E">
        <w:trPr>
          <w:trHeight w:val="867"/>
        </w:trPr>
        <w:tc>
          <w:tcPr>
            <w:tcW w:w="1456" w:type="dxa"/>
            <w:tcBorders>
              <w:top w:val="nil"/>
              <w:left w:val="nil"/>
              <w:bottom w:val="nil"/>
              <w:right w:val="nil"/>
            </w:tcBorders>
            <w:shd w:val="clear" w:color="auto" w:fill="auto"/>
            <w:noWrap/>
            <w:hideMark/>
          </w:tcPr>
          <w:p w:rsidR="0008539E" w:rsidRPr="0008539E" w:rsidRDefault="0008539E" w:rsidP="0008539E">
            <w:pPr>
              <w:rPr>
                <w:rFonts w:ascii="Arial" w:hAnsi="Arial" w:cs="Arial"/>
                <w:b/>
                <w:bCs/>
                <w:color w:val="0000FF"/>
                <w:sz w:val="20"/>
                <w:szCs w:val="20"/>
              </w:rPr>
            </w:pPr>
            <w:r w:rsidRPr="0008539E">
              <w:rPr>
                <w:rFonts w:ascii="Arial" w:hAnsi="Arial" w:cs="Arial"/>
                <w:b/>
                <w:bCs/>
                <w:color w:val="0000FF"/>
                <w:sz w:val="20"/>
                <w:szCs w:val="20"/>
              </w:rPr>
              <w:t>Table</w:t>
            </w:r>
            <w:r w:rsidR="00697D43">
              <w:rPr>
                <w:rFonts w:ascii="Arial" w:hAnsi="Arial" w:cs="Arial"/>
                <w:b/>
                <w:bCs/>
                <w:color w:val="0000FF"/>
                <w:sz w:val="20"/>
                <w:szCs w:val="20"/>
              </w:rPr>
              <w:t> </w:t>
            </w:r>
            <w:proofErr w:type="spellStart"/>
            <w:r w:rsidRPr="0008539E">
              <w:rPr>
                <w:rFonts w:ascii="Arial" w:hAnsi="Arial" w:cs="Arial"/>
                <w:b/>
                <w:bCs/>
                <w:color w:val="0000FF"/>
                <w:sz w:val="20"/>
                <w:szCs w:val="20"/>
              </w:rPr>
              <w:t>3A.15</w:t>
            </w:r>
            <w:proofErr w:type="spellEnd"/>
          </w:p>
        </w:tc>
        <w:tc>
          <w:tcPr>
            <w:tcW w:w="7404" w:type="dxa"/>
            <w:tcBorders>
              <w:top w:val="nil"/>
              <w:left w:val="nil"/>
              <w:bottom w:val="nil"/>
              <w:right w:val="nil"/>
            </w:tcBorders>
            <w:shd w:val="clear" w:color="auto" w:fill="auto"/>
            <w:hideMark/>
          </w:tcPr>
          <w:p w:rsidR="0008539E" w:rsidRPr="0008539E" w:rsidRDefault="0008539E" w:rsidP="0008539E">
            <w:pPr>
              <w:jc w:val="both"/>
              <w:rPr>
                <w:rFonts w:ascii="Arial" w:hAnsi="Arial" w:cs="Arial"/>
                <w:sz w:val="20"/>
                <w:szCs w:val="20"/>
              </w:rPr>
            </w:pPr>
            <w:r w:rsidRPr="0008539E">
              <w:rPr>
                <w:rFonts w:ascii="Arial" w:hAnsi="Arial" w:cs="Arial"/>
                <w:sz w:val="20"/>
                <w:szCs w:val="20"/>
              </w:rPr>
              <w:t>Proportion of children aged 0–12 years attending State and Territory government (only) funded child care services who are from special needs groups, compared with their representation in the community</w:t>
            </w:r>
            <w:r w:rsidR="002D438E">
              <w:rPr>
                <w:rFonts w:ascii="Arial" w:hAnsi="Arial" w:cs="Arial"/>
                <w:sz w:val="20"/>
                <w:szCs w:val="20"/>
              </w:rPr>
              <w:t xml:space="preserve"> </w:t>
            </w:r>
          </w:p>
        </w:tc>
      </w:tr>
      <w:tr w:rsidR="0008539E" w:rsidRPr="0008539E" w:rsidTr="0008539E">
        <w:trPr>
          <w:trHeight w:val="615"/>
        </w:trPr>
        <w:tc>
          <w:tcPr>
            <w:tcW w:w="1456" w:type="dxa"/>
            <w:tcBorders>
              <w:top w:val="nil"/>
              <w:left w:val="nil"/>
              <w:bottom w:val="nil"/>
              <w:right w:val="nil"/>
            </w:tcBorders>
            <w:shd w:val="clear" w:color="auto" w:fill="auto"/>
            <w:noWrap/>
            <w:hideMark/>
          </w:tcPr>
          <w:p w:rsidR="0008539E" w:rsidRPr="0008539E" w:rsidRDefault="0008539E" w:rsidP="0008539E">
            <w:pPr>
              <w:rPr>
                <w:rFonts w:ascii="Arial" w:hAnsi="Arial" w:cs="Arial"/>
                <w:b/>
                <w:bCs/>
                <w:color w:val="0000FF"/>
                <w:sz w:val="20"/>
                <w:szCs w:val="20"/>
              </w:rPr>
            </w:pPr>
            <w:r w:rsidRPr="0008539E">
              <w:rPr>
                <w:rFonts w:ascii="Arial" w:hAnsi="Arial" w:cs="Arial"/>
                <w:b/>
                <w:bCs/>
                <w:color w:val="0000FF"/>
                <w:sz w:val="20"/>
                <w:szCs w:val="20"/>
              </w:rPr>
              <w:t>Table</w:t>
            </w:r>
            <w:r w:rsidR="00697D43">
              <w:rPr>
                <w:rFonts w:ascii="Arial" w:hAnsi="Arial" w:cs="Arial"/>
                <w:b/>
                <w:bCs/>
                <w:color w:val="0000FF"/>
                <w:sz w:val="20"/>
                <w:szCs w:val="20"/>
              </w:rPr>
              <w:t> </w:t>
            </w:r>
            <w:proofErr w:type="spellStart"/>
            <w:r w:rsidRPr="0008539E">
              <w:rPr>
                <w:rFonts w:ascii="Arial" w:hAnsi="Arial" w:cs="Arial"/>
                <w:b/>
                <w:bCs/>
                <w:color w:val="0000FF"/>
                <w:sz w:val="20"/>
                <w:szCs w:val="20"/>
              </w:rPr>
              <w:t>3A.16</w:t>
            </w:r>
            <w:proofErr w:type="spellEnd"/>
          </w:p>
        </w:tc>
        <w:tc>
          <w:tcPr>
            <w:tcW w:w="7404" w:type="dxa"/>
            <w:tcBorders>
              <w:top w:val="nil"/>
              <w:left w:val="nil"/>
              <w:bottom w:val="nil"/>
              <w:right w:val="nil"/>
            </w:tcBorders>
            <w:shd w:val="clear" w:color="auto" w:fill="auto"/>
            <w:hideMark/>
          </w:tcPr>
          <w:p w:rsidR="0008539E" w:rsidRPr="0008539E" w:rsidRDefault="0008539E" w:rsidP="0008539E">
            <w:pPr>
              <w:jc w:val="both"/>
              <w:rPr>
                <w:rFonts w:ascii="Arial" w:hAnsi="Arial" w:cs="Arial"/>
                <w:sz w:val="20"/>
                <w:szCs w:val="20"/>
              </w:rPr>
            </w:pPr>
            <w:r w:rsidRPr="0008539E">
              <w:rPr>
                <w:rFonts w:ascii="Arial" w:hAnsi="Arial" w:cs="Arial"/>
                <w:sz w:val="20"/>
                <w:szCs w:val="20"/>
              </w:rPr>
              <w:t>Proportion of children aged 3–5 years enrolled in a preschool program who are from special needs groups, compared with their representation in the community, 2014</w:t>
            </w:r>
            <w:r w:rsidR="002D438E">
              <w:rPr>
                <w:rFonts w:ascii="Arial" w:hAnsi="Arial" w:cs="Arial"/>
                <w:sz w:val="20"/>
                <w:szCs w:val="20"/>
              </w:rPr>
              <w:t xml:space="preserve"> </w:t>
            </w:r>
          </w:p>
        </w:tc>
      </w:tr>
      <w:tr w:rsidR="0008539E" w:rsidRPr="0008539E" w:rsidTr="0008539E">
        <w:trPr>
          <w:trHeight w:val="867"/>
        </w:trPr>
        <w:tc>
          <w:tcPr>
            <w:tcW w:w="1456" w:type="dxa"/>
            <w:tcBorders>
              <w:top w:val="nil"/>
              <w:left w:val="nil"/>
              <w:bottom w:val="nil"/>
              <w:right w:val="nil"/>
            </w:tcBorders>
            <w:shd w:val="clear" w:color="auto" w:fill="auto"/>
            <w:noWrap/>
            <w:hideMark/>
          </w:tcPr>
          <w:p w:rsidR="0008539E" w:rsidRPr="0008539E" w:rsidRDefault="0008539E" w:rsidP="0008539E">
            <w:pPr>
              <w:rPr>
                <w:rFonts w:ascii="Arial" w:hAnsi="Arial" w:cs="Arial"/>
                <w:b/>
                <w:bCs/>
                <w:color w:val="0000FF"/>
                <w:sz w:val="20"/>
                <w:szCs w:val="20"/>
              </w:rPr>
            </w:pPr>
            <w:r w:rsidRPr="0008539E">
              <w:rPr>
                <w:rFonts w:ascii="Arial" w:hAnsi="Arial" w:cs="Arial"/>
                <w:b/>
                <w:bCs/>
                <w:color w:val="0000FF"/>
                <w:sz w:val="20"/>
                <w:szCs w:val="20"/>
              </w:rPr>
              <w:t>Table</w:t>
            </w:r>
            <w:r w:rsidR="00697D43">
              <w:rPr>
                <w:rFonts w:ascii="Arial" w:hAnsi="Arial" w:cs="Arial"/>
                <w:b/>
                <w:bCs/>
                <w:color w:val="0000FF"/>
                <w:sz w:val="20"/>
                <w:szCs w:val="20"/>
              </w:rPr>
              <w:t> </w:t>
            </w:r>
            <w:proofErr w:type="spellStart"/>
            <w:r w:rsidRPr="0008539E">
              <w:rPr>
                <w:rFonts w:ascii="Arial" w:hAnsi="Arial" w:cs="Arial"/>
                <w:b/>
                <w:bCs/>
                <w:color w:val="0000FF"/>
                <w:sz w:val="20"/>
                <w:szCs w:val="20"/>
              </w:rPr>
              <w:t>3A.17</w:t>
            </w:r>
            <w:proofErr w:type="spellEnd"/>
          </w:p>
        </w:tc>
        <w:tc>
          <w:tcPr>
            <w:tcW w:w="7404" w:type="dxa"/>
            <w:tcBorders>
              <w:top w:val="nil"/>
              <w:left w:val="nil"/>
              <w:bottom w:val="nil"/>
              <w:right w:val="nil"/>
            </w:tcBorders>
            <w:shd w:val="clear" w:color="auto" w:fill="auto"/>
            <w:hideMark/>
          </w:tcPr>
          <w:p w:rsidR="0008539E" w:rsidRPr="0008539E" w:rsidRDefault="0008539E" w:rsidP="0008539E">
            <w:pPr>
              <w:jc w:val="both"/>
              <w:rPr>
                <w:rFonts w:ascii="Arial" w:hAnsi="Arial" w:cs="Arial"/>
                <w:sz w:val="20"/>
                <w:szCs w:val="20"/>
              </w:rPr>
            </w:pPr>
            <w:r w:rsidRPr="0008539E">
              <w:rPr>
                <w:rFonts w:ascii="Arial" w:hAnsi="Arial" w:cs="Arial"/>
                <w:sz w:val="20"/>
                <w:szCs w:val="20"/>
              </w:rPr>
              <w:t xml:space="preserve">Proportion of children aged 4 and 5 years enrolled in and attending a preschool program in the </w:t>
            </w:r>
            <w:proofErr w:type="spellStart"/>
            <w:r w:rsidRPr="0008539E">
              <w:rPr>
                <w:rFonts w:ascii="Arial" w:hAnsi="Arial" w:cs="Arial"/>
                <w:sz w:val="20"/>
                <w:szCs w:val="20"/>
              </w:rPr>
              <w:t>YBFS</w:t>
            </w:r>
            <w:proofErr w:type="spellEnd"/>
            <w:r w:rsidRPr="0008539E">
              <w:rPr>
                <w:rFonts w:ascii="Arial" w:hAnsi="Arial" w:cs="Arial"/>
                <w:sz w:val="20"/>
                <w:szCs w:val="20"/>
              </w:rPr>
              <w:t xml:space="preserve"> who are disadvantaged, compared with their representation in the community</w:t>
            </w:r>
            <w:r w:rsidR="002D438E">
              <w:rPr>
                <w:rFonts w:ascii="Arial" w:hAnsi="Arial" w:cs="Arial"/>
                <w:sz w:val="20"/>
                <w:szCs w:val="20"/>
              </w:rPr>
              <w:t xml:space="preserve"> </w:t>
            </w:r>
          </w:p>
        </w:tc>
      </w:tr>
      <w:tr w:rsidR="0008539E" w:rsidRPr="0008539E" w:rsidTr="0008539E">
        <w:trPr>
          <w:trHeight w:val="612"/>
        </w:trPr>
        <w:tc>
          <w:tcPr>
            <w:tcW w:w="1456" w:type="dxa"/>
            <w:tcBorders>
              <w:top w:val="nil"/>
              <w:left w:val="nil"/>
              <w:bottom w:val="nil"/>
              <w:right w:val="nil"/>
            </w:tcBorders>
            <w:shd w:val="clear" w:color="auto" w:fill="auto"/>
            <w:noWrap/>
            <w:hideMark/>
          </w:tcPr>
          <w:p w:rsidR="0008539E" w:rsidRPr="0008539E" w:rsidRDefault="0008539E" w:rsidP="0008539E">
            <w:pPr>
              <w:rPr>
                <w:rFonts w:ascii="Arial" w:hAnsi="Arial" w:cs="Arial"/>
                <w:b/>
                <w:bCs/>
                <w:color w:val="0000FF"/>
                <w:sz w:val="20"/>
                <w:szCs w:val="20"/>
              </w:rPr>
            </w:pPr>
            <w:r w:rsidRPr="0008539E">
              <w:rPr>
                <w:rFonts w:ascii="Arial" w:hAnsi="Arial" w:cs="Arial"/>
                <w:b/>
                <w:bCs/>
                <w:color w:val="0000FF"/>
                <w:sz w:val="20"/>
                <w:szCs w:val="20"/>
              </w:rPr>
              <w:t>Table</w:t>
            </w:r>
            <w:r w:rsidR="00697D43">
              <w:rPr>
                <w:rFonts w:ascii="Arial" w:hAnsi="Arial" w:cs="Arial"/>
                <w:b/>
                <w:bCs/>
                <w:color w:val="0000FF"/>
                <w:sz w:val="20"/>
                <w:szCs w:val="20"/>
              </w:rPr>
              <w:t> </w:t>
            </w:r>
            <w:proofErr w:type="spellStart"/>
            <w:r w:rsidRPr="0008539E">
              <w:rPr>
                <w:rFonts w:ascii="Arial" w:hAnsi="Arial" w:cs="Arial"/>
                <w:b/>
                <w:bCs/>
                <w:color w:val="0000FF"/>
                <w:sz w:val="20"/>
                <w:szCs w:val="20"/>
              </w:rPr>
              <w:t>3A.18</w:t>
            </w:r>
            <w:proofErr w:type="spellEnd"/>
          </w:p>
        </w:tc>
        <w:tc>
          <w:tcPr>
            <w:tcW w:w="7404" w:type="dxa"/>
            <w:tcBorders>
              <w:top w:val="nil"/>
              <w:left w:val="nil"/>
              <w:bottom w:val="nil"/>
              <w:right w:val="nil"/>
            </w:tcBorders>
            <w:shd w:val="clear" w:color="auto" w:fill="auto"/>
            <w:hideMark/>
          </w:tcPr>
          <w:p w:rsidR="0008539E" w:rsidRPr="0008539E" w:rsidRDefault="0008539E" w:rsidP="0008539E">
            <w:pPr>
              <w:jc w:val="both"/>
              <w:rPr>
                <w:rFonts w:ascii="Arial" w:hAnsi="Arial" w:cs="Arial"/>
                <w:sz w:val="20"/>
                <w:szCs w:val="20"/>
              </w:rPr>
            </w:pPr>
            <w:r w:rsidRPr="0008539E">
              <w:rPr>
                <w:rFonts w:ascii="Arial" w:hAnsi="Arial" w:cs="Arial"/>
                <w:sz w:val="20"/>
                <w:szCs w:val="20"/>
              </w:rPr>
              <w:t xml:space="preserve">Proportion of children who are attending Australian Government </w:t>
            </w:r>
            <w:proofErr w:type="spellStart"/>
            <w:r w:rsidRPr="0008539E">
              <w:rPr>
                <w:rFonts w:ascii="Arial" w:hAnsi="Arial" w:cs="Arial"/>
                <w:sz w:val="20"/>
                <w:szCs w:val="20"/>
              </w:rPr>
              <w:t>CCB</w:t>
            </w:r>
            <w:proofErr w:type="spellEnd"/>
            <w:r w:rsidRPr="0008539E">
              <w:rPr>
                <w:rFonts w:ascii="Arial" w:hAnsi="Arial" w:cs="Arial"/>
                <w:sz w:val="20"/>
                <w:szCs w:val="20"/>
              </w:rPr>
              <w:t xml:space="preserve"> approved child care services, by age group (0–5, 6–12 and 0–12 years)</w:t>
            </w:r>
            <w:r w:rsidR="002D438E">
              <w:rPr>
                <w:rFonts w:ascii="Arial" w:hAnsi="Arial" w:cs="Arial"/>
                <w:sz w:val="20"/>
                <w:szCs w:val="20"/>
              </w:rPr>
              <w:t xml:space="preserve"> </w:t>
            </w:r>
          </w:p>
        </w:tc>
      </w:tr>
      <w:tr w:rsidR="0008539E" w:rsidRPr="0008539E" w:rsidTr="0008539E">
        <w:trPr>
          <w:trHeight w:val="612"/>
        </w:trPr>
        <w:tc>
          <w:tcPr>
            <w:tcW w:w="1456" w:type="dxa"/>
            <w:tcBorders>
              <w:top w:val="nil"/>
              <w:left w:val="nil"/>
              <w:bottom w:val="nil"/>
              <w:right w:val="nil"/>
            </w:tcBorders>
            <w:shd w:val="clear" w:color="auto" w:fill="auto"/>
            <w:noWrap/>
            <w:hideMark/>
          </w:tcPr>
          <w:p w:rsidR="0008539E" w:rsidRPr="0008539E" w:rsidRDefault="0008539E" w:rsidP="0008539E">
            <w:pPr>
              <w:rPr>
                <w:rFonts w:ascii="Arial" w:hAnsi="Arial" w:cs="Arial"/>
                <w:b/>
                <w:bCs/>
                <w:color w:val="0000FF"/>
                <w:sz w:val="20"/>
                <w:szCs w:val="20"/>
              </w:rPr>
            </w:pPr>
            <w:r w:rsidRPr="0008539E">
              <w:rPr>
                <w:rFonts w:ascii="Arial" w:hAnsi="Arial" w:cs="Arial"/>
                <w:b/>
                <w:bCs/>
                <w:color w:val="0000FF"/>
                <w:sz w:val="20"/>
                <w:szCs w:val="20"/>
              </w:rPr>
              <w:lastRenderedPageBreak/>
              <w:t>Table</w:t>
            </w:r>
            <w:r w:rsidR="00697D43">
              <w:rPr>
                <w:rFonts w:ascii="Arial" w:hAnsi="Arial" w:cs="Arial"/>
                <w:b/>
                <w:bCs/>
                <w:color w:val="0000FF"/>
                <w:sz w:val="20"/>
                <w:szCs w:val="20"/>
              </w:rPr>
              <w:t> </w:t>
            </w:r>
            <w:proofErr w:type="spellStart"/>
            <w:r w:rsidRPr="0008539E">
              <w:rPr>
                <w:rFonts w:ascii="Arial" w:hAnsi="Arial" w:cs="Arial"/>
                <w:b/>
                <w:bCs/>
                <w:color w:val="0000FF"/>
                <w:sz w:val="20"/>
                <w:szCs w:val="20"/>
              </w:rPr>
              <w:t>3A.19</w:t>
            </w:r>
            <w:proofErr w:type="spellEnd"/>
          </w:p>
        </w:tc>
        <w:tc>
          <w:tcPr>
            <w:tcW w:w="7404" w:type="dxa"/>
            <w:tcBorders>
              <w:top w:val="nil"/>
              <w:left w:val="nil"/>
              <w:bottom w:val="nil"/>
              <w:right w:val="nil"/>
            </w:tcBorders>
            <w:shd w:val="clear" w:color="auto" w:fill="auto"/>
            <w:hideMark/>
          </w:tcPr>
          <w:p w:rsidR="0008539E" w:rsidRPr="0008539E" w:rsidRDefault="0008539E" w:rsidP="0008539E">
            <w:pPr>
              <w:jc w:val="both"/>
              <w:rPr>
                <w:rFonts w:ascii="Arial" w:hAnsi="Arial" w:cs="Arial"/>
                <w:sz w:val="20"/>
                <w:szCs w:val="20"/>
              </w:rPr>
            </w:pPr>
            <w:r w:rsidRPr="0008539E">
              <w:rPr>
                <w:rFonts w:ascii="Arial" w:hAnsi="Arial" w:cs="Arial"/>
                <w:sz w:val="20"/>
                <w:szCs w:val="20"/>
              </w:rPr>
              <w:t xml:space="preserve">Proportion of children who are attending Australian Government </w:t>
            </w:r>
            <w:proofErr w:type="spellStart"/>
            <w:r w:rsidRPr="0008539E">
              <w:rPr>
                <w:rFonts w:ascii="Arial" w:hAnsi="Arial" w:cs="Arial"/>
                <w:sz w:val="20"/>
                <w:szCs w:val="20"/>
              </w:rPr>
              <w:t>CCB</w:t>
            </w:r>
            <w:proofErr w:type="spellEnd"/>
            <w:r w:rsidRPr="0008539E">
              <w:rPr>
                <w:rFonts w:ascii="Arial" w:hAnsi="Arial" w:cs="Arial"/>
                <w:sz w:val="20"/>
                <w:szCs w:val="20"/>
              </w:rPr>
              <w:t xml:space="preserve"> approved child care services, by single year of age and age group, 2015</w:t>
            </w:r>
            <w:r w:rsidR="002D438E">
              <w:rPr>
                <w:rFonts w:ascii="Arial" w:hAnsi="Arial" w:cs="Arial"/>
                <w:sz w:val="20"/>
                <w:szCs w:val="20"/>
              </w:rPr>
              <w:t xml:space="preserve"> </w:t>
            </w:r>
          </w:p>
        </w:tc>
      </w:tr>
      <w:tr w:rsidR="0008539E" w:rsidRPr="0008539E" w:rsidTr="0008539E">
        <w:trPr>
          <w:trHeight w:val="612"/>
        </w:trPr>
        <w:tc>
          <w:tcPr>
            <w:tcW w:w="1456" w:type="dxa"/>
            <w:tcBorders>
              <w:top w:val="nil"/>
              <w:left w:val="nil"/>
              <w:bottom w:val="nil"/>
              <w:right w:val="nil"/>
            </w:tcBorders>
            <w:shd w:val="clear" w:color="auto" w:fill="auto"/>
            <w:noWrap/>
            <w:hideMark/>
          </w:tcPr>
          <w:p w:rsidR="0008539E" w:rsidRPr="0008539E" w:rsidRDefault="0008539E" w:rsidP="0008539E">
            <w:pPr>
              <w:rPr>
                <w:rFonts w:ascii="Arial" w:hAnsi="Arial" w:cs="Arial"/>
                <w:b/>
                <w:bCs/>
                <w:color w:val="0000FF"/>
                <w:sz w:val="20"/>
                <w:szCs w:val="20"/>
              </w:rPr>
            </w:pPr>
            <w:r w:rsidRPr="0008539E">
              <w:rPr>
                <w:rFonts w:ascii="Arial" w:hAnsi="Arial" w:cs="Arial"/>
                <w:b/>
                <w:bCs/>
                <w:color w:val="0000FF"/>
                <w:sz w:val="20"/>
                <w:szCs w:val="20"/>
              </w:rPr>
              <w:t>Table</w:t>
            </w:r>
            <w:r w:rsidR="00697D43">
              <w:rPr>
                <w:rFonts w:ascii="Arial" w:hAnsi="Arial" w:cs="Arial"/>
                <w:b/>
                <w:bCs/>
                <w:color w:val="0000FF"/>
                <w:sz w:val="20"/>
                <w:szCs w:val="20"/>
              </w:rPr>
              <w:t> </w:t>
            </w:r>
            <w:proofErr w:type="spellStart"/>
            <w:r w:rsidRPr="0008539E">
              <w:rPr>
                <w:rFonts w:ascii="Arial" w:hAnsi="Arial" w:cs="Arial"/>
                <w:b/>
                <w:bCs/>
                <w:color w:val="0000FF"/>
                <w:sz w:val="20"/>
                <w:szCs w:val="20"/>
              </w:rPr>
              <w:t>3A.20</w:t>
            </w:r>
            <w:proofErr w:type="spellEnd"/>
          </w:p>
        </w:tc>
        <w:tc>
          <w:tcPr>
            <w:tcW w:w="7404" w:type="dxa"/>
            <w:tcBorders>
              <w:top w:val="nil"/>
              <w:left w:val="nil"/>
              <w:bottom w:val="nil"/>
              <w:right w:val="nil"/>
            </w:tcBorders>
            <w:shd w:val="clear" w:color="auto" w:fill="auto"/>
            <w:hideMark/>
          </w:tcPr>
          <w:p w:rsidR="0008539E" w:rsidRPr="0008539E" w:rsidRDefault="0008539E" w:rsidP="0008539E">
            <w:pPr>
              <w:jc w:val="both"/>
              <w:rPr>
                <w:rFonts w:ascii="Arial" w:hAnsi="Arial" w:cs="Arial"/>
                <w:sz w:val="20"/>
                <w:szCs w:val="20"/>
              </w:rPr>
            </w:pPr>
            <w:r w:rsidRPr="0008539E">
              <w:rPr>
                <w:rFonts w:ascii="Arial" w:hAnsi="Arial" w:cs="Arial"/>
                <w:sz w:val="20"/>
                <w:szCs w:val="20"/>
              </w:rPr>
              <w:t xml:space="preserve">Children aged 0–12 years attending Australian Government </w:t>
            </w:r>
            <w:proofErr w:type="spellStart"/>
            <w:r w:rsidRPr="0008539E">
              <w:rPr>
                <w:rFonts w:ascii="Arial" w:hAnsi="Arial" w:cs="Arial"/>
                <w:sz w:val="20"/>
                <w:szCs w:val="20"/>
              </w:rPr>
              <w:t>CCB</w:t>
            </w:r>
            <w:proofErr w:type="spellEnd"/>
            <w:r w:rsidRPr="0008539E">
              <w:rPr>
                <w:rFonts w:ascii="Arial" w:hAnsi="Arial" w:cs="Arial"/>
                <w:sz w:val="20"/>
                <w:szCs w:val="20"/>
              </w:rPr>
              <w:t xml:space="preserve"> approved child care services, by service type, 2015</w:t>
            </w:r>
            <w:r w:rsidR="002D438E">
              <w:rPr>
                <w:rFonts w:ascii="Arial" w:hAnsi="Arial" w:cs="Arial"/>
                <w:sz w:val="20"/>
                <w:szCs w:val="20"/>
              </w:rPr>
              <w:t xml:space="preserve"> </w:t>
            </w:r>
          </w:p>
        </w:tc>
      </w:tr>
      <w:tr w:rsidR="0008539E" w:rsidRPr="0008539E" w:rsidTr="0008539E">
        <w:trPr>
          <w:trHeight w:val="612"/>
        </w:trPr>
        <w:tc>
          <w:tcPr>
            <w:tcW w:w="1456" w:type="dxa"/>
            <w:tcBorders>
              <w:top w:val="nil"/>
              <w:left w:val="nil"/>
              <w:bottom w:val="nil"/>
              <w:right w:val="nil"/>
            </w:tcBorders>
            <w:shd w:val="clear" w:color="auto" w:fill="auto"/>
            <w:noWrap/>
            <w:hideMark/>
          </w:tcPr>
          <w:p w:rsidR="0008539E" w:rsidRPr="0008539E" w:rsidRDefault="0008539E" w:rsidP="0008539E">
            <w:pPr>
              <w:rPr>
                <w:rFonts w:ascii="Arial" w:hAnsi="Arial" w:cs="Arial"/>
                <w:b/>
                <w:bCs/>
                <w:color w:val="0000FF"/>
                <w:sz w:val="20"/>
                <w:szCs w:val="20"/>
              </w:rPr>
            </w:pPr>
            <w:r w:rsidRPr="0008539E">
              <w:rPr>
                <w:rFonts w:ascii="Arial" w:hAnsi="Arial" w:cs="Arial"/>
                <w:b/>
                <w:bCs/>
                <w:color w:val="0000FF"/>
                <w:sz w:val="20"/>
                <w:szCs w:val="20"/>
              </w:rPr>
              <w:t>Table</w:t>
            </w:r>
            <w:r w:rsidR="00697D43">
              <w:rPr>
                <w:rFonts w:ascii="Arial" w:hAnsi="Arial" w:cs="Arial"/>
                <w:b/>
                <w:bCs/>
                <w:color w:val="0000FF"/>
                <w:sz w:val="20"/>
                <w:szCs w:val="20"/>
              </w:rPr>
              <w:t> </w:t>
            </w:r>
            <w:proofErr w:type="spellStart"/>
            <w:r w:rsidRPr="0008539E">
              <w:rPr>
                <w:rFonts w:ascii="Arial" w:hAnsi="Arial" w:cs="Arial"/>
                <w:b/>
                <w:bCs/>
                <w:color w:val="0000FF"/>
                <w:sz w:val="20"/>
                <w:szCs w:val="20"/>
              </w:rPr>
              <w:t>3A.21</w:t>
            </w:r>
            <w:proofErr w:type="spellEnd"/>
          </w:p>
        </w:tc>
        <w:tc>
          <w:tcPr>
            <w:tcW w:w="7404" w:type="dxa"/>
            <w:tcBorders>
              <w:top w:val="nil"/>
              <w:left w:val="nil"/>
              <w:bottom w:val="nil"/>
              <w:right w:val="nil"/>
            </w:tcBorders>
            <w:shd w:val="clear" w:color="auto" w:fill="auto"/>
            <w:hideMark/>
          </w:tcPr>
          <w:p w:rsidR="0008539E" w:rsidRPr="0008539E" w:rsidRDefault="0008539E" w:rsidP="0008539E">
            <w:pPr>
              <w:jc w:val="both"/>
              <w:rPr>
                <w:rFonts w:ascii="Arial" w:hAnsi="Arial" w:cs="Arial"/>
                <w:sz w:val="20"/>
                <w:szCs w:val="20"/>
              </w:rPr>
            </w:pPr>
            <w:r w:rsidRPr="0008539E">
              <w:rPr>
                <w:rFonts w:ascii="Arial" w:hAnsi="Arial" w:cs="Arial"/>
                <w:sz w:val="20"/>
                <w:szCs w:val="20"/>
              </w:rPr>
              <w:t>Children attending State and Territory government (only) funded child care services, by age</w:t>
            </w:r>
            <w:r w:rsidR="002D438E">
              <w:rPr>
                <w:rFonts w:ascii="Arial" w:hAnsi="Arial" w:cs="Arial"/>
                <w:sz w:val="20"/>
                <w:szCs w:val="20"/>
              </w:rPr>
              <w:t xml:space="preserve"> </w:t>
            </w:r>
          </w:p>
        </w:tc>
      </w:tr>
      <w:tr w:rsidR="0008539E" w:rsidRPr="0008539E" w:rsidTr="0008539E">
        <w:trPr>
          <w:trHeight w:val="867"/>
        </w:trPr>
        <w:tc>
          <w:tcPr>
            <w:tcW w:w="1456" w:type="dxa"/>
            <w:tcBorders>
              <w:top w:val="nil"/>
              <w:left w:val="nil"/>
              <w:bottom w:val="nil"/>
              <w:right w:val="nil"/>
            </w:tcBorders>
            <w:shd w:val="clear" w:color="auto" w:fill="auto"/>
            <w:noWrap/>
            <w:hideMark/>
          </w:tcPr>
          <w:p w:rsidR="0008539E" w:rsidRPr="0008539E" w:rsidRDefault="0008539E" w:rsidP="0008539E">
            <w:pPr>
              <w:rPr>
                <w:rFonts w:ascii="Arial" w:hAnsi="Arial" w:cs="Arial"/>
                <w:b/>
                <w:bCs/>
                <w:color w:val="0000FF"/>
                <w:sz w:val="20"/>
                <w:szCs w:val="20"/>
              </w:rPr>
            </w:pPr>
            <w:r w:rsidRPr="0008539E">
              <w:rPr>
                <w:rFonts w:ascii="Arial" w:hAnsi="Arial" w:cs="Arial"/>
                <w:b/>
                <w:bCs/>
                <w:color w:val="0000FF"/>
                <w:sz w:val="20"/>
                <w:szCs w:val="20"/>
              </w:rPr>
              <w:t>Table</w:t>
            </w:r>
            <w:r w:rsidR="00697D43">
              <w:rPr>
                <w:rFonts w:ascii="Arial" w:hAnsi="Arial" w:cs="Arial"/>
                <w:b/>
                <w:bCs/>
                <w:color w:val="0000FF"/>
                <w:sz w:val="20"/>
                <w:szCs w:val="20"/>
              </w:rPr>
              <w:t> </w:t>
            </w:r>
            <w:proofErr w:type="spellStart"/>
            <w:r w:rsidRPr="0008539E">
              <w:rPr>
                <w:rFonts w:ascii="Arial" w:hAnsi="Arial" w:cs="Arial"/>
                <w:b/>
                <w:bCs/>
                <w:color w:val="0000FF"/>
                <w:sz w:val="20"/>
                <w:szCs w:val="20"/>
              </w:rPr>
              <w:t>3A.22</w:t>
            </w:r>
            <w:proofErr w:type="spellEnd"/>
          </w:p>
        </w:tc>
        <w:tc>
          <w:tcPr>
            <w:tcW w:w="7404" w:type="dxa"/>
            <w:tcBorders>
              <w:top w:val="nil"/>
              <w:left w:val="nil"/>
              <w:bottom w:val="nil"/>
              <w:right w:val="nil"/>
            </w:tcBorders>
            <w:shd w:val="clear" w:color="auto" w:fill="auto"/>
            <w:hideMark/>
          </w:tcPr>
          <w:p w:rsidR="0008539E" w:rsidRPr="0008539E" w:rsidRDefault="0008539E" w:rsidP="0008539E">
            <w:pPr>
              <w:jc w:val="both"/>
              <w:rPr>
                <w:rFonts w:ascii="Arial" w:hAnsi="Arial" w:cs="Arial"/>
                <w:sz w:val="20"/>
                <w:szCs w:val="20"/>
              </w:rPr>
            </w:pPr>
            <w:r w:rsidRPr="0008539E">
              <w:rPr>
                <w:rFonts w:ascii="Arial" w:hAnsi="Arial" w:cs="Arial"/>
                <w:sz w:val="20"/>
                <w:szCs w:val="20"/>
              </w:rPr>
              <w:t xml:space="preserve">Proportion of children who are attending Australian Government </w:t>
            </w:r>
            <w:proofErr w:type="spellStart"/>
            <w:r w:rsidRPr="0008539E">
              <w:rPr>
                <w:rFonts w:ascii="Arial" w:hAnsi="Arial" w:cs="Arial"/>
                <w:sz w:val="20"/>
                <w:szCs w:val="20"/>
              </w:rPr>
              <w:t>CCB</w:t>
            </w:r>
            <w:proofErr w:type="spellEnd"/>
            <w:r w:rsidRPr="0008539E">
              <w:rPr>
                <w:rFonts w:ascii="Arial" w:hAnsi="Arial" w:cs="Arial"/>
                <w:sz w:val="20"/>
                <w:szCs w:val="20"/>
              </w:rPr>
              <w:t xml:space="preserve"> approved and State and Territory government funded child care services, by age group (0–5, 6–12 and 0–12 years), 2015</w:t>
            </w:r>
            <w:r w:rsidR="002D438E">
              <w:rPr>
                <w:rFonts w:ascii="Arial" w:hAnsi="Arial" w:cs="Arial"/>
                <w:sz w:val="20"/>
                <w:szCs w:val="20"/>
              </w:rPr>
              <w:t xml:space="preserve"> </w:t>
            </w:r>
          </w:p>
        </w:tc>
      </w:tr>
      <w:tr w:rsidR="0008539E" w:rsidRPr="0008539E" w:rsidTr="0008539E">
        <w:trPr>
          <w:trHeight w:val="612"/>
        </w:trPr>
        <w:tc>
          <w:tcPr>
            <w:tcW w:w="1456" w:type="dxa"/>
            <w:tcBorders>
              <w:top w:val="nil"/>
              <w:left w:val="nil"/>
              <w:bottom w:val="nil"/>
              <w:right w:val="nil"/>
            </w:tcBorders>
            <w:shd w:val="clear" w:color="auto" w:fill="auto"/>
            <w:noWrap/>
            <w:hideMark/>
          </w:tcPr>
          <w:p w:rsidR="0008539E" w:rsidRPr="0008539E" w:rsidRDefault="0008539E" w:rsidP="0008539E">
            <w:pPr>
              <w:rPr>
                <w:rFonts w:ascii="Arial" w:hAnsi="Arial" w:cs="Arial"/>
                <w:b/>
                <w:bCs/>
                <w:color w:val="0000FF"/>
                <w:sz w:val="20"/>
                <w:szCs w:val="20"/>
              </w:rPr>
            </w:pPr>
            <w:r w:rsidRPr="0008539E">
              <w:rPr>
                <w:rFonts w:ascii="Arial" w:hAnsi="Arial" w:cs="Arial"/>
                <w:b/>
                <w:bCs/>
                <w:color w:val="0000FF"/>
                <w:sz w:val="20"/>
                <w:szCs w:val="20"/>
              </w:rPr>
              <w:t>Table</w:t>
            </w:r>
            <w:r w:rsidR="00697D43">
              <w:rPr>
                <w:rFonts w:ascii="Arial" w:hAnsi="Arial" w:cs="Arial"/>
                <w:b/>
                <w:bCs/>
                <w:color w:val="0000FF"/>
                <w:sz w:val="20"/>
                <w:szCs w:val="20"/>
              </w:rPr>
              <w:t> </w:t>
            </w:r>
            <w:proofErr w:type="spellStart"/>
            <w:r w:rsidRPr="0008539E">
              <w:rPr>
                <w:rFonts w:ascii="Arial" w:hAnsi="Arial" w:cs="Arial"/>
                <w:b/>
                <w:bCs/>
                <w:color w:val="0000FF"/>
                <w:sz w:val="20"/>
                <w:szCs w:val="20"/>
              </w:rPr>
              <w:t>3A.23</w:t>
            </w:r>
            <w:proofErr w:type="spellEnd"/>
          </w:p>
        </w:tc>
        <w:tc>
          <w:tcPr>
            <w:tcW w:w="7404" w:type="dxa"/>
            <w:tcBorders>
              <w:top w:val="nil"/>
              <w:left w:val="nil"/>
              <w:bottom w:val="nil"/>
              <w:right w:val="nil"/>
            </w:tcBorders>
            <w:shd w:val="clear" w:color="auto" w:fill="auto"/>
            <w:hideMark/>
          </w:tcPr>
          <w:p w:rsidR="0008539E" w:rsidRPr="0008539E" w:rsidRDefault="0008539E" w:rsidP="0008539E">
            <w:pPr>
              <w:jc w:val="both"/>
              <w:rPr>
                <w:rFonts w:ascii="Arial" w:hAnsi="Arial" w:cs="Arial"/>
                <w:sz w:val="20"/>
                <w:szCs w:val="20"/>
              </w:rPr>
            </w:pPr>
            <w:r w:rsidRPr="0008539E">
              <w:rPr>
                <w:rFonts w:ascii="Arial" w:hAnsi="Arial" w:cs="Arial"/>
                <w:sz w:val="20"/>
                <w:szCs w:val="20"/>
              </w:rPr>
              <w:t xml:space="preserve">Average hours of attendance per week of children aged 0–12 years at Australian Government </w:t>
            </w:r>
            <w:proofErr w:type="spellStart"/>
            <w:r w:rsidRPr="0008539E">
              <w:rPr>
                <w:rFonts w:ascii="Arial" w:hAnsi="Arial" w:cs="Arial"/>
                <w:sz w:val="20"/>
                <w:szCs w:val="20"/>
              </w:rPr>
              <w:t>CCB</w:t>
            </w:r>
            <w:proofErr w:type="spellEnd"/>
            <w:r w:rsidRPr="0008539E">
              <w:rPr>
                <w:rFonts w:ascii="Arial" w:hAnsi="Arial" w:cs="Arial"/>
                <w:sz w:val="20"/>
                <w:szCs w:val="20"/>
              </w:rPr>
              <w:t xml:space="preserve"> approved child care services, by service type</w:t>
            </w:r>
            <w:r w:rsidR="002D438E">
              <w:rPr>
                <w:rFonts w:ascii="Arial" w:hAnsi="Arial" w:cs="Arial"/>
                <w:sz w:val="20"/>
                <w:szCs w:val="20"/>
              </w:rPr>
              <w:t xml:space="preserve"> </w:t>
            </w:r>
          </w:p>
        </w:tc>
      </w:tr>
      <w:tr w:rsidR="0008539E" w:rsidRPr="0008539E" w:rsidTr="0008539E">
        <w:trPr>
          <w:trHeight w:val="357"/>
        </w:trPr>
        <w:tc>
          <w:tcPr>
            <w:tcW w:w="1456" w:type="dxa"/>
            <w:tcBorders>
              <w:top w:val="nil"/>
              <w:left w:val="nil"/>
              <w:bottom w:val="nil"/>
              <w:right w:val="nil"/>
            </w:tcBorders>
            <w:shd w:val="clear" w:color="auto" w:fill="auto"/>
            <w:noWrap/>
            <w:hideMark/>
          </w:tcPr>
          <w:p w:rsidR="0008539E" w:rsidRPr="0008539E" w:rsidRDefault="0008539E" w:rsidP="0008539E">
            <w:pPr>
              <w:rPr>
                <w:rFonts w:ascii="Arial" w:hAnsi="Arial" w:cs="Arial"/>
                <w:b/>
                <w:bCs/>
                <w:color w:val="0000FF"/>
                <w:sz w:val="20"/>
                <w:szCs w:val="20"/>
              </w:rPr>
            </w:pPr>
            <w:r w:rsidRPr="0008539E">
              <w:rPr>
                <w:rFonts w:ascii="Arial" w:hAnsi="Arial" w:cs="Arial"/>
                <w:b/>
                <w:bCs/>
                <w:color w:val="0000FF"/>
                <w:sz w:val="20"/>
                <w:szCs w:val="20"/>
              </w:rPr>
              <w:t>Table</w:t>
            </w:r>
            <w:r w:rsidR="00697D43">
              <w:rPr>
                <w:rFonts w:ascii="Arial" w:hAnsi="Arial" w:cs="Arial"/>
                <w:b/>
                <w:bCs/>
                <w:color w:val="0000FF"/>
                <w:sz w:val="20"/>
                <w:szCs w:val="20"/>
              </w:rPr>
              <w:t> </w:t>
            </w:r>
            <w:proofErr w:type="spellStart"/>
            <w:r w:rsidRPr="0008539E">
              <w:rPr>
                <w:rFonts w:ascii="Arial" w:hAnsi="Arial" w:cs="Arial"/>
                <w:b/>
                <w:bCs/>
                <w:color w:val="0000FF"/>
                <w:sz w:val="20"/>
                <w:szCs w:val="20"/>
              </w:rPr>
              <w:t>3A.24</w:t>
            </w:r>
            <w:proofErr w:type="spellEnd"/>
          </w:p>
        </w:tc>
        <w:tc>
          <w:tcPr>
            <w:tcW w:w="7404" w:type="dxa"/>
            <w:tcBorders>
              <w:top w:val="nil"/>
              <w:left w:val="nil"/>
              <w:bottom w:val="nil"/>
              <w:right w:val="nil"/>
            </w:tcBorders>
            <w:shd w:val="clear" w:color="auto" w:fill="auto"/>
            <w:hideMark/>
          </w:tcPr>
          <w:p w:rsidR="0008539E" w:rsidRPr="0008539E" w:rsidRDefault="0008539E" w:rsidP="0008539E">
            <w:pPr>
              <w:jc w:val="both"/>
              <w:rPr>
                <w:rFonts w:ascii="Arial" w:hAnsi="Arial" w:cs="Arial"/>
                <w:sz w:val="20"/>
                <w:szCs w:val="20"/>
              </w:rPr>
            </w:pPr>
            <w:r w:rsidRPr="0008539E">
              <w:rPr>
                <w:rFonts w:ascii="Arial" w:hAnsi="Arial" w:cs="Arial"/>
                <w:sz w:val="20"/>
                <w:szCs w:val="20"/>
              </w:rPr>
              <w:t xml:space="preserve">Characteristics of State and Territory government (only) funded child care services </w:t>
            </w:r>
          </w:p>
        </w:tc>
      </w:tr>
      <w:tr w:rsidR="0008539E" w:rsidRPr="0008539E" w:rsidTr="0008539E">
        <w:trPr>
          <w:trHeight w:val="357"/>
        </w:trPr>
        <w:tc>
          <w:tcPr>
            <w:tcW w:w="1456" w:type="dxa"/>
            <w:tcBorders>
              <w:top w:val="nil"/>
              <w:left w:val="nil"/>
              <w:bottom w:val="nil"/>
              <w:right w:val="nil"/>
            </w:tcBorders>
            <w:shd w:val="clear" w:color="auto" w:fill="auto"/>
            <w:noWrap/>
            <w:hideMark/>
          </w:tcPr>
          <w:p w:rsidR="0008539E" w:rsidRPr="0008539E" w:rsidRDefault="0008539E" w:rsidP="0008539E">
            <w:pPr>
              <w:rPr>
                <w:rFonts w:ascii="Arial" w:hAnsi="Arial" w:cs="Arial"/>
                <w:b/>
                <w:bCs/>
                <w:color w:val="0000FF"/>
                <w:sz w:val="20"/>
                <w:szCs w:val="20"/>
              </w:rPr>
            </w:pPr>
            <w:r w:rsidRPr="0008539E">
              <w:rPr>
                <w:rFonts w:ascii="Arial" w:hAnsi="Arial" w:cs="Arial"/>
                <w:b/>
                <w:bCs/>
                <w:color w:val="0000FF"/>
                <w:sz w:val="20"/>
                <w:szCs w:val="20"/>
              </w:rPr>
              <w:t>Table</w:t>
            </w:r>
            <w:r w:rsidR="00697D43">
              <w:rPr>
                <w:rFonts w:ascii="Arial" w:hAnsi="Arial" w:cs="Arial"/>
                <w:b/>
                <w:bCs/>
                <w:color w:val="0000FF"/>
                <w:sz w:val="20"/>
                <w:szCs w:val="20"/>
              </w:rPr>
              <w:t> </w:t>
            </w:r>
            <w:proofErr w:type="spellStart"/>
            <w:r w:rsidRPr="0008539E">
              <w:rPr>
                <w:rFonts w:ascii="Arial" w:hAnsi="Arial" w:cs="Arial"/>
                <w:b/>
                <w:bCs/>
                <w:color w:val="0000FF"/>
                <w:sz w:val="20"/>
                <w:szCs w:val="20"/>
              </w:rPr>
              <w:t>3A.25</w:t>
            </w:r>
            <w:proofErr w:type="spellEnd"/>
          </w:p>
        </w:tc>
        <w:tc>
          <w:tcPr>
            <w:tcW w:w="7404" w:type="dxa"/>
            <w:tcBorders>
              <w:top w:val="nil"/>
              <w:left w:val="nil"/>
              <w:bottom w:val="nil"/>
              <w:right w:val="nil"/>
            </w:tcBorders>
            <w:shd w:val="clear" w:color="auto" w:fill="auto"/>
            <w:hideMark/>
          </w:tcPr>
          <w:p w:rsidR="0008539E" w:rsidRPr="0008539E" w:rsidRDefault="0008539E" w:rsidP="0008539E">
            <w:pPr>
              <w:jc w:val="both"/>
              <w:rPr>
                <w:rFonts w:ascii="Arial" w:hAnsi="Arial" w:cs="Arial"/>
                <w:sz w:val="20"/>
                <w:szCs w:val="20"/>
              </w:rPr>
            </w:pPr>
            <w:r w:rsidRPr="0008539E">
              <w:rPr>
                <w:rFonts w:ascii="Arial" w:hAnsi="Arial" w:cs="Arial"/>
                <w:sz w:val="20"/>
                <w:szCs w:val="20"/>
              </w:rPr>
              <w:t>Children enrolled in a preschool program, by sector, by age</w:t>
            </w:r>
            <w:r w:rsidR="002D438E">
              <w:rPr>
                <w:rFonts w:ascii="Arial" w:hAnsi="Arial" w:cs="Arial"/>
                <w:sz w:val="20"/>
                <w:szCs w:val="20"/>
              </w:rPr>
              <w:t xml:space="preserve"> </w:t>
            </w:r>
          </w:p>
        </w:tc>
      </w:tr>
      <w:tr w:rsidR="0008539E" w:rsidRPr="0008539E" w:rsidTr="0008539E">
        <w:trPr>
          <w:trHeight w:val="612"/>
        </w:trPr>
        <w:tc>
          <w:tcPr>
            <w:tcW w:w="1456" w:type="dxa"/>
            <w:tcBorders>
              <w:top w:val="nil"/>
              <w:left w:val="nil"/>
              <w:bottom w:val="nil"/>
              <w:right w:val="nil"/>
            </w:tcBorders>
            <w:shd w:val="clear" w:color="auto" w:fill="auto"/>
            <w:noWrap/>
            <w:hideMark/>
          </w:tcPr>
          <w:p w:rsidR="0008539E" w:rsidRPr="0008539E" w:rsidRDefault="0008539E" w:rsidP="0008539E">
            <w:pPr>
              <w:rPr>
                <w:rFonts w:ascii="Arial" w:hAnsi="Arial" w:cs="Arial"/>
                <w:b/>
                <w:bCs/>
                <w:color w:val="0000FF"/>
                <w:sz w:val="20"/>
                <w:szCs w:val="20"/>
              </w:rPr>
            </w:pPr>
            <w:r w:rsidRPr="0008539E">
              <w:rPr>
                <w:rFonts w:ascii="Arial" w:hAnsi="Arial" w:cs="Arial"/>
                <w:b/>
                <w:bCs/>
                <w:color w:val="0000FF"/>
                <w:sz w:val="20"/>
                <w:szCs w:val="20"/>
              </w:rPr>
              <w:t>Table</w:t>
            </w:r>
            <w:r w:rsidR="00697D43">
              <w:rPr>
                <w:rFonts w:ascii="Arial" w:hAnsi="Arial" w:cs="Arial"/>
                <w:b/>
                <w:bCs/>
                <w:color w:val="0000FF"/>
                <w:sz w:val="20"/>
                <w:szCs w:val="20"/>
              </w:rPr>
              <w:t> </w:t>
            </w:r>
            <w:proofErr w:type="spellStart"/>
            <w:r w:rsidRPr="0008539E">
              <w:rPr>
                <w:rFonts w:ascii="Arial" w:hAnsi="Arial" w:cs="Arial"/>
                <w:b/>
                <w:bCs/>
                <w:color w:val="0000FF"/>
                <w:sz w:val="20"/>
                <w:szCs w:val="20"/>
              </w:rPr>
              <w:t>3A.26</w:t>
            </w:r>
            <w:proofErr w:type="spellEnd"/>
          </w:p>
        </w:tc>
        <w:tc>
          <w:tcPr>
            <w:tcW w:w="7404" w:type="dxa"/>
            <w:tcBorders>
              <w:top w:val="nil"/>
              <w:left w:val="nil"/>
              <w:bottom w:val="nil"/>
              <w:right w:val="nil"/>
            </w:tcBorders>
            <w:shd w:val="clear" w:color="auto" w:fill="auto"/>
            <w:hideMark/>
          </w:tcPr>
          <w:p w:rsidR="0008539E" w:rsidRPr="0008539E" w:rsidRDefault="0008539E" w:rsidP="0008539E">
            <w:pPr>
              <w:jc w:val="both"/>
              <w:rPr>
                <w:rFonts w:ascii="Arial" w:hAnsi="Arial" w:cs="Arial"/>
                <w:sz w:val="20"/>
                <w:szCs w:val="20"/>
              </w:rPr>
            </w:pPr>
            <w:r w:rsidRPr="0008539E">
              <w:rPr>
                <w:rFonts w:ascii="Arial" w:hAnsi="Arial" w:cs="Arial"/>
                <w:sz w:val="20"/>
                <w:szCs w:val="20"/>
              </w:rPr>
              <w:t xml:space="preserve">Children aged 4 and 5 years enrolled in a preschool program in the </w:t>
            </w:r>
            <w:proofErr w:type="spellStart"/>
            <w:r w:rsidRPr="0008539E">
              <w:rPr>
                <w:rFonts w:ascii="Arial" w:hAnsi="Arial" w:cs="Arial"/>
                <w:sz w:val="20"/>
                <w:szCs w:val="20"/>
              </w:rPr>
              <w:t>YBFS</w:t>
            </w:r>
            <w:proofErr w:type="spellEnd"/>
            <w:r w:rsidRPr="0008539E">
              <w:rPr>
                <w:rFonts w:ascii="Arial" w:hAnsi="Arial" w:cs="Arial"/>
                <w:sz w:val="20"/>
                <w:szCs w:val="20"/>
              </w:rPr>
              <w:t>, by weekly hours, by sector, 2014</w:t>
            </w:r>
            <w:r w:rsidR="002D438E">
              <w:rPr>
                <w:rFonts w:ascii="Arial" w:hAnsi="Arial" w:cs="Arial"/>
                <w:sz w:val="20"/>
                <w:szCs w:val="20"/>
              </w:rPr>
              <w:t xml:space="preserve"> </w:t>
            </w:r>
          </w:p>
        </w:tc>
      </w:tr>
      <w:tr w:rsidR="0008539E" w:rsidRPr="0008539E" w:rsidTr="0008539E">
        <w:trPr>
          <w:trHeight w:val="612"/>
        </w:trPr>
        <w:tc>
          <w:tcPr>
            <w:tcW w:w="1456" w:type="dxa"/>
            <w:tcBorders>
              <w:top w:val="nil"/>
              <w:left w:val="nil"/>
              <w:bottom w:val="nil"/>
              <w:right w:val="nil"/>
            </w:tcBorders>
            <w:shd w:val="clear" w:color="auto" w:fill="auto"/>
            <w:noWrap/>
            <w:hideMark/>
          </w:tcPr>
          <w:p w:rsidR="0008539E" w:rsidRPr="0008539E" w:rsidRDefault="0008539E" w:rsidP="0008539E">
            <w:pPr>
              <w:rPr>
                <w:rFonts w:ascii="Arial" w:hAnsi="Arial" w:cs="Arial"/>
                <w:b/>
                <w:bCs/>
                <w:color w:val="0000FF"/>
                <w:sz w:val="20"/>
                <w:szCs w:val="20"/>
              </w:rPr>
            </w:pPr>
            <w:r w:rsidRPr="0008539E">
              <w:rPr>
                <w:rFonts w:ascii="Arial" w:hAnsi="Arial" w:cs="Arial"/>
                <w:b/>
                <w:bCs/>
                <w:color w:val="0000FF"/>
                <w:sz w:val="20"/>
                <w:szCs w:val="20"/>
              </w:rPr>
              <w:t>Table</w:t>
            </w:r>
            <w:r w:rsidR="00697D43">
              <w:rPr>
                <w:rFonts w:ascii="Arial" w:hAnsi="Arial" w:cs="Arial"/>
                <w:b/>
                <w:bCs/>
                <w:color w:val="0000FF"/>
                <w:sz w:val="20"/>
                <w:szCs w:val="20"/>
              </w:rPr>
              <w:t> </w:t>
            </w:r>
            <w:proofErr w:type="spellStart"/>
            <w:r w:rsidRPr="0008539E">
              <w:rPr>
                <w:rFonts w:ascii="Arial" w:hAnsi="Arial" w:cs="Arial"/>
                <w:b/>
                <w:bCs/>
                <w:color w:val="0000FF"/>
                <w:sz w:val="20"/>
                <w:szCs w:val="20"/>
              </w:rPr>
              <w:t>3A.27</w:t>
            </w:r>
            <w:proofErr w:type="spellEnd"/>
          </w:p>
        </w:tc>
        <w:tc>
          <w:tcPr>
            <w:tcW w:w="7404" w:type="dxa"/>
            <w:tcBorders>
              <w:top w:val="nil"/>
              <w:left w:val="nil"/>
              <w:bottom w:val="nil"/>
              <w:right w:val="nil"/>
            </w:tcBorders>
            <w:shd w:val="clear" w:color="auto" w:fill="auto"/>
            <w:hideMark/>
          </w:tcPr>
          <w:p w:rsidR="0008539E" w:rsidRPr="0008539E" w:rsidRDefault="0008539E" w:rsidP="0008539E">
            <w:pPr>
              <w:jc w:val="both"/>
              <w:rPr>
                <w:rFonts w:ascii="Arial" w:hAnsi="Arial" w:cs="Arial"/>
                <w:sz w:val="20"/>
                <w:szCs w:val="20"/>
              </w:rPr>
            </w:pPr>
            <w:r w:rsidRPr="0008539E">
              <w:rPr>
                <w:rFonts w:ascii="Arial" w:hAnsi="Arial" w:cs="Arial"/>
                <w:sz w:val="20"/>
                <w:szCs w:val="20"/>
              </w:rPr>
              <w:t xml:space="preserve">Aboriginal and Torres Strait Islander children aged 4 and 5 years enrolled in a preschool program in the </w:t>
            </w:r>
            <w:proofErr w:type="spellStart"/>
            <w:r w:rsidRPr="0008539E">
              <w:rPr>
                <w:rFonts w:ascii="Arial" w:hAnsi="Arial" w:cs="Arial"/>
                <w:sz w:val="20"/>
                <w:szCs w:val="20"/>
              </w:rPr>
              <w:t>YBFS</w:t>
            </w:r>
            <w:proofErr w:type="spellEnd"/>
            <w:r w:rsidRPr="0008539E">
              <w:rPr>
                <w:rFonts w:ascii="Arial" w:hAnsi="Arial" w:cs="Arial"/>
                <w:sz w:val="20"/>
                <w:szCs w:val="20"/>
              </w:rPr>
              <w:t>, by remoteness area, national only</w:t>
            </w:r>
            <w:r w:rsidR="002D438E">
              <w:rPr>
                <w:rFonts w:ascii="Arial" w:hAnsi="Arial" w:cs="Arial"/>
                <w:sz w:val="20"/>
                <w:szCs w:val="20"/>
              </w:rPr>
              <w:t xml:space="preserve"> </w:t>
            </w:r>
          </w:p>
        </w:tc>
      </w:tr>
      <w:tr w:rsidR="0008539E" w:rsidRPr="0008539E" w:rsidTr="0008539E">
        <w:trPr>
          <w:trHeight w:val="357"/>
        </w:trPr>
        <w:tc>
          <w:tcPr>
            <w:tcW w:w="1456" w:type="dxa"/>
            <w:tcBorders>
              <w:top w:val="nil"/>
              <w:left w:val="nil"/>
              <w:bottom w:val="nil"/>
              <w:right w:val="nil"/>
            </w:tcBorders>
            <w:shd w:val="clear" w:color="auto" w:fill="auto"/>
            <w:noWrap/>
            <w:hideMark/>
          </w:tcPr>
          <w:p w:rsidR="0008539E" w:rsidRPr="0008539E" w:rsidRDefault="0008539E" w:rsidP="0008539E">
            <w:pPr>
              <w:rPr>
                <w:rFonts w:ascii="Arial" w:hAnsi="Arial" w:cs="Arial"/>
                <w:b/>
                <w:bCs/>
                <w:color w:val="0000FF"/>
                <w:sz w:val="20"/>
                <w:szCs w:val="20"/>
              </w:rPr>
            </w:pPr>
            <w:r w:rsidRPr="0008539E">
              <w:rPr>
                <w:rFonts w:ascii="Arial" w:hAnsi="Arial" w:cs="Arial"/>
                <w:b/>
                <w:bCs/>
                <w:color w:val="0000FF"/>
                <w:sz w:val="20"/>
                <w:szCs w:val="20"/>
              </w:rPr>
              <w:t>Table</w:t>
            </w:r>
            <w:r w:rsidR="00697D43">
              <w:rPr>
                <w:rFonts w:ascii="Arial" w:hAnsi="Arial" w:cs="Arial"/>
                <w:b/>
                <w:bCs/>
                <w:color w:val="0000FF"/>
                <w:sz w:val="20"/>
                <w:szCs w:val="20"/>
              </w:rPr>
              <w:t> </w:t>
            </w:r>
            <w:proofErr w:type="spellStart"/>
            <w:r w:rsidRPr="0008539E">
              <w:rPr>
                <w:rFonts w:ascii="Arial" w:hAnsi="Arial" w:cs="Arial"/>
                <w:b/>
                <w:bCs/>
                <w:color w:val="0000FF"/>
                <w:sz w:val="20"/>
                <w:szCs w:val="20"/>
              </w:rPr>
              <w:t>3A.28</w:t>
            </w:r>
            <w:proofErr w:type="spellEnd"/>
          </w:p>
        </w:tc>
        <w:tc>
          <w:tcPr>
            <w:tcW w:w="7404" w:type="dxa"/>
            <w:tcBorders>
              <w:top w:val="nil"/>
              <w:left w:val="nil"/>
              <w:bottom w:val="nil"/>
              <w:right w:val="nil"/>
            </w:tcBorders>
            <w:shd w:val="clear" w:color="auto" w:fill="auto"/>
            <w:hideMark/>
          </w:tcPr>
          <w:p w:rsidR="0008539E" w:rsidRPr="0008539E" w:rsidRDefault="0008539E" w:rsidP="0008539E">
            <w:pPr>
              <w:jc w:val="both"/>
              <w:rPr>
                <w:rFonts w:ascii="Arial" w:hAnsi="Arial" w:cs="Arial"/>
                <w:sz w:val="20"/>
                <w:szCs w:val="20"/>
              </w:rPr>
            </w:pPr>
            <w:r w:rsidRPr="0008539E">
              <w:rPr>
                <w:rFonts w:ascii="Arial" w:hAnsi="Arial" w:cs="Arial"/>
                <w:sz w:val="20"/>
                <w:szCs w:val="20"/>
              </w:rPr>
              <w:t>Aboriginal and Torres Strait Islander children enrolled in a preschool program</w:t>
            </w:r>
            <w:r w:rsidR="002D438E">
              <w:rPr>
                <w:rFonts w:ascii="Arial" w:hAnsi="Arial" w:cs="Arial"/>
                <w:sz w:val="20"/>
                <w:szCs w:val="20"/>
              </w:rPr>
              <w:t xml:space="preserve"> </w:t>
            </w:r>
          </w:p>
        </w:tc>
      </w:tr>
      <w:tr w:rsidR="0008539E" w:rsidRPr="0008539E" w:rsidTr="0008539E">
        <w:trPr>
          <w:trHeight w:val="612"/>
        </w:trPr>
        <w:tc>
          <w:tcPr>
            <w:tcW w:w="1456" w:type="dxa"/>
            <w:tcBorders>
              <w:top w:val="nil"/>
              <w:left w:val="nil"/>
              <w:bottom w:val="nil"/>
              <w:right w:val="nil"/>
            </w:tcBorders>
            <w:shd w:val="clear" w:color="auto" w:fill="auto"/>
            <w:noWrap/>
            <w:hideMark/>
          </w:tcPr>
          <w:p w:rsidR="0008539E" w:rsidRPr="0008539E" w:rsidRDefault="0008539E" w:rsidP="0008539E">
            <w:pPr>
              <w:rPr>
                <w:rFonts w:ascii="Arial" w:hAnsi="Arial" w:cs="Arial"/>
                <w:b/>
                <w:bCs/>
                <w:color w:val="0000FF"/>
                <w:sz w:val="20"/>
                <w:szCs w:val="20"/>
              </w:rPr>
            </w:pPr>
            <w:r w:rsidRPr="0008539E">
              <w:rPr>
                <w:rFonts w:ascii="Arial" w:hAnsi="Arial" w:cs="Arial"/>
                <w:b/>
                <w:bCs/>
                <w:color w:val="0000FF"/>
                <w:sz w:val="20"/>
                <w:szCs w:val="20"/>
              </w:rPr>
              <w:t>Table</w:t>
            </w:r>
            <w:r w:rsidR="00697D43">
              <w:rPr>
                <w:rFonts w:ascii="Arial" w:hAnsi="Arial" w:cs="Arial"/>
                <w:b/>
                <w:bCs/>
                <w:color w:val="0000FF"/>
                <w:sz w:val="20"/>
                <w:szCs w:val="20"/>
              </w:rPr>
              <w:t> </w:t>
            </w:r>
            <w:proofErr w:type="spellStart"/>
            <w:r w:rsidRPr="0008539E">
              <w:rPr>
                <w:rFonts w:ascii="Arial" w:hAnsi="Arial" w:cs="Arial"/>
                <w:b/>
                <w:bCs/>
                <w:color w:val="0000FF"/>
                <w:sz w:val="20"/>
                <w:szCs w:val="20"/>
              </w:rPr>
              <w:t>3A.29</w:t>
            </w:r>
            <w:proofErr w:type="spellEnd"/>
          </w:p>
        </w:tc>
        <w:tc>
          <w:tcPr>
            <w:tcW w:w="7404" w:type="dxa"/>
            <w:tcBorders>
              <w:top w:val="nil"/>
              <w:left w:val="nil"/>
              <w:bottom w:val="nil"/>
              <w:right w:val="nil"/>
            </w:tcBorders>
            <w:shd w:val="clear" w:color="auto" w:fill="auto"/>
            <w:hideMark/>
          </w:tcPr>
          <w:p w:rsidR="0008539E" w:rsidRPr="0008539E" w:rsidRDefault="0008539E" w:rsidP="0008539E">
            <w:pPr>
              <w:jc w:val="both"/>
              <w:rPr>
                <w:rFonts w:ascii="Arial" w:hAnsi="Arial" w:cs="Arial"/>
                <w:sz w:val="20"/>
                <w:szCs w:val="20"/>
              </w:rPr>
            </w:pPr>
            <w:r w:rsidRPr="0008539E">
              <w:rPr>
                <w:rFonts w:ascii="Arial" w:hAnsi="Arial" w:cs="Arial"/>
                <w:sz w:val="20"/>
                <w:szCs w:val="20"/>
              </w:rPr>
              <w:t xml:space="preserve">Aboriginal and Torres Strait Islander children aged 4 and 5 years enrolled in a preschool program in the </w:t>
            </w:r>
            <w:proofErr w:type="spellStart"/>
            <w:r w:rsidRPr="0008539E">
              <w:rPr>
                <w:rFonts w:ascii="Arial" w:hAnsi="Arial" w:cs="Arial"/>
                <w:sz w:val="20"/>
                <w:szCs w:val="20"/>
              </w:rPr>
              <w:t>YBFS</w:t>
            </w:r>
            <w:proofErr w:type="spellEnd"/>
            <w:r w:rsidRPr="0008539E">
              <w:rPr>
                <w:rFonts w:ascii="Arial" w:hAnsi="Arial" w:cs="Arial"/>
                <w:sz w:val="20"/>
                <w:szCs w:val="20"/>
              </w:rPr>
              <w:t>, by weekly hours, 2014</w:t>
            </w:r>
            <w:r w:rsidR="002D438E">
              <w:rPr>
                <w:rFonts w:ascii="Arial" w:hAnsi="Arial" w:cs="Arial"/>
                <w:sz w:val="20"/>
                <w:szCs w:val="20"/>
              </w:rPr>
              <w:t xml:space="preserve"> </w:t>
            </w:r>
          </w:p>
        </w:tc>
      </w:tr>
      <w:tr w:rsidR="0008539E" w:rsidRPr="0008539E" w:rsidTr="0008539E">
        <w:trPr>
          <w:trHeight w:val="612"/>
        </w:trPr>
        <w:tc>
          <w:tcPr>
            <w:tcW w:w="1456" w:type="dxa"/>
            <w:tcBorders>
              <w:top w:val="nil"/>
              <w:left w:val="nil"/>
              <w:bottom w:val="nil"/>
              <w:right w:val="nil"/>
            </w:tcBorders>
            <w:shd w:val="clear" w:color="auto" w:fill="auto"/>
            <w:noWrap/>
            <w:hideMark/>
          </w:tcPr>
          <w:p w:rsidR="0008539E" w:rsidRPr="0008539E" w:rsidRDefault="0008539E" w:rsidP="0008539E">
            <w:pPr>
              <w:rPr>
                <w:rFonts w:ascii="Arial" w:hAnsi="Arial" w:cs="Arial"/>
                <w:b/>
                <w:bCs/>
                <w:color w:val="0000FF"/>
                <w:sz w:val="20"/>
                <w:szCs w:val="20"/>
              </w:rPr>
            </w:pPr>
            <w:r w:rsidRPr="0008539E">
              <w:rPr>
                <w:rFonts w:ascii="Arial" w:hAnsi="Arial" w:cs="Arial"/>
                <w:b/>
                <w:bCs/>
                <w:color w:val="0000FF"/>
                <w:sz w:val="20"/>
                <w:szCs w:val="20"/>
              </w:rPr>
              <w:t>Table</w:t>
            </w:r>
            <w:r w:rsidR="00697D43">
              <w:rPr>
                <w:rFonts w:ascii="Arial" w:hAnsi="Arial" w:cs="Arial"/>
                <w:b/>
                <w:bCs/>
                <w:color w:val="0000FF"/>
                <w:sz w:val="20"/>
                <w:szCs w:val="20"/>
              </w:rPr>
              <w:t> </w:t>
            </w:r>
            <w:proofErr w:type="spellStart"/>
            <w:r w:rsidRPr="0008539E">
              <w:rPr>
                <w:rFonts w:ascii="Arial" w:hAnsi="Arial" w:cs="Arial"/>
                <w:b/>
                <w:bCs/>
                <w:color w:val="0000FF"/>
                <w:sz w:val="20"/>
                <w:szCs w:val="20"/>
              </w:rPr>
              <w:t>3A.30</w:t>
            </w:r>
            <w:proofErr w:type="spellEnd"/>
          </w:p>
        </w:tc>
        <w:tc>
          <w:tcPr>
            <w:tcW w:w="7404" w:type="dxa"/>
            <w:tcBorders>
              <w:top w:val="nil"/>
              <w:left w:val="nil"/>
              <w:bottom w:val="nil"/>
              <w:right w:val="nil"/>
            </w:tcBorders>
            <w:shd w:val="clear" w:color="auto" w:fill="auto"/>
            <w:hideMark/>
          </w:tcPr>
          <w:p w:rsidR="0008539E" w:rsidRPr="0008539E" w:rsidRDefault="0008539E" w:rsidP="0008539E">
            <w:pPr>
              <w:jc w:val="both"/>
              <w:rPr>
                <w:rFonts w:ascii="Arial" w:hAnsi="Arial" w:cs="Arial"/>
                <w:sz w:val="20"/>
                <w:szCs w:val="20"/>
              </w:rPr>
            </w:pPr>
            <w:r w:rsidRPr="0008539E">
              <w:rPr>
                <w:rFonts w:ascii="Arial" w:hAnsi="Arial" w:cs="Arial"/>
                <w:sz w:val="20"/>
                <w:szCs w:val="20"/>
              </w:rPr>
              <w:t>Children aged 0–12 years using child care and preschool services, by employment status of parents (per cent)</w:t>
            </w:r>
            <w:r w:rsidR="002D438E">
              <w:rPr>
                <w:rFonts w:ascii="Arial" w:hAnsi="Arial" w:cs="Arial"/>
                <w:sz w:val="20"/>
                <w:szCs w:val="20"/>
              </w:rPr>
              <w:t xml:space="preserve"> </w:t>
            </w:r>
          </w:p>
        </w:tc>
      </w:tr>
      <w:tr w:rsidR="0008539E" w:rsidRPr="0008539E" w:rsidTr="0008539E">
        <w:trPr>
          <w:trHeight w:val="330"/>
        </w:trPr>
        <w:tc>
          <w:tcPr>
            <w:tcW w:w="1456" w:type="dxa"/>
            <w:tcBorders>
              <w:top w:val="nil"/>
              <w:left w:val="nil"/>
              <w:bottom w:val="nil"/>
              <w:right w:val="nil"/>
            </w:tcBorders>
            <w:shd w:val="clear" w:color="auto" w:fill="auto"/>
            <w:noWrap/>
            <w:hideMark/>
          </w:tcPr>
          <w:p w:rsidR="0008539E" w:rsidRPr="0008539E" w:rsidRDefault="0008539E" w:rsidP="0008539E">
            <w:pPr>
              <w:rPr>
                <w:rFonts w:ascii="Arial" w:hAnsi="Arial" w:cs="Arial"/>
                <w:b/>
                <w:bCs/>
                <w:color w:val="0000FF"/>
                <w:sz w:val="20"/>
                <w:szCs w:val="20"/>
              </w:rPr>
            </w:pPr>
            <w:r w:rsidRPr="0008539E">
              <w:rPr>
                <w:rFonts w:ascii="Arial" w:hAnsi="Arial" w:cs="Arial"/>
                <w:b/>
                <w:bCs/>
                <w:color w:val="0000FF"/>
                <w:sz w:val="20"/>
                <w:szCs w:val="20"/>
              </w:rPr>
              <w:t>Table</w:t>
            </w:r>
            <w:r w:rsidR="00697D43">
              <w:rPr>
                <w:rFonts w:ascii="Arial" w:hAnsi="Arial" w:cs="Arial"/>
                <w:b/>
                <w:bCs/>
                <w:color w:val="0000FF"/>
                <w:sz w:val="20"/>
                <w:szCs w:val="20"/>
              </w:rPr>
              <w:t> </w:t>
            </w:r>
            <w:proofErr w:type="spellStart"/>
            <w:r w:rsidRPr="0008539E">
              <w:rPr>
                <w:rFonts w:ascii="Arial" w:hAnsi="Arial" w:cs="Arial"/>
                <w:b/>
                <w:bCs/>
                <w:color w:val="0000FF"/>
                <w:sz w:val="20"/>
                <w:szCs w:val="20"/>
              </w:rPr>
              <w:t>3A.31</w:t>
            </w:r>
            <w:proofErr w:type="spellEnd"/>
          </w:p>
        </w:tc>
        <w:tc>
          <w:tcPr>
            <w:tcW w:w="7404" w:type="dxa"/>
            <w:tcBorders>
              <w:top w:val="nil"/>
              <w:left w:val="nil"/>
              <w:bottom w:val="nil"/>
              <w:right w:val="nil"/>
            </w:tcBorders>
            <w:shd w:val="clear" w:color="auto" w:fill="auto"/>
            <w:hideMark/>
          </w:tcPr>
          <w:p w:rsidR="0008539E" w:rsidRPr="0008539E" w:rsidRDefault="0008539E" w:rsidP="0008539E">
            <w:pPr>
              <w:jc w:val="both"/>
              <w:rPr>
                <w:rFonts w:ascii="Arial" w:hAnsi="Arial" w:cs="Arial"/>
                <w:sz w:val="20"/>
                <w:szCs w:val="20"/>
              </w:rPr>
            </w:pPr>
            <w:r w:rsidRPr="0008539E">
              <w:rPr>
                <w:rFonts w:ascii="Arial" w:hAnsi="Arial" w:cs="Arial"/>
                <w:sz w:val="20"/>
                <w:szCs w:val="20"/>
              </w:rPr>
              <w:t xml:space="preserve">Children aged 4 and 5 years attending a preschool program in the </w:t>
            </w:r>
            <w:proofErr w:type="spellStart"/>
            <w:r w:rsidRPr="0008539E">
              <w:rPr>
                <w:rFonts w:ascii="Arial" w:hAnsi="Arial" w:cs="Arial"/>
                <w:sz w:val="20"/>
                <w:szCs w:val="20"/>
              </w:rPr>
              <w:t>YBFS</w:t>
            </w:r>
            <w:proofErr w:type="spellEnd"/>
            <w:r w:rsidRPr="0008539E">
              <w:rPr>
                <w:rFonts w:ascii="Arial" w:hAnsi="Arial" w:cs="Arial"/>
                <w:sz w:val="20"/>
                <w:szCs w:val="20"/>
              </w:rPr>
              <w:t>, by sector</w:t>
            </w:r>
            <w:r w:rsidR="002D438E">
              <w:rPr>
                <w:rFonts w:ascii="Arial" w:hAnsi="Arial" w:cs="Arial"/>
                <w:sz w:val="20"/>
                <w:szCs w:val="20"/>
              </w:rPr>
              <w:t xml:space="preserve"> </w:t>
            </w:r>
          </w:p>
        </w:tc>
      </w:tr>
      <w:tr w:rsidR="0008539E" w:rsidRPr="0008539E" w:rsidTr="0008539E">
        <w:trPr>
          <w:trHeight w:val="330"/>
        </w:trPr>
        <w:tc>
          <w:tcPr>
            <w:tcW w:w="1456" w:type="dxa"/>
            <w:tcBorders>
              <w:top w:val="nil"/>
              <w:left w:val="nil"/>
              <w:bottom w:val="nil"/>
              <w:right w:val="nil"/>
            </w:tcBorders>
            <w:shd w:val="clear" w:color="auto" w:fill="auto"/>
            <w:noWrap/>
            <w:hideMark/>
          </w:tcPr>
          <w:p w:rsidR="0008539E" w:rsidRPr="0008539E" w:rsidRDefault="0008539E" w:rsidP="0008539E">
            <w:pPr>
              <w:rPr>
                <w:rFonts w:ascii="Arial" w:hAnsi="Arial" w:cs="Arial"/>
                <w:b/>
                <w:bCs/>
                <w:color w:val="0000FF"/>
                <w:sz w:val="20"/>
                <w:szCs w:val="20"/>
              </w:rPr>
            </w:pPr>
            <w:r w:rsidRPr="0008539E">
              <w:rPr>
                <w:rFonts w:ascii="Arial" w:hAnsi="Arial" w:cs="Arial"/>
                <w:b/>
                <w:bCs/>
                <w:color w:val="0000FF"/>
                <w:sz w:val="20"/>
                <w:szCs w:val="20"/>
              </w:rPr>
              <w:t>Table</w:t>
            </w:r>
            <w:r w:rsidR="00697D43">
              <w:rPr>
                <w:rFonts w:ascii="Arial" w:hAnsi="Arial" w:cs="Arial"/>
                <w:b/>
                <w:bCs/>
                <w:color w:val="0000FF"/>
                <w:sz w:val="20"/>
                <w:szCs w:val="20"/>
              </w:rPr>
              <w:t> </w:t>
            </w:r>
            <w:proofErr w:type="spellStart"/>
            <w:r w:rsidRPr="0008539E">
              <w:rPr>
                <w:rFonts w:ascii="Arial" w:hAnsi="Arial" w:cs="Arial"/>
                <w:b/>
                <w:bCs/>
                <w:color w:val="0000FF"/>
                <w:sz w:val="20"/>
                <w:szCs w:val="20"/>
              </w:rPr>
              <w:t>3A.32</w:t>
            </w:r>
            <w:proofErr w:type="spellEnd"/>
          </w:p>
        </w:tc>
        <w:tc>
          <w:tcPr>
            <w:tcW w:w="7404" w:type="dxa"/>
            <w:tcBorders>
              <w:top w:val="nil"/>
              <w:left w:val="nil"/>
              <w:bottom w:val="nil"/>
              <w:right w:val="nil"/>
            </w:tcBorders>
            <w:shd w:val="clear" w:color="auto" w:fill="auto"/>
            <w:hideMark/>
          </w:tcPr>
          <w:p w:rsidR="0008539E" w:rsidRPr="0008539E" w:rsidRDefault="0008539E" w:rsidP="0008539E">
            <w:pPr>
              <w:jc w:val="both"/>
              <w:rPr>
                <w:rFonts w:ascii="Arial" w:hAnsi="Arial" w:cs="Arial"/>
                <w:sz w:val="20"/>
                <w:szCs w:val="20"/>
              </w:rPr>
            </w:pPr>
            <w:r w:rsidRPr="0008539E">
              <w:rPr>
                <w:rFonts w:ascii="Arial" w:hAnsi="Arial" w:cs="Arial"/>
                <w:sz w:val="20"/>
                <w:szCs w:val="20"/>
              </w:rPr>
              <w:t>Average number of hours of attendance at a preschool program per week, by sector</w:t>
            </w:r>
            <w:r w:rsidR="002D438E">
              <w:rPr>
                <w:rFonts w:ascii="Arial" w:hAnsi="Arial" w:cs="Arial"/>
                <w:sz w:val="20"/>
                <w:szCs w:val="20"/>
              </w:rPr>
              <w:t xml:space="preserve"> </w:t>
            </w:r>
          </w:p>
        </w:tc>
      </w:tr>
      <w:tr w:rsidR="0008539E" w:rsidRPr="0008539E" w:rsidTr="0008539E">
        <w:trPr>
          <w:trHeight w:val="612"/>
        </w:trPr>
        <w:tc>
          <w:tcPr>
            <w:tcW w:w="1456" w:type="dxa"/>
            <w:tcBorders>
              <w:top w:val="nil"/>
              <w:left w:val="nil"/>
              <w:bottom w:val="nil"/>
              <w:right w:val="nil"/>
            </w:tcBorders>
            <w:shd w:val="clear" w:color="auto" w:fill="auto"/>
            <w:noWrap/>
            <w:hideMark/>
          </w:tcPr>
          <w:p w:rsidR="0008539E" w:rsidRPr="0008539E" w:rsidRDefault="0008539E" w:rsidP="0008539E">
            <w:pPr>
              <w:rPr>
                <w:rFonts w:ascii="Arial" w:hAnsi="Arial" w:cs="Arial"/>
                <w:b/>
                <w:bCs/>
                <w:color w:val="0000FF"/>
                <w:sz w:val="20"/>
                <w:szCs w:val="20"/>
              </w:rPr>
            </w:pPr>
            <w:r w:rsidRPr="0008539E">
              <w:rPr>
                <w:rFonts w:ascii="Arial" w:hAnsi="Arial" w:cs="Arial"/>
                <w:b/>
                <w:bCs/>
                <w:color w:val="0000FF"/>
                <w:sz w:val="20"/>
                <w:szCs w:val="20"/>
              </w:rPr>
              <w:t>Table</w:t>
            </w:r>
            <w:r w:rsidR="00697D43">
              <w:rPr>
                <w:rFonts w:ascii="Arial" w:hAnsi="Arial" w:cs="Arial"/>
                <w:b/>
                <w:bCs/>
                <w:color w:val="0000FF"/>
                <w:sz w:val="20"/>
                <w:szCs w:val="20"/>
              </w:rPr>
              <w:t> </w:t>
            </w:r>
            <w:proofErr w:type="spellStart"/>
            <w:r w:rsidRPr="0008539E">
              <w:rPr>
                <w:rFonts w:ascii="Arial" w:hAnsi="Arial" w:cs="Arial"/>
                <w:b/>
                <w:bCs/>
                <w:color w:val="0000FF"/>
                <w:sz w:val="20"/>
                <w:szCs w:val="20"/>
              </w:rPr>
              <w:t>3A.33</w:t>
            </w:r>
            <w:proofErr w:type="spellEnd"/>
          </w:p>
        </w:tc>
        <w:tc>
          <w:tcPr>
            <w:tcW w:w="7404" w:type="dxa"/>
            <w:tcBorders>
              <w:top w:val="nil"/>
              <w:left w:val="nil"/>
              <w:bottom w:val="nil"/>
              <w:right w:val="nil"/>
            </w:tcBorders>
            <w:shd w:val="clear" w:color="auto" w:fill="auto"/>
            <w:hideMark/>
          </w:tcPr>
          <w:p w:rsidR="0008539E" w:rsidRPr="0008539E" w:rsidRDefault="0008539E" w:rsidP="0008539E">
            <w:pPr>
              <w:jc w:val="both"/>
              <w:rPr>
                <w:rFonts w:ascii="Arial" w:hAnsi="Arial" w:cs="Arial"/>
                <w:sz w:val="20"/>
                <w:szCs w:val="20"/>
              </w:rPr>
            </w:pPr>
            <w:r w:rsidRPr="0008539E">
              <w:rPr>
                <w:rFonts w:ascii="Arial" w:hAnsi="Arial" w:cs="Arial"/>
                <w:sz w:val="20"/>
                <w:szCs w:val="20"/>
              </w:rPr>
              <w:t>All children aged 4 and 5 years enrolled in and attending a preschool program, by sector</w:t>
            </w:r>
            <w:r w:rsidR="002D438E">
              <w:rPr>
                <w:rFonts w:ascii="Arial" w:hAnsi="Arial" w:cs="Arial"/>
                <w:sz w:val="20"/>
                <w:szCs w:val="20"/>
              </w:rPr>
              <w:t xml:space="preserve"> </w:t>
            </w:r>
          </w:p>
        </w:tc>
      </w:tr>
      <w:tr w:rsidR="0008539E" w:rsidRPr="0008539E" w:rsidTr="0008539E">
        <w:trPr>
          <w:trHeight w:val="612"/>
        </w:trPr>
        <w:tc>
          <w:tcPr>
            <w:tcW w:w="1456" w:type="dxa"/>
            <w:tcBorders>
              <w:top w:val="nil"/>
              <w:left w:val="nil"/>
              <w:bottom w:val="nil"/>
              <w:right w:val="nil"/>
            </w:tcBorders>
            <w:shd w:val="clear" w:color="auto" w:fill="auto"/>
            <w:noWrap/>
            <w:hideMark/>
          </w:tcPr>
          <w:p w:rsidR="0008539E" w:rsidRPr="0008539E" w:rsidRDefault="0008539E" w:rsidP="0008539E">
            <w:pPr>
              <w:rPr>
                <w:rFonts w:ascii="Arial" w:hAnsi="Arial" w:cs="Arial"/>
                <w:b/>
                <w:bCs/>
                <w:color w:val="0000FF"/>
                <w:sz w:val="20"/>
                <w:szCs w:val="20"/>
              </w:rPr>
            </w:pPr>
            <w:r w:rsidRPr="0008539E">
              <w:rPr>
                <w:rFonts w:ascii="Arial" w:hAnsi="Arial" w:cs="Arial"/>
                <w:b/>
                <w:bCs/>
                <w:color w:val="0000FF"/>
                <w:sz w:val="20"/>
                <w:szCs w:val="20"/>
              </w:rPr>
              <w:t>Table</w:t>
            </w:r>
            <w:r w:rsidR="00697D43">
              <w:rPr>
                <w:rFonts w:ascii="Arial" w:hAnsi="Arial" w:cs="Arial"/>
                <w:b/>
                <w:bCs/>
                <w:color w:val="0000FF"/>
                <w:sz w:val="20"/>
                <w:szCs w:val="20"/>
              </w:rPr>
              <w:t> </w:t>
            </w:r>
            <w:proofErr w:type="spellStart"/>
            <w:r w:rsidRPr="0008539E">
              <w:rPr>
                <w:rFonts w:ascii="Arial" w:hAnsi="Arial" w:cs="Arial"/>
                <w:b/>
                <w:bCs/>
                <w:color w:val="0000FF"/>
                <w:sz w:val="20"/>
                <w:szCs w:val="20"/>
              </w:rPr>
              <w:t>3A.34</w:t>
            </w:r>
            <w:proofErr w:type="spellEnd"/>
          </w:p>
        </w:tc>
        <w:tc>
          <w:tcPr>
            <w:tcW w:w="7404" w:type="dxa"/>
            <w:tcBorders>
              <w:top w:val="nil"/>
              <w:left w:val="nil"/>
              <w:bottom w:val="nil"/>
              <w:right w:val="nil"/>
            </w:tcBorders>
            <w:shd w:val="clear" w:color="auto" w:fill="auto"/>
            <w:hideMark/>
          </w:tcPr>
          <w:p w:rsidR="0008539E" w:rsidRPr="0008539E" w:rsidRDefault="0008539E" w:rsidP="0008539E">
            <w:pPr>
              <w:jc w:val="both"/>
              <w:rPr>
                <w:rFonts w:ascii="Arial" w:hAnsi="Arial" w:cs="Arial"/>
                <w:sz w:val="20"/>
                <w:szCs w:val="20"/>
              </w:rPr>
            </w:pPr>
            <w:r w:rsidRPr="0008539E">
              <w:rPr>
                <w:rFonts w:ascii="Arial" w:hAnsi="Arial" w:cs="Arial"/>
                <w:sz w:val="20"/>
                <w:szCs w:val="20"/>
              </w:rPr>
              <w:t>Children aged 4 and 5 years attending a preschool program, by weekly hours, by sector</w:t>
            </w:r>
            <w:r w:rsidR="002D438E">
              <w:rPr>
                <w:rFonts w:ascii="Arial" w:hAnsi="Arial" w:cs="Arial"/>
                <w:sz w:val="20"/>
                <w:szCs w:val="20"/>
              </w:rPr>
              <w:t xml:space="preserve"> </w:t>
            </w:r>
          </w:p>
        </w:tc>
      </w:tr>
      <w:tr w:rsidR="0008539E" w:rsidRPr="0008539E" w:rsidTr="0008539E">
        <w:trPr>
          <w:trHeight w:val="612"/>
        </w:trPr>
        <w:tc>
          <w:tcPr>
            <w:tcW w:w="1456" w:type="dxa"/>
            <w:tcBorders>
              <w:top w:val="nil"/>
              <w:left w:val="nil"/>
              <w:bottom w:val="nil"/>
              <w:right w:val="nil"/>
            </w:tcBorders>
            <w:shd w:val="clear" w:color="auto" w:fill="auto"/>
            <w:noWrap/>
            <w:hideMark/>
          </w:tcPr>
          <w:p w:rsidR="0008539E" w:rsidRPr="0008539E" w:rsidRDefault="0008539E" w:rsidP="0008539E">
            <w:pPr>
              <w:rPr>
                <w:rFonts w:ascii="Arial" w:hAnsi="Arial" w:cs="Arial"/>
                <w:b/>
                <w:bCs/>
                <w:color w:val="0000FF"/>
                <w:sz w:val="20"/>
                <w:szCs w:val="20"/>
              </w:rPr>
            </w:pPr>
            <w:r w:rsidRPr="0008539E">
              <w:rPr>
                <w:rFonts w:ascii="Arial" w:hAnsi="Arial" w:cs="Arial"/>
                <w:b/>
                <w:bCs/>
                <w:color w:val="0000FF"/>
                <w:sz w:val="20"/>
                <w:szCs w:val="20"/>
              </w:rPr>
              <w:t>Table</w:t>
            </w:r>
            <w:r w:rsidR="00697D43">
              <w:rPr>
                <w:rFonts w:ascii="Arial" w:hAnsi="Arial" w:cs="Arial"/>
                <w:b/>
                <w:bCs/>
                <w:color w:val="0000FF"/>
                <w:sz w:val="20"/>
                <w:szCs w:val="20"/>
              </w:rPr>
              <w:t> </w:t>
            </w:r>
            <w:proofErr w:type="spellStart"/>
            <w:r w:rsidRPr="0008539E">
              <w:rPr>
                <w:rFonts w:ascii="Arial" w:hAnsi="Arial" w:cs="Arial"/>
                <w:b/>
                <w:bCs/>
                <w:color w:val="0000FF"/>
                <w:sz w:val="20"/>
                <w:szCs w:val="20"/>
              </w:rPr>
              <w:t>3A.35</w:t>
            </w:r>
            <w:proofErr w:type="spellEnd"/>
          </w:p>
        </w:tc>
        <w:tc>
          <w:tcPr>
            <w:tcW w:w="7404" w:type="dxa"/>
            <w:tcBorders>
              <w:top w:val="nil"/>
              <w:left w:val="nil"/>
              <w:bottom w:val="nil"/>
              <w:right w:val="nil"/>
            </w:tcBorders>
            <w:shd w:val="clear" w:color="auto" w:fill="auto"/>
            <w:hideMark/>
          </w:tcPr>
          <w:p w:rsidR="0008539E" w:rsidRPr="0008539E" w:rsidRDefault="0008539E" w:rsidP="0008539E">
            <w:pPr>
              <w:jc w:val="both"/>
              <w:rPr>
                <w:rFonts w:ascii="Arial" w:hAnsi="Arial" w:cs="Arial"/>
                <w:sz w:val="20"/>
                <w:szCs w:val="20"/>
              </w:rPr>
            </w:pPr>
            <w:r w:rsidRPr="0008539E">
              <w:rPr>
                <w:rFonts w:ascii="Arial" w:hAnsi="Arial" w:cs="Arial"/>
                <w:sz w:val="20"/>
                <w:szCs w:val="20"/>
              </w:rPr>
              <w:t xml:space="preserve">Aboriginal and Torres Strait Islander children aged 4 and 5 years attending a preschool program in the </w:t>
            </w:r>
            <w:proofErr w:type="spellStart"/>
            <w:r w:rsidRPr="0008539E">
              <w:rPr>
                <w:rFonts w:ascii="Arial" w:hAnsi="Arial" w:cs="Arial"/>
                <w:sz w:val="20"/>
                <w:szCs w:val="20"/>
              </w:rPr>
              <w:t>YBFS</w:t>
            </w:r>
            <w:proofErr w:type="spellEnd"/>
            <w:r w:rsidRPr="0008539E">
              <w:rPr>
                <w:rFonts w:ascii="Arial" w:hAnsi="Arial" w:cs="Arial"/>
                <w:sz w:val="20"/>
                <w:szCs w:val="20"/>
              </w:rPr>
              <w:t>, by remoteness area, national only</w:t>
            </w:r>
            <w:r w:rsidR="002D438E">
              <w:rPr>
                <w:rFonts w:ascii="Arial" w:hAnsi="Arial" w:cs="Arial"/>
                <w:sz w:val="20"/>
                <w:szCs w:val="20"/>
              </w:rPr>
              <w:t xml:space="preserve"> </w:t>
            </w:r>
          </w:p>
        </w:tc>
      </w:tr>
      <w:tr w:rsidR="0008539E" w:rsidRPr="0008539E" w:rsidTr="0008539E">
        <w:trPr>
          <w:trHeight w:val="357"/>
        </w:trPr>
        <w:tc>
          <w:tcPr>
            <w:tcW w:w="1456" w:type="dxa"/>
            <w:tcBorders>
              <w:top w:val="nil"/>
              <w:left w:val="nil"/>
              <w:bottom w:val="nil"/>
              <w:right w:val="nil"/>
            </w:tcBorders>
            <w:shd w:val="clear" w:color="auto" w:fill="auto"/>
            <w:noWrap/>
            <w:hideMark/>
          </w:tcPr>
          <w:p w:rsidR="0008539E" w:rsidRPr="0008539E" w:rsidRDefault="0008539E" w:rsidP="0008539E">
            <w:pPr>
              <w:rPr>
                <w:rFonts w:ascii="Arial" w:hAnsi="Arial" w:cs="Arial"/>
                <w:b/>
                <w:bCs/>
                <w:color w:val="0000FF"/>
                <w:sz w:val="20"/>
                <w:szCs w:val="20"/>
              </w:rPr>
            </w:pPr>
            <w:r w:rsidRPr="0008539E">
              <w:rPr>
                <w:rFonts w:ascii="Arial" w:hAnsi="Arial" w:cs="Arial"/>
                <w:b/>
                <w:bCs/>
                <w:color w:val="0000FF"/>
                <w:sz w:val="20"/>
                <w:szCs w:val="20"/>
              </w:rPr>
              <w:t>Table</w:t>
            </w:r>
            <w:r w:rsidR="00697D43">
              <w:rPr>
                <w:rFonts w:ascii="Arial" w:hAnsi="Arial" w:cs="Arial"/>
                <w:b/>
                <w:bCs/>
                <w:color w:val="0000FF"/>
                <w:sz w:val="20"/>
                <w:szCs w:val="20"/>
              </w:rPr>
              <w:t> </w:t>
            </w:r>
            <w:proofErr w:type="spellStart"/>
            <w:r w:rsidRPr="0008539E">
              <w:rPr>
                <w:rFonts w:ascii="Arial" w:hAnsi="Arial" w:cs="Arial"/>
                <w:b/>
                <w:bCs/>
                <w:color w:val="0000FF"/>
                <w:sz w:val="20"/>
                <w:szCs w:val="20"/>
              </w:rPr>
              <w:t>3A.36</w:t>
            </w:r>
            <w:proofErr w:type="spellEnd"/>
          </w:p>
        </w:tc>
        <w:tc>
          <w:tcPr>
            <w:tcW w:w="7404" w:type="dxa"/>
            <w:tcBorders>
              <w:top w:val="nil"/>
              <w:left w:val="nil"/>
              <w:bottom w:val="nil"/>
              <w:right w:val="nil"/>
            </w:tcBorders>
            <w:shd w:val="clear" w:color="auto" w:fill="auto"/>
            <w:hideMark/>
          </w:tcPr>
          <w:p w:rsidR="0008539E" w:rsidRPr="0008539E" w:rsidRDefault="0008539E" w:rsidP="0008539E">
            <w:pPr>
              <w:jc w:val="both"/>
              <w:rPr>
                <w:rFonts w:ascii="Arial" w:hAnsi="Arial" w:cs="Arial"/>
                <w:sz w:val="20"/>
                <w:szCs w:val="20"/>
              </w:rPr>
            </w:pPr>
            <w:r w:rsidRPr="0008539E">
              <w:rPr>
                <w:rFonts w:ascii="Arial" w:hAnsi="Arial" w:cs="Arial"/>
                <w:sz w:val="20"/>
                <w:szCs w:val="20"/>
              </w:rPr>
              <w:t>Aboriginal and Torres Strait Islander children attending a preschool program</w:t>
            </w:r>
            <w:r w:rsidR="002D438E">
              <w:rPr>
                <w:rFonts w:ascii="Arial" w:hAnsi="Arial" w:cs="Arial"/>
                <w:sz w:val="20"/>
                <w:szCs w:val="20"/>
              </w:rPr>
              <w:t xml:space="preserve"> </w:t>
            </w:r>
          </w:p>
        </w:tc>
      </w:tr>
      <w:tr w:rsidR="0008539E" w:rsidRPr="0008539E" w:rsidTr="0008539E">
        <w:trPr>
          <w:trHeight w:val="612"/>
        </w:trPr>
        <w:tc>
          <w:tcPr>
            <w:tcW w:w="1456" w:type="dxa"/>
            <w:tcBorders>
              <w:top w:val="nil"/>
              <w:left w:val="nil"/>
              <w:bottom w:val="nil"/>
              <w:right w:val="nil"/>
            </w:tcBorders>
            <w:shd w:val="clear" w:color="auto" w:fill="auto"/>
            <w:noWrap/>
            <w:hideMark/>
          </w:tcPr>
          <w:p w:rsidR="0008539E" w:rsidRPr="0008539E" w:rsidRDefault="0008539E" w:rsidP="0008539E">
            <w:pPr>
              <w:rPr>
                <w:rFonts w:ascii="Arial" w:hAnsi="Arial" w:cs="Arial"/>
                <w:b/>
                <w:bCs/>
                <w:color w:val="0000FF"/>
                <w:sz w:val="20"/>
                <w:szCs w:val="20"/>
              </w:rPr>
            </w:pPr>
            <w:r w:rsidRPr="0008539E">
              <w:rPr>
                <w:rFonts w:ascii="Arial" w:hAnsi="Arial" w:cs="Arial"/>
                <w:b/>
                <w:bCs/>
                <w:color w:val="0000FF"/>
                <w:sz w:val="20"/>
                <w:szCs w:val="20"/>
              </w:rPr>
              <w:t>Table</w:t>
            </w:r>
            <w:r w:rsidR="00697D43">
              <w:rPr>
                <w:rFonts w:ascii="Arial" w:hAnsi="Arial" w:cs="Arial"/>
                <w:b/>
                <w:bCs/>
                <w:color w:val="0000FF"/>
                <w:sz w:val="20"/>
                <w:szCs w:val="20"/>
              </w:rPr>
              <w:t> </w:t>
            </w:r>
            <w:proofErr w:type="spellStart"/>
            <w:r w:rsidRPr="0008539E">
              <w:rPr>
                <w:rFonts w:ascii="Arial" w:hAnsi="Arial" w:cs="Arial"/>
                <w:b/>
                <w:bCs/>
                <w:color w:val="0000FF"/>
                <w:sz w:val="20"/>
                <w:szCs w:val="20"/>
              </w:rPr>
              <w:t>3A.37</w:t>
            </w:r>
            <w:proofErr w:type="spellEnd"/>
          </w:p>
        </w:tc>
        <w:tc>
          <w:tcPr>
            <w:tcW w:w="7404" w:type="dxa"/>
            <w:tcBorders>
              <w:top w:val="nil"/>
              <w:left w:val="nil"/>
              <w:bottom w:val="nil"/>
              <w:right w:val="nil"/>
            </w:tcBorders>
            <w:shd w:val="clear" w:color="auto" w:fill="auto"/>
            <w:hideMark/>
          </w:tcPr>
          <w:p w:rsidR="0008539E" w:rsidRPr="0008539E" w:rsidRDefault="0008539E" w:rsidP="0008539E">
            <w:pPr>
              <w:jc w:val="both"/>
              <w:rPr>
                <w:rFonts w:ascii="Arial" w:hAnsi="Arial" w:cs="Arial"/>
                <w:sz w:val="20"/>
                <w:szCs w:val="20"/>
              </w:rPr>
            </w:pPr>
            <w:r w:rsidRPr="0008539E">
              <w:rPr>
                <w:rFonts w:ascii="Arial" w:hAnsi="Arial" w:cs="Arial"/>
                <w:sz w:val="20"/>
                <w:szCs w:val="20"/>
              </w:rPr>
              <w:t xml:space="preserve">Proportion of enrolled children aged 4 and 5 years attending a preschool program in the </w:t>
            </w:r>
            <w:proofErr w:type="spellStart"/>
            <w:r w:rsidRPr="0008539E">
              <w:rPr>
                <w:rFonts w:ascii="Arial" w:hAnsi="Arial" w:cs="Arial"/>
                <w:sz w:val="20"/>
                <w:szCs w:val="20"/>
              </w:rPr>
              <w:t>YBFS</w:t>
            </w:r>
            <w:proofErr w:type="spellEnd"/>
            <w:r w:rsidRPr="0008539E">
              <w:rPr>
                <w:rFonts w:ascii="Arial" w:hAnsi="Arial" w:cs="Arial"/>
                <w:sz w:val="20"/>
                <w:szCs w:val="20"/>
              </w:rPr>
              <w:t>, by Indigenous status</w:t>
            </w:r>
            <w:r w:rsidR="002D438E">
              <w:rPr>
                <w:rFonts w:ascii="Arial" w:hAnsi="Arial" w:cs="Arial"/>
                <w:sz w:val="20"/>
                <w:szCs w:val="20"/>
              </w:rPr>
              <w:t xml:space="preserve"> </w:t>
            </w:r>
          </w:p>
        </w:tc>
      </w:tr>
      <w:tr w:rsidR="0008539E" w:rsidRPr="0008539E" w:rsidTr="0008539E">
        <w:trPr>
          <w:trHeight w:val="612"/>
        </w:trPr>
        <w:tc>
          <w:tcPr>
            <w:tcW w:w="1456" w:type="dxa"/>
            <w:tcBorders>
              <w:top w:val="nil"/>
              <w:left w:val="nil"/>
              <w:bottom w:val="nil"/>
              <w:right w:val="nil"/>
            </w:tcBorders>
            <w:shd w:val="clear" w:color="auto" w:fill="auto"/>
            <w:noWrap/>
            <w:hideMark/>
          </w:tcPr>
          <w:p w:rsidR="0008539E" w:rsidRPr="0008539E" w:rsidRDefault="0008539E" w:rsidP="0008539E">
            <w:pPr>
              <w:rPr>
                <w:rFonts w:ascii="Arial" w:hAnsi="Arial" w:cs="Arial"/>
                <w:b/>
                <w:bCs/>
                <w:color w:val="0000FF"/>
                <w:sz w:val="20"/>
                <w:szCs w:val="20"/>
              </w:rPr>
            </w:pPr>
            <w:r w:rsidRPr="0008539E">
              <w:rPr>
                <w:rFonts w:ascii="Arial" w:hAnsi="Arial" w:cs="Arial"/>
                <w:b/>
                <w:bCs/>
                <w:color w:val="0000FF"/>
                <w:sz w:val="20"/>
                <w:szCs w:val="20"/>
              </w:rPr>
              <w:t>Table</w:t>
            </w:r>
            <w:r w:rsidR="00697D43">
              <w:rPr>
                <w:rFonts w:ascii="Arial" w:hAnsi="Arial" w:cs="Arial"/>
                <w:b/>
                <w:bCs/>
                <w:color w:val="0000FF"/>
                <w:sz w:val="20"/>
                <w:szCs w:val="20"/>
              </w:rPr>
              <w:t> </w:t>
            </w:r>
            <w:proofErr w:type="spellStart"/>
            <w:r w:rsidRPr="0008539E">
              <w:rPr>
                <w:rFonts w:ascii="Arial" w:hAnsi="Arial" w:cs="Arial"/>
                <w:b/>
                <w:bCs/>
                <w:color w:val="0000FF"/>
                <w:sz w:val="20"/>
                <w:szCs w:val="20"/>
              </w:rPr>
              <w:t>3A.38</w:t>
            </w:r>
            <w:proofErr w:type="spellEnd"/>
          </w:p>
        </w:tc>
        <w:tc>
          <w:tcPr>
            <w:tcW w:w="7404" w:type="dxa"/>
            <w:tcBorders>
              <w:top w:val="nil"/>
              <w:left w:val="nil"/>
              <w:bottom w:val="nil"/>
              <w:right w:val="nil"/>
            </w:tcBorders>
            <w:shd w:val="clear" w:color="auto" w:fill="auto"/>
            <w:hideMark/>
          </w:tcPr>
          <w:p w:rsidR="0008539E" w:rsidRPr="0008539E" w:rsidRDefault="0008539E" w:rsidP="0008539E">
            <w:pPr>
              <w:jc w:val="both"/>
              <w:rPr>
                <w:rFonts w:ascii="Arial" w:hAnsi="Arial" w:cs="Arial"/>
                <w:sz w:val="20"/>
                <w:szCs w:val="20"/>
              </w:rPr>
            </w:pPr>
            <w:r w:rsidRPr="0008539E">
              <w:rPr>
                <w:rFonts w:ascii="Arial" w:hAnsi="Arial" w:cs="Arial"/>
                <w:sz w:val="20"/>
                <w:szCs w:val="20"/>
              </w:rPr>
              <w:t>Service availability during non</w:t>
            </w:r>
            <w:r w:rsidR="002D438E">
              <w:rPr>
                <w:rFonts w:ascii="Arial" w:hAnsi="Arial" w:cs="Arial"/>
                <w:sz w:val="20"/>
                <w:szCs w:val="20"/>
              </w:rPr>
              <w:noBreakHyphen/>
            </w:r>
            <w:r w:rsidRPr="0008539E">
              <w:rPr>
                <w:rFonts w:ascii="Arial" w:hAnsi="Arial" w:cs="Arial"/>
                <w:sz w:val="20"/>
                <w:szCs w:val="20"/>
              </w:rPr>
              <w:t xml:space="preserve">standard hours for Australian Government </w:t>
            </w:r>
            <w:proofErr w:type="spellStart"/>
            <w:r w:rsidRPr="0008539E">
              <w:rPr>
                <w:rFonts w:ascii="Arial" w:hAnsi="Arial" w:cs="Arial"/>
                <w:sz w:val="20"/>
                <w:szCs w:val="20"/>
              </w:rPr>
              <w:t>CCB</w:t>
            </w:r>
            <w:proofErr w:type="spellEnd"/>
            <w:r w:rsidRPr="0008539E">
              <w:rPr>
                <w:rFonts w:ascii="Arial" w:hAnsi="Arial" w:cs="Arial"/>
                <w:sz w:val="20"/>
                <w:szCs w:val="20"/>
              </w:rPr>
              <w:t xml:space="preserve"> approved child care services, by service type (per cent), 2015 </w:t>
            </w:r>
          </w:p>
        </w:tc>
      </w:tr>
      <w:tr w:rsidR="0008539E" w:rsidRPr="0008539E" w:rsidTr="0008539E">
        <w:trPr>
          <w:trHeight w:val="612"/>
        </w:trPr>
        <w:tc>
          <w:tcPr>
            <w:tcW w:w="1456" w:type="dxa"/>
            <w:tcBorders>
              <w:top w:val="nil"/>
              <w:left w:val="nil"/>
              <w:bottom w:val="nil"/>
              <w:right w:val="nil"/>
            </w:tcBorders>
            <w:shd w:val="clear" w:color="auto" w:fill="auto"/>
            <w:noWrap/>
            <w:hideMark/>
          </w:tcPr>
          <w:p w:rsidR="0008539E" w:rsidRPr="0008539E" w:rsidRDefault="0008539E" w:rsidP="0008539E">
            <w:pPr>
              <w:rPr>
                <w:rFonts w:ascii="Arial" w:hAnsi="Arial" w:cs="Arial"/>
                <w:b/>
                <w:bCs/>
                <w:color w:val="0000FF"/>
                <w:sz w:val="20"/>
                <w:szCs w:val="20"/>
              </w:rPr>
            </w:pPr>
            <w:r w:rsidRPr="0008539E">
              <w:rPr>
                <w:rFonts w:ascii="Arial" w:hAnsi="Arial" w:cs="Arial"/>
                <w:b/>
                <w:bCs/>
                <w:color w:val="0000FF"/>
                <w:sz w:val="20"/>
                <w:szCs w:val="20"/>
              </w:rPr>
              <w:t>Table</w:t>
            </w:r>
            <w:r w:rsidR="00697D43">
              <w:rPr>
                <w:rFonts w:ascii="Arial" w:hAnsi="Arial" w:cs="Arial"/>
                <w:b/>
                <w:bCs/>
                <w:color w:val="0000FF"/>
                <w:sz w:val="20"/>
                <w:szCs w:val="20"/>
              </w:rPr>
              <w:t> </w:t>
            </w:r>
            <w:proofErr w:type="spellStart"/>
            <w:r w:rsidRPr="0008539E">
              <w:rPr>
                <w:rFonts w:ascii="Arial" w:hAnsi="Arial" w:cs="Arial"/>
                <w:b/>
                <w:bCs/>
                <w:color w:val="0000FF"/>
                <w:sz w:val="20"/>
                <w:szCs w:val="20"/>
              </w:rPr>
              <w:t>3A.39</w:t>
            </w:r>
            <w:proofErr w:type="spellEnd"/>
          </w:p>
        </w:tc>
        <w:tc>
          <w:tcPr>
            <w:tcW w:w="7404" w:type="dxa"/>
            <w:tcBorders>
              <w:top w:val="nil"/>
              <w:left w:val="nil"/>
              <w:bottom w:val="nil"/>
              <w:right w:val="nil"/>
            </w:tcBorders>
            <w:shd w:val="clear" w:color="auto" w:fill="auto"/>
            <w:hideMark/>
          </w:tcPr>
          <w:p w:rsidR="0008539E" w:rsidRPr="0008539E" w:rsidRDefault="0008539E" w:rsidP="0008539E">
            <w:pPr>
              <w:jc w:val="both"/>
              <w:rPr>
                <w:rFonts w:ascii="Arial" w:hAnsi="Arial" w:cs="Arial"/>
                <w:sz w:val="20"/>
                <w:szCs w:val="20"/>
              </w:rPr>
            </w:pPr>
            <w:r w:rsidRPr="0008539E">
              <w:rPr>
                <w:rFonts w:ascii="Arial" w:hAnsi="Arial" w:cs="Arial"/>
                <w:sz w:val="20"/>
                <w:szCs w:val="20"/>
              </w:rPr>
              <w:t xml:space="preserve">Median weekly cost of 50 hours of Australian Government </w:t>
            </w:r>
            <w:proofErr w:type="spellStart"/>
            <w:r w:rsidRPr="0008539E">
              <w:rPr>
                <w:rFonts w:ascii="Arial" w:hAnsi="Arial" w:cs="Arial"/>
                <w:sz w:val="20"/>
                <w:szCs w:val="20"/>
              </w:rPr>
              <w:t>CCB</w:t>
            </w:r>
            <w:proofErr w:type="spellEnd"/>
            <w:r w:rsidRPr="0008539E">
              <w:rPr>
                <w:rFonts w:ascii="Arial" w:hAnsi="Arial" w:cs="Arial"/>
                <w:sz w:val="20"/>
                <w:szCs w:val="20"/>
              </w:rPr>
              <w:t xml:space="preserve"> approved child care services, by selected service types ($/week) (2014</w:t>
            </w:r>
            <w:r w:rsidR="002D438E">
              <w:rPr>
                <w:rFonts w:ascii="Arial" w:hAnsi="Arial" w:cs="Arial"/>
                <w:sz w:val="20"/>
                <w:szCs w:val="20"/>
              </w:rPr>
              <w:noBreakHyphen/>
            </w:r>
            <w:r w:rsidRPr="0008539E">
              <w:rPr>
                <w:rFonts w:ascii="Arial" w:hAnsi="Arial" w:cs="Arial"/>
                <w:sz w:val="20"/>
                <w:szCs w:val="20"/>
              </w:rPr>
              <w:t xml:space="preserve">15 dollars) </w:t>
            </w:r>
          </w:p>
        </w:tc>
      </w:tr>
      <w:tr w:rsidR="0008539E" w:rsidRPr="0008539E" w:rsidTr="0008539E">
        <w:trPr>
          <w:trHeight w:val="612"/>
        </w:trPr>
        <w:tc>
          <w:tcPr>
            <w:tcW w:w="1456" w:type="dxa"/>
            <w:tcBorders>
              <w:top w:val="nil"/>
              <w:left w:val="nil"/>
              <w:bottom w:val="nil"/>
              <w:right w:val="nil"/>
            </w:tcBorders>
            <w:shd w:val="clear" w:color="auto" w:fill="auto"/>
            <w:noWrap/>
            <w:hideMark/>
          </w:tcPr>
          <w:p w:rsidR="0008539E" w:rsidRPr="0008539E" w:rsidRDefault="0008539E" w:rsidP="0008539E">
            <w:pPr>
              <w:rPr>
                <w:rFonts w:ascii="Arial" w:hAnsi="Arial" w:cs="Arial"/>
                <w:b/>
                <w:bCs/>
                <w:color w:val="0000FF"/>
                <w:sz w:val="20"/>
                <w:szCs w:val="20"/>
              </w:rPr>
            </w:pPr>
            <w:r w:rsidRPr="0008539E">
              <w:rPr>
                <w:rFonts w:ascii="Arial" w:hAnsi="Arial" w:cs="Arial"/>
                <w:b/>
                <w:bCs/>
                <w:color w:val="0000FF"/>
                <w:sz w:val="20"/>
                <w:szCs w:val="20"/>
              </w:rPr>
              <w:t>Table</w:t>
            </w:r>
            <w:r w:rsidR="00697D43">
              <w:rPr>
                <w:rFonts w:ascii="Arial" w:hAnsi="Arial" w:cs="Arial"/>
                <w:b/>
                <w:bCs/>
                <w:color w:val="0000FF"/>
                <w:sz w:val="20"/>
                <w:szCs w:val="20"/>
              </w:rPr>
              <w:t> </w:t>
            </w:r>
            <w:proofErr w:type="spellStart"/>
            <w:r w:rsidRPr="0008539E">
              <w:rPr>
                <w:rFonts w:ascii="Arial" w:hAnsi="Arial" w:cs="Arial"/>
                <w:b/>
                <w:bCs/>
                <w:color w:val="0000FF"/>
                <w:sz w:val="20"/>
                <w:szCs w:val="20"/>
              </w:rPr>
              <w:t>3A.40</w:t>
            </w:r>
            <w:proofErr w:type="spellEnd"/>
          </w:p>
        </w:tc>
        <w:tc>
          <w:tcPr>
            <w:tcW w:w="7404" w:type="dxa"/>
            <w:tcBorders>
              <w:top w:val="nil"/>
              <w:left w:val="nil"/>
              <w:bottom w:val="nil"/>
              <w:right w:val="nil"/>
            </w:tcBorders>
            <w:shd w:val="clear" w:color="auto" w:fill="auto"/>
            <w:hideMark/>
          </w:tcPr>
          <w:p w:rsidR="0008539E" w:rsidRPr="0008539E" w:rsidRDefault="0008539E" w:rsidP="0008539E">
            <w:pPr>
              <w:jc w:val="both"/>
              <w:rPr>
                <w:rFonts w:ascii="Arial" w:hAnsi="Arial" w:cs="Arial"/>
                <w:sz w:val="20"/>
                <w:szCs w:val="20"/>
              </w:rPr>
            </w:pPr>
            <w:r w:rsidRPr="0008539E">
              <w:rPr>
                <w:rFonts w:ascii="Arial" w:hAnsi="Arial" w:cs="Arial"/>
                <w:sz w:val="20"/>
                <w:szCs w:val="20"/>
              </w:rPr>
              <w:t xml:space="preserve">Median weekly cost of 50 hours of Australian Government </w:t>
            </w:r>
            <w:proofErr w:type="spellStart"/>
            <w:r w:rsidRPr="0008539E">
              <w:rPr>
                <w:rFonts w:ascii="Arial" w:hAnsi="Arial" w:cs="Arial"/>
                <w:sz w:val="20"/>
                <w:szCs w:val="20"/>
              </w:rPr>
              <w:t>CCB</w:t>
            </w:r>
            <w:proofErr w:type="spellEnd"/>
            <w:r w:rsidRPr="0008539E">
              <w:rPr>
                <w:rFonts w:ascii="Arial" w:hAnsi="Arial" w:cs="Arial"/>
                <w:sz w:val="20"/>
                <w:szCs w:val="20"/>
              </w:rPr>
              <w:t xml:space="preserve"> approved long day care services, by remoteness area (2014</w:t>
            </w:r>
            <w:r w:rsidR="002D438E">
              <w:rPr>
                <w:rFonts w:ascii="Arial" w:hAnsi="Arial" w:cs="Arial"/>
                <w:sz w:val="20"/>
                <w:szCs w:val="20"/>
              </w:rPr>
              <w:noBreakHyphen/>
            </w:r>
            <w:r w:rsidRPr="0008539E">
              <w:rPr>
                <w:rFonts w:ascii="Arial" w:hAnsi="Arial" w:cs="Arial"/>
                <w:sz w:val="20"/>
                <w:szCs w:val="20"/>
              </w:rPr>
              <w:t>15 dollars)</w:t>
            </w:r>
            <w:r w:rsidR="002D438E">
              <w:rPr>
                <w:rFonts w:ascii="Arial" w:hAnsi="Arial" w:cs="Arial"/>
                <w:sz w:val="20"/>
                <w:szCs w:val="20"/>
              </w:rPr>
              <w:t xml:space="preserve"> </w:t>
            </w:r>
          </w:p>
        </w:tc>
      </w:tr>
      <w:tr w:rsidR="0008539E" w:rsidRPr="0008539E" w:rsidTr="0008539E">
        <w:trPr>
          <w:trHeight w:val="612"/>
        </w:trPr>
        <w:tc>
          <w:tcPr>
            <w:tcW w:w="1456" w:type="dxa"/>
            <w:tcBorders>
              <w:top w:val="nil"/>
              <w:left w:val="nil"/>
              <w:bottom w:val="nil"/>
              <w:right w:val="nil"/>
            </w:tcBorders>
            <w:shd w:val="clear" w:color="auto" w:fill="auto"/>
            <w:noWrap/>
            <w:hideMark/>
          </w:tcPr>
          <w:p w:rsidR="0008539E" w:rsidRPr="0008539E" w:rsidRDefault="0008539E" w:rsidP="0008539E">
            <w:pPr>
              <w:rPr>
                <w:rFonts w:ascii="Arial" w:hAnsi="Arial" w:cs="Arial"/>
                <w:b/>
                <w:bCs/>
                <w:color w:val="0000FF"/>
                <w:sz w:val="20"/>
                <w:szCs w:val="20"/>
              </w:rPr>
            </w:pPr>
            <w:r w:rsidRPr="0008539E">
              <w:rPr>
                <w:rFonts w:ascii="Arial" w:hAnsi="Arial" w:cs="Arial"/>
                <w:b/>
                <w:bCs/>
                <w:color w:val="0000FF"/>
                <w:sz w:val="20"/>
                <w:szCs w:val="20"/>
              </w:rPr>
              <w:t>Table</w:t>
            </w:r>
            <w:r w:rsidR="00697D43">
              <w:rPr>
                <w:rFonts w:ascii="Arial" w:hAnsi="Arial" w:cs="Arial"/>
                <w:b/>
                <w:bCs/>
                <w:color w:val="0000FF"/>
                <w:sz w:val="20"/>
                <w:szCs w:val="20"/>
              </w:rPr>
              <w:t> </w:t>
            </w:r>
            <w:proofErr w:type="spellStart"/>
            <w:r w:rsidRPr="0008539E">
              <w:rPr>
                <w:rFonts w:ascii="Arial" w:hAnsi="Arial" w:cs="Arial"/>
                <w:b/>
                <w:bCs/>
                <w:color w:val="0000FF"/>
                <w:sz w:val="20"/>
                <w:szCs w:val="20"/>
              </w:rPr>
              <w:t>3A.41</w:t>
            </w:r>
            <w:proofErr w:type="spellEnd"/>
          </w:p>
        </w:tc>
        <w:tc>
          <w:tcPr>
            <w:tcW w:w="7404" w:type="dxa"/>
            <w:tcBorders>
              <w:top w:val="nil"/>
              <w:left w:val="nil"/>
              <w:bottom w:val="nil"/>
              <w:right w:val="nil"/>
            </w:tcBorders>
            <w:shd w:val="clear" w:color="auto" w:fill="auto"/>
            <w:hideMark/>
          </w:tcPr>
          <w:p w:rsidR="0008539E" w:rsidRPr="0008539E" w:rsidRDefault="0008539E" w:rsidP="0008539E">
            <w:pPr>
              <w:jc w:val="both"/>
              <w:rPr>
                <w:rFonts w:ascii="Arial" w:hAnsi="Arial" w:cs="Arial"/>
                <w:sz w:val="20"/>
                <w:szCs w:val="20"/>
              </w:rPr>
            </w:pPr>
            <w:r w:rsidRPr="0008539E">
              <w:rPr>
                <w:rFonts w:ascii="Arial" w:hAnsi="Arial" w:cs="Arial"/>
                <w:sz w:val="20"/>
                <w:szCs w:val="20"/>
              </w:rPr>
              <w:t>Median hourly cost of a preschool program (after subsidies) per child enrolled aged 4 and 5 years, by sector ($/hour) (2014</w:t>
            </w:r>
            <w:r w:rsidRPr="0008539E">
              <w:rPr>
                <w:rFonts w:ascii="Arial" w:hAnsi="Arial" w:cs="Arial"/>
                <w:sz w:val="20"/>
                <w:szCs w:val="20"/>
              </w:rPr>
              <w:softHyphen/>
              <w:t>15 dollars)</w:t>
            </w:r>
            <w:r w:rsidR="002D438E">
              <w:rPr>
                <w:rFonts w:ascii="Arial" w:hAnsi="Arial" w:cs="Arial"/>
                <w:sz w:val="20"/>
                <w:szCs w:val="20"/>
              </w:rPr>
              <w:t xml:space="preserve"> </w:t>
            </w:r>
          </w:p>
        </w:tc>
      </w:tr>
      <w:tr w:rsidR="0008539E" w:rsidRPr="0008539E" w:rsidTr="0008539E">
        <w:trPr>
          <w:trHeight w:val="612"/>
        </w:trPr>
        <w:tc>
          <w:tcPr>
            <w:tcW w:w="1456" w:type="dxa"/>
            <w:tcBorders>
              <w:top w:val="nil"/>
              <w:left w:val="nil"/>
              <w:bottom w:val="nil"/>
              <w:right w:val="nil"/>
            </w:tcBorders>
            <w:shd w:val="clear" w:color="auto" w:fill="auto"/>
            <w:noWrap/>
            <w:hideMark/>
          </w:tcPr>
          <w:p w:rsidR="0008539E" w:rsidRPr="0008539E" w:rsidRDefault="0008539E" w:rsidP="0008539E">
            <w:pPr>
              <w:rPr>
                <w:rFonts w:ascii="Arial" w:hAnsi="Arial" w:cs="Arial"/>
                <w:b/>
                <w:bCs/>
                <w:color w:val="0000FF"/>
                <w:sz w:val="20"/>
                <w:szCs w:val="20"/>
              </w:rPr>
            </w:pPr>
            <w:r w:rsidRPr="0008539E">
              <w:rPr>
                <w:rFonts w:ascii="Arial" w:hAnsi="Arial" w:cs="Arial"/>
                <w:b/>
                <w:bCs/>
                <w:color w:val="0000FF"/>
                <w:sz w:val="20"/>
                <w:szCs w:val="20"/>
              </w:rPr>
              <w:lastRenderedPageBreak/>
              <w:t>Table</w:t>
            </w:r>
            <w:r w:rsidR="00697D43">
              <w:rPr>
                <w:rFonts w:ascii="Arial" w:hAnsi="Arial" w:cs="Arial"/>
                <w:b/>
                <w:bCs/>
                <w:color w:val="0000FF"/>
                <w:sz w:val="20"/>
                <w:szCs w:val="20"/>
              </w:rPr>
              <w:t> </w:t>
            </w:r>
            <w:proofErr w:type="spellStart"/>
            <w:r w:rsidRPr="0008539E">
              <w:rPr>
                <w:rFonts w:ascii="Arial" w:hAnsi="Arial" w:cs="Arial"/>
                <w:b/>
                <w:bCs/>
                <w:color w:val="0000FF"/>
                <w:sz w:val="20"/>
                <w:szCs w:val="20"/>
              </w:rPr>
              <w:t>3A.42</w:t>
            </w:r>
            <w:proofErr w:type="spellEnd"/>
          </w:p>
        </w:tc>
        <w:tc>
          <w:tcPr>
            <w:tcW w:w="7404" w:type="dxa"/>
            <w:tcBorders>
              <w:top w:val="nil"/>
              <w:left w:val="nil"/>
              <w:bottom w:val="nil"/>
              <w:right w:val="nil"/>
            </w:tcBorders>
            <w:shd w:val="clear" w:color="auto" w:fill="auto"/>
            <w:hideMark/>
          </w:tcPr>
          <w:p w:rsidR="0008539E" w:rsidRPr="0008539E" w:rsidRDefault="0008539E" w:rsidP="0008539E">
            <w:pPr>
              <w:jc w:val="both"/>
              <w:rPr>
                <w:rFonts w:ascii="Arial" w:hAnsi="Arial" w:cs="Arial"/>
                <w:sz w:val="20"/>
                <w:szCs w:val="20"/>
              </w:rPr>
            </w:pPr>
            <w:r w:rsidRPr="0008539E">
              <w:rPr>
                <w:rFonts w:ascii="Arial" w:hAnsi="Arial" w:cs="Arial"/>
                <w:sz w:val="20"/>
                <w:szCs w:val="20"/>
              </w:rPr>
              <w:t>Median hourly cost of a</w:t>
            </w:r>
            <w:r w:rsidR="002D438E">
              <w:rPr>
                <w:rFonts w:ascii="Arial" w:hAnsi="Arial" w:cs="Arial"/>
                <w:sz w:val="20"/>
                <w:szCs w:val="20"/>
              </w:rPr>
              <w:t xml:space="preserve"> </w:t>
            </w:r>
            <w:r w:rsidRPr="0008539E">
              <w:rPr>
                <w:rFonts w:ascii="Arial" w:hAnsi="Arial" w:cs="Arial"/>
                <w:sz w:val="20"/>
                <w:szCs w:val="20"/>
              </w:rPr>
              <w:t>preschool program (after subsidies) per child enrolled aged 4 and 5 years, by remoteness area ($/hour) (2014</w:t>
            </w:r>
            <w:r w:rsidRPr="0008539E">
              <w:rPr>
                <w:rFonts w:ascii="Arial" w:hAnsi="Arial" w:cs="Arial"/>
                <w:sz w:val="20"/>
                <w:szCs w:val="20"/>
              </w:rPr>
              <w:softHyphen/>
              <w:t>15 dollars)</w:t>
            </w:r>
            <w:r w:rsidR="002D438E">
              <w:rPr>
                <w:rFonts w:ascii="Arial" w:hAnsi="Arial" w:cs="Arial"/>
                <w:sz w:val="20"/>
                <w:szCs w:val="20"/>
              </w:rPr>
              <w:t xml:space="preserve"> </w:t>
            </w:r>
          </w:p>
        </w:tc>
      </w:tr>
      <w:tr w:rsidR="0008539E" w:rsidRPr="0008539E" w:rsidTr="0008539E">
        <w:trPr>
          <w:trHeight w:val="612"/>
        </w:trPr>
        <w:tc>
          <w:tcPr>
            <w:tcW w:w="1456" w:type="dxa"/>
            <w:tcBorders>
              <w:top w:val="nil"/>
              <w:left w:val="nil"/>
              <w:bottom w:val="nil"/>
              <w:right w:val="nil"/>
            </w:tcBorders>
            <w:shd w:val="clear" w:color="auto" w:fill="auto"/>
            <w:noWrap/>
            <w:hideMark/>
          </w:tcPr>
          <w:p w:rsidR="0008539E" w:rsidRPr="0008539E" w:rsidRDefault="0008539E" w:rsidP="0008539E">
            <w:pPr>
              <w:rPr>
                <w:rFonts w:ascii="Arial" w:hAnsi="Arial" w:cs="Arial"/>
                <w:b/>
                <w:bCs/>
                <w:color w:val="0000FF"/>
                <w:sz w:val="20"/>
                <w:szCs w:val="20"/>
              </w:rPr>
            </w:pPr>
            <w:r w:rsidRPr="0008539E">
              <w:rPr>
                <w:rFonts w:ascii="Arial" w:hAnsi="Arial" w:cs="Arial"/>
                <w:b/>
                <w:bCs/>
                <w:color w:val="0000FF"/>
                <w:sz w:val="20"/>
                <w:szCs w:val="20"/>
              </w:rPr>
              <w:t>Table</w:t>
            </w:r>
            <w:r w:rsidR="00697D43">
              <w:rPr>
                <w:rFonts w:ascii="Arial" w:hAnsi="Arial" w:cs="Arial"/>
                <w:b/>
                <w:bCs/>
                <w:color w:val="0000FF"/>
                <w:sz w:val="20"/>
                <w:szCs w:val="20"/>
              </w:rPr>
              <w:t> </w:t>
            </w:r>
            <w:proofErr w:type="spellStart"/>
            <w:r w:rsidRPr="0008539E">
              <w:rPr>
                <w:rFonts w:ascii="Arial" w:hAnsi="Arial" w:cs="Arial"/>
                <w:b/>
                <w:bCs/>
                <w:color w:val="0000FF"/>
                <w:sz w:val="20"/>
                <w:szCs w:val="20"/>
              </w:rPr>
              <w:t>3A.43</w:t>
            </w:r>
            <w:proofErr w:type="spellEnd"/>
          </w:p>
        </w:tc>
        <w:tc>
          <w:tcPr>
            <w:tcW w:w="7404" w:type="dxa"/>
            <w:tcBorders>
              <w:top w:val="nil"/>
              <w:left w:val="nil"/>
              <w:bottom w:val="nil"/>
              <w:right w:val="nil"/>
            </w:tcBorders>
            <w:shd w:val="clear" w:color="auto" w:fill="auto"/>
            <w:hideMark/>
          </w:tcPr>
          <w:p w:rsidR="0008539E" w:rsidRPr="0008539E" w:rsidRDefault="0008539E" w:rsidP="0008539E">
            <w:pPr>
              <w:jc w:val="both"/>
              <w:rPr>
                <w:rFonts w:ascii="Arial" w:hAnsi="Arial" w:cs="Arial"/>
                <w:sz w:val="20"/>
                <w:szCs w:val="20"/>
              </w:rPr>
            </w:pPr>
            <w:r w:rsidRPr="0008539E">
              <w:rPr>
                <w:rFonts w:ascii="Arial" w:hAnsi="Arial" w:cs="Arial"/>
                <w:sz w:val="20"/>
                <w:szCs w:val="20"/>
              </w:rPr>
              <w:t>Hourly cost of a preschool program after subsidies per child enrolled aged 4 and 5 years, by cost range</w:t>
            </w:r>
            <w:r w:rsidR="002D438E">
              <w:rPr>
                <w:rFonts w:ascii="Arial" w:hAnsi="Arial" w:cs="Arial"/>
                <w:sz w:val="20"/>
                <w:szCs w:val="20"/>
              </w:rPr>
              <w:t xml:space="preserve"> </w:t>
            </w:r>
          </w:p>
        </w:tc>
      </w:tr>
      <w:tr w:rsidR="0008539E" w:rsidRPr="0008539E" w:rsidTr="0008539E">
        <w:trPr>
          <w:trHeight w:val="357"/>
        </w:trPr>
        <w:tc>
          <w:tcPr>
            <w:tcW w:w="1456" w:type="dxa"/>
            <w:tcBorders>
              <w:top w:val="nil"/>
              <w:left w:val="nil"/>
              <w:bottom w:val="nil"/>
              <w:right w:val="nil"/>
            </w:tcBorders>
            <w:shd w:val="clear" w:color="auto" w:fill="auto"/>
            <w:noWrap/>
            <w:hideMark/>
          </w:tcPr>
          <w:p w:rsidR="0008539E" w:rsidRPr="0008539E" w:rsidRDefault="0008539E" w:rsidP="0008539E">
            <w:pPr>
              <w:rPr>
                <w:rFonts w:ascii="Arial" w:hAnsi="Arial" w:cs="Arial"/>
                <w:b/>
                <w:bCs/>
                <w:color w:val="0000FF"/>
                <w:sz w:val="20"/>
                <w:szCs w:val="20"/>
              </w:rPr>
            </w:pPr>
            <w:r w:rsidRPr="0008539E">
              <w:rPr>
                <w:rFonts w:ascii="Arial" w:hAnsi="Arial" w:cs="Arial"/>
                <w:b/>
                <w:bCs/>
                <w:color w:val="0000FF"/>
                <w:sz w:val="20"/>
                <w:szCs w:val="20"/>
              </w:rPr>
              <w:t>Table</w:t>
            </w:r>
            <w:r w:rsidR="00697D43">
              <w:rPr>
                <w:rFonts w:ascii="Arial" w:hAnsi="Arial" w:cs="Arial"/>
                <w:b/>
                <w:bCs/>
                <w:color w:val="0000FF"/>
                <w:sz w:val="20"/>
                <w:szCs w:val="20"/>
              </w:rPr>
              <w:t> </w:t>
            </w:r>
            <w:proofErr w:type="spellStart"/>
            <w:r w:rsidRPr="0008539E">
              <w:rPr>
                <w:rFonts w:ascii="Arial" w:hAnsi="Arial" w:cs="Arial"/>
                <w:b/>
                <w:bCs/>
                <w:color w:val="0000FF"/>
                <w:sz w:val="20"/>
                <w:szCs w:val="20"/>
              </w:rPr>
              <w:t>3A.44</w:t>
            </w:r>
            <w:proofErr w:type="spellEnd"/>
          </w:p>
        </w:tc>
        <w:tc>
          <w:tcPr>
            <w:tcW w:w="7404" w:type="dxa"/>
            <w:tcBorders>
              <w:top w:val="nil"/>
              <w:left w:val="nil"/>
              <w:bottom w:val="nil"/>
              <w:right w:val="nil"/>
            </w:tcBorders>
            <w:shd w:val="clear" w:color="auto" w:fill="auto"/>
            <w:hideMark/>
          </w:tcPr>
          <w:p w:rsidR="0008539E" w:rsidRPr="0008539E" w:rsidRDefault="0008539E" w:rsidP="0008539E">
            <w:pPr>
              <w:jc w:val="both"/>
              <w:rPr>
                <w:rFonts w:ascii="Arial" w:hAnsi="Arial" w:cs="Arial"/>
                <w:sz w:val="20"/>
                <w:szCs w:val="20"/>
              </w:rPr>
            </w:pPr>
            <w:r w:rsidRPr="0008539E">
              <w:rPr>
                <w:rFonts w:ascii="Arial" w:hAnsi="Arial" w:cs="Arial"/>
                <w:sz w:val="20"/>
                <w:szCs w:val="20"/>
              </w:rPr>
              <w:t xml:space="preserve">Staff employed by Australian Government </w:t>
            </w:r>
            <w:proofErr w:type="spellStart"/>
            <w:r w:rsidRPr="0008539E">
              <w:rPr>
                <w:rFonts w:ascii="Arial" w:hAnsi="Arial" w:cs="Arial"/>
                <w:sz w:val="20"/>
                <w:szCs w:val="20"/>
              </w:rPr>
              <w:t>CCB</w:t>
            </w:r>
            <w:proofErr w:type="spellEnd"/>
            <w:r w:rsidRPr="0008539E">
              <w:rPr>
                <w:rFonts w:ascii="Arial" w:hAnsi="Arial" w:cs="Arial"/>
                <w:sz w:val="20"/>
                <w:szCs w:val="20"/>
              </w:rPr>
              <w:t xml:space="preserve"> approved child care services</w:t>
            </w:r>
            <w:r w:rsidR="002D438E">
              <w:rPr>
                <w:rFonts w:ascii="Arial" w:hAnsi="Arial" w:cs="Arial"/>
                <w:sz w:val="20"/>
                <w:szCs w:val="20"/>
              </w:rPr>
              <w:t xml:space="preserve"> </w:t>
            </w:r>
          </w:p>
        </w:tc>
      </w:tr>
      <w:tr w:rsidR="0008539E" w:rsidRPr="0008539E" w:rsidTr="0008539E">
        <w:trPr>
          <w:trHeight w:val="612"/>
        </w:trPr>
        <w:tc>
          <w:tcPr>
            <w:tcW w:w="1456" w:type="dxa"/>
            <w:tcBorders>
              <w:top w:val="nil"/>
              <w:left w:val="nil"/>
              <w:bottom w:val="nil"/>
              <w:right w:val="nil"/>
            </w:tcBorders>
            <w:shd w:val="clear" w:color="auto" w:fill="auto"/>
            <w:noWrap/>
            <w:hideMark/>
          </w:tcPr>
          <w:p w:rsidR="0008539E" w:rsidRPr="0008539E" w:rsidRDefault="0008539E" w:rsidP="0008539E">
            <w:pPr>
              <w:rPr>
                <w:rFonts w:ascii="Arial" w:hAnsi="Arial" w:cs="Arial"/>
                <w:b/>
                <w:bCs/>
                <w:color w:val="0000FF"/>
                <w:sz w:val="20"/>
                <w:szCs w:val="20"/>
              </w:rPr>
            </w:pPr>
            <w:r w:rsidRPr="0008539E">
              <w:rPr>
                <w:rFonts w:ascii="Arial" w:hAnsi="Arial" w:cs="Arial"/>
                <w:b/>
                <w:bCs/>
                <w:color w:val="0000FF"/>
                <w:sz w:val="20"/>
                <w:szCs w:val="20"/>
              </w:rPr>
              <w:t>Table</w:t>
            </w:r>
            <w:r w:rsidR="00697D43">
              <w:rPr>
                <w:rFonts w:ascii="Arial" w:hAnsi="Arial" w:cs="Arial"/>
                <w:b/>
                <w:bCs/>
                <w:color w:val="0000FF"/>
                <w:sz w:val="20"/>
                <w:szCs w:val="20"/>
              </w:rPr>
              <w:t> </w:t>
            </w:r>
            <w:proofErr w:type="spellStart"/>
            <w:r w:rsidRPr="0008539E">
              <w:rPr>
                <w:rFonts w:ascii="Arial" w:hAnsi="Arial" w:cs="Arial"/>
                <w:b/>
                <w:bCs/>
                <w:color w:val="0000FF"/>
                <w:sz w:val="20"/>
                <w:szCs w:val="20"/>
              </w:rPr>
              <w:t>3A.45</w:t>
            </w:r>
            <w:proofErr w:type="spellEnd"/>
          </w:p>
        </w:tc>
        <w:tc>
          <w:tcPr>
            <w:tcW w:w="7404" w:type="dxa"/>
            <w:tcBorders>
              <w:top w:val="nil"/>
              <w:left w:val="nil"/>
              <w:bottom w:val="nil"/>
              <w:right w:val="nil"/>
            </w:tcBorders>
            <w:shd w:val="clear" w:color="auto" w:fill="auto"/>
            <w:hideMark/>
          </w:tcPr>
          <w:p w:rsidR="0008539E" w:rsidRPr="0008539E" w:rsidRDefault="0008539E" w:rsidP="0008539E">
            <w:pPr>
              <w:jc w:val="both"/>
              <w:rPr>
                <w:rFonts w:ascii="Arial" w:hAnsi="Arial" w:cs="Arial"/>
                <w:sz w:val="20"/>
                <w:szCs w:val="20"/>
              </w:rPr>
            </w:pPr>
            <w:r w:rsidRPr="0008539E">
              <w:rPr>
                <w:rFonts w:ascii="Arial" w:hAnsi="Arial" w:cs="Arial"/>
                <w:sz w:val="20"/>
                <w:szCs w:val="20"/>
              </w:rPr>
              <w:t xml:space="preserve">Paid primary contact staff employed by Australian Government </w:t>
            </w:r>
            <w:proofErr w:type="spellStart"/>
            <w:r w:rsidRPr="0008539E">
              <w:rPr>
                <w:rFonts w:ascii="Arial" w:hAnsi="Arial" w:cs="Arial"/>
                <w:sz w:val="20"/>
                <w:szCs w:val="20"/>
              </w:rPr>
              <w:t>CCB</w:t>
            </w:r>
            <w:proofErr w:type="spellEnd"/>
            <w:r w:rsidRPr="0008539E">
              <w:rPr>
                <w:rFonts w:ascii="Arial" w:hAnsi="Arial" w:cs="Arial"/>
                <w:sz w:val="20"/>
                <w:szCs w:val="20"/>
              </w:rPr>
              <w:t xml:space="preserve"> approved child care services, by qualification</w:t>
            </w:r>
            <w:r w:rsidR="002D438E">
              <w:rPr>
                <w:rFonts w:ascii="Arial" w:hAnsi="Arial" w:cs="Arial"/>
                <w:sz w:val="20"/>
                <w:szCs w:val="20"/>
              </w:rPr>
              <w:t xml:space="preserve"> </w:t>
            </w:r>
          </w:p>
        </w:tc>
      </w:tr>
      <w:tr w:rsidR="0008539E" w:rsidRPr="0008539E" w:rsidTr="0008539E">
        <w:trPr>
          <w:trHeight w:val="612"/>
        </w:trPr>
        <w:tc>
          <w:tcPr>
            <w:tcW w:w="1456" w:type="dxa"/>
            <w:tcBorders>
              <w:top w:val="nil"/>
              <w:left w:val="nil"/>
              <w:bottom w:val="nil"/>
              <w:right w:val="nil"/>
            </w:tcBorders>
            <w:shd w:val="clear" w:color="auto" w:fill="auto"/>
            <w:noWrap/>
            <w:hideMark/>
          </w:tcPr>
          <w:p w:rsidR="0008539E" w:rsidRPr="0008539E" w:rsidRDefault="0008539E" w:rsidP="0008539E">
            <w:pPr>
              <w:rPr>
                <w:rFonts w:ascii="Arial" w:hAnsi="Arial" w:cs="Arial"/>
                <w:b/>
                <w:bCs/>
                <w:color w:val="0000FF"/>
                <w:sz w:val="20"/>
                <w:szCs w:val="20"/>
              </w:rPr>
            </w:pPr>
            <w:r w:rsidRPr="0008539E">
              <w:rPr>
                <w:rFonts w:ascii="Arial" w:hAnsi="Arial" w:cs="Arial"/>
                <w:b/>
                <w:bCs/>
                <w:color w:val="0000FF"/>
                <w:sz w:val="20"/>
                <w:szCs w:val="20"/>
              </w:rPr>
              <w:t>Table</w:t>
            </w:r>
            <w:r w:rsidR="00697D43">
              <w:rPr>
                <w:rFonts w:ascii="Arial" w:hAnsi="Arial" w:cs="Arial"/>
                <w:b/>
                <w:bCs/>
                <w:color w:val="0000FF"/>
                <w:sz w:val="20"/>
                <w:szCs w:val="20"/>
              </w:rPr>
              <w:t> </w:t>
            </w:r>
            <w:proofErr w:type="spellStart"/>
            <w:r w:rsidRPr="0008539E">
              <w:rPr>
                <w:rFonts w:ascii="Arial" w:hAnsi="Arial" w:cs="Arial"/>
                <w:b/>
                <w:bCs/>
                <w:color w:val="0000FF"/>
                <w:sz w:val="20"/>
                <w:szCs w:val="20"/>
              </w:rPr>
              <w:t>3A.46</w:t>
            </w:r>
            <w:proofErr w:type="spellEnd"/>
          </w:p>
        </w:tc>
        <w:tc>
          <w:tcPr>
            <w:tcW w:w="7404" w:type="dxa"/>
            <w:tcBorders>
              <w:top w:val="nil"/>
              <w:left w:val="nil"/>
              <w:bottom w:val="nil"/>
              <w:right w:val="nil"/>
            </w:tcBorders>
            <w:shd w:val="clear" w:color="auto" w:fill="auto"/>
            <w:hideMark/>
          </w:tcPr>
          <w:p w:rsidR="0008539E" w:rsidRPr="0008539E" w:rsidRDefault="0008539E" w:rsidP="0008539E">
            <w:pPr>
              <w:jc w:val="both"/>
              <w:rPr>
                <w:rFonts w:ascii="Arial" w:hAnsi="Arial" w:cs="Arial"/>
                <w:sz w:val="20"/>
                <w:szCs w:val="20"/>
              </w:rPr>
            </w:pPr>
            <w:r w:rsidRPr="0008539E">
              <w:rPr>
                <w:rFonts w:ascii="Arial" w:hAnsi="Arial" w:cs="Arial"/>
                <w:sz w:val="20"/>
                <w:szCs w:val="20"/>
              </w:rPr>
              <w:t xml:space="preserve">Qualified paid primary contact staff employed by Australian Government </w:t>
            </w:r>
            <w:proofErr w:type="spellStart"/>
            <w:r w:rsidRPr="0008539E">
              <w:rPr>
                <w:rFonts w:ascii="Arial" w:hAnsi="Arial" w:cs="Arial"/>
                <w:sz w:val="20"/>
                <w:szCs w:val="20"/>
              </w:rPr>
              <w:t>CCB</w:t>
            </w:r>
            <w:proofErr w:type="spellEnd"/>
            <w:r w:rsidRPr="0008539E">
              <w:rPr>
                <w:rFonts w:ascii="Arial" w:hAnsi="Arial" w:cs="Arial"/>
                <w:sz w:val="20"/>
                <w:szCs w:val="20"/>
              </w:rPr>
              <w:t xml:space="preserve"> approved child care services, by level of qualification, by field of study, 2013</w:t>
            </w:r>
            <w:r w:rsidR="002D438E">
              <w:rPr>
                <w:rFonts w:ascii="Arial" w:hAnsi="Arial" w:cs="Arial"/>
                <w:sz w:val="20"/>
                <w:szCs w:val="20"/>
              </w:rPr>
              <w:t xml:space="preserve"> </w:t>
            </w:r>
          </w:p>
        </w:tc>
      </w:tr>
      <w:tr w:rsidR="0008539E" w:rsidRPr="0008539E" w:rsidTr="0008539E">
        <w:trPr>
          <w:trHeight w:val="612"/>
        </w:trPr>
        <w:tc>
          <w:tcPr>
            <w:tcW w:w="1456" w:type="dxa"/>
            <w:tcBorders>
              <w:top w:val="nil"/>
              <w:left w:val="nil"/>
              <w:bottom w:val="nil"/>
              <w:right w:val="nil"/>
            </w:tcBorders>
            <w:shd w:val="clear" w:color="auto" w:fill="auto"/>
            <w:noWrap/>
            <w:hideMark/>
          </w:tcPr>
          <w:p w:rsidR="0008539E" w:rsidRPr="0008539E" w:rsidRDefault="0008539E" w:rsidP="0008539E">
            <w:pPr>
              <w:rPr>
                <w:rFonts w:ascii="Arial" w:hAnsi="Arial" w:cs="Arial"/>
                <w:b/>
                <w:bCs/>
                <w:color w:val="0000FF"/>
                <w:sz w:val="20"/>
                <w:szCs w:val="20"/>
              </w:rPr>
            </w:pPr>
            <w:r w:rsidRPr="0008539E">
              <w:rPr>
                <w:rFonts w:ascii="Arial" w:hAnsi="Arial" w:cs="Arial"/>
                <w:b/>
                <w:bCs/>
                <w:color w:val="0000FF"/>
                <w:sz w:val="20"/>
                <w:szCs w:val="20"/>
              </w:rPr>
              <w:t>Table</w:t>
            </w:r>
            <w:r w:rsidR="00697D43">
              <w:rPr>
                <w:rFonts w:ascii="Arial" w:hAnsi="Arial" w:cs="Arial"/>
                <w:b/>
                <w:bCs/>
                <w:color w:val="0000FF"/>
                <w:sz w:val="20"/>
                <w:szCs w:val="20"/>
              </w:rPr>
              <w:t> </w:t>
            </w:r>
            <w:proofErr w:type="spellStart"/>
            <w:r w:rsidRPr="0008539E">
              <w:rPr>
                <w:rFonts w:ascii="Arial" w:hAnsi="Arial" w:cs="Arial"/>
                <w:b/>
                <w:bCs/>
                <w:color w:val="0000FF"/>
                <w:sz w:val="20"/>
                <w:szCs w:val="20"/>
              </w:rPr>
              <w:t>3A.47</w:t>
            </w:r>
            <w:proofErr w:type="spellEnd"/>
          </w:p>
        </w:tc>
        <w:tc>
          <w:tcPr>
            <w:tcW w:w="7404" w:type="dxa"/>
            <w:tcBorders>
              <w:top w:val="nil"/>
              <w:left w:val="nil"/>
              <w:bottom w:val="nil"/>
              <w:right w:val="nil"/>
            </w:tcBorders>
            <w:shd w:val="clear" w:color="auto" w:fill="auto"/>
            <w:hideMark/>
          </w:tcPr>
          <w:p w:rsidR="0008539E" w:rsidRPr="0008539E" w:rsidRDefault="0008539E" w:rsidP="0008539E">
            <w:pPr>
              <w:jc w:val="both"/>
              <w:rPr>
                <w:rFonts w:ascii="Arial" w:hAnsi="Arial" w:cs="Arial"/>
                <w:sz w:val="20"/>
                <w:szCs w:val="20"/>
              </w:rPr>
            </w:pPr>
            <w:r w:rsidRPr="0008539E">
              <w:rPr>
                <w:rFonts w:ascii="Arial" w:hAnsi="Arial" w:cs="Arial"/>
                <w:sz w:val="20"/>
                <w:szCs w:val="20"/>
              </w:rPr>
              <w:t xml:space="preserve">Paid primary contact staff in Australian Government </w:t>
            </w:r>
            <w:proofErr w:type="spellStart"/>
            <w:r w:rsidRPr="0008539E">
              <w:rPr>
                <w:rFonts w:ascii="Arial" w:hAnsi="Arial" w:cs="Arial"/>
                <w:sz w:val="20"/>
                <w:szCs w:val="20"/>
              </w:rPr>
              <w:t>CCB</w:t>
            </w:r>
            <w:proofErr w:type="spellEnd"/>
            <w:r w:rsidRPr="0008539E">
              <w:rPr>
                <w:rFonts w:ascii="Arial" w:hAnsi="Arial" w:cs="Arial"/>
                <w:sz w:val="20"/>
                <w:szCs w:val="20"/>
              </w:rPr>
              <w:t xml:space="preserve"> approved child care services who undertook relevant in</w:t>
            </w:r>
            <w:r w:rsidR="002D438E">
              <w:rPr>
                <w:rFonts w:ascii="Arial" w:hAnsi="Arial" w:cs="Arial"/>
                <w:sz w:val="20"/>
                <w:szCs w:val="20"/>
              </w:rPr>
              <w:noBreakHyphen/>
            </w:r>
            <w:r w:rsidRPr="0008539E">
              <w:rPr>
                <w:rFonts w:ascii="Arial" w:hAnsi="Arial" w:cs="Arial"/>
                <w:sz w:val="20"/>
                <w:szCs w:val="20"/>
              </w:rPr>
              <w:t>service training in previous 12 months</w:t>
            </w:r>
            <w:r w:rsidR="002D438E">
              <w:rPr>
                <w:rFonts w:ascii="Arial" w:hAnsi="Arial" w:cs="Arial"/>
                <w:sz w:val="20"/>
                <w:szCs w:val="20"/>
              </w:rPr>
              <w:t xml:space="preserve"> </w:t>
            </w:r>
          </w:p>
        </w:tc>
      </w:tr>
      <w:tr w:rsidR="0008539E" w:rsidRPr="0008539E" w:rsidTr="0008539E">
        <w:trPr>
          <w:trHeight w:val="612"/>
        </w:trPr>
        <w:tc>
          <w:tcPr>
            <w:tcW w:w="1456" w:type="dxa"/>
            <w:tcBorders>
              <w:top w:val="nil"/>
              <w:left w:val="nil"/>
              <w:bottom w:val="nil"/>
              <w:right w:val="nil"/>
            </w:tcBorders>
            <w:shd w:val="clear" w:color="auto" w:fill="auto"/>
            <w:noWrap/>
            <w:hideMark/>
          </w:tcPr>
          <w:p w:rsidR="0008539E" w:rsidRPr="0008539E" w:rsidRDefault="0008539E" w:rsidP="0008539E">
            <w:pPr>
              <w:rPr>
                <w:rFonts w:ascii="Arial" w:hAnsi="Arial" w:cs="Arial"/>
                <w:b/>
                <w:bCs/>
                <w:color w:val="0000FF"/>
                <w:sz w:val="20"/>
                <w:szCs w:val="20"/>
              </w:rPr>
            </w:pPr>
            <w:r w:rsidRPr="0008539E">
              <w:rPr>
                <w:rFonts w:ascii="Arial" w:hAnsi="Arial" w:cs="Arial"/>
                <w:b/>
                <w:bCs/>
                <w:color w:val="0000FF"/>
                <w:sz w:val="20"/>
                <w:szCs w:val="20"/>
              </w:rPr>
              <w:t>Table</w:t>
            </w:r>
            <w:r w:rsidR="00697D43">
              <w:rPr>
                <w:rFonts w:ascii="Arial" w:hAnsi="Arial" w:cs="Arial"/>
                <w:b/>
                <w:bCs/>
                <w:color w:val="0000FF"/>
                <w:sz w:val="20"/>
                <w:szCs w:val="20"/>
              </w:rPr>
              <w:t> </w:t>
            </w:r>
            <w:proofErr w:type="spellStart"/>
            <w:r w:rsidRPr="0008539E">
              <w:rPr>
                <w:rFonts w:ascii="Arial" w:hAnsi="Arial" w:cs="Arial"/>
                <w:b/>
                <w:bCs/>
                <w:color w:val="0000FF"/>
                <w:sz w:val="20"/>
                <w:szCs w:val="20"/>
              </w:rPr>
              <w:t>3A.48</w:t>
            </w:r>
            <w:proofErr w:type="spellEnd"/>
          </w:p>
        </w:tc>
        <w:tc>
          <w:tcPr>
            <w:tcW w:w="7404" w:type="dxa"/>
            <w:tcBorders>
              <w:top w:val="nil"/>
              <w:left w:val="nil"/>
              <w:bottom w:val="nil"/>
              <w:right w:val="nil"/>
            </w:tcBorders>
            <w:shd w:val="clear" w:color="auto" w:fill="auto"/>
            <w:hideMark/>
          </w:tcPr>
          <w:p w:rsidR="0008539E" w:rsidRPr="0008539E" w:rsidRDefault="0008539E" w:rsidP="0008539E">
            <w:pPr>
              <w:jc w:val="both"/>
              <w:rPr>
                <w:rFonts w:ascii="Arial" w:hAnsi="Arial" w:cs="Arial"/>
                <w:sz w:val="20"/>
                <w:szCs w:val="20"/>
              </w:rPr>
            </w:pPr>
            <w:r w:rsidRPr="0008539E">
              <w:rPr>
                <w:rFonts w:ascii="Arial" w:hAnsi="Arial" w:cs="Arial"/>
                <w:sz w:val="20"/>
                <w:szCs w:val="20"/>
              </w:rPr>
              <w:t xml:space="preserve">Primary contact staff in Australian Government </w:t>
            </w:r>
            <w:proofErr w:type="spellStart"/>
            <w:r w:rsidRPr="0008539E">
              <w:rPr>
                <w:rFonts w:ascii="Arial" w:hAnsi="Arial" w:cs="Arial"/>
                <w:sz w:val="20"/>
                <w:szCs w:val="20"/>
              </w:rPr>
              <w:t>CCB</w:t>
            </w:r>
            <w:proofErr w:type="spellEnd"/>
            <w:r w:rsidRPr="0008539E">
              <w:rPr>
                <w:rFonts w:ascii="Arial" w:hAnsi="Arial" w:cs="Arial"/>
                <w:sz w:val="20"/>
                <w:szCs w:val="20"/>
              </w:rPr>
              <w:t xml:space="preserve"> approved child care services, by tenure in the </w:t>
            </w:r>
            <w:proofErr w:type="spellStart"/>
            <w:r w:rsidRPr="0008539E">
              <w:rPr>
                <w:rFonts w:ascii="Arial" w:hAnsi="Arial" w:cs="Arial"/>
                <w:sz w:val="20"/>
                <w:szCs w:val="20"/>
              </w:rPr>
              <w:t>ECEC</w:t>
            </w:r>
            <w:proofErr w:type="spellEnd"/>
            <w:r w:rsidRPr="0008539E">
              <w:rPr>
                <w:rFonts w:ascii="Arial" w:hAnsi="Arial" w:cs="Arial"/>
                <w:sz w:val="20"/>
                <w:szCs w:val="20"/>
              </w:rPr>
              <w:t xml:space="preserve"> sector, 2013</w:t>
            </w:r>
            <w:r w:rsidR="002D438E">
              <w:rPr>
                <w:rFonts w:ascii="Arial" w:hAnsi="Arial" w:cs="Arial"/>
                <w:sz w:val="20"/>
                <w:szCs w:val="20"/>
              </w:rPr>
              <w:t xml:space="preserve"> </w:t>
            </w:r>
          </w:p>
        </w:tc>
      </w:tr>
      <w:tr w:rsidR="0008539E" w:rsidRPr="0008539E" w:rsidTr="0008539E">
        <w:trPr>
          <w:trHeight w:val="357"/>
        </w:trPr>
        <w:tc>
          <w:tcPr>
            <w:tcW w:w="1456" w:type="dxa"/>
            <w:tcBorders>
              <w:top w:val="nil"/>
              <w:left w:val="nil"/>
              <w:bottom w:val="nil"/>
              <w:right w:val="nil"/>
            </w:tcBorders>
            <w:shd w:val="clear" w:color="auto" w:fill="auto"/>
            <w:noWrap/>
            <w:hideMark/>
          </w:tcPr>
          <w:p w:rsidR="0008539E" w:rsidRPr="0008539E" w:rsidRDefault="0008539E" w:rsidP="0008539E">
            <w:pPr>
              <w:rPr>
                <w:rFonts w:ascii="Arial" w:hAnsi="Arial" w:cs="Arial"/>
                <w:b/>
                <w:bCs/>
                <w:color w:val="0000FF"/>
                <w:sz w:val="20"/>
                <w:szCs w:val="20"/>
              </w:rPr>
            </w:pPr>
            <w:r w:rsidRPr="0008539E">
              <w:rPr>
                <w:rFonts w:ascii="Arial" w:hAnsi="Arial" w:cs="Arial"/>
                <w:b/>
                <w:bCs/>
                <w:color w:val="0000FF"/>
                <w:sz w:val="20"/>
                <w:szCs w:val="20"/>
              </w:rPr>
              <w:t>Table</w:t>
            </w:r>
            <w:r w:rsidR="00697D43">
              <w:rPr>
                <w:rFonts w:ascii="Arial" w:hAnsi="Arial" w:cs="Arial"/>
                <w:b/>
                <w:bCs/>
                <w:color w:val="0000FF"/>
                <w:sz w:val="20"/>
                <w:szCs w:val="20"/>
              </w:rPr>
              <w:t> </w:t>
            </w:r>
            <w:proofErr w:type="spellStart"/>
            <w:r w:rsidRPr="0008539E">
              <w:rPr>
                <w:rFonts w:ascii="Arial" w:hAnsi="Arial" w:cs="Arial"/>
                <w:b/>
                <w:bCs/>
                <w:color w:val="0000FF"/>
                <w:sz w:val="20"/>
                <w:szCs w:val="20"/>
              </w:rPr>
              <w:t>3A.49</w:t>
            </w:r>
            <w:proofErr w:type="spellEnd"/>
          </w:p>
        </w:tc>
        <w:tc>
          <w:tcPr>
            <w:tcW w:w="7404" w:type="dxa"/>
            <w:tcBorders>
              <w:top w:val="nil"/>
              <w:left w:val="nil"/>
              <w:bottom w:val="nil"/>
              <w:right w:val="nil"/>
            </w:tcBorders>
            <w:shd w:val="clear" w:color="auto" w:fill="auto"/>
            <w:hideMark/>
          </w:tcPr>
          <w:p w:rsidR="0008539E" w:rsidRPr="0008539E" w:rsidRDefault="0008539E" w:rsidP="0008539E">
            <w:pPr>
              <w:jc w:val="both"/>
              <w:rPr>
                <w:rFonts w:ascii="Arial" w:hAnsi="Arial" w:cs="Arial"/>
                <w:sz w:val="20"/>
                <w:szCs w:val="20"/>
              </w:rPr>
            </w:pPr>
            <w:r w:rsidRPr="0008539E">
              <w:rPr>
                <w:rFonts w:ascii="Arial" w:hAnsi="Arial" w:cs="Arial"/>
                <w:sz w:val="20"/>
                <w:szCs w:val="20"/>
              </w:rPr>
              <w:t xml:space="preserve">Staff employed by State and Territory government funded </w:t>
            </w:r>
            <w:proofErr w:type="spellStart"/>
            <w:r w:rsidRPr="0008539E">
              <w:rPr>
                <w:rFonts w:ascii="Arial" w:hAnsi="Arial" w:cs="Arial"/>
                <w:sz w:val="20"/>
                <w:szCs w:val="20"/>
              </w:rPr>
              <w:t>ECEC</w:t>
            </w:r>
            <w:proofErr w:type="spellEnd"/>
            <w:r w:rsidRPr="0008539E">
              <w:rPr>
                <w:rFonts w:ascii="Arial" w:hAnsi="Arial" w:cs="Arial"/>
                <w:sz w:val="20"/>
                <w:szCs w:val="20"/>
              </w:rPr>
              <w:t xml:space="preserve"> services</w:t>
            </w:r>
            <w:r w:rsidR="002D438E">
              <w:rPr>
                <w:rFonts w:ascii="Arial" w:hAnsi="Arial" w:cs="Arial"/>
                <w:sz w:val="20"/>
                <w:szCs w:val="20"/>
              </w:rPr>
              <w:t xml:space="preserve"> </w:t>
            </w:r>
          </w:p>
        </w:tc>
      </w:tr>
      <w:tr w:rsidR="0008539E" w:rsidRPr="0008539E" w:rsidTr="0008539E">
        <w:trPr>
          <w:trHeight w:val="612"/>
        </w:trPr>
        <w:tc>
          <w:tcPr>
            <w:tcW w:w="1456" w:type="dxa"/>
            <w:tcBorders>
              <w:top w:val="nil"/>
              <w:left w:val="nil"/>
              <w:bottom w:val="nil"/>
              <w:right w:val="nil"/>
            </w:tcBorders>
            <w:shd w:val="clear" w:color="auto" w:fill="auto"/>
            <w:noWrap/>
            <w:hideMark/>
          </w:tcPr>
          <w:p w:rsidR="0008539E" w:rsidRPr="0008539E" w:rsidRDefault="0008539E" w:rsidP="0008539E">
            <w:pPr>
              <w:rPr>
                <w:rFonts w:ascii="Arial" w:hAnsi="Arial" w:cs="Arial"/>
                <w:b/>
                <w:bCs/>
                <w:color w:val="0000FF"/>
                <w:sz w:val="20"/>
                <w:szCs w:val="20"/>
              </w:rPr>
            </w:pPr>
            <w:r w:rsidRPr="0008539E">
              <w:rPr>
                <w:rFonts w:ascii="Arial" w:hAnsi="Arial" w:cs="Arial"/>
                <w:b/>
                <w:bCs/>
                <w:color w:val="0000FF"/>
                <w:sz w:val="20"/>
                <w:szCs w:val="20"/>
              </w:rPr>
              <w:t>Table</w:t>
            </w:r>
            <w:r w:rsidR="00697D43">
              <w:rPr>
                <w:rFonts w:ascii="Arial" w:hAnsi="Arial" w:cs="Arial"/>
                <w:b/>
                <w:bCs/>
                <w:color w:val="0000FF"/>
                <w:sz w:val="20"/>
                <w:szCs w:val="20"/>
              </w:rPr>
              <w:t> </w:t>
            </w:r>
            <w:proofErr w:type="spellStart"/>
            <w:r w:rsidRPr="0008539E">
              <w:rPr>
                <w:rFonts w:ascii="Arial" w:hAnsi="Arial" w:cs="Arial"/>
                <w:b/>
                <w:bCs/>
                <w:color w:val="0000FF"/>
                <w:sz w:val="20"/>
                <w:szCs w:val="20"/>
              </w:rPr>
              <w:t>3A.50</w:t>
            </w:r>
            <w:proofErr w:type="spellEnd"/>
          </w:p>
        </w:tc>
        <w:tc>
          <w:tcPr>
            <w:tcW w:w="7404" w:type="dxa"/>
            <w:tcBorders>
              <w:top w:val="nil"/>
              <w:left w:val="nil"/>
              <w:bottom w:val="nil"/>
              <w:right w:val="nil"/>
            </w:tcBorders>
            <w:shd w:val="clear" w:color="auto" w:fill="auto"/>
            <w:hideMark/>
          </w:tcPr>
          <w:p w:rsidR="0008539E" w:rsidRPr="0008539E" w:rsidRDefault="0008539E" w:rsidP="0008539E">
            <w:pPr>
              <w:jc w:val="both"/>
              <w:rPr>
                <w:rFonts w:ascii="Arial" w:hAnsi="Arial" w:cs="Arial"/>
                <w:sz w:val="20"/>
                <w:szCs w:val="20"/>
              </w:rPr>
            </w:pPr>
            <w:r w:rsidRPr="0008539E">
              <w:rPr>
                <w:rFonts w:ascii="Arial" w:hAnsi="Arial" w:cs="Arial"/>
                <w:sz w:val="20"/>
                <w:szCs w:val="20"/>
              </w:rPr>
              <w:t xml:space="preserve">Paid staff employed by State and Territory government funded </w:t>
            </w:r>
            <w:proofErr w:type="spellStart"/>
            <w:r w:rsidRPr="0008539E">
              <w:rPr>
                <w:rFonts w:ascii="Arial" w:hAnsi="Arial" w:cs="Arial"/>
                <w:sz w:val="20"/>
                <w:szCs w:val="20"/>
              </w:rPr>
              <w:t>ECEC</w:t>
            </w:r>
            <w:proofErr w:type="spellEnd"/>
            <w:r w:rsidRPr="0008539E">
              <w:rPr>
                <w:rFonts w:ascii="Arial" w:hAnsi="Arial" w:cs="Arial"/>
                <w:sz w:val="20"/>
                <w:szCs w:val="20"/>
              </w:rPr>
              <w:t xml:space="preserve"> services, by qualification, by experience</w:t>
            </w:r>
            <w:r w:rsidR="002D438E">
              <w:rPr>
                <w:rFonts w:ascii="Arial" w:hAnsi="Arial" w:cs="Arial"/>
                <w:sz w:val="20"/>
                <w:szCs w:val="20"/>
              </w:rPr>
              <w:t xml:space="preserve"> </w:t>
            </w:r>
          </w:p>
        </w:tc>
      </w:tr>
      <w:tr w:rsidR="0008539E" w:rsidRPr="0008539E" w:rsidTr="0008539E">
        <w:trPr>
          <w:trHeight w:val="612"/>
        </w:trPr>
        <w:tc>
          <w:tcPr>
            <w:tcW w:w="1456" w:type="dxa"/>
            <w:tcBorders>
              <w:top w:val="nil"/>
              <w:left w:val="nil"/>
              <w:bottom w:val="nil"/>
              <w:right w:val="nil"/>
            </w:tcBorders>
            <w:shd w:val="clear" w:color="auto" w:fill="auto"/>
            <w:noWrap/>
            <w:hideMark/>
          </w:tcPr>
          <w:p w:rsidR="0008539E" w:rsidRPr="0008539E" w:rsidRDefault="0008539E" w:rsidP="0008539E">
            <w:pPr>
              <w:rPr>
                <w:rFonts w:ascii="Arial" w:hAnsi="Arial" w:cs="Arial"/>
                <w:b/>
                <w:bCs/>
                <w:color w:val="0000FF"/>
                <w:sz w:val="20"/>
                <w:szCs w:val="20"/>
              </w:rPr>
            </w:pPr>
            <w:r w:rsidRPr="0008539E">
              <w:rPr>
                <w:rFonts w:ascii="Arial" w:hAnsi="Arial" w:cs="Arial"/>
                <w:b/>
                <w:bCs/>
                <w:color w:val="0000FF"/>
                <w:sz w:val="20"/>
                <w:szCs w:val="20"/>
              </w:rPr>
              <w:t>Table</w:t>
            </w:r>
            <w:r w:rsidR="00697D43">
              <w:rPr>
                <w:rFonts w:ascii="Arial" w:hAnsi="Arial" w:cs="Arial"/>
                <w:b/>
                <w:bCs/>
                <w:color w:val="0000FF"/>
                <w:sz w:val="20"/>
                <w:szCs w:val="20"/>
              </w:rPr>
              <w:t> </w:t>
            </w:r>
            <w:proofErr w:type="spellStart"/>
            <w:r w:rsidRPr="0008539E">
              <w:rPr>
                <w:rFonts w:ascii="Arial" w:hAnsi="Arial" w:cs="Arial"/>
                <w:b/>
                <w:bCs/>
                <w:color w:val="0000FF"/>
                <w:sz w:val="20"/>
                <w:szCs w:val="20"/>
              </w:rPr>
              <w:t>3A.51</w:t>
            </w:r>
            <w:proofErr w:type="spellEnd"/>
          </w:p>
        </w:tc>
        <w:tc>
          <w:tcPr>
            <w:tcW w:w="7404" w:type="dxa"/>
            <w:tcBorders>
              <w:top w:val="nil"/>
              <w:left w:val="nil"/>
              <w:bottom w:val="nil"/>
              <w:right w:val="nil"/>
            </w:tcBorders>
            <w:shd w:val="clear" w:color="auto" w:fill="auto"/>
            <w:hideMark/>
          </w:tcPr>
          <w:p w:rsidR="0008539E" w:rsidRPr="0008539E" w:rsidRDefault="0008539E" w:rsidP="0008539E">
            <w:pPr>
              <w:jc w:val="both"/>
              <w:rPr>
                <w:rFonts w:ascii="Arial" w:hAnsi="Arial" w:cs="Arial"/>
                <w:sz w:val="20"/>
                <w:szCs w:val="20"/>
              </w:rPr>
            </w:pPr>
            <w:r w:rsidRPr="0008539E">
              <w:rPr>
                <w:rFonts w:ascii="Arial" w:hAnsi="Arial" w:cs="Arial"/>
                <w:sz w:val="20"/>
                <w:szCs w:val="20"/>
              </w:rPr>
              <w:t>Workers delivering preschool programs, by level of qualification, by field of early childhood qualification, 2014</w:t>
            </w:r>
            <w:r w:rsidR="002D438E">
              <w:rPr>
                <w:rFonts w:ascii="Arial" w:hAnsi="Arial" w:cs="Arial"/>
                <w:sz w:val="20"/>
                <w:szCs w:val="20"/>
              </w:rPr>
              <w:t xml:space="preserve"> </w:t>
            </w:r>
          </w:p>
        </w:tc>
      </w:tr>
      <w:tr w:rsidR="0008539E" w:rsidRPr="0008539E" w:rsidTr="0008539E">
        <w:trPr>
          <w:trHeight w:val="612"/>
        </w:trPr>
        <w:tc>
          <w:tcPr>
            <w:tcW w:w="1456" w:type="dxa"/>
            <w:tcBorders>
              <w:top w:val="nil"/>
              <w:left w:val="nil"/>
              <w:bottom w:val="nil"/>
              <w:right w:val="nil"/>
            </w:tcBorders>
            <w:shd w:val="clear" w:color="auto" w:fill="auto"/>
            <w:noWrap/>
            <w:hideMark/>
          </w:tcPr>
          <w:p w:rsidR="0008539E" w:rsidRPr="0008539E" w:rsidRDefault="0008539E" w:rsidP="0008539E">
            <w:pPr>
              <w:rPr>
                <w:rFonts w:ascii="Arial" w:hAnsi="Arial" w:cs="Arial"/>
                <w:b/>
                <w:bCs/>
                <w:color w:val="0000FF"/>
                <w:sz w:val="20"/>
                <w:szCs w:val="20"/>
              </w:rPr>
            </w:pPr>
            <w:r w:rsidRPr="0008539E">
              <w:rPr>
                <w:rFonts w:ascii="Arial" w:hAnsi="Arial" w:cs="Arial"/>
                <w:b/>
                <w:bCs/>
                <w:color w:val="0000FF"/>
                <w:sz w:val="20"/>
                <w:szCs w:val="20"/>
              </w:rPr>
              <w:t>Table</w:t>
            </w:r>
            <w:r w:rsidR="00697D43">
              <w:rPr>
                <w:rFonts w:ascii="Arial" w:hAnsi="Arial" w:cs="Arial"/>
                <w:b/>
                <w:bCs/>
                <w:color w:val="0000FF"/>
                <w:sz w:val="20"/>
                <w:szCs w:val="20"/>
              </w:rPr>
              <w:t> </w:t>
            </w:r>
            <w:proofErr w:type="spellStart"/>
            <w:r w:rsidRPr="0008539E">
              <w:rPr>
                <w:rFonts w:ascii="Arial" w:hAnsi="Arial" w:cs="Arial"/>
                <w:b/>
                <w:bCs/>
                <w:color w:val="0000FF"/>
                <w:sz w:val="20"/>
                <w:szCs w:val="20"/>
              </w:rPr>
              <w:t>3A.52</w:t>
            </w:r>
            <w:proofErr w:type="spellEnd"/>
          </w:p>
        </w:tc>
        <w:tc>
          <w:tcPr>
            <w:tcW w:w="7404" w:type="dxa"/>
            <w:tcBorders>
              <w:top w:val="nil"/>
              <w:left w:val="nil"/>
              <w:bottom w:val="nil"/>
              <w:right w:val="nil"/>
            </w:tcBorders>
            <w:shd w:val="clear" w:color="auto" w:fill="auto"/>
            <w:hideMark/>
          </w:tcPr>
          <w:p w:rsidR="0008539E" w:rsidRPr="0008539E" w:rsidRDefault="0008539E" w:rsidP="0008539E">
            <w:pPr>
              <w:jc w:val="both"/>
              <w:rPr>
                <w:rFonts w:ascii="Arial" w:hAnsi="Arial" w:cs="Arial"/>
                <w:sz w:val="20"/>
                <w:szCs w:val="20"/>
              </w:rPr>
            </w:pPr>
            <w:r w:rsidRPr="0008539E">
              <w:rPr>
                <w:rFonts w:ascii="Arial" w:hAnsi="Arial" w:cs="Arial"/>
                <w:sz w:val="20"/>
                <w:szCs w:val="20"/>
              </w:rPr>
              <w:t>Teachers delivering preschool programs, by level of qualification, by field of early childhood qualification, 2014</w:t>
            </w:r>
            <w:r w:rsidR="002D438E">
              <w:rPr>
                <w:rFonts w:ascii="Arial" w:hAnsi="Arial" w:cs="Arial"/>
                <w:sz w:val="20"/>
                <w:szCs w:val="20"/>
              </w:rPr>
              <w:t xml:space="preserve"> </w:t>
            </w:r>
          </w:p>
        </w:tc>
      </w:tr>
      <w:tr w:rsidR="0008539E" w:rsidRPr="0008539E" w:rsidTr="0008539E">
        <w:trPr>
          <w:trHeight w:val="612"/>
        </w:trPr>
        <w:tc>
          <w:tcPr>
            <w:tcW w:w="1456" w:type="dxa"/>
            <w:tcBorders>
              <w:top w:val="nil"/>
              <w:left w:val="nil"/>
              <w:bottom w:val="nil"/>
              <w:right w:val="nil"/>
            </w:tcBorders>
            <w:shd w:val="clear" w:color="auto" w:fill="auto"/>
            <w:noWrap/>
            <w:hideMark/>
          </w:tcPr>
          <w:p w:rsidR="0008539E" w:rsidRPr="0008539E" w:rsidRDefault="0008539E" w:rsidP="0008539E">
            <w:pPr>
              <w:rPr>
                <w:rFonts w:ascii="Arial" w:hAnsi="Arial" w:cs="Arial"/>
                <w:b/>
                <w:bCs/>
                <w:color w:val="0000FF"/>
                <w:sz w:val="20"/>
                <w:szCs w:val="20"/>
              </w:rPr>
            </w:pPr>
            <w:r w:rsidRPr="0008539E">
              <w:rPr>
                <w:rFonts w:ascii="Arial" w:hAnsi="Arial" w:cs="Arial"/>
                <w:b/>
                <w:bCs/>
                <w:color w:val="0000FF"/>
                <w:sz w:val="20"/>
                <w:szCs w:val="20"/>
              </w:rPr>
              <w:t>Table</w:t>
            </w:r>
            <w:r w:rsidR="00697D43">
              <w:rPr>
                <w:rFonts w:ascii="Arial" w:hAnsi="Arial" w:cs="Arial"/>
                <w:b/>
                <w:bCs/>
                <w:color w:val="0000FF"/>
                <w:sz w:val="20"/>
                <w:szCs w:val="20"/>
              </w:rPr>
              <w:t> </w:t>
            </w:r>
            <w:proofErr w:type="spellStart"/>
            <w:r w:rsidRPr="0008539E">
              <w:rPr>
                <w:rFonts w:ascii="Arial" w:hAnsi="Arial" w:cs="Arial"/>
                <w:b/>
                <w:bCs/>
                <w:color w:val="0000FF"/>
                <w:sz w:val="20"/>
                <w:szCs w:val="20"/>
              </w:rPr>
              <w:t>3A.53</w:t>
            </w:r>
            <w:proofErr w:type="spellEnd"/>
          </w:p>
        </w:tc>
        <w:tc>
          <w:tcPr>
            <w:tcW w:w="7404" w:type="dxa"/>
            <w:tcBorders>
              <w:top w:val="nil"/>
              <w:left w:val="nil"/>
              <w:bottom w:val="nil"/>
              <w:right w:val="nil"/>
            </w:tcBorders>
            <w:shd w:val="clear" w:color="auto" w:fill="auto"/>
            <w:hideMark/>
          </w:tcPr>
          <w:p w:rsidR="0008539E" w:rsidRPr="0008539E" w:rsidRDefault="0008539E" w:rsidP="0008539E">
            <w:pPr>
              <w:jc w:val="both"/>
              <w:rPr>
                <w:rFonts w:ascii="Arial" w:hAnsi="Arial" w:cs="Arial"/>
                <w:sz w:val="20"/>
                <w:szCs w:val="20"/>
              </w:rPr>
            </w:pPr>
            <w:r w:rsidRPr="0008539E">
              <w:rPr>
                <w:rFonts w:ascii="Arial" w:hAnsi="Arial" w:cs="Arial"/>
                <w:sz w:val="20"/>
                <w:szCs w:val="20"/>
              </w:rPr>
              <w:t>National Quality Framework (</w:t>
            </w:r>
            <w:proofErr w:type="spellStart"/>
            <w:r w:rsidRPr="0008539E">
              <w:rPr>
                <w:rFonts w:ascii="Arial" w:hAnsi="Arial" w:cs="Arial"/>
                <w:sz w:val="20"/>
                <w:szCs w:val="20"/>
              </w:rPr>
              <w:t>NQF</w:t>
            </w:r>
            <w:proofErr w:type="spellEnd"/>
            <w:r w:rsidRPr="0008539E">
              <w:rPr>
                <w:rFonts w:ascii="Arial" w:hAnsi="Arial" w:cs="Arial"/>
                <w:sz w:val="20"/>
                <w:szCs w:val="20"/>
              </w:rPr>
              <w:t>) approved services, by service type, by quality rating, 30</w:t>
            </w:r>
            <w:r w:rsidR="002D438E">
              <w:rPr>
                <w:rFonts w:ascii="Arial" w:hAnsi="Arial" w:cs="Arial"/>
                <w:sz w:val="20"/>
                <w:szCs w:val="20"/>
              </w:rPr>
              <w:t> </w:t>
            </w:r>
            <w:r w:rsidRPr="0008539E">
              <w:rPr>
                <w:rFonts w:ascii="Arial" w:hAnsi="Arial" w:cs="Arial"/>
                <w:sz w:val="20"/>
                <w:szCs w:val="20"/>
              </w:rPr>
              <w:t>June 2015</w:t>
            </w:r>
            <w:r w:rsidR="002D438E">
              <w:rPr>
                <w:rFonts w:ascii="Arial" w:hAnsi="Arial" w:cs="Arial"/>
                <w:sz w:val="20"/>
                <w:szCs w:val="20"/>
              </w:rPr>
              <w:t xml:space="preserve"> </w:t>
            </w:r>
          </w:p>
        </w:tc>
      </w:tr>
      <w:tr w:rsidR="0008539E" w:rsidRPr="0008539E" w:rsidTr="0008539E">
        <w:trPr>
          <w:trHeight w:val="612"/>
        </w:trPr>
        <w:tc>
          <w:tcPr>
            <w:tcW w:w="1456" w:type="dxa"/>
            <w:tcBorders>
              <w:top w:val="nil"/>
              <w:left w:val="nil"/>
              <w:bottom w:val="nil"/>
              <w:right w:val="nil"/>
            </w:tcBorders>
            <w:shd w:val="clear" w:color="auto" w:fill="auto"/>
            <w:noWrap/>
            <w:hideMark/>
          </w:tcPr>
          <w:p w:rsidR="0008539E" w:rsidRPr="0008539E" w:rsidRDefault="0008539E" w:rsidP="0008539E">
            <w:pPr>
              <w:rPr>
                <w:rFonts w:ascii="Arial" w:hAnsi="Arial" w:cs="Arial"/>
                <w:b/>
                <w:bCs/>
                <w:color w:val="0000FF"/>
                <w:sz w:val="20"/>
                <w:szCs w:val="20"/>
              </w:rPr>
            </w:pPr>
            <w:r w:rsidRPr="0008539E">
              <w:rPr>
                <w:rFonts w:ascii="Arial" w:hAnsi="Arial" w:cs="Arial"/>
                <w:b/>
                <w:bCs/>
                <w:color w:val="0000FF"/>
                <w:sz w:val="20"/>
                <w:szCs w:val="20"/>
              </w:rPr>
              <w:t>Table</w:t>
            </w:r>
            <w:r w:rsidR="00697D43">
              <w:rPr>
                <w:rFonts w:ascii="Arial" w:hAnsi="Arial" w:cs="Arial"/>
                <w:b/>
                <w:bCs/>
                <w:color w:val="0000FF"/>
                <w:sz w:val="20"/>
                <w:szCs w:val="20"/>
              </w:rPr>
              <w:t> </w:t>
            </w:r>
            <w:proofErr w:type="spellStart"/>
            <w:r w:rsidRPr="0008539E">
              <w:rPr>
                <w:rFonts w:ascii="Arial" w:hAnsi="Arial" w:cs="Arial"/>
                <w:b/>
                <w:bCs/>
                <w:color w:val="0000FF"/>
                <w:sz w:val="20"/>
                <w:szCs w:val="20"/>
              </w:rPr>
              <w:t>3A.54</w:t>
            </w:r>
            <w:proofErr w:type="spellEnd"/>
          </w:p>
        </w:tc>
        <w:tc>
          <w:tcPr>
            <w:tcW w:w="7404" w:type="dxa"/>
            <w:tcBorders>
              <w:top w:val="nil"/>
              <w:left w:val="nil"/>
              <w:bottom w:val="nil"/>
              <w:right w:val="nil"/>
            </w:tcBorders>
            <w:shd w:val="clear" w:color="auto" w:fill="auto"/>
            <w:hideMark/>
          </w:tcPr>
          <w:p w:rsidR="0008539E" w:rsidRPr="0008539E" w:rsidRDefault="0008539E" w:rsidP="0008539E">
            <w:pPr>
              <w:jc w:val="both"/>
              <w:rPr>
                <w:rFonts w:ascii="Arial" w:hAnsi="Arial" w:cs="Arial"/>
                <w:sz w:val="20"/>
                <w:szCs w:val="20"/>
              </w:rPr>
            </w:pPr>
            <w:proofErr w:type="spellStart"/>
            <w:r w:rsidRPr="0008539E">
              <w:rPr>
                <w:rFonts w:ascii="Arial" w:hAnsi="Arial" w:cs="Arial"/>
                <w:sz w:val="20"/>
                <w:szCs w:val="20"/>
              </w:rPr>
              <w:t>NQF</w:t>
            </w:r>
            <w:proofErr w:type="spellEnd"/>
            <w:r w:rsidRPr="0008539E">
              <w:rPr>
                <w:rFonts w:ascii="Arial" w:hAnsi="Arial" w:cs="Arial"/>
                <w:sz w:val="20"/>
                <w:szCs w:val="20"/>
              </w:rPr>
              <w:t xml:space="preserve"> approved services with a quality rating, by rating level</w:t>
            </w:r>
            <w:r w:rsidR="002D438E">
              <w:rPr>
                <w:rFonts w:ascii="Arial" w:hAnsi="Arial" w:cs="Arial"/>
                <w:sz w:val="20"/>
                <w:szCs w:val="20"/>
              </w:rPr>
              <w:t xml:space="preserve"> </w:t>
            </w:r>
            <w:r w:rsidRPr="0008539E">
              <w:rPr>
                <w:rFonts w:ascii="Arial" w:hAnsi="Arial" w:cs="Arial"/>
                <w:sz w:val="20"/>
                <w:szCs w:val="20"/>
              </w:rPr>
              <w:t>Quality Area 1: Educational program and practice, 30</w:t>
            </w:r>
            <w:r w:rsidR="002D438E">
              <w:rPr>
                <w:rFonts w:ascii="Arial" w:hAnsi="Arial" w:cs="Arial"/>
                <w:sz w:val="20"/>
                <w:szCs w:val="20"/>
              </w:rPr>
              <w:t> </w:t>
            </w:r>
            <w:r w:rsidRPr="0008539E">
              <w:rPr>
                <w:rFonts w:ascii="Arial" w:hAnsi="Arial" w:cs="Arial"/>
                <w:sz w:val="20"/>
                <w:szCs w:val="20"/>
              </w:rPr>
              <w:t>June 2015</w:t>
            </w:r>
            <w:r w:rsidR="002D438E">
              <w:rPr>
                <w:rFonts w:ascii="Arial" w:hAnsi="Arial" w:cs="Arial"/>
                <w:sz w:val="20"/>
                <w:szCs w:val="20"/>
              </w:rPr>
              <w:t xml:space="preserve"> </w:t>
            </w:r>
          </w:p>
        </w:tc>
      </w:tr>
      <w:tr w:rsidR="0008539E" w:rsidRPr="0008539E" w:rsidTr="0008539E">
        <w:trPr>
          <w:trHeight w:val="612"/>
        </w:trPr>
        <w:tc>
          <w:tcPr>
            <w:tcW w:w="1456" w:type="dxa"/>
            <w:tcBorders>
              <w:top w:val="nil"/>
              <w:left w:val="nil"/>
              <w:bottom w:val="nil"/>
              <w:right w:val="nil"/>
            </w:tcBorders>
            <w:shd w:val="clear" w:color="auto" w:fill="auto"/>
            <w:noWrap/>
            <w:hideMark/>
          </w:tcPr>
          <w:p w:rsidR="0008539E" w:rsidRPr="0008539E" w:rsidRDefault="0008539E" w:rsidP="0008539E">
            <w:pPr>
              <w:rPr>
                <w:rFonts w:ascii="Arial" w:hAnsi="Arial" w:cs="Arial"/>
                <w:b/>
                <w:bCs/>
                <w:color w:val="0000FF"/>
                <w:sz w:val="20"/>
                <w:szCs w:val="20"/>
              </w:rPr>
            </w:pPr>
            <w:r w:rsidRPr="0008539E">
              <w:rPr>
                <w:rFonts w:ascii="Arial" w:hAnsi="Arial" w:cs="Arial"/>
                <w:b/>
                <w:bCs/>
                <w:color w:val="0000FF"/>
                <w:sz w:val="20"/>
                <w:szCs w:val="20"/>
              </w:rPr>
              <w:t>Table</w:t>
            </w:r>
            <w:r w:rsidR="00697D43">
              <w:rPr>
                <w:rFonts w:ascii="Arial" w:hAnsi="Arial" w:cs="Arial"/>
                <w:b/>
                <w:bCs/>
                <w:color w:val="0000FF"/>
                <w:sz w:val="20"/>
                <w:szCs w:val="20"/>
              </w:rPr>
              <w:t> </w:t>
            </w:r>
            <w:proofErr w:type="spellStart"/>
            <w:r w:rsidRPr="0008539E">
              <w:rPr>
                <w:rFonts w:ascii="Arial" w:hAnsi="Arial" w:cs="Arial"/>
                <w:b/>
                <w:bCs/>
                <w:color w:val="0000FF"/>
                <w:sz w:val="20"/>
                <w:szCs w:val="20"/>
              </w:rPr>
              <w:t>3A.55</w:t>
            </w:r>
            <w:proofErr w:type="spellEnd"/>
          </w:p>
        </w:tc>
        <w:tc>
          <w:tcPr>
            <w:tcW w:w="7404" w:type="dxa"/>
            <w:tcBorders>
              <w:top w:val="nil"/>
              <w:left w:val="nil"/>
              <w:bottom w:val="nil"/>
              <w:right w:val="nil"/>
            </w:tcBorders>
            <w:shd w:val="clear" w:color="auto" w:fill="auto"/>
            <w:hideMark/>
          </w:tcPr>
          <w:p w:rsidR="0008539E" w:rsidRPr="0008539E" w:rsidRDefault="0008539E" w:rsidP="0008539E">
            <w:pPr>
              <w:jc w:val="both"/>
              <w:rPr>
                <w:rFonts w:ascii="Arial" w:hAnsi="Arial" w:cs="Arial"/>
                <w:sz w:val="20"/>
                <w:szCs w:val="20"/>
              </w:rPr>
            </w:pPr>
            <w:proofErr w:type="spellStart"/>
            <w:r w:rsidRPr="0008539E">
              <w:rPr>
                <w:rFonts w:ascii="Arial" w:hAnsi="Arial" w:cs="Arial"/>
                <w:sz w:val="20"/>
                <w:szCs w:val="20"/>
              </w:rPr>
              <w:t>NQF</w:t>
            </w:r>
            <w:proofErr w:type="spellEnd"/>
            <w:r w:rsidRPr="0008539E">
              <w:rPr>
                <w:rFonts w:ascii="Arial" w:hAnsi="Arial" w:cs="Arial"/>
                <w:sz w:val="20"/>
                <w:szCs w:val="20"/>
              </w:rPr>
              <w:t xml:space="preserve"> approved services with a quality rating, by rating level</w:t>
            </w:r>
            <w:r w:rsidR="002D438E">
              <w:rPr>
                <w:rFonts w:ascii="Arial" w:hAnsi="Arial" w:cs="Arial"/>
                <w:sz w:val="20"/>
                <w:szCs w:val="20"/>
              </w:rPr>
              <w:t xml:space="preserve"> </w:t>
            </w:r>
            <w:r w:rsidRPr="0008539E">
              <w:rPr>
                <w:rFonts w:ascii="Arial" w:hAnsi="Arial" w:cs="Arial"/>
                <w:sz w:val="20"/>
                <w:szCs w:val="20"/>
              </w:rPr>
              <w:t>Quality Area 2: Children</w:t>
            </w:r>
            <w:r w:rsidR="002D438E">
              <w:rPr>
                <w:rFonts w:ascii="Arial" w:hAnsi="Arial" w:cs="Arial"/>
                <w:sz w:val="20"/>
                <w:szCs w:val="20"/>
              </w:rPr>
              <w:t>’</w:t>
            </w:r>
            <w:r w:rsidRPr="0008539E">
              <w:rPr>
                <w:rFonts w:ascii="Arial" w:hAnsi="Arial" w:cs="Arial"/>
                <w:sz w:val="20"/>
                <w:szCs w:val="20"/>
              </w:rPr>
              <w:t>s health and safety, 30</w:t>
            </w:r>
            <w:r w:rsidR="002D438E">
              <w:rPr>
                <w:rFonts w:ascii="Arial" w:hAnsi="Arial" w:cs="Arial"/>
                <w:sz w:val="20"/>
                <w:szCs w:val="20"/>
              </w:rPr>
              <w:t> </w:t>
            </w:r>
            <w:r w:rsidRPr="0008539E">
              <w:rPr>
                <w:rFonts w:ascii="Arial" w:hAnsi="Arial" w:cs="Arial"/>
                <w:sz w:val="20"/>
                <w:szCs w:val="20"/>
              </w:rPr>
              <w:t>June 2015</w:t>
            </w:r>
            <w:r w:rsidR="002D438E">
              <w:rPr>
                <w:rFonts w:ascii="Arial" w:hAnsi="Arial" w:cs="Arial"/>
                <w:sz w:val="20"/>
                <w:szCs w:val="20"/>
              </w:rPr>
              <w:t xml:space="preserve"> </w:t>
            </w:r>
          </w:p>
        </w:tc>
      </w:tr>
      <w:tr w:rsidR="0008539E" w:rsidRPr="0008539E" w:rsidTr="0008539E">
        <w:trPr>
          <w:trHeight w:val="612"/>
        </w:trPr>
        <w:tc>
          <w:tcPr>
            <w:tcW w:w="1456" w:type="dxa"/>
            <w:tcBorders>
              <w:top w:val="nil"/>
              <w:left w:val="nil"/>
              <w:bottom w:val="nil"/>
              <w:right w:val="nil"/>
            </w:tcBorders>
            <w:shd w:val="clear" w:color="auto" w:fill="auto"/>
            <w:noWrap/>
            <w:hideMark/>
          </w:tcPr>
          <w:p w:rsidR="0008539E" w:rsidRPr="0008539E" w:rsidRDefault="0008539E" w:rsidP="0008539E">
            <w:pPr>
              <w:rPr>
                <w:rFonts w:ascii="Arial" w:hAnsi="Arial" w:cs="Arial"/>
                <w:b/>
                <w:bCs/>
                <w:color w:val="0000FF"/>
                <w:sz w:val="20"/>
                <w:szCs w:val="20"/>
              </w:rPr>
            </w:pPr>
            <w:r w:rsidRPr="0008539E">
              <w:rPr>
                <w:rFonts w:ascii="Arial" w:hAnsi="Arial" w:cs="Arial"/>
                <w:b/>
                <w:bCs/>
                <w:color w:val="0000FF"/>
                <w:sz w:val="20"/>
                <w:szCs w:val="20"/>
              </w:rPr>
              <w:t>Table</w:t>
            </w:r>
            <w:r w:rsidR="00697D43">
              <w:rPr>
                <w:rFonts w:ascii="Arial" w:hAnsi="Arial" w:cs="Arial"/>
                <w:b/>
                <w:bCs/>
                <w:color w:val="0000FF"/>
                <w:sz w:val="20"/>
                <w:szCs w:val="20"/>
              </w:rPr>
              <w:t> </w:t>
            </w:r>
            <w:proofErr w:type="spellStart"/>
            <w:r w:rsidRPr="0008539E">
              <w:rPr>
                <w:rFonts w:ascii="Arial" w:hAnsi="Arial" w:cs="Arial"/>
                <w:b/>
                <w:bCs/>
                <w:color w:val="0000FF"/>
                <w:sz w:val="20"/>
                <w:szCs w:val="20"/>
              </w:rPr>
              <w:t>3A.56</w:t>
            </w:r>
            <w:proofErr w:type="spellEnd"/>
          </w:p>
        </w:tc>
        <w:tc>
          <w:tcPr>
            <w:tcW w:w="7404" w:type="dxa"/>
            <w:tcBorders>
              <w:top w:val="nil"/>
              <w:left w:val="nil"/>
              <w:bottom w:val="nil"/>
              <w:right w:val="nil"/>
            </w:tcBorders>
            <w:shd w:val="clear" w:color="auto" w:fill="auto"/>
            <w:hideMark/>
          </w:tcPr>
          <w:p w:rsidR="0008539E" w:rsidRPr="0008539E" w:rsidRDefault="0008539E" w:rsidP="0008539E">
            <w:pPr>
              <w:jc w:val="both"/>
              <w:rPr>
                <w:rFonts w:ascii="Arial" w:hAnsi="Arial" w:cs="Arial"/>
                <w:sz w:val="20"/>
                <w:szCs w:val="20"/>
              </w:rPr>
            </w:pPr>
            <w:proofErr w:type="spellStart"/>
            <w:r w:rsidRPr="0008539E">
              <w:rPr>
                <w:rFonts w:ascii="Arial" w:hAnsi="Arial" w:cs="Arial"/>
                <w:sz w:val="20"/>
                <w:szCs w:val="20"/>
              </w:rPr>
              <w:t>NQF</w:t>
            </w:r>
            <w:proofErr w:type="spellEnd"/>
            <w:r w:rsidRPr="0008539E">
              <w:rPr>
                <w:rFonts w:ascii="Arial" w:hAnsi="Arial" w:cs="Arial"/>
                <w:sz w:val="20"/>
                <w:szCs w:val="20"/>
              </w:rPr>
              <w:t xml:space="preserve"> approved services with a quality rating, by rating level</w:t>
            </w:r>
            <w:r w:rsidR="002D438E">
              <w:rPr>
                <w:rFonts w:ascii="Arial" w:hAnsi="Arial" w:cs="Arial"/>
                <w:sz w:val="20"/>
                <w:szCs w:val="20"/>
              </w:rPr>
              <w:t xml:space="preserve"> </w:t>
            </w:r>
            <w:r w:rsidRPr="0008539E">
              <w:rPr>
                <w:rFonts w:ascii="Arial" w:hAnsi="Arial" w:cs="Arial"/>
                <w:sz w:val="20"/>
                <w:szCs w:val="20"/>
              </w:rPr>
              <w:t>Quality Area 3: Physical environment, 30</w:t>
            </w:r>
            <w:r w:rsidR="002D438E">
              <w:rPr>
                <w:rFonts w:ascii="Arial" w:hAnsi="Arial" w:cs="Arial"/>
                <w:sz w:val="20"/>
                <w:szCs w:val="20"/>
              </w:rPr>
              <w:t> </w:t>
            </w:r>
            <w:r w:rsidRPr="0008539E">
              <w:rPr>
                <w:rFonts w:ascii="Arial" w:hAnsi="Arial" w:cs="Arial"/>
                <w:sz w:val="20"/>
                <w:szCs w:val="20"/>
              </w:rPr>
              <w:t>June 2015</w:t>
            </w:r>
            <w:r w:rsidR="002D438E">
              <w:rPr>
                <w:rFonts w:ascii="Arial" w:hAnsi="Arial" w:cs="Arial"/>
                <w:sz w:val="20"/>
                <w:szCs w:val="20"/>
              </w:rPr>
              <w:t xml:space="preserve"> </w:t>
            </w:r>
          </w:p>
        </w:tc>
      </w:tr>
      <w:tr w:rsidR="0008539E" w:rsidRPr="0008539E" w:rsidTr="0008539E">
        <w:trPr>
          <w:trHeight w:val="612"/>
        </w:trPr>
        <w:tc>
          <w:tcPr>
            <w:tcW w:w="1456" w:type="dxa"/>
            <w:tcBorders>
              <w:top w:val="nil"/>
              <w:left w:val="nil"/>
              <w:bottom w:val="nil"/>
              <w:right w:val="nil"/>
            </w:tcBorders>
            <w:shd w:val="clear" w:color="auto" w:fill="auto"/>
            <w:noWrap/>
            <w:hideMark/>
          </w:tcPr>
          <w:p w:rsidR="0008539E" w:rsidRPr="0008539E" w:rsidRDefault="0008539E" w:rsidP="0008539E">
            <w:pPr>
              <w:rPr>
                <w:rFonts w:ascii="Arial" w:hAnsi="Arial" w:cs="Arial"/>
                <w:b/>
                <w:bCs/>
                <w:color w:val="0000FF"/>
                <w:sz w:val="20"/>
                <w:szCs w:val="20"/>
              </w:rPr>
            </w:pPr>
            <w:r w:rsidRPr="0008539E">
              <w:rPr>
                <w:rFonts w:ascii="Arial" w:hAnsi="Arial" w:cs="Arial"/>
                <w:b/>
                <w:bCs/>
                <w:color w:val="0000FF"/>
                <w:sz w:val="20"/>
                <w:szCs w:val="20"/>
              </w:rPr>
              <w:t>Table</w:t>
            </w:r>
            <w:r w:rsidR="00697D43">
              <w:rPr>
                <w:rFonts w:ascii="Arial" w:hAnsi="Arial" w:cs="Arial"/>
                <w:b/>
                <w:bCs/>
                <w:color w:val="0000FF"/>
                <w:sz w:val="20"/>
                <w:szCs w:val="20"/>
              </w:rPr>
              <w:t> </w:t>
            </w:r>
            <w:proofErr w:type="spellStart"/>
            <w:r w:rsidRPr="0008539E">
              <w:rPr>
                <w:rFonts w:ascii="Arial" w:hAnsi="Arial" w:cs="Arial"/>
                <w:b/>
                <w:bCs/>
                <w:color w:val="0000FF"/>
                <w:sz w:val="20"/>
                <w:szCs w:val="20"/>
              </w:rPr>
              <w:t>3A.57</w:t>
            </w:r>
            <w:proofErr w:type="spellEnd"/>
          </w:p>
        </w:tc>
        <w:tc>
          <w:tcPr>
            <w:tcW w:w="7404" w:type="dxa"/>
            <w:tcBorders>
              <w:top w:val="nil"/>
              <w:left w:val="nil"/>
              <w:bottom w:val="nil"/>
              <w:right w:val="nil"/>
            </w:tcBorders>
            <w:shd w:val="clear" w:color="auto" w:fill="auto"/>
            <w:hideMark/>
          </w:tcPr>
          <w:p w:rsidR="0008539E" w:rsidRPr="0008539E" w:rsidRDefault="0008539E" w:rsidP="0008539E">
            <w:pPr>
              <w:jc w:val="both"/>
              <w:rPr>
                <w:rFonts w:ascii="Arial" w:hAnsi="Arial" w:cs="Arial"/>
                <w:sz w:val="20"/>
                <w:szCs w:val="20"/>
              </w:rPr>
            </w:pPr>
            <w:proofErr w:type="spellStart"/>
            <w:r w:rsidRPr="0008539E">
              <w:rPr>
                <w:rFonts w:ascii="Arial" w:hAnsi="Arial" w:cs="Arial"/>
                <w:sz w:val="20"/>
                <w:szCs w:val="20"/>
              </w:rPr>
              <w:t>NQF</w:t>
            </w:r>
            <w:proofErr w:type="spellEnd"/>
            <w:r w:rsidRPr="0008539E">
              <w:rPr>
                <w:rFonts w:ascii="Arial" w:hAnsi="Arial" w:cs="Arial"/>
                <w:sz w:val="20"/>
                <w:szCs w:val="20"/>
              </w:rPr>
              <w:t xml:space="preserve"> approved services with a quality rating, by rating level</w:t>
            </w:r>
            <w:r w:rsidR="002D438E">
              <w:rPr>
                <w:rFonts w:ascii="Arial" w:hAnsi="Arial" w:cs="Arial"/>
                <w:sz w:val="20"/>
                <w:szCs w:val="20"/>
              </w:rPr>
              <w:t xml:space="preserve"> </w:t>
            </w:r>
            <w:r w:rsidRPr="0008539E">
              <w:rPr>
                <w:rFonts w:ascii="Arial" w:hAnsi="Arial" w:cs="Arial"/>
                <w:sz w:val="20"/>
                <w:szCs w:val="20"/>
              </w:rPr>
              <w:t>Quality Area 4: Staffing arrangements, 30</w:t>
            </w:r>
            <w:r w:rsidR="002D438E">
              <w:rPr>
                <w:rFonts w:ascii="Arial" w:hAnsi="Arial" w:cs="Arial"/>
                <w:sz w:val="20"/>
                <w:szCs w:val="20"/>
              </w:rPr>
              <w:t> </w:t>
            </w:r>
            <w:r w:rsidRPr="0008539E">
              <w:rPr>
                <w:rFonts w:ascii="Arial" w:hAnsi="Arial" w:cs="Arial"/>
                <w:sz w:val="20"/>
                <w:szCs w:val="20"/>
              </w:rPr>
              <w:t>June 2015</w:t>
            </w:r>
            <w:r w:rsidR="002D438E">
              <w:rPr>
                <w:rFonts w:ascii="Arial" w:hAnsi="Arial" w:cs="Arial"/>
                <w:sz w:val="20"/>
                <w:szCs w:val="20"/>
              </w:rPr>
              <w:t xml:space="preserve"> </w:t>
            </w:r>
          </w:p>
        </w:tc>
      </w:tr>
      <w:tr w:rsidR="0008539E" w:rsidRPr="0008539E" w:rsidTr="0008539E">
        <w:trPr>
          <w:trHeight w:val="612"/>
        </w:trPr>
        <w:tc>
          <w:tcPr>
            <w:tcW w:w="1456" w:type="dxa"/>
            <w:tcBorders>
              <w:top w:val="nil"/>
              <w:left w:val="nil"/>
              <w:bottom w:val="nil"/>
              <w:right w:val="nil"/>
            </w:tcBorders>
            <w:shd w:val="clear" w:color="auto" w:fill="auto"/>
            <w:noWrap/>
            <w:hideMark/>
          </w:tcPr>
          <w:p w:rsidR="0008539E" w:rsidRPr="0008539E" w:rsidRDefault="0008539E" w:rsidP="0008539E">
            <w:pPr>
              <w:rPr>
                <w:rFonts w:ascii="Arial" w:hAnsi="Arial" w:cs="Arial"/>
                <w:b/>
                <w:bCs/>
                <w:color w:val="0000FF"/>
                <w:sz w:val="20"/>
                <w:szCs w:val="20"/>
              </w:rPr>
            </w:pPr>
            <w:r w:rsidRPr="0008539E">
              <w:rPr>
                <w:rFonts w:ascii="Arial" w:hAnsi="Arial" w:cs="Arial"/>
                <w:b/>
                <w:bCs/>
                <w:color w:val="0000FF"/>
                <w:sz w:val="20"/>
                <w:szCs w:val="20"/>
              </w:rPr>
              <w:t>Table</w:t>
            </w:r>
            <w:r w:rsidR="00697D43">
              <w:rPr>
                <w:rFonts w:ascii="Arial" w:hAnsi="Arial" w:cs="Arial"/>
                <w:b/>
                <w:bCs/>
                <w:color w:val="0000FF"/>
                <w:sz w:val="20"/>
                <w:szCs w:val="20"/>
              </w:rPr>
              <w:t> </w:t>
            </w:r>
            <w:proofErr w:type="spellStart"/>
            <w:r w:rsidRPr="0008539E">
              <w:rPr>
                <w:rFonts w:ascii="Arial" w:hAnsi="Arial" w:cs="Arial"/>
                <w:b/>
                <w:bCs/>
                <w:color w:val="0000FF"/>
                <w:sz w:val="20"/>
                <w:szCs w:val="20"/>
              </w:rPr>
              <w:t>3A.58</w:t>
            </w:r>
            <w:proofErr w:type="spellEnd"/>
          </w:p>
        </w:tc>
        <w:tc>
          <w:tcPr>
            <w:tcW w:w="7404" w:type="dxa"/>
            <w:tcBorders>
              <w:top w:val="nil"/>
              <w:left w:val="nil"/>
              <w:bottom w:val="nil"/>
              <w:right w:val="nil"/>
            </w:tcBorders>
            <w:shd w:val="clear" w:color="auto" w:fill="auto"/>
            <w:hideMark/>
          </w:tcPr>
          <w:p w:rsidR="0008539E" w:rsidRPr="0008539E" w:rsidRDefault="0008539E" w:rsidP="0008539E">
            <w:pPr>
              <w:jc w:val="both"/>
              <w:rPr>
                <w:rFonts w:ascii="Arial" w:hAnsi="Arial" w:cs="Arial"/>
                <w:sz w:val="20"/>
                <w:szCs w:val="20"/>
              </w:rPr>
            </w:pPr>
            <w:proofErr w:type="spellStart"/>
            <w:r w:rsidRPr="0008539E">
              <w:rPr>
                <w:rFonts w:ascii="Arial" w:hAnsi="Arial" w:cs="Arial"/>
                <w:sz w:val="20"/>
                <w:szCs w:val="20"/>
              </w:rPr>
              <w:t>NQF</w:t>
            </w:r>
            <w:proofErr w:type="spellEnd"/>
            <w:r w:rsidRPr="0008539E">
              <w:rPr>
                <w:rFonts w:ascii="Arial" w:hAnsi="Arial" w:cs="Arial"/>
                <w:sz w:val="20"/>
                <w:szCs w:val="20"/>
              </w:rPr>
              <w:t xml:space="preserve"> approved services with a quality rating, by rating level</w:t>
            </w:r>
            <w:r w:rsidR="002D438E">
              <w:rPr>
                <w:rFonts w:ascii="Arial" w:hAnsi="Arial" w:cs="Arial"/>
                <w:sz w:val="20"/>
                <w:szCs w:val="20"/>
              </w:rPr>
              <w:t xml:space="preserve"> </w:t>
            </w:r>
            <w:r w:rsidRPr="0008539E">
              <w:rPr>
                <w:rFonts w:ascii="Arial" w:hAnsi="Arial" w:cs="Arial"/>
                <w:sz w:val="20"/>
                <w:szCs w:val="20"/>
              </w:rPr>
              <w:t>Quality Area 5: Relationships with children, 30</w:t>
            </w:r>
            <w:r w:rsidR="002D438E">
              <w:rPr>
                <w:rFonts w:ascii="Arial" w:hAnsi="Arial" w:cs="Arial"/>
                <w:sz w:val="20"/>
                <w:szCs w:val="20"/>
              </w:rPr>
              <w:t> </w:t>
            </w:r>
            <w:r w:rsidRPr="0008539E">
              <w:rPr>
                <w:rFonts w:ascii="Arial" w:hAnsi="Arial" w:cs="Arial"/>
                <w:sz w:val="20"/>
                <w:szCs w:val="20"/>
              </w:rPr>
              <w:t>June 2015</w:t>
            </w:r>
            <w:r w:rsidR="002D438E">
              <w:rPr>
                <w:rFonts w:ascii="Arial" w:hAnsi="Arial" w:cs="Arial"/>
                <w:sz w:val="20"/>
                <w:szCs w:val="20"/>
              </w:rPr>
              <w:t xml:space="preserve"> </w:t>
            </w:r>
          </w:p>
        </w:tc>
      </w:tr>
      <w:tr w:rsidR="0008539E" w:rsidRPr="0008539E" w:rsidTr="0008539E">
        <w:trPr>
          <w:trHeight w:val="612"/>
        </w:trPr>
        <w:tc>
          <w:tcPr>
            <w:tcW w:w="1456" w:type="dxa"/>
            <w:tcBorders>
              <w:top w:val="nil"/>
              <w:left w:val="nil"/>
              <w:bottom w:val="nil"/>
              <w:right w:val="nil"/>
            </w:tcBorders>
            <w:shd w:val="clear" w:color="auto" w:fill="auto"/>
            <w:noWrap/>
            <w:hideMark/>
          </w:tcPr>
          <w:p w:rsidR="0008539E" w:rsidRPr="0008539E" w:rsidRDefault="0008539E" w:rsidP="0008539E">
            <w:pPr>
              <w:rPr>
                <w:rFonts w:ascii="Arial" w:hAnsi="Arial" w:cs="Arial"/>
                <w:b/>
                <w:bCs/>
                <w:color w:val="0000FF"/>
                <w:sz w:val="20"/>
                <w:szCs w:val="20"/>
              </w:rPr>
            </w:pPr>
            <w:r w:rsidRPr="0008539E">
              <w:rPr>
                <w:rFonts w:ascii="Arial" w:hAnsi="Arial" w:cs="Arial"/>
                <w:b/>
                <w:bCs/>
                <w:color w:val="0000FF"/>
                <w:sz w:val="20"/>
                <w:szCs w:val="20"/>
              </w:rPr>
              <w:t>Table</w:t>
            </w:r>
            <w:r w:rsidR="00697D43">
              <w:rPr>
                <w:rFonts w:ascii="Arial" w:hAnsi="Arial" w:cs="Arial"/>
                <w:b/>
                <w:bCs/>
                <w:color w:val="0000FF"/>
                <w:sz w:val="20"/>
                <w:szCs w:val="20"/>
              </w:rPr>
              <w:t> </w:t>
            </w:r>
            <w:proofErr w:type="spellStart"/>
            <w:r w:rsidRPr="0008539E">
              <w:rPr>
                <w:rFonts w:ascii="Arial" w:hAnsi="Arial" w:cs="Arial"/>
                <w:b/>
                <w:bCs/>
                <w:color w:val="0000FF"/>
                <w:sz w:val="20"/>
                <w:szCs w:val="20"/>
              </w:rPr>
              <w:t>3A.59</w:t>
            </w:r>
            <w:proofErr w:type="spellEnd"/>
          </w:p>
        </w:tc>
        <w:tc>
          <w:tcPr>
            <w:tcW w:w="7404" w:type="dxa"/>
            <w:tcBorders>
              <w:top w:val="nil"/>
              <w:left w:val="nil"/>
              <w:bottom w:val="nil"/>
              <w:right w:val="nil"/>
            </w:tcBorders>
            <w:shd w:val="clear" w:color="auto" w:fill="auto"/>
            <w:hideMark/>
          </w:tcPr>
          <w:p w:rsidR="0008539E" w:rsidRPr="0008539E" w:rsidRDefault="0008539E" w:rsidP="0008539E">
            <w:pPr>
              <w:jc w:val="both"/>
              <w:rPr>
                <w:rFonts w:ascii="Arial" w:hAnsi="Arial" w:cs="Arial"/>
                <w:sz w:val="20"/>
                <w:szCs w:val="20"/>
              </w:rPr>
            </w:pPr>
            <w:proofErr w:type="spellStart"/>
            <w:r w:rsidRPr="0008539E">
              <w:rPr>
                <w:rFonts w:ascii="Arial" w:hAnsi="Arial" w:cs="Arial"/>
                <w:sz w:val="20"/>
                <w:szCs w:val="20"/>
              </w:rPr>
              <w:t>NQF</w:t>
            </w:r>
            <w:proofErr w:type="spellEnd"/>
            <w:r w:rsidRPr="0008539E">
              <w:rPr>
                <w:rFonts w:ascii="Arial" w:hAnsi="Arial" w:cs="Arial"/>
                <w:sz w:val="20"/>
                <w:szCs w:val="20"/>
              </w:rPr>
              <w:t xml:space="preserve"> approved services with a quality rating, by rating level</w:t>
            </w:r>
            <w:r w:rsidR="002D438E">
              <w:rPr>
                <w:rFonts w:ascii="Arial" w:hAnsi="Arial" w:cs="Arial"/>
                <w:sz w:val="20"/>
                <w:szCs w:val="20"/>
              </w:rPr>
              <w:t xml:space="preserve"> </w:t>
            </w:r>
            <w:r w:rsidRPr="0008539E">
              <w:rPr>
                <w:rFonts w:ascii="Arial" w:hAnsi="Arial" w:cs="Arial"/>
                <w:sz w:val="20"/>
                <w:szCs w:val="20"/>
              </w:rPr>
              <w:t>Quality Area 6: Partnerships with families and communities, 30</w:t>
            </w:r>
            <w:r w:rsidR="002D438E">
              <w:rPr>
                <w:rFonts w:ascii="Arial" w:hAnsi="Arial" w:cs="Arial"/>
                <w:sz w:val="20"/>
                <w:szCs w:val="20"/>
              </w:rPr>
              <w:t> </w:t>
            </w:r>
            <w:r w:rsidRPr="0008539E">
              <w:rPr>
                <w:rFonts w:ascii="Arial" w:hAnsi="Arial" w:cs="Arial"/>
                <w:sz w:val="20"/>
                <w:szCs w:val="20"/>
              </w:rPr>
              <w:t>June 2015</w:t>
            </w:r>
            <w:r w:rsidR="002D438E">
              <w:rPr>
                <w:rFonts w:ascii="Arial" w:hAnsi="Arial" w:cs="Arial"/>
                <w:sz w:val="20"/>
                <w:szCs w:val="20"/>
              </w:rPr>
              <w:t xml:space="preserve"> </w:t>
            </w:r>
          </w:p>
        </w:tc>
      </w:tr>
      <w:tr w:rsidR="0008539E" w:rsidRPr="0008539E" w:rsidTr="0008539E">
        <w:trPr>
          <w:trHeight w:val="612"/>
        </w:trPr>
        <w:tc>
          <w:tcPr>
            <w:tcW w:w="1456" w:type="dxa"/>
            <w:tcBorders>
              <w:top w:val="nil"/>
              <w:left w:val="nil"/>
              <w:bottom w:val="nil"/>
              <w:right w:val="nil"/>
            </w:tcBorders>
            <w:shd w:val="clear" w:color="auto" w:fill="auto"/>
            <w:noWrap/>
            <w:hideMark/>
          </w:tcPr>
          <w:p w:rsidR="0008539E" w:rsidRPr="0008539E" w:rsidRDefault="0008539E" w:rsidP="0008539E">
            <w:pPr>
              <w:rPr>
                <w:rFonts w:ascii="Arial" w:hAnsi="Arial" w:cs="Arial"/>
                <w:b/>
                <w:bCs/>
                <w:color w:val="0000FF"/>
                <w:sz w:val="20"/>
                <w:szCs w:val="20"/>
              </w:rPr>
            </w:pPr>
            <w:r w:rsidRPr="0008539E">
              <w:rPr>
                <w:rFonts w:ascii="Arial" w:hAnsi="Arial" w:cs="Arial"/>
                <w:b/>
                <w:bCs/>
                <w:color w:val="0000FF"/>
                <w:sz w:val="20"/>
                <w:szCs w:val="20"/>
              </w:rPr>
              <w:t>Table</w:t>
            </w:r>
            <w:r w:rsidR="00697D43">
              <w:rPr>
                <w:rFonts w:ascii="Arial" w:hAnsi="Arial" w:cs="Arial"/>
                <w:b/>
                <w:bCs/>
                <w:color w:val="0000FF"/>
                <w:sz w:val="20"/>
                <w:szCs w:val="20"/>
              </w:rPr>
              <w:t> </w:t>
            </w:r>
            <w:proofErr w:type="spellStart"/>
            <w:r w:rsidRPr="0008539E">
              <w:rPr>
                <w:rFonts w:ascii="Arial" w:hAnsi="Arial" w:cs="Arial"/>
                <w:b/>
                <w:bCs/>
                <w:color w:val="0000FF"/>
                <w:sz w:val="20"/>
                <w:szCs w:val="20"/>
              </w:rPr>
              <w:t>3A.60</w:t>
            </w:r>
            <w:proofErr w:type="spellEnd"/>
          </w:p>
        </w:tc>
        <w:tc>
          <w:tcPr>
            <w:tcW w:w="7404" w:type="dxa"/>
            <w:tcBorders>
              <w:top w:val="nil"/>
              <w:left w:val="nil"/>
              <w:bottom w:val="nil"/>
              <w:right w:val="nil"/>
            </w:tcBorders>
            <w:shd w:val="clear" w:color="auto" w:fill="auto"/>
            <w:hideMark/>
          </w:tcPr>
          <w:p w:rsidR="0008539E" w:rsidRPr="0008539E" w:rsidRDefault="0008539E" w:rsidP="0008539E">
            <w:pPr>
              <w:jc w:val="both"/>
              <w:rPr>
                <w:rFonts w:ascii="Arial" w:hAnsi="Arial" w:cs="Arial"/>
                <w:sz w:val="20"/>
                <w:szCs w:val="20"/>
              </w:rPr>
            </w:pPr>
            <w:proofErr w:type="spellStart"/>
            <w:r w:rsidRPr="0008539E">
              <w:rPr>
                <w:rFonts w:ascii="Arial" w:hAnsi="Arial" w:cs="Arial"/>
                <w:sz w:val="20"/>
                <w:szCs w:val="20"/>
              </w:rPr>
              <w:t>NQF</w:t>
            </w:r>
            <w:proofErr w:type="spellEnd"/>
            <w:r w:rsidRPr="0008539E">
              <w:rPr>
                <w:rFonts w:ascii="Arial" w:hAnsi="Arial" w:cs="Arial"/>
                <w:sz w:val="20"/>
                <w:szCs w:val="20"/>
              </w:rPr>
              <w:t xml:space="preserve"> approved services with a quality rating, by rating level</w:t>
            </w:r>
            <w:r w:rsidR="002D438E">
              <w:rPr>
                <w:rFonts w:ascii="Arial" w:hAnsi="Arial" w:cs="Arial"/>
                <w:sz w:val="20"/>
                <w:szCs w:val="20"/>
              </w:rPr>
              <w:t xml:space="preserve"> </w:t>
            </w:r>
            <w:r w:rsidRPr="0008539E">
              <w:rPr>
                <w:rFonts w:ascii="Arial" w:hAnsi="Arial" w:cs="Arial"/>
                <w:sz w:val="20"/>
                <w:szCs w:val="20"/>
              </w:rPr>
              <w:t>Quality Area 7: Leadership and service management, 30</w:t>
            </w:r>
            <w:r w:rsidR="002D438E">
              <w:rPr>
                <w:rFonts w:ascii="Arial" w:hAnsi="Arial" w:cs="Arial"/>
                <w:sz w:val="20"/>
                <w:szCs w:val="20"/>
              </w:rPr>
              <w:t> </w:t>
            </w:r>
            <w:r w:rsidRPr="0008539E">
              <w:rPr>
                <w:rFonts w:ascii="Arial" w:hAnsi="Arial" w:cs="Arial"/>
                <w:sz w:val="20"/>
                <w:szCs w:val="20"/>
              </w:rPr>
              <w:t>June 2015</w:t>
            </w:r>
            <w:r w:rsidR="002D438E">
              <w:rPr>
                <w:rFonts w:ascii="Arial" w:hAnsi="Arial" w:cs="Arial"/>
                <w:sz w:val="20"/>
                <w:szCs w:val="20"/>
              </w:rPr>
              <w:t xml:space="preserve"> </w:t>
            </w:r>
          </w:p>
        </w:tc>
      </w:tr>
      <w:tr w:rsidR="0008539E" w:rsidRPr="0008539E" w:rsidTr="0008539E">
        <w:trPr>
          <w:trHeight w:val="612"/>
        </w:trPr>
        <w:tc>
          <w:tcPr>
            <w:tcW w:w="1456" w:type="dxa"/>
            <w:tcBorders>
              <w:top w:val="nil"/>
              <w:left w:val="nil"/>
              <w:bottom w:val="nil"/>
              <w:right w:val="nil"/>
            </w:tcBorders>
            <w:shd w:val="clear" w:color="auto" w:fill="auto"/>
            <w:noWrap/>
            <w:hideMark/>
          </w:tcPr>
          <w:p w:rsidR="0008539E" w:rsidRPr="0008539E" w:rsidRDefault="0008539E" w:rsidP="0008539E">
            <w:pPr>
              <w:rPr>
                <w:rFonts w:ascii="Arial" w:hAnsi="Arial" w:cs="Arial"/>
                <w:b/>
                <w:bCs/>
                <w:color w:val="0000FF"/>
                <w:sz w:val="20"/>
                <w:szCs w:val="20"/>
              </w:rPr>
            </w:pPr>
            <w:r w:rsidRPr="0008539E">
              <w:rPr>
                <w:rFonts w:ascii="Arial" w:hAnsi="Arial" w:cs="Arial"/>
                <w:b/>
                <w:bCs/>
                <w:color w:val="0000FF"/>
                <w:sz w:val="20"/>
                <w:szCs w:val="20"/>
              </w:rPr>
              <w:t>Table</w:t>
            </w:r>
            <w:r w:rsidR="00697D43">
              <w:rPr>
                <w:rFonts w:ascii="Arial" w:hAnsi="Arial" w:cs="Arial"/>
                <w:b/>
                <w:bCs/>
                <w:color w:val="0000FF"/>
                <w:sz w:val="20"/>
                <w:szCs w:val="20"/>
              </w:rPr>
              <w:t> </w:t>
            </w:r>
            <w:proofErr w:type="spellStart"/>
            <w:r w:rsidRPr="0008539E">
              <w:rPr>
                <w:rFonts w:ascii="Arial" w:hAnsi="Arial" w:cs="Arial"/>
                <w:b/>
                <w:bCs/>
                <w:color w:val="0000FF"/>
                <w:sz w:val="20"/>
                <w:szCs w:val="20"/>
              </w:rPr>
              <w:t>3A.61</w:t>
            </w:r>
            <w:proofErr w:type="spellEnd"/>
          </w:p>
        </w:tc>
        <w:tc>
          <w:tcPr>
            <w:tcW w:w="7404" w:type="dxa"/>
            <w:tcBorders>
              <w:top w:val="nil"/>
              <w:left w:val="nil"/>
              <w:bottom w:val="nil"/>
              <w:right w:val="nil"/>
            </w:tcBorders>
            <w:shd w:val="clear" w:color="auto" w:fill="auto"/>
            <w:hideMark/>
          </w:tcPr>
          <w:p w:rsidR="0008539E" w:rsidRPr="0008539E" w:rsidRDefault="0008539E" w:rsidP="0008539E">
            <w:pPr>
              <w:jc w:val="both"/>
              <w:rPr>
                <w:rFonts w:ascii="Arial" w:hAnsi="Arial" w:cs="Arial"/>
                <w:sz w:val="20"/>
                <w:szCs w:val="20"/>
              </w:rPr>
            </w:pPr>
            <w:r w:rsidRPr="0008539E">
              <w:rPr>
                <w:rFonts w:ascii="Arial" w:hAnsi="Arial" w:cs="Arial"/>
                <w:sz w:val="20"/>
                <w:szCs w:val="20"/>
              </w:rPr>
              <w:t xml:space="preserve">Substantiated breaches arising from complaints about </w:t>
            </w:r>
            <w:proofErr w:type="spellStart"/>
            <w:r w:rsidRPr="0008539E">
              <w:rPr>
                <w:rFonts w:ascii="Arial" w:hAnsi="Arial" w:cs="Arial"/>
                <w:sz w:val="20"/>
                <w:szCs w:val="20"/>
              </w:rPr>
              <w:t>NQF</w:t>
            </w:r>
            <w:proofErr w:type="spellEnd"/>
            <w:r w:rsidRPr="0008539E">
              <w:rPr>
                <w:rFonts w:ascii="Arial" w:hAnsi="Arial" w:cs="Arial"/>
                <w:sz w:val="20"/>
                <w:szCs w:val="20"/>
              </w:rPr>
              <w:t xml:space="preserve"> approved </w:t>
            </w:r>
            <w:proofErr w:type="spellStart"/>
            <w:r w:rsidRPr="0008539E">
              <w:rPr>
                <w:rFonts w:ascii="Arial" w:hAnsi="Arial" w:cs="Arial"/>
                <w:sz w:val="20"/>
                <w:szCs w:val="20"/>
              </w:rPr>
              <w:t>ECEC</w:t>
            </w:r>
            <w:proofErr w:type="spellEnd"/>
            <w:r w:rsidRPr="0008539E">
              <w:rPr>
                <w:rFonts w:ascii="Arial" w:hAnsi="Arial" w:cs="Arial"/>
                <w:sz w:val="20"/>
                <w:szCs w:val="20"/>
              </w:rPr>
              <w:t xml:space="preserve"> services, by service type, 2014</w:t>
            </w:r>
            <w:r w:rsidR="002D438E">
              <w:rPr>
                <w:rFonts w:ascii="Arial" w:hAnsi="Arial" w:cs="Arial"/>
                <w:sz w:val="20"/>
                <w:szCs w:val="20"/>
              </w:rPr>
              <w:noBreakHyphen/>
            </w:r>
            <w:r w:rsidRPr="0008539E">
              <w:rPr>
                <w:rFonts w:ascii="Arial" w:hAnsi="Arial" w:cs="Arial"/>
                <w:sz w:val="20"/>
                <w:szCs w:val="20"/>
              </w:rPr>
              <w:t>15</w:t>
            </w:r>
            <w:r w:rsidR="002D438E">
              <w:rPr>
                <w:rFonts w:ascii="Arial" w:hAnsi="Arial" w:cs="Arial"/>
                <w:sz w:val="20"/>
                <w:szCs w:val="20"/>
              </w:rPr>
              <w:t xml:space="preserve"> </w:t>
            </w:r>
          </w:p>
        </w:tc>
      </w:tr>
      <w:tr w:rsidR="0008539E" w:rsidRPr="0008539E" w:rsidTr="0008539E">
        <w:trPr>
          <w:trHeight w:val="612"/>
        </w:trPr>
        <w:tc>
          <w:tcPr>
            <w:tcW w:w="1456" w:type="dxa"/>
            <w:tcBorders>
              <w:top w:val="nil"/>
              <w:left w:val="nil"/>
              <w:bottom w:val="nil"/>
              <w:right w:val="nil"/>
            </w:tcBorders>
            <w:shd w:val="clear" w:color="auto" w:fill="auto"/>
            <w:noWrap/>
            <w:hideMark/>
          </w:tcPr>
          <w:p w:rsidR="0008539E" w:rsidRPr="0008539E" w:rsidRDefault="0008539E" w:rsidP="0008539E">
            <w:pPr>
              <w:rPr>
                <w:rFonts w:ascii="Arial" w:hAnsi="Arial" w:cs="Arial"/>
                <w:b/>
                <w:bCs/>
                <w:color w:val="0000FF"/>
                <w:sz w:val="20"/>
                <w:szCs w:val="20"/>
              </w:rPr>
            </w:pPr>
            <w:r w:rsidRPr="0008539E">
              <w:rPr>
                <w:rFonts w:ascii="Arial" w:hAnsi="Arial" w:cs="Arial"/>
                <w:b/>
                <w:bCs/>
                <w:color w:val="0000FF"/>
                <w:sz w:val="20"/>
                <w:szCs w:val="20"/>
              </w:rPr>
              <w:t>Table</w:t>
            </w:r>
            <w:r w:rsidR="00697D43">
              <w:rPr>
                <w:rFonts w:ascii="Arial" w:hAnsi="Arial" w:cs="Arial"/>
                <w:b/>
                <w:bCs/>
                <w:color w:val="0000FF"/>
                <w:sz w:val="20"/>
                <w:szCs w:val="20"/>
              </w:rPr>
              <w:t> </w:t>
            </w:r>
            <w:proofErr w:type="spellStart"/>
            <w:r w:rsidRPr="0008539E">
              <w:rPr>
                <w:rFonts w:ascii="Arial" w:hAnsi="Arial" w:cs="Arial"/>
                <w:b/>
                <w:bCs/>
                <w:color w:val="0000FF"/>
                <w:sz w:val="20"/>
                <w:szCs w:val="20"/>
              </w:rPr>
              <w:t>3A.62</w:t>
            </w:r>
            <w:proofErr w:type="spellEnd"/>
          </w:p>
        </w:tc>
        <w:tc>
          <w:tcPr>
            <w:tcW w:w="7404" w:type="dxa"/>
            <w:tcBorders>
              <w:top w:val="nil"/>
              <w:left w:val="nil"/>
              <w:bottom w:val="nil"/>
              <w:right w:val="nil"/>
            </w:tcBorders>
            <w:shd w:val="clear" w:color="auto" w:fill="auto"/>
            <w:hideMark/>
          </w:tcPr>
          <w:p w:rsidR="0008539E" w:rsidRPr="0008539E" w:rsidRDefault="0008539E" w:rsidP="0008539E">
            <w:pPr>
              <w:jc w:val="both"/>
              <w:rPr>
                <w:rFonts w:ascii="Arial" w:hAnsi="Arial" w:cs="Arial"/>
                <w:sz w:val="20"/>
                <w:szCs w:val="20"/>
              </w:rPr>
            </w:pPr>
            <w:r w:rsidRPr="0008539E">
              <w:rPr>
                <w:rFonts w:ascii="Arial" w:hAnsi="Arial" w:cs="Arial"/>
                <w:sz w:val="20"/>
                <w:szCs w:val="20"/>
              </w:rPr>
              <w:t xml:space="preserve">Substantiated breaches arising from complaints about State and Territory government licensed or registered </w:t>
            </w:r>
            <w:proofErr w:type="spellStart"/>
            <w:r w:rsidRPr="0008539E">
              <w:rPr>
                <w:rFonts w:ascii="Arial" w:hAnsi="Arial" w:cs="Arial"/>
                <w:sz w:val="20"/>
                <w:szCs w:val="20"/>
              </w:rPr>
              <w:t>ECEC</w:t>
            </w:r>
            <w:proofErr w:type="spellEnd"/>
            <w:r w:rsidRPr="0008539E">
              <w:rPr>
                <w:rFonts w:ascii="Arial" w:hAnsi="Arial" w:cs="Arial"/>
                <w:sz w:val="20"/>
                <w:szCs w:val="20"/>
              </w:rPr>
              <w:t xml:space="preserve"> services, by service type, 2014</w:t>
            </w:r>
            <w:r w:rsidR="002D438E">
              <w:rPr>
                <w:rFonts w:ascii="Arial" w:hAnsi="Arial" w:cs="Arial"/>
                <w:sz w:val="20"/>
                <w:szCs w:val="20"/>
              </w:rPr>
              <w:noBreakHyphen/>
            </w:r>
            <w:r w:rsidRPr="0008539E">
              <w:rPr>
                <w:rFonts w:ascii="Arial" w:hAnsi="Arial" w:cs="Arial"/>
                <w:sz w:val="20"/>
                <w:szCs w:val="20"/>
              </w:rPr>
              <w:t>15</w:t>
            </w:r>
            <w:r w:rsidR="002D438E">
              <w:rPr>
                <w:rFonts w:ascii="Arial" w:hAnsi="Arial" w:cs="Arial"/>
                <w:sz w:val="20"/>
                <w:szCs w:val="20"/>
              </w:rPr>
              <w:t xml:space="preserve"> </w:t>
            </w:r>
          </w:p>
        </w:tc>
      </w:tr>
      <w:tr w:rsidR="0008539E" w:rsidRPr="0008539E" w:rsidTr="0008539E">
        <w:trPr>
          <w:trHeight w:val="612"/>
        </w:trPr>
        <w:tc>
          <w:tcPr>
            <w:tcW w:w="1456" w:type="dxa"/>
            <w:tcBorders>
              <w:top w:val="nil"/>
              <w:left w:val="nil"/>
              <w:bottom w:val="nil"/>
              <w:right w:val="nil"/>
            </w:tcBorders>
            <w:shd w:val="clear" w:color="auto" w:fill="auto"/>
            <w:noWrap/>
            <w:hideMark/>
          </w:tcPr>
          <w:p w:rsidR="0008539E" w:rsidRPr="0008539E" w:rsidRDefault="0008539E" w:rsidP="0008539E">
            <w:pPr>
              <w:rPr>
                <w:rFonts w:ascii="Arial" w:hAnsi="Arial" w:cs="Arial"/>
                <w:b/>
                <w:bCs/>
                <w:color w:val="0000FF"/>
                <w:sz w:val="20"/>
                <w:szCs w:val="20"/>
              </w:rPr>
            </w:pPr>
            <w:r w:rsidRPr="0008539E">
              <w:rPr>
                <w:rFonts w:ascii="Arial" w:hAnsi="Arial" w:cs="Arial"/>
                <w:b/>
                <w:bCs/>
                <w:color w:val="0000FF"/>
                <w:sz w:val="20"/>
                <w:szCs w:val="20"/>
              </w:rPr>
              <w:t>Table</w:t>
            </w:r>
            <w:r w:rsidR="00697D43">
              <w:rPr>
                <w:rFonts w:ascii="Arial" w:hAnsi="Arial" w:cs="Arial"/>
                <w:b/>
                <w:bCs/>
                <w:color w:val="0000FF"/>
                <w:sz w:val="20"/>
                <w:szCs w:val="20"/>
              </w:rPr>
              <w:t> </w:t>
            </w:r>
            <w:proofErr w:type="spellStart"/>
            <w:r w:rsidRPr="0008539E">
              <w:rPr>
                <w:rFonts w:ascii="Arial" w:hAnsi="Arial" w:cs="Arial"/>
                <w:b/>
                <w:bCs/>
                <w:color w:val="0000FF"/>
                <w:sz w:val="20"/>
                <w:szCs w:val="20"/>
              </w:rPr>
              <w:t>3A.63</w:t>
            </w:r>
            <w:proofErr w:type="spellEnd"/>
          </w:p>
        </w:tc>
        <w:tc>
          <w:tcPr>
            <w:tcW w:w="7404" w:type="dxa"/>
            <w:tcBorders>
              <w:top w:val="nil"/>
              <w:left w:val="nil"/>
              <w:bottom w:val="nil"/>
              <w:right w:val="nil"/>
            </w:tcBorders>
            <w:shd w:val="clear" w:color="auto" w:fill="auto"/>
            <w:hideMark/>
          </w:tcPr>
          <w:p w:rsidR="0008539E" w:rsidRPr="0008539E" w:rsidRDefault="0008539E" w:rsidP="0008539E">
            <w:pPr>
              <w:jc w:val="both"/>
              <w:rPr>
                <w:rFonts w:ascii="Arial" w:hAnsi="Arial" w:cs="Arial"/>
                <w:sz w:val="20"/>
                <w:szCs w:val="20"/>
              </w:rPr>
            </w:pPr>
            <w:r w:rsidRPr="0008539E">
              <w:rPr>
                <w:rFonts w:ascii="Arial" w:hAnsi="Arial" w:cs="Arial"/>
                <w:sz w:val="20"/>
                <w:szCs w:val="20"/>
              </w:rPr>
              <w:t>Hospital separations for external cause of injuries, persons aged 0–4 years, all hospitals, by place of occurrence</w:t>
            </w:r>
            <w:r w:rsidR="002D438E">
              <w:rPr>
                <w:rFonts w:ascii="Arial" w:hAnsi="Arial" w:cs="Arial"/>
                <w:sz w:val="20"/>
                <w:szCs w:val="20"/>
              </w:rPr>
              <w:t xml:space="preserve"> </w:t>
            </w:r>
          </w:p>
        </w:tc>
      </w:tr>
      <w:tr w:rsidR="0008539E" w:rsidRPr="0008539E" w:rsidTr="0008539E">
        <w:trPr>
          <w:trHeight w:val="612"/>
        </w:trPr>
        <w:tc>
          <w:tcPr>
            <w:tcW w:w="1456" w:type="dxa"/>
            <w:tcBorders>
              <w:top w:val="nil"/>
              <w:left w:val="nil"/>
              <w:bottom w:val="nil"/>
              <w:right w:val="nil"/>
            </w:tcBorders>
            <w:shd w:val="clear" w:color="auto" w:fill="auto"/>
            <w:noWrap/>
            <w:hideMark/>
          </w:tcPr>
          <w:p w:rsidR="0008539E" w:rsidRPr="0008539E" w:rsidRDefault="0008539E" w:rsidP="0008539E">
            <w:pPr>
              <w:rPr>
                <w:rFonts w:ascii="Arial" w:hAnsi="Arial" w:cs="Arial"/>
                <w:b/>
                <w:bCs/>
                <w:color w:val="0000FF"/>
                <w:sz w:val="20"/>
                <w:szCs w:val="20"/>
              </w:rPr>
            </w:pPr>
            <w:r w:rsidRPr="0008539E">
              <w:rPr>
                <w:rFonts w:ascii="Arial" w:hAnsi="Arial" w:cs="Arial"/>
                <w:b/>
                <w:bCs/>
                <w:color w:val="0000FF"/>
                <w:sz w:val="20"/>
                <w:szCs w:val="20"/>
              </w:rPr>
              <w:lastRenderedPageBreak/>
              <w:t>Table</w:t>
            </w:r>
            <w:r w:rsidR="00697D43">
              <w:rPr>
                <w:rFonts w:ascii="Arial" w:hAnsi="Arial" w:cs="Arial"/>
                <w:b/>
                <w:bCs/>
                <w:color w:val="0000FF"/>
                <w:sz w:val="20"/>
                <w:szCs w:val="20"/>
              </w:rPr>
              <w:t> </w:t>
            </w:r>
            <w:proofErr w:type="spellStart"/>
            <w:r w:rsidRPr="0008539E">
              <w:rPr>
                <w:rFonts w:ascii="Arial" w:hAnsi="Arial" w:cs="Arial"/>
                <w:b/>
                <w:bCs/>
                <w:color w:val="0000FF"/>
                <w:sz w:val="20"/>
                <w:szCs w:val="20"/>
              </w:rPr>
              <w:t>3A.64</w:t>
            </w:r>
            <w:proofErr w:type="spellEnd"/>
          </w:p>
        </w:tc>
        <w:tc>
          <w:tcPr>
            <w:tcW w:w="7404" w:type="dxa"/>
            <w:tcBorders>
              <w:top w:val="nil"/>
              <w:left w:val="nil"/>
              <w:bottom w:val="nil"/>
              <w:right w:val="nil"/>
            </w:tcBorders>
            <w:shd w:val="clear" w:color="auto" w:fill="auto"/>
            <w:hideMark/>
          </w:tcPr>
          <w:p w:rsidR="0008539E" w:rsidRPr="0008539E" w:rsidRDefault="0008539E" w:rsidP="0008539E">
            <w:pPr>
              <w:jc w:val="both"/>
              <w:rPr>
                <w:rFonts w:ascii="Arial" w:hAnsi="Arial" w:cs="Arial"/>
                <w:sz w:val="20"/>
                <w:szCs w:val="20"/>
              </w:rPr>
            </w:pPr>
            <w:r w:rsidRPr="0008539E">
              <w:rPr>
                <w:rFonts w:ascii="Arial" w:hAnsi="Arial" w:cs="Arial"/>
                <w:sz w:val="20"/>
                <w:szCs w:val="20"/>
              </w:rPr>
              <w:t>Australian Government real recurrent expenditure on child care services per child aged 0–12 years ($/child) (2014</w:t>
            </w:r>
            <w:r w:rsidRPr="0008539E">
              <w:rPr>
                <w:rFonts w:ascii="Arial" w:hAnsi="Arial" w:cs="Arial"/>
                <w:sz w:val="20"/>
                <w:szCs w:val="20"/>
              </w:rPr>
              <w:softHyphen/>
              <w:t>15 dollars)</w:t>
            </w:r>
            <w:r w:rsidR="002D438E">
              <w:rPr>
                <w:rFonts w:ascii="Arial" w:hAnsi="Arial" w:cs="Arial"/>
                <w:sz w:val="20"/>
                <w:szCs w:val="20"/>
              </w:rPr>
              <w:t xml:space="preserve"> </w:t>
            </w:r>
          </w:p>
        </w:tc>
      </w:tr>
      <w:tr w:rsidR="0008539E" w:rsidRPr="0008539E" w:rsidTr="0008539E">
        <w:trPr>
          <w:trHeight w:val="612"/>
        </w:trPr>
        <w:tc>
          <w:tcPr>
            <w:tcW w:w="1456" w:type="dxa"/>
            <w:tcBorders>
              <w:top w:val="nil"/>
              <w:left w:val="nil"/>
              <w:bottom w:val="nil"/>
              <w:right w:val="nil"/>
            </w:tcBorders>
            <w:shd w:val="clear" w:color="auto" w:fill="auto"/>
            <w:noWrap/>
            <w:hideMark/>
          </w:tcPr>
          <w:p w:rsidR="0008539E" w:rsidRPr="0008539E" w:rsidRDefault="0008539E" w:rsidP="0008539E">
            <w:pPr>
              <w:rPr>
                <w:rFonts w:ascii="Arial" w:hAnsi="Arial" w:cs="Arial"/>
                <w:b/>
                <w:bCs/>
                <w:color w:val="0000FF"/>
                <w:sz w:val="20"/>
                <w:szCs w:val="20"/>
              </w:rPr>
            </w:pPr>
            <w:r w:rsidRPr="0008539E">
              <w:rPr>
                <w:rFonts w:ascii="Arial" w:hAnsi="Arial" w:cs="Arial"/>
                <w:b/>
                <w:bCs/>
                <w:color w:val="0000FF"/>
                <w:sz w:val="20"/>
                <w:szCs w:val="20"/>
              </w:rPr>
              <w:t>Table</w:t>
            </w:r>
            <w:r w:rsidR="00697D43">
              <w:rPr>
                <w:rFonts w:ascii="Arial" w:hAnsi="Arial" w:cs="Arial"/>
                <w:b/>
                <w:bCs/>
                <w:color w:val="0000FF"/>
                <w:sz w:val="20"/>
                <w:szCs w:val="20"/>
              </w:rPr>
              <w:t> </w:t>
            </w:r>
            <w:proofErr w:type="spellStart"/>
            <w:r w:rsidRPr="0008539E">
              <w:rPr>
                <w:rFonts w:ascii="Arial" w:hAnsi="Arial" w:cs="Arial"/>
                <w:b/>
                <w:bCs/>
                <w:color w:val="0000FF"/>
                <w:sz w:val="20"/>
                <w:szCs w:val="20"/>
              </w:rPr>
              <w:t>3A.65</w:t>
            </w:r>
            <w:proofErr w:type="spellEnd"/>
          </w:p>
        </w:tc>
        <w:tc>
          <w:tcPr>
            <w:tcW w:w="7404" w:type="dxa"/>
            <w:tcBorders>
              <w:top w:val="nil"/>
              <w:left w:val="nil"/>
              <w:bottom w:val="nil"/>
              <w:right w:val="nil"/>
            </w:tcBorders>
            <w:shd w:val="clear" w:color="auto" w:fill="auto"/>
            <w:hideMark/>
          </w:tcPr>
          <w:p w:rsidR="0008539E" w:rsidRPr="0008539E" w:rsidRDefault="0008539E" w:rsidP="0008539E">
            <w:pPr>
              <w:jc w:val="both"/>
              <w:rPr>
                <w:rFonts w:ascii="Arial" w:hAnsi="Arial" w:cs="Arial"/>
                <w:sz w:val="20"/>
                <w:szCs w:val="20"/>
              </w:rPr>
            </w:pPr>
            <w:r w:rsidRPr="0008539E">
              <w:rPr>
                <w:rFonts w:ascii="Arial" w:hAnsi="Arial" w:cs="Arial"/>
                <w:sz w:val="20"/>
                <w:szCs w:val="20"/>
              </w:rPr>
              <w:t xml:space="preserve">State and Territory government real recurrent expenditure on </w:t>
            </w:r>
            <w:proofErr w:type="spellStart"/>
            <w:r w:rsidRPr="0008539E">
              <w:rPr>
                <w:rFonts w:ascii="Arial" w:hAnsi="Arial" w:cs="Arial"/>
                <w:sz w:val="20"/>
                <w:szCs w:val="20"/>
              </w:rPr>
              <w:t>ECEC</w:t>
            </w:r>
            <w:proofErr w:type="spellEnd"/>
            <w:r w:rsidRPr="0008539E">
              <w:rPr>
                <w:rFonts w:ascii="Arial" w:hAnsi="Arial" w:cs="Arial"/>
                <w:sz w:val="20"/>
                <w:szCs w:val="20"/>
              </w:rPr>
              <w:t xml:space="preserve"> per child aged 0–12 years ($/child) (2014</w:t>
            </w:r>
            <w:r w:rsidR="002D438E">
              <w:rPr>
                <w:rFonts w:ascii="Arial" w:hAnsi="Arial" w:cs="Arial"/>
                <w:sz w:val="20"/>
                <w:szCs w:val="20"/>
              </w:rPr>
              <w:noBreakHyphen/>
            </w:r>
            <w:r w:rsidRPr="0008539E">
              <w:rPr>
                <w:rFonts w:ascii="Arial" w:hAnsi="Arial" w:cs="Arial"/>
                <w:sz w:val="20"/>
                <w:szCs w:val="20"/>
              </w:rPr>
              <w:t>15 dollars)</w:t>
            </w:r>
            <w:r w:rsidR="002D438E">
              <w:rPr>
                <w:rFonts w:ascii="Arial" w:hAnsi="Arial" w:cs="Arial"/>
                <w:sz w:val="20"/>
                <w:szCs w:val="20"/>
              </w:rPr>
              <w:t xml:space="preserve"> </w:t>
            </w:r>
          </w:p>
        </w:tc>
      </w:tr>
      <w:tr w:rsidR="0008539E" w:rsidRPr="0008539E" w:rsidTr="0008539E">
        <w:trPr>
          <w:trHeight w:val="612"/>
        </w:trPr>
        <w:tc>
          <w:tcPr>
            <w:tcW w:w="1456" w:type="dxa"/>
            <w:tcBorders>
              <w:top w:val="nil"/>
              <w:left w:val="nil"/>
              <w:bottom w:val="nil"/>
              <w:right w:val="nil"/>
            </w:tcBorders>
            <w:shd w:val="clear" w:color="auto" w:fill="auto"/>
            <w:noWrap/>
            <w:hideMark/>
          </w:tcPr>
          <w:p w:rsidR="0008539E" w:rsidRPr="0008539E" w:rsidRDefault="0008539E" w:rsidP="0008539E">
            <w:pPr>
              <w:rPr>
                <w:rFonts w:ascii="Arial" w:hAnsi="Arial" w:cs="Arial"/>
                <w:b/>
                <w:bCs/>
                <w:color w:val="0000FF"/>
                <w:sz w:val="20"/>
                <w:szCs w:val="20"/>
              </w:rPr>
            </w:pPr>
            <w:r w:rsidRPr="0008539E">
              <w:rPr>
                <w:rFonts w:ascii="Arial" w:hAnsi="Arial" w:cs="Arial"/>
                <w:b/>
                <w:bCs/>
                <w:color w:val="0000FF"/>
                <w:sz w:val="20"/>
                <w:szCs w:val="20"/>
              </w:rPr>
              <w:t>Table</w:t>
            </w:r>
            <w:r w:rsidR="00697D43">
              <w:rPr>
                <w:rFonts w:ascii="Arial" w:hAnsi="Arial" w:cs="Arial"/>
                <w:b/>
                <w:bCs/>
                <w:color w:val="0000FF"/>
                <w:sz w:val="20"/>
                <w:szCs w:val="20"/>
              </w:rPr>
              <w:t> </w:t>
            </w:r>
            <w:proofErr w:type="spellStart"/>
            <w:r w:rsidRPr="0008539E">
              <w:rPr>
                <w:rFonts w:ascii="Arial" w:hAnsi="Arial" w:cs="Arial"/>
                <w:b/>
                <w:bCs/>
                <w:color w:val="0000FF"/>
                <w:sz w:val="20"/>
                <w:szCs w:val="20"/>
              </w:rPr>
              <w:t>3A.66</w:t>
            </w:r>
            <w:proofErr w:type="spellEnd"/>
          </w:p>
        </w:tc>
        <w:tc>
          <w:tcPr>
            <w:tcW w:w="7404" w:type="dxa"/>
            <w:tcBorders>
              <w:top w:val="nil"/>
              <w:left w:val="nil"/>
              <w:bottom w:val="nil"/>
              <w:right w:val="nil"/>
            </w:tcBorders>
            <w:shd w:val="clear" w:color="auto" w:fill="auto"/>
            <w:hideMark/>
          </w:tcPr>
          <w:p w:rsidR="0008539E" w:rsidRPr="0008539E" w:rsidRDefault="0008539E" w:rsidP="0008539E">
            <w:pPr>
              <w:jc w:val="both"/>
              <w:rPr>
                <w:rFonts w:ascii="Arial" w:hAnsi="Arial" w:cs="Arial"/>
                <w:sz w:val="20"/>
                <w:szCs w:val="20"/>
              </w:rPr>
            </w:pPr>
            <w:r w:rsidRPr="0008539E">
              <w:rPr>
                <w:rFonts w:ascii="Arial" w:hAnsi="Arial" w:cs="Arial"/>
                <w:sz w:val="20"/>
                <w:szCs w:val="20"/>
              </w:rPr>
              <w:t xml:space="preserve">Total government real recurrent expenditure on </w:t>
            </w:r>
            <w:proofErr w:type="spellStart"/>
            <w:r w:rsidRPr="0008539E">
              <w:rPr>
                <w:rFonts w:ascii="Arial" w:hAnsi="Arial" w:cs="Arial"/>
                <w:sz w:val="20"/>
                <w:szCs w:val="20"/>
              </w:rPr>
              <w:t>ECEC</w:t>
            </w:r>
            <w:proofErr w:type="spellEnd"/>
            <w:r w:rsidRPr="0008539E">
              <w:rPr>
                <w:rFonts w:ascii="Arial" w:hAnsi="Arial" w:cs="Arial"/>
                <w:sz w:val="20"/>
                <w:szCs w:val="20"/>
              </w:rPr>
              <w:t xml:space="preserve"> per child aged 0–12 years ($/child) (2014</w:t>
            </w:r>
            <w:r w:rsidR="002D438E">
              <w:rPr>
                <w:rFonts w:ascii="Arial" w:hAnsi="Arial" w:cs="Arial"/>
                <w:sz w:val="20"/>
                <w:szCs w:val="20"/>
              </w:rPr>
              <w:noBreakHyphen/>
            </w:r>
            <w:r w:rsidRPr="0008539E">
              <w:rPr>
                <w:rFonts w:ascii="Arial" w:hAnsi="Arial" w:cs="Arial"/>
                <w:sz w:val="20"/>
                <w:szCs w:val="20"/>
              </w:rPr>
              <w:t>15 dollars)</w:t>
            </w:r>
            <w:r w:rsidR="002D438E">
              <w:rPr>
                <w:rFonts w:ascii="Arial" w:hAnsi="Arial" w:cs="Arial"/>
                <w:sz w:val="20"/>
                <w:szCs w:val="20"/>
              </w:rPr>
              <w:t xml:space="preserve"> </w:t>
            </w:r>
          </w:p>
        </w:tc>
      </w:tr>
      <w:tr w:rsidR="0008539E" w:rsidRPr="0008539E" w:rsidTr="0008539E">
        <w:trPr>
          <w:trHeight w:val="612"/>
        </w:trPr>
        <w:tc>
          <w:tcPr>
            <w:tcW w:w="1456" w:type="dxa"/>
            <w:tcBorders>
              <w:top w:val="nil"/>
              <w:left w:val="nil"/>
              <w:bottom w:val="nil"/>
              <w:right w:val="nil"/>
            </w:tcBorders>
            <w:shd w:val="clear" w:color="auto" w:fill="auto"/>
            <w:noWrap/>
            <w:hideMark/>
          </w:tcPr>
          <w:p w:rsidR="0008539E" w:rsidRPr="0008539E" w:rsidRDefault="0008539E" w:rsidP="0008539E">
            <w:pPr>
              <w:rPr>
                <w:rFonts w:ascii="Arial" w:hAnsi="Arial" w:cs="Arial"/>
                <w:b/>
                <w:bCs/>
                <w:color w:val="0000FF"/>
                <w:sz w:val="20"/>
                <w:szCs w:val="20"/>
              </w:rPr>
            </w:pPr>
            <w:r w:rsidRPr="0008539E">
              <w:rPr>
                <w:rFonts w:ascii="Arial" w:hAnsi="Arial" w:cs="Arial"/>
                <w:b/>
                <w:bCs/>
                <w:color w:val="0000FF"/>
                <w:sz w:val="20"/>
                <w:szCs w:val="20"/>
              </w:rPr>
              <w:t>Table</w:t>
            </w:r>
            <w:r w:rsidR="00697D43">
              <w:rPr>
                <w:rFonts w:ascii="Arial" w:hAnsi="Arial" w:cs="Arial"/>
                <w:b/>
                <w:bCs/>
                <w:color w:val="0000FF"/>
                <w:sz w:val="20"/>
                <w:szCs w:val="20"/>
              </w:rPr>
              <w:t> </w:t>
            </w:r>
            <w:proofErr w:type="spellStart"/>
            <w:r w:rsidRPr="0008539E">
              <w:rPr>
                <w:rFonts w:ascii="Arial" w:hAnsi="Arial" w:cs="Arial"/>
                <w:b/>
                <w:bCs/>
                <w:color w:val="0000FF"/>
                <w:sz w:val="20"/>
                <w:szCs w:val="20"/>
              </w:rPr>
              <w:t>3A.67</w:t>
            </w:r>
            <w:proofErr w:type="spellEnd"/>
          </w:p>
        </w:tc>
        <w:tc>
          <w:tcPr>
            <w:tcW w:w="7404" w:type="dxa"/>
            <w:tcBorders>
              <w:top w:val="nil"/>
              <w:left w:val="nil"/>
              <w:bottom w:val="nil"/>
              <w:right w:val="nil"/>
            </w:tcBorders>
            <w:shd w:val="clear" w:color="auto" w:fill="auto"/>
            <w:hideMark/>
          </w:tcPr>
          <w:p w:rsidR="0008539E" w:rsidRPr="0008539E" w:rsidRDefault="0008539E" w:rsidP="0008539E">
            <w:pPr>
              <w:jc w:val="both"/>
              <w:rPr>
                <w:rFonts w:ascii="Arial" w:hAnsi="Arial" w:cs="Arial"/>
                <w:sz w:val="20"/>
                <w:szCs w:val="20"/>
              </w:rPr>
            </w:pPr>
            <w:r w:rsidRPr="0008539E">
              <w:rPr>
                <w:rFonts w:ascii="Arial" w:hAnsi="Arial" w:cs="Arial"/>
                <w:sz w:val="20"/>
                <w:szCs w:val="20"/>
              </w:rPr>
              <w:t xml:space="preserve">Australian Government recurrent expenditure per child aged 0–12 years attending </w:t>
            </w:r>
            <w:proofErr w:type="spellStart"/>
            <w:r w:rsidRPr="0008539E">
              <w:rPr>
                <w:rFonts w:ascii="Arial" w:hAnsi="Arial" w:cs="Arial"/>
                <w:sz w:val="20"/>
                <w:szCs w:val="20"/>
              </w:rPr>
              <w:t>CCB</w:t>
            </w:r>
            <w:proofErr w:type="spellEnd"/>
            <w:r w:rsidRPr="0008539E">
              <w:rPr>
                <w:rFonts w:ascii="Arial" w:hAnsi="Arial" w:cs="Arial"/>
                <w:sz w:val="20"/>
                <w:szCs w:val="20"/>
              </w:rPr>
              <w:t xml:space="preserve"> approved child care services ($/child) (2014</w:t>
            </w:r>
            <w:r w:rsidR="002D438E">
              <w:rPr>
                <w:rFonts w:ascii="Arial" w:hAnsi="Arial" w:cs="Arial"/>
                <w:sz w:val="20"/>
                <w:szCs w:val="20"/>
              </w:rPr>
              <w:noBreakHyphen/>
            </w:r>
            <w:r w:rsidRPr="0008539E">
              <w:rPr>
                <w:rFonts w:ascii="Arial" w:hAnsi="Arial" w:cs="Arial"/>
                <w:sz w:val="20"/>
                <w:szCs w:val="20"/>
              </w:rPr>
              <w:t>15 dollars)</w:t>
            </w:r>
            <w:r w:rsidR="002D438E">
              <w:rPr>
                <w:rFonts w:ascii="Arial" w:hAnsi="Arial" w:cs="Arial"/>
                <w:sz w:val="20"/>
                <w:szCs w:val="20"/>
              </w:rPr>
              <w:t xml:space="preserve"> </w:t>
            </w:r>
          </w:p>
        </w:tc>
      </w:tr>
      <w:tr w:rsidR="0008539E" w:rsidRPr="0008539E" w:rsidTr="0008539E">
        <w:trPr>
          <w:trHeight w:val="612"/>
        </w:trPr>
        <w:tc>
          <w:tcPr>
            <w:tcW w:w="1456" w:type="dxa"/>
            <w:tcBorders>
              <w:top w:val="nil"/>
              <w:left w:val="nil"/>
              <w:bottom w:val="nil"/>
              <w:right w:val="nil"/>
            </w:tcBorders>
            <w:shd w:val="clear" w:color="auto" w:fill="auto"/>
            <w:noWrap/>
            <w:hideMark/>
          </w:tcPr>
          <w:p w:rsidR="0008539E" w:rsidRPr="0008539E" w:rsidRDefault="0008539E" w:rsidP="0008539E">
            <w:pPr>
              <w:rPr>
                <w:rFonts w:ascii="Arial" w:hAnsi="Arial" w:cs="Arial"/>
                <w:b/>
                <w:bCs/>
                <w:color w:val="0000FF"/>
                <w:sz w:val="20"/>
                <w:szCs w:val="20"/>
              </w:rPr>
            </w:pPr>
            <w:r w:rsidRPr="0008539E">
              <w:rPr>
                <w:rFonts w:ascii="Arial" w:hAnsi="Arial" w:cs="Arial"/>
                <w:b/>
                <w:bCs/>
                <w:color w:val="0000FF"/>
                <w:sz w:val="20"/>
                <w:szCs w:val="20"/>
              </w:rPr>
              <w:t>Table</w:t>
            </w:r>
            <w:r w:rsidR="00697D43">
              <w:rPr>
                <w:rFonts w:ascii="Arial" w:hAnsi="Arial" w:cs="Arial"/>
                <w:b/>
                <w:bCs/>
                <w:color w:val="0000FF"/>
                <w:sz w:val="20"/>
                <w:szCs w:val="20"/>
              </w:rPr>
              <w:t> </w:t>
            </w:r>
            <w:proofErr w:type="spellStart"/>
            <w:r w:rsidRPr="0008539E">
              <w:rPr>
                <w:rFonts w:ascii="Arial" w:hAnsi="Arial" w:cs="Arial"/>
                <w:b/>
                <w:bCs/>
                <w:color w:val="0000FF"/>
                <w:sz w:val="20"/>
                <w:szCs w:val="20"/>
              </w:rPr>
              <w:t>3A.68</w:t>
            </w:r>
            <w:proofErr w:type="spellEnd"/>
          </w:p>
        </w:tc>
        <w:tc>
          <w:tcPr>
            <w:tcW w:w="7404" w:type="dxa"/>
            <w:tcBorders>
              <w:top w:val="nil"/>
              <w:left w:val="nil"/>
              <w:bottom w:val="nil"/>
              <w:right w:val="nil"/>
            </w:tcBorders>
            <w:shd w:val="clear" w:color="auto" w:fill="auto"/>
            <w:hideMark/>
          </w:tcPr>
          <w:p w:rsidR="0008539E" w:rsidRPr="0008539E" w:rsidRDefault="0008539E" w:rsidP="0008539E">
            <w:pPr>
              <w:jc w:val="both"/>
              <w:rPr>
                <w:rFonts w:ascii="Arial" w:hAnsi="Arial" w:cs="Arial"/>
                <w:sz w:val="20"/>
                <w:szCs w:val="20"/>
              </w:rPr>
            </w:pPr>
            <w:r w:rsidRPr="0008539E">
              <w:rPr>
                <w:rFonts w:ascii="Arial" w:hAnsi="Arial" w:cs="Arial"/>
                <w:sz w:val="20"/>
                <w:szCs w:val="20"/>
              </w:rPr>
              <w:t>Children for whom additional formal child care was currently required for mainly work</w:t>
            </w:r>
            <w:r w:rsidR="002D438E">
              <w:rPr>
                <w:rFonts w:ascii="Arial" w:hAnsi="Arial" w:cs="Arial"/>
                <w:sz w:val="20"/>
                <w:szCs w:val="20"/>
              </w:rPr>
              <w:noBreakHyphen/>
            </w:r>
            <w:r w:rsidRPr="0008539E">
              <w:rPr>
                <w:rFonts w:ascii="Arial" w:hAnsi="Arial" w:cs="Arial"/>
                <w:sz w:val="20"/>
                <w:szCs w:val="20"/>
              </w:rPr>
              <w:t>related reasons</w:t>
            </w:r>
            <w:r w:rsidR="002D438E">
              <w:rPr>
                <w:rFonts w:ascii="Arial" w:hAnsi="Arial" w:cs="Arial"/>
                <w:sz w:val="20"/>
                <w:szCs w:val="20"/>
              </w:rPr>
              <w:t xml:space="preserve"> </w:t>
            </w:r>
          </w:p>
        </w:tc>
      </w:tr>
      <w:tr w:rsidR="0008539E" w:rsidRPr="0008539E" w:rsidTr="0008539E">
        <w:trPr>
          <w:trHeight w:val="612"/>
        </w:trPr>
        <w:tc>
          <w:tcPr>
            <w:tcW w:w="1456" w:type="dxa"/>
            <w:tcBorders>
              <w:top w:val="nil"/>
              <w:left w:val="nil"/>
              <w:bottom w:val="nil"/>
              <w:right w:val="nil"/>
            </w:tcBorders>
            <w:shd w:val="clear" w:color="auto" w:fill="auto"/>
            <w:noWrap/>
            <w:hideMark/>
          </w:tcPr>
          <w:p w:rsidR="0008539E" w:rsidRPr="0008539E" w:rsidRDefault="0008539E" w:rsidP="0008539E">
            <w:pPr>
              <w:rPr>
                <w:rFonts w:ascii="Arial" w:hAnsi="Arial" w:cs="Arial"/>
                <w:b/>
                <w:bCs/>
                <w:color w:val="0000FF"/>
                <w:sz w:val="20"/>
                <w:szCs w:val="20"/>
              </w:rPr>
            </w:pPr>
            <w:r w:rsidRPr="0008539E">
              <w:rPr>
                <w:rFonts w:ascii="Arial" w:hAnsi="Arial" w:cs="Arial"/>
                <w:b/>
                <w:bCs/>
                <w:color w:val="0000FF"/>
                <w:sz w:val="20"/>
                <w:szCs w:val="20"/>
              </w:rPr>
              <w:t>Table</w:t>
            </w:r>
            <w:r w:rsidR="00697D43">
              <w:rPr>
                <w:rFonts w:ascii="Arial" w:hAnsi="Arial" w:cs="Arial"/>
                <w:b/>
                <w:bCs/>
                <w:color w:val="0000FF"/>
                <w:sz w:val="20"/>
                <w:szCs w:val="20"/>
              </w:rPr>
              <w:t> </w:t>
            </w:r>
            <w:proofErr w:type="spellStart"/>
            <w:r w:rsidRPr="0008539E">
              <w:rPr>
                <w:rFonts w:ascii="Arial" w:hAnsi="Arial" w:cs="Arial"/>
                <w:b/>
                <w:bCs/>
                <w:color w:val="0000FF"/>
                <w:sz w:val="20"/>
                <w:szCs w:val="20"/>
              </w:rPr>
              <w:t>3A.69</w:t>
            </w:r>
            <w:proofErr w:type="spellEnd"/>
          </w:p>
        </w:tc>
        <w:tc>
          <w:tcPr>
            <w:tcW w:w="7404" w:type="dxa"/>
            <w:tcBorders>
              <w:top w:val="nil"/>
              <w:left w:val="nil"/>
              <w:bottom w:val="nil"/>
              <w:right w:val="nil"/>
            </w:tcBorders>
            <w:shd w:val="clear" w:color="auto" w:fill="auto"/>
            <w:hideMark/>
          </w:tcPr>
          <w:p w:rsidR="0008539E" w:rsidRPr="0008539E" w:rsidRDefault="0008539E" w:rsidP="0008539E">
            <w:pPr>
              <w:jc w:val="both"/>
              <w:rPr>
                <w:rFonts w:ascii="Arial" w:hAnsi="Arial" w:cs="Arial"/>
                <w:sz w:val="20"/>
                <w:szCs w:val="20"/>
              </w:rPr>
            </w:pPr>
            <w:r w:rsidRPr="0008539E">
              <w:rPr>
                <w:rFonts w:ascii="Arial" w:hAnsi="Arial" w:cs="Arial"/>
                <w:sz w:val="20"/>
                <w:szCs w:val="20"/>
              </w:rPr>
              <w:t>Persons aged 15 years and over not in the labour force due to caring for children, by main reason not working due to caring for children, 2014</w:t>
            </w:r>
            <w:r w:rsidR="002D438E">
              <w:rPr>
                <w:rFonts w:ascii="Arial" w:hAnsi="Arial" w:cs="Arial"/>
                <w:sz w:val="20"/>
                <w:szCs w:val="20"/>
              </w:rPr>
              <w:t xml:space="preserve"> </w:t>
            </w:r>
          </w:p>
        </w:tc>
      </w:tr>
      <w:tr w:rsidR="0008539E" w:rsidRPr="0008539E" w:rsidTr="0008539E">
        <w:trPr>
          <w:trHeight w:val="612"/>
        </w:trPr>
        <w:tc>
          <w:tcPr>
            <w:tcW w:w="1456" w:type="dxa"/>
            <w:tcBorders>
              <w:top w:val="nil"/>
              <w:left w:val="nil"/>
              <w:bottom w:val="nil"/>
              <w:right w:val="nil"/>
            </w:tcBorders>
            <w:shd w:val="clear" w:color="auto" w:fill="auto"/>
            <w:noWrap/>
            <w:hideMark/>
          </w:tcPr>
          <w:p w:rsidR="0008539E" w:rsidRPr="0008539E" w:rsidRDefault="0008539E" w:rsidP="0008539E">
            <w:pPr>
              <w:rPr>
                <w:rFonts w:ascii="Arial" w:hAnsi="Arial" w:cs="Arial"/>
                <w:b/>
                <w:bCs/>
                <w:color w:val="0000FF"/>
                <w:sz w:val="20"/>
                <w:szCs w:val="20"/>
              </w:rPr>
            </w:pPr>
            <w:r w:rsidRPr="0008539E">
              <w:rPr>
                <w:rFonts w:ascii="Arial" w:hAnsi="Arial" w:cs="Arial"/>
                <w:b/>
                <w:bCs/>
                <w:color w:val="0000FF"/>
                <w:sz w:val="20"/>
                <w:szCs w:val="20"/>
              </w:rPr>
              <w:t>Table</w:t>
            </w:r>
            <w:r w:rsidR="00697D43">
              <w:rPr>
                <w:rFonts w:ascii="Arial" w:hAnsi="Arial" w:cs="Arial"/>
                <w:b/>
                <w:bCs/>
                <w:color w:val="0000FF"/>
                <w:sz w:val="20"/>
                <w:szCs w:val="20"/>
              </w:rPr>
              <w:t> </w:t>
            </w:r>
            <w:proofErr w:type="spellStart"/>
            <w:r w:rsidRPr="0008539E">
              <w:rPr>
                <w:rFonts w:ascii="Arial" w:hAnsi="Arial" w:cs="Arial"/>
                <w:b/>
                <w:bCs/>
                <w:color w:val="0000FF"/>
                <w:sz w:val="20"/>
                <w:szCs w:val="20"/>
              </w:rPr>
              <w:t>3A.70</w:t>
            </w:r>
            <w:proofErr w:type="spellEnd"/>
          </w:p>
        </w:tc>
        <w:tc>
          <w:tcPr>
            <w:tcW w:w="7404" w:type="dxa"/>
            <w:tcBorders>
              <w:top w:val="nil"/>
              <w:left w:val="nil"/>
              <w:bottom w:val="nil"/>
              <w:right w:val="nil"/>
            </w:tcBorders>
            <w:shd w:val="clear" w:color="auto" w:fill="auto"/>
            <w:hideMark/>
          </w:tcPr>
          <w:p w:rsidR="0008539E" w:rsidRPr="0008539E" w:rsidRDefault="0008539E" w:rsidP="0008539E">
            <w:pPr>
              <w:jc w:val="both"/>
              <w:rPr>
                <w:rFonts w:ascii="Arial" w:hAnsi="Arial" w:cs="Arial"/>
                <w:sz w:val="20"/>
                <w:szCs w:val="20"/>
              </w:rPr>
            </w:pPr>
            <w:r w:rsidRPr="0008539E">
              <w:rPr>
                <w:rFonts w:ascii="Arial" w:hAnsi="Arial" w:cs="Arial"/>
                <w:sz w:val="20"/>
                <w:szCs w:val="20"/>
              </w:rPr>
              <w:t>Children aged 0–5 and 0–12 years by whether additional formal child care or preschool was currently required, by current use</w:t>
            </w:r>
            <w:r w:rsidR="002D438E">
              <w:rPr>
                <w:rFonts w:ascii="Arial" w:hAnsi="Arial" w:cs="Arial"/>
                <w:sz w:val="20"/>
                <w:szCs w:val="20"/>
              </w:rPr>
              <w:t xml:space="preserve"> </w:t>
            </w:r>
          </w:p>
        </w:tc>
      </w:tr>
      <w:tr w:rsidR="0008539E" w:rsidRPr="0008539E" w:rsidTr="0008539E">
        <w:trPr>
          <w:trHeight w:val="612"/>
        </w:trPr>
        <w:tc>
          <w:tcPr>
            <w:tcW w:w="1456" w:type="dxa"/>
            <w:tcBorders>
              <w:top w:val="nil"/>
              <w:left w:val="nil"/>
              <w:bottom w:val="nil"/>
              <w:right w:val="nil"/>
            </w:tcBorders>
            <w:shd w:val="clear" w:color="auto" w:fill="auto"/>
            <w:noWrap/>
            <w:hideMark/>
          </w:tcPr>
          <w:p w:rsidR="0008539E" w:rsidRPr="0008539E" w:rsidRDefault="0008539E" w:rsidP="0008539E">
            <w:pPr>
              <w:rPr>
                <w:rFonts w:ascii="Arial" w:hAnsi="Arial" w:cs="Arial"/>
                <w:b/>
                <w:bCs/>
                <w:color w:val="0000FF"/>
                <w:sz w:val="20"/>
                <w:szCs w:val="20"/>
              </w:rPr>
            </w:pPr>
            <w:r w:rsidRPr="0008539E">
              <w:rPr>
                <w:rFonts w:ascii="Arial" w:hAnsi="Arial" w:cs="Arial"/>
                <w:b/>
                <w:bCs/>
                <w:color w:val="0000FF"/>
                <w:sz w:val="20"/>
                <w:szCs w:val="20"/>
              </w:rPr>
              <w:t>Table</w:t>
            </w:r>
            <w:r w:rsidR="00697D43">
              <w:rPr>
                <w:rFonts w:ascii="Arial" w:hAnsi="Arial" w:cs="Arial"/>
                <w:b/>
                <w:bCs/>
                <w:color w:val="0000FF"/>
                <w:sz w:val="20"/>
                <w:szCs w:val="20"/>
              </w:rPr>
              <w:t> </w:t>
            </w:r>
            <w:proofErr w:type="spellStart"/>
            <w:r w:rsidRPr="0008539E">
              <w:rPr>
                <w:rFonts w:ascii="Arial" w:hAnsi="Arial" w:cs="Arial"/>
                <w:b/>
                <w:bCs/>
                <w:color w:val="0000FF"/>
                <w:sz w:val="20"/>
                <w:szCs w:val="20"/>
              </w:rPr>
              <w:t>3A.71</w:t>
            </w:r>
            <w:proofErr w:type="spellEnd"/>
          </w:p>
        </w:tc>
        <w:tc>
          <w:tcPr>
            <w:tcW w:w="7404" w:type="dxa"/>
            <w:tcBorders>
              <w:top w:val="nil"/>
              <w:left w:val="nil"/>
              <w:bottom w:val="nil"/>
              <w:right w:val="nil"/>
            </w:tcBorders>
            <w:shd w:val="clear" w:color="auto" w:fill="auto"/>
            <w:hideMark/>
          </w:tcPr>
          <w:p w:rsidR="0008539E" w:rsidRPr="0008539E" w:rsidRDefault="0008539E" w:rsidP="006B1681">
            <w:pPr>
              <w:jc w:val="both"/>
              <w:rPr>
                <w:rFonts w:ascii="Arial" w:hAnsi="Arial" w:cs="Arial"/>
                <w:sz w:val="20"/>
                <w:szCs w:val="20"/>
              </w:rPr>
            </w:pPr>
            <w:r w:rsidRPr="0008539E">
              <w:rPr>
                <w:rFonts w:ascii="Arial" w:hAnsi="Arial" w:cs="Arial"/>
                <w:sz w:val="20"/>
                <w:szCs w:val="20"/>
              </w:rPr>
              <w:t>Main reason additional formal child care or preschool was currently required, availability and whether would use it if it became available</w:t>
            </w:r>
            <w:r w:rsidR="002D438E">
              <w:rPr>
                <w:rFonts w:ascii="Arial" w:hAnsi="Arial" w:cs="Arial"/>
                <w:sz w:val="20"/>
                <w:szCs w:val="20"/>
              </w:rPr>
              <w:t xml:space="preserve"> </w:t>
            </w:r>
          </w:p>
        </w:tc>
      </w:tr>
      <w:tr w:rsidR="0008539E" w:rsidRPr="0008539E" w:rsidTr="0008539E">
        <w:trPr>
          <w:trHeight w:val="867"/>
        </w:trPr>
        <w:tc>
          <w:tcPr>
            <w:tcW w:w="1456" w:type="dxa"/>
            <w:tcBorders>
              <w:top w:val="nil"/>
              <w:left w:val="nil"/>
              <w:bottom w:val="nil"/>
              <w:right w:val="nil"/>
            </w:tcBorders>
            <w:shd w:val="clear" w:color="auto" w:fill="auto"/>
            <w:noWrap/>
            <w:hideMark/>
          </w:tcPr>
          <w:p w:rsidR="0008539E" w:rsidRPr="0008539E" w:rsidRDefault="0008539E" w:rsidP="0008539E">
            <w:pPr>
              <w:rPr>
                <w:rFonts w:ascii="Arial" w:hAnsi="Arial" w:cs="Arial"/>
                <w:b/>
                <w:bCs/>
                <w:color w:val="0000FF"/>
                <w:sz w:val="20"/>
                <w:szCs w:val="20"/>
              </w:rPr>
            </w:pPr>
            <w:r w:rsidRPr="0008539E">
              <w:rPr>
                <w:rFonts w:ascii="Arial" w:hAnsi="Arial" w:cs="Arial"/>
                <w:b/>
                <w:bCs/>
                <w:color w:val="0000FF"/>
                <w:sz w:val="20"/>
                <w:szCs w:val="20"/>
              </w:rPr>
              <w:t>Table</w:t>
            </w:r>
            <w:r w:rsidR="00697D43">
              <w:rPr>
                <w:rFonts w:ascii="Arial" w:hAnsi="Arial" w:cs="Arial"/>
                <w:b/>
                <w:bCs/>
                <w:color w:val="0000FF"/>
                <w:sz w:val="20"/>
                <w:szCs w:val="20"/>
              </w:rPr>
              <w:t> </w:t>
            </w:r>
            <w:proofErr w:type="spellStart"/>
            <w:r w:rsidRPr="0008539E">
              <w:rPr>
                <w:rFonts w:ascii="Arial" w:hAnsi="Arial" w:cs="Arial"/>
                <w:b/>
                <w:bCs/>
                <w:color w:val="0000FF"/>
                <w:sz w:val="20"/>
                <w:szCs w:val="20"/>
              </w:rPr>
              <w:t>3A.72</w:t>
            </w:r>
            <w:proofErr w:type="spellEnd"/>
          </w:p>
        </w:tc>
        <w:tc>
          <w:tcPr>
            <w:tcW w:w="7404" w:type="dxa"/>
            <w:tcBorders>
              <w:top w:val="nil"/>
              <w:left w:val="nil"/>
              <w:bottom w:val="nil"/>
              <w:right w:val="nil"/>
            </w:tcBorders>
            <w:shd w:val="clear" w:color="auto" w:fill="auto"/>
            <w:hideMark/>
          </w:tcPr>
          <w:p w:rsidR="0008539E" w:rsidRPr="0008539E" w:rsidRDefault="0008539E" w:rsidP="0008539E">
            <w:pPr>
              <w:jc w:val="both"/>
              <w:rPr>
                <w:rFonts w:ascii="Arial" w:hAnsi="Arial" w:cs="Arial"/>
                <w:sz w:val="20"/>
                <w:szCs w:val="20"/>
              </w:rPr>
            </w:pPr>
            <w:r w:rsidRPr="0008539E">
              <w:rPr>
                <w:rFonts w:ascii="Arial" w:hAnsi="Arial" w:cs="Arial"/>
                <w:sz w:val="20"/>
                <w:szCs w:val="20"/>
              </w:rPr>
              <w:t>Out</w:t>
            </w:r>
            <w:r w:rsidR="002D438E">
              <w:rPr>
                <w:rFonts w:ascii="Arial" w:hAnsi="Arial" w:cs="Arial"/>
                <w:sz w:val="20"/>
                <w:szCs w:val="20"/>
              </w:rPr>
              <w:noBreakHyphen/>
            </w:r>
            <w:r w:rsidRPr="0008539E">
              <w:rPr>
                <w:rFonts w:ascii="Arial" w:hAnsi="Arial" w:cs="Arial"/>
                <w:sz w:val="20"/>
                <w:szCs w:val="20"/>
              </w:rPr>
              <w:t>of</w:t>
            </w:r>
            <w:r w:rsidR="002D438E">
              <w:rPr>
                <w:rFonts w:ascii="Arial" w:hAnsi="Arial" w:cs="Arial"/>
                <w:sz w:val="20"/>
                <w:szCs w:val="20"/>
              </w:rPr>
              <w:noBreakHyphen/>
            </w:r>
            <w:r w:rsidRPr="0008539E">
              <w:rPr>
                <w:rFonts w:ascii="Arial" w:hAnsi="Arial" w:cs="Arial"/>
                <w:sz w:val="20"/>
                <w:szCs w:val="20"/>
              </w:rPr>
              <w:t>pocket costs of child care for families with one child in 50 hours long day care, as a proportion of weekly disposable income, by gross annual family income, 2015 (per cent)</w:t>
            </w:r>
            <w:r w:rsidR="002D438E">
              <w:rPr>
                <w:rFonts w:ascii="Arial" w:hAnsi="Arial" w:cs="Arial"/>
                <w:sz w:val="20"/>
                <w:szCs w:val="20"/>
              </w:rPr>
              <w:t xml:space="preserve"> </w:t>
            </w:r>
          </w:p>
        </w:tc>
      </w:tr>
      <w:tr w:rsidR="0008539E" w:rsidRPr="0008539E" w:rsidTr="0008539E">
        <w:trPr>
          <w:trHeight w:val="867"/>
        </w:trPr>
        <w:tc>
          <w:tcPr>
            <w:tcW w:w="1456" w:type="dxa"/>
            <w:tcBorders>
              <w:top w:val="nil"/>
              <w:left w:val="nil"/>
              <w:bottom w:val="nil"/>
              <w:right w:val="nil"/>
            </w:tcBorders>
            <w:shd w:val="clear" w:color="auto" w:fill="auto"/>
            <w:noWrap/>
            <w:hideMark/>
          </w:tcPr>
          <w:p w:rsidR="0008539E" w:rsidRPr="0008539E" w:rsidRDefault="0008539E" w:rsidP="0008539E">
            <w:pPr>
              <w:rPr>
                <w:rFonts w:ascii="Arial" w:hAnsi="Arial" w:cs="Arial"/>
                <w:b/>
                <w:bCs/>
                <w:color w:val="0000FF"/>
                <w:sz w:val="20"/>
                <w:szCs w:val="20"/>
              </w:rPr>
            </w:pPr>
            <w:r w:rsidRPr="0008539E">
              <w:rPr>
                <w:rFonts w:ascii="Arial" w:hAnsi="Arial" w:cs="Arial"/>
                <w:b/>
                <w:bCs/>
                <w:color w:val="0000FF"/>
                <w:sz w:val="20"/>
                <w:szCs w:val="20"/>
              </w:rPr>
              <w:t>Table</w:t>
            </w:r>
            <w:r w:rsidR="00697D43">
              <w:rPr>
                <w:rFonts w:ascii="Arial" w:hAnsi="Arial" w:cs="Arial"/>
                <w:b/>
                <w:bCs/>
                <w:color w:val="0000FF"/>
                <w:sz w:val="20"/>
                <w:szCs w:val="20"/>
              </w:rPr>
              <w:t> </w:t>
            </w:r>
            <w:proofErr w:type="spellStart"/>
            <w:r w:rsidRPr="0008539E">
              <w:rPr>
                <w:rFonts w:ascii="Arial" w:hAnsi="Arial" w:cs="Arial"/>
                <w:b/>
                <w:bCs/>
                <w:color w:val="0000FF"/>
                <w:sz w:val="20"/>
                <w:szCs w:val="20"/>
              </w:rPr>
              <w:t>3A.73</w:t>
            </w:r>
            <w:proofErr w:type="spellEnd"/>
          </w:p>
        </w:tc>
        <w:tc>
          <w:tcPr>
            <w:tcW w:w="7404" w:type="dxa"/>
            <w:tcBorders>
              <w:top w:val="nil"/>
              <w:left w:val="nil"/>
              <w:bottom w:val="nil"/>
              <w:right w:val="nil"/>
            </w:tcBorders>
            <w:shd w:val="clear" w:color="auto" w:fill="auto"/>
            <w:hideMark/>
          </w:tcPr>
          <w:p w:rsidR="0008539E" w:rsidRPr="0008539E" w:rsidRDefault="0008539E" w:rsidP="0008539E">
            <w:pPr>
              <w:jc w:val="both"/>
              <w:rPr>
                <w:rFonts w:ascii="Arial" w:hAnsi="Arial" w:cs="Arial"/>
                <w:sz w:val="20"/>
                <w:szCs w:val="20"/>
              </w:rPr>
            </w:pPr>
            <w:r w:rsidRPr="0008539E">
              <w:rPr>
                <w:rFonts w:ascii="Arial" w:hAnsi="Arial" w:cs="Arial"/>
                <w:sz w:val="20"/>
                <w:szCs w:val="20"/>
              </w:rPr>
              <w:t>Out</w:t>
            </w:r>
            <w:r w:rsidR="002D438E">
              <w:rPr>
                <w:rFonts w:ascii="Arial" w:hAnsi="Arial" w:cs="Arial"/>
                <w:sz w:val="20"/>
                <w:szCs w:val="20"/>
              </w:rPr>
              <w:noBreakHyphen/>
            </w:r>
            <w:r w:rsidRPr="0008539E">
              <w:rPr>
                <w:rFonts w:ascii="Arial" w:hAnsi="Arial" w:cs="Arial"/>
                <w:sz w:val="20"/>
                <w:szCs w:val="20"/>
              </w:rPr>
              <w:t>of</w:t>
            </w:r>
            <w:r w:rsidR="002D438E">
              <w:rPr>
                <w:rFonts w:ascii="Arial" w:hAnsi="Arial" w:cs="Arial"/>
                <w:sz w:val="20"/>
                <w:szCs w:val="20"/>
              </w:rPr>
              <w:noBreakHyphen/>
            </w:r>
            <w:r w:rsidRPr="0008539E">
              <w:rPr>
                <w:rFonts w:ascii="Arial" w:hAnsi="Arial" w:cs="Arial"/>
                <w:sz w:val="20"/>
                <w:szCs w:val="20"/>
              </w:rPr>
              <w:t>pocket costs of child care for families with one child in 50 hours family day care, as a proportion of weekly disposable income, by gross annual family income, 2015 (per cent)</w:t>
            </w:r>
            <w:r w:rsidR="002D438E">
              <w:rPr>
                <w:rFonts w:ascii="Arial" w:hAnsi="Arial" w:cs="Arial"/>
                <w:sz w:val="20"/>
                <w:szCs w:val="20"/>
              </w:rPr>
              <w:t xml:space="preserve"> </w:t>
            </w:r>
          </w:p>
        </w:tc>
      </w:tr>
      <w:tr w:rsidR="0008539E" w:rsidRPr="0008539E" w:rsidTr="0008539E">
        <w:trPr>
          <w:trHeight w:val="867"/>
        </w:trPr>
        <w:tc>
          <w:tcPr>
            <w:tcW w:w="1456" w:type="dxa"/>
            <w:tcBorders>
              <w:top w:val="nil"/>
              <w:left w:val="nil"/>
              <w:bottom w:val="nil"/>
              <w:right w:val="nil"/>
            </w:tcBorders>
            <w:shd w:val="clear" w:color="auto" w:fill="auto"/>
            <w:noWrap/>
            <w:hideMark/>
          </w:tcPr>
          <w:p w:rsidR="0008539E" w:rsidRPr="0008539E" w:rsidRDefault="0008539E" w:rsidP="0008539E">
            <w:pPr>
              <w:rPr>
                <w:rFonts w:ascii="Arial" w:hAnsi="Arial" w:cs="Arial"/>
                <w:b/>
                <w:bCs/>
                <w:color w:val="0000FF"/>
                <w:sz w:val="20"/>
                <w:szCs w:val="20"/>
              </w:rPr>
            </w:pPr>
            <w:r w:rsidRPr="0008539E">
              <w:rPr>
                <w:rFonts w:ascii="Arial" w:hAnsi="Arial" w:cs="Arial"/>
                <w:b/>
                <w:bCs/>
                <w:color w:val="0000FF"/>
                <w:sz w:val="20"/>
                <w:szCs w:val="20"/>
              </w:rPr>
              <w:t>Table</w:t>
            </w:r>
            <w:r w:rsidR="00697D43">
              <w:rPr>
                <w:rFonts w:ascii="Arial" w:hAnsi="Arial" w:cs="Arial"/>
                <w:b/>
                <w:bCs/>
                <w:color w:val="0000FF"/>
                <w:sz w:val="20"/>
                <w:szCs w:val="20"/>
              </w:rPr>
              <w:t> </w:t>
            </w:r>
            <w:proofErr w:type="spellStart"/>
            <w:r w:rsidRPr="0008539E">
              <w:rPr>
                <w:rFonts w:ascii="Arial" w:hAnsi="Arial" w:cs="Arial"/>
                <w:b/>
                <w:bCs/>
                <w:color w:val="0000FF"/>
                <w:sz w:val="20"/>
                <w:szCs w:val="20"/>
              </w:rPr>
              <w:t>3A.74</w:t>
            </w:r>
            <w:proofErr w:type="spellEnd"/>
          </w:p>
        </w:tc>
        <w:tc>
          <w:tcPr>
            <w:tcW w:w="7404" w:type="dxa"/>
            <w:tcBorders>
              <w:top w:val="nil"/>
              <w:left w:val="nil"/>
              <w:bottom w:val="nil"/>
              <w:right w:val="nil"/>
            </w:tcBorders>
            <w:shd w:val="clear" w:color="auto" w:fill="auto"/>
            <w:hideMark/>
          </w:tcPr>
          <w:p w:rsidR="0008539E" w:rsidRPr="0008539E" w:rsidRDefault="0008539E" w:rsidP="0008539E">
            <w:pPr>
              <w:jc w:val="both"/>
              <w:rPr>
                <w:rFonts w:ascii="Arial" w:hAnsi="Arial" w:cs="Arial"/>
                <w:sz w:val="20"/>
                <w:szCs w:val="20"/>
              </w:rPr>
            </w:pPr>
            <w:r w:rsidRPr="0008539E">
              <w:rPr>
                <w:rFonts w:ascii="Arial" w:hAnsi="Arial" w:cs="Arial"/>
                <w:sz w:val="20"/>
                <w:szCs w:val="20"/>
              </w:rPr>
              <w:t>Out</w:t>
            </w:r>
            <w:r w:rsidR="002D438E">
              <w:rPr>
                <w:rFonts w:ascii="Arial" w:hAnsi="Arial" w:cs="Arial"/>
                <w:sz w:val="20"/>
                <w:szCs w:val="20"/>
              </w:rPr>
              <w:noBreakHyphen/>
            </w:r>
            <w:r w:rsidRPr="0008539E">
              <w:rPr>
                <w:rFonts w:ascii="Arial" w:hAnsi="Arial" w:cs="Arial"/>
                <w:sz w:val="20"/>
                <w:szCs w:val="20"/>
              </w:rPr>
              <w:t>of</w:t>
            </w:r>
            <w:r w:rsidR="002D438E">
              <w:rPr>
                <w:rFonts w:ascii="Arial" w:hAnsi="Arial" w:cs="Arial"/>
                <w:sz w:val="20"/>
                <w:szCs w:val="20"/>
              </w:rPr>
              <w:noBreakHyphen/>
            </w:r>
            <w:r w:rsidRPr="0008539E">
              <w:rPr>
                <w:rFonts w:ascii="Arial" w:hAnsi="Arial" w:cs="Arial"/>
                <w:sz w:val="20"/>
                <w:szCs w:val="20"/>
              </w:rPr>
              <w:t>pocket costs of child care for families with one child in 30 hours long day care, as a proportion of weekly disposable income, by gross annual family income, 2015 (per cent)</w:t>
            </w:r>
            <w:r w:rsidR="002D438E">
              <w:rPr>
                <w:rFonts w:ascii="Arial" w:hAnsi="Arial" w:cs="Arial"/>
                <w:sz w:val="20"/>
                <w:szCs w:val="20"/>
              </w:rPr>
              <w:t xml:space="preserve"> </w:t>
            </w:r>
          </w:p>
        </w:tc>
      </w:tr>
      <w:tr w:rsidR="0008539E" w:rsidRPr="0008539E" w:rsidTr="0008539E">
        <w:trPr>
          <w:trHeight w:val="867"/>
        </w:trPr>
        <w:tc>
          <w:tcPr>
            <w:tcW w:w="1456" w:type="dxa"/>
            <w:tcBorders>
              <w:top w:val="nil"/>
              <w:left w:val="nil"/>
              <w:bottom w:val="nil"/>
              <w:right w:val="nil"/>
            </w:tcBorders>
            <w:shd w:val="clear" w:color="auto" w:fill="auto"/>
            <w:noWrap/>
            <w:hideMark/>
          </w:tcPr>
          <w:p w:rsidR="0008539E" w:rsidRPr="0008539E" w:rsidRDefault="0008539E" w:rsidP="0008539E">
            <w:pPr>
              <w:rPr>
                <w:rFonts w:ascii="Arial" w:hAnsi="Arial" w:cs="Arial"/>
                <w:b/>
                <w:bCs/>
                <w:color w:val="0000FF"/>
                <w:sz w:val="20"/>
                <w:szCs w:val="20"/>
              </w:rPr>
            </w:pPr>
            <w:r w:rsidRPr="0008539E">
              <w:rPr>
                <w:rFonts w:ascii="Arial" w:hAnsi="Arial" w:cs="Arial"/>
                <w:b/>
                <w:bCs/>
                <w:color w:val="0000FF"/>
                <w:sz w:val="20"/>
                <w:szCs w:val="20"/>
              </w:rPr>
              <w:t>Table</w:t>
            </w:r>
            <w:r w:rsidR="00697D43">
              <w:rPr>
                <w:rFonts w:ascii="Arial" w:hAnsi="Arial" w:cs="Arial"/>
                <w:b/>
                <w:bCs/>
                <w:color w:val="0000FF"/>
                <w:sz w:val="20"/>
                <w:szCs w:val="20"/>
              </w:rPr>
              <w:t> </w:t>
            </w:r>
            <w:proofErr w:type="spellStart"/>
            <w:r w:rsidRPr="0008539E">
              <w:rPr>
                <w:rFonts w:ascii="Arial" w:hAnsi="Arial" w:cs="Arial"/>
                <w:b/>
                <w:bCs/>
                <w:color w:val="0000FF"/>
                <w:sz w:val="20"/>
                <w:szCs w:val="20"/>
              </w:rPr>
              <w:t>3A.75</w:t>
            </w:r>
            <w:proofErr w:type="spellEnd"/>
          </w:p>
        </w:tc>
        <w:tc>
          <w:tcPr>
            <w:tcW w:w="7404" w:type="dxa"/>
            <w:tcBorders>
              <w:top w:val="nil"/>
              <w:left w:val="nil"/>
              <w:bottom w:val="nil"/>
              <w:right w:val="nil"/>
            </w:tcBorders>
            <w:shd w:val="clear" w:color="auto" w:fill="auto"/>
            <w:hideMark/>
          </w:tcPr>
          <w:p w:rsidR="0008539E" w:rsidRPr="0008539E" w:rsidRDefault="0008539E" w:rsidP="0008539E">
            <w:pPr>
              <w:jc w:val="both"/>
              <w:rPr>
                <w:rFonts w:ascii="Arial" w:hAnsi="Arial" w:cs="Arial"/>
                <w:sz w:val="20"/>
                <w:szCs w:val="20"/>
              </w:rPr>
            </w:pPr>
            <w:r w:rsidRPr="0008539E">
              <w:rPr>
                <w:rFonts w:ascii="Arial" w:hAnsi="Arial" w:cs="Arial"/>
                <w:sz w:val="20"/>
                <w:szCs w:val="20"/>
              </w:rPr>
              <w:t>Out</w:t>
            </w:r>
            <w:r w:rsidR="002D438E">
              <w:rPr>
                <w:rFonts w:ascii="Arial" w:hAnsi="Arial" w:cs="Arial"/>
                <w:sz w:val="20"/>
                <w:szCs w:val="20"/>
              </w:rPr>
              <w:noBreakHyphen/>
            </w:r>
            <w:r w:rsidRPr="0008539E">
              <w:rPr>
                <w:rFonts w:ascii="Arial" w:hAnsi="Arial" w:cs="Arial"/>
                <w:sz w:val="20"/>
                <w:szCs w:val="20"/>
              </w:rPr>
              <w:t>of</w:t>
            </w:r>
            <w:r w:rsidR="002D438E">
              <w:rPr>
                <w:rFonts w:ascii="Arial" w:hAnsi="Arial" w:cs="Arial"/>
                <w:sz w:val="20"/>
                <w:szCs w:val="20"/>
              </w:rPr>
              <w:noBreakHyphen/>
            </w:r>
            <w:r w:rsidRPr="0008539E">
              <w:rPr>
                <w:rFonts w:ascii="Arial" w:hAnsi="Arial" w:cs="Arial"/>
                <w:sz w:val="20"/>
                <w:szCs w:val="20"/>
              </w:rPr>
              <w:t>pocket costs of child care for families with one child in 30 hours family day care, as a proportion of weekly disposable income, by gross annual family income, 2015 (per cent)</w:t>
            </w:r>
            <w:r w:rsidR="002D438E">
              <w:rPr>
                <w:rFonts w:ascii="Arial" w:hAnsi="Arial" w:cs="Arial"/>
                <w:sz w:val="20"/>
                <w:szCs w:val="20"/>
              </w:rPr>
              <w:t xml:space="preserve"> </w:t>
            </w:r>
          </w:p>
        </w:tc>
      </w:tr>
      <w:tr w:rsidR="0008539E" w:rsidRPr="0008539E" w:rsidTr="0008539E">
        <w:trPr>
          <w:trHeight w:val="612"/>
        </w:trPr>
        <w:tc>
          <w:tcPr>
            <w:tcW w:w="1456" w:type="dxa"/>
            <w:tcBorders>
              <w:top w:val="nil"/>
              <w:left w:val="nil"/>
              <w:bottom w:val="nil"/>
              <w:right w:val="nil"/>
            </w:tcBorders>
            <w:shd w:val="clear" w:color="auto" w:fill="auto"/>
            <w:noWrap/>
            <w:hideMark/>
          </w:tcPr>
          <w:p w:rsidR="0008539E" w:rsidRPr="0008539E" w:rsidRDefault="0008539E" w:rsidP="0008539E">
            <w:pPr>
              <w:rPr>
                <w:rFonts w:ascii="Arial" w:hAnsi="Arial" w:cs="Arial"/>
                <w:b/>
                <w:bCs/>
                <w:color w:val="0000FF"/>
                <w:sz w:val="20"/>
                <w:szCs w:val="20"/>
              </w:rPr>
            </w:pPr>
            <w:r w:rsidRPr="0008539E">
              <w:rPr>
                <w:rFonts w:ascii="Arial" w:hAnsi="Arial" w:cs="Arial"/>
                <w:b/>
                <w:bCs/>
                <w:color w:val="0000FF"/>
                <w:sz w:val="20"/>
                <w:szCs w:val="20"/>
              </w:rPr>
              <w:t>Table</w:t>
            </w:r>
            <w:r w:rsidR="00697D43">
              <w:rPr>
                <w:rFonts w:ascii="Arial" w:hAnsi="Arial" w:cs="Arial"/>
                <w:b/>
                <w:bCs/>
                <w:color w:val="0000FF"/>
                <w:sz w:val="20"/>
                <w:szCs w:val="20"/>
              </w:rPr>
              <w:t> </w:t>
            </w:r>
            <w:proofErr w:type="spellStart"/>
            <w:r w:rsidRPr="0008539E">
              <w:rPr>
                <w:rFonts w:ascii="Arial" w:hAnsi="Arial" w:cs="Arial"/>
                <w:b/>
                <w:bCs/>
                <w:color w:val="0000FF"/>
                <w:sz w:val="20"/>
                <w:szCs w:val="20"/>
              </w:rPr>
              <w:t>3A.76</w:t>
            </w:r>
            <w:proofErr w:type="spellEnd"/>
          </w:p>
        </w:tc>
        <w:tc>
          <w:tcPr>
            <w:tcW w:w="7404" w:type="dxa"/>
            <w:tcBorders>
              <w:top w:val="nil"/>
              <w:left w:val="nil"/>
              <w:bottom w:val="nil"/>
              <w:right w:val="nil"/>
            </w:tcBorders>
            <w:shd w:val="clear" w:color="auto" w:fill="auto"/>
            <w:hideMark/>
          </w:tcPr>
          <w:p w:rsidR="0008539E" w:rsidRPr="0008539E" w:rsidRDefault="0008539E" w:rsidP="0008539E">
            <w:pPr>
              <w:jc w:val="both"/>
              <w:rPr>
                <w:rFonts w:ascii="Arial" w:hAnsi="Arial" w:cs="Arial"/>
                <w:sz w:val="20"/>
                <w:szCs w:val="20"/>
              </w:rPr>
            </w:pPr>
            <w:r w:rsidRPr="0008539E">
              <w:rPr>
                <w:rFonts w:ascii="Arial" w:hAnsi="Arial" w:cs="Arial"/>
                <w:sz w:val="20"/>
                <w:szCs w:val="20"/>
              </w:rPr>
              <w:t xml:space="preserve">Children developmentally vulnerable on one or more domains of the </w:t>
            </w:r>
            <w:proofErr w:type="spellStart"/>
            <w:r w:rsidRPr="0008539E">
              <w:rPr>
                <w:rFonts w:ascii="Arial" w:hAnsi="Arial" w:cs="Arial"/>
                <w:sz w:val="20"/>
                <w:szCs w:val="20"/>
              </w:rPr>
              <w:t>AEDC</w:t>
            </w:r>
            <w:proofErr w:type="spellEnd"/>
            <w:r w:rsidRPr="0008539E">
              <w:rPr>
                <w:rFonts w:ascii="Arial" w:hAnsi="Arial" w:cs="Arial"/>
                <w:sz w:val="20"/>
                <w:szCs w:val="20"/>
              </w:rPr>
              <w:t xml:space="preserve">, by </w:t>
            </w:r>
            <w:proofErr w:type="spellStart"/>
            <w:r w:rsidRPr="0008539E">
              <w:rPr>
                <w:rFonts w:ascii="Arial" w:hAnsi="Arial" w:cs="Arial"/>
                <w:sz w:val="20"/>
                <w:szCs w:val="20"/>
              </w:rPr>
              <w:t>ECEC</w:t>
            </w:r>
            <w:proofErr w:type="spellEnd"/>
            <w:r w:rsidRPr="0008539E">
              <w:rPr>
                <w:rFonts w:ascii="Arial" w:hAnsi="Arial" w:cs="Arial"/>
                <w:sz w:val="20"/>
                <w:szCs w:val="20"/>
              </w:rPr>
              <w:t xml:space="preserve"> experience, 2012</w:t>
            </w:r>
            <w:r w:rsidR="002D438E">
              <w:rPr>
                <w:rFonts w:ascii="Arial" w:hAnsi="Arial" w:cs="Arial"/>
                <w:sz w:val="20"/>
                <w:szCs w:val="20"/>
              </w:rPr>
              <w:t xml:space="preserve"> </w:t>
            </w:r>
          </w:p>
        </w:tc>
      </w:tr>
      <w:tr w:rsidR="0008539E" w:rsidRPr="0008539E" w:rsidTr="0008539E">
        <w:trPr>
          <w:trHeight w:val="357"/>
        </w:trPr>
        <w:tc>
          <w:tcPr>
            <w:tcW w:w="1456" w:type="dxa"/>
            <w:tcBorders>
              <w:top w:val="nil"/>
              <w:left w:val="nil"/>
              <w:bottom w:val="nil"/>
              <w:right w:val="nil"/>
            </w:tcBorders>
            <w:shd w:val="clear" w:color="auto" w:fill="auto"/>
            <w:noWrap/>
            <w:hideMark/>
          </w:tcPr>
          <w:p w:rsidR="0008539E" w:rsidRPr="0008539E" w:rsidRDefault="0008539E" w:rsidP="0008539E">
            <w:pPr>
              <w:rPr>
                <w:rFonts w:ascii="Arial" w:hAnsi="Arial" w:cs="Arial"/>
                <w:b/>
                <w:bCs/>
                <w:color w:val="0000FF"/>
                <w:sz w:val="20"/>
                <w:szCs w:val="20"/>
              </w:rPr>
            </w:pPr>
            <w:r w:rsidRPr="0008539E">
              <w:rPr>
                <w:rFonts w:ascii="Arial" w:hAnsi="Arial" w:cs="Arial"/>
                <w:b/>
                <w:bCs/>
                <w:color w:val="0000FF"/>
                <w:sz w:val="20"/>
                <w:szCs w:val="20"/>
              </w:rPr>
              <w:t>Table</w:t>
            </w:r>
            <w:r w:rsidR="00697D43">
              <w:rPr>
                <w:rFonts w:ascii="Arial" w:hAnsi="Arial" w:cs="Arial"/>
                <w:b/>
                <w:bCs/>
                <w:color w:val="0000FF"/>
                <w:sz w:val="20"/>
                <w:szCs w:val="20"/>
              </w:rPr>
              <w:t> </w:t>
            </w:r>
            <w:proofErr w:type="spellStart"/>
            <w:r w:rsidRPr="0008539E">
              <w:rPr>
                <w:rFonts w:ascii="Arial" w:hAnsi="Arial" w:cs="Arial"/>
                <w:b/>
                <w:bCs/>
                <w:color w:val="0000FF"/>
                <w:sz w:val="20"/>
                <w:szCs w:val="20"/>
              </w:rPr>
              <w:t>3A.77</w:t>
            </w:r>
            <w:proofErr w:type="spellEnd"/>
          </w:p>
        </w:tc>
        <w:tc>
          <w:tcPr>
            <w:tcW w:w="7404" w:type="dxa"/>
            <w:tcBorders>
              <w:top w:val="nil"/>
              <w:left w:val="nil"/>
              <w:bottom w:val="nil"/>
              <w:right w:val="nil"/>
            </w:tcBorders>
            <w:shd w:val="clear" w:color="auto" w:fill="auto"/>
            <w:hideMark/>
          </w:tcPr>
          <w:p w:rsidR="0008539E" w:rsidRPr="0008539E" w:rsidRDefault="0008539E" w:rsidP="0008539E">
            <w:pPr>
              <w:jc w:val="both"/>
              <w:rPr>
                <w:rFonts w:ascii="Arial" w:hAnsi="Arial" w:cs="Arial"/>
                <w:sz w:val="20"/>
                <w:szCs w:val="20"/>
              </w:rPr>
            </w:pPr>
            <w:r w:rsidRPr="0008539E">
              <w:rPr>
                <w:rFonts w:ascii="Arial" w:hAnsi="Arial" w:cs="Arial"/>
                <w:sz w:val="20"/>
                <w:szCs w:val="20"/>
              </w:rPr>
              <w:t xml:space="preserve">General Government Final Consumption Expenditure, chain price index </w:t>
            </w:r>
          </w:p>
        </w:tc>
      </w:tr>
    </w:tbl>
    <w:p w:rsidR="00AD21E9" w:rsidRDefault="00923A1C" w:rsidP="0008693D">
      <w:pPr>
        <w:pStyle w:val="Heading2"/>
      </w:pPr>
      <w:bookmarkStart w:id="86" w:name="_Toc372900005"/>
      <w:r>
        <w:lastRenderedPageBreak/>
        <w:t>3.</w:t>
      </w:r>
      <w:r w:rsidR="00D93BFE">
        <w:rPr>
          <w:noProof/>
        </w:rPr>
        <w:t>7</w:t>
      </w:r>
      <w:r w:rsidR="00AD21E9">
        <w:tab/>
      </w:r>
      <w:r w:rsidR="00F40779" w:rsidRPr="00F40779">
        <w:t>References</w:t>
      </w:r>
      <w:bookmarkEnd w:id="86"/>
    </w:p>
    <w:p w:rsidR="00A42E75" w:rsidRPr="00B02FD5" w:rsidRDefault="00A42E75" w:rsidP="0008693D">
      <w:pPr>
        <w:pStyle w:val="Reference"/>
        <w:keepNext/>
      </w:pPr>
      <w:r w:rsidRPr="00B02FD5">
        <w:t>ABS (Australian Bureau of Statistics</w:t>
      </w:r>
      <w:r w:rsidR="00981445" w:rsidRPr="00B02FD5">
        <w:t xml:space="preserve">) </w:t>
      </w:r>
      <w:proofErr w:type="spellStart"/>
      <w:r w:rsidR="00CD2220">
        <w:t>2015</w:t>
      </w:r>
      <w:r w:rsidR="00435597">
        <w:t>a</w:t>
      </w:r>
      <w:proofErr w:type="spellEnd"/>
      <w:r w:rsidR="00981445" w:rsidRPr="00B02FD5">
        <w:t xml:space="preserve">, </w:t>
      </w:r>
      <w:r w:rsidR="00CD2220">
        <w:rPr>
          <w:i/>
        </w:rPr>
        <w:t>Presch</w:t>
      </w:r>
      <w:r w:rsidR="00981445" w:rsidRPr="00B02FD5">
        <w:rPr>
          <w:i/>
        </w:rPr>
        <w:t>ool Education, Australia, 201</w:t>
      </w:r>
      <w:r w:rsidR="00CD2220">
        <w:rPr>
          <w:i/>
        </w:rPr>
        <w:t>4,</w:t>
      </w:r>
      <w:r w:rsidR="0065673A" w:rsidRPr="00B02FD5">
        <w:rPr>
          <w:i/>
        </w:rPr>
        <w:t xml:space="preserve"> </w:t>
      </w:r>
      <w:r w:rsidR="00981445" w:rsidRPr="00B02FD5">
        <w:t>Cat.</w:t>
      </w:r>
      <w:r w:rsidR="00FF65D4">
        <w:t> </w:t>
      </w:r>
      <w:r w:rsidR="00981445" w:rsidRPr="00B02FD5">
        <w:t>no</w:t>
      </w:r>
      <w:r w:rsidR="005B5FC3" w:rsidRPr="00B02FD5">
        <w:t>.</w:t>
      </w:r>
      <w:r w:rsidR="00FF65D4">
        <w:t> </w:t>
      </w:r>
      <w:r w:rsidR="00981445" w:rsidRPr="00B02FD5">
        <w:t xml:space="preserve">4240.0, Canberra. </w:t>
      </w:r>
    </w:p>
    <w:p w:rsidR="00981445" w:rsidRDefault="00A42E75" w:rsidP="0008693D">
      <w:pPr>
        <w:pStyle w:val="Reference"/>
        <w:keepNext/>
      </w:pPr>
      <w:r w:rsidRPr="004755AC">
        <w:t>—— </w:t>
      </w:r>
      <w:proofErr w:type="spellStart"/>
      <w:r w:rsidR="00941DC3">
        <w:t>2015</w:t>
      </w:r>
      <w:r w:rsidR="00435597">
        <w:t>b</w:t>
      </w:r>
      <w:proofErr w:type="spellEnd"/>
      <w:r w:rsidR="00981445">
        <w:t xml:space="preserve">, </w:t>
      </w:r>
      <w:r w:rsidR="00981445" w:rsidRPr="004755AC">
        <w:rPr>
          <w:i/>
        </w:rPr>
        <w:t xml:space="preserve">Childhood Education and Care, </w:t>
      </w:r>
      <w:r w:rsidR="00981445" w:rsidRPr="00CA7E5E">
        <w:rPr>
          <w:i/>
        </w:rPr>
        <w:t>Australia,</w:t>
      </w:r>
      <w:r w:rsidR="00941DC3">
        <w:rPr>
          <w:i/>
        </w:rPr>
        <w:t xml:space="preserve"> June 2014</w:t>
      </w:r>
      <w:r w:rsidR="00CD2220">
        <w:rPr>
          <w:i/>
        </w:rPr>
        <w:t>,</w:t>
      </w:r>
      <w:r w:rsidR="00FF65D4">
        <w:t xml:space="preserve"> Cat. </w:t>
      </w:r>
      <w:r w:rsidR="00981445" w:rsidRPr="004755AC">
        <w:t>no</w:t>
      </w:r>
      <w:r w:rsidR="005B5FC3">
        <w:t>.</w:t>
      </w:r>
      <w:r w:rsidR="00981445" w:rsidRPr="004755AC">
        <w:t> 4402.0, Canberra.</w:t>
      </w:r>
    </w:p>
    <w:p w:rsidR="000C7691" w:rsidRPr="00B02FD5" w:rsidRDefault="000C7691" w:rsidP="0008693D">
      <w:pPr>
        <w:pStyle w:val="Reference"/>
        <w:keepNext/>
      </w:pPr>
      <w:proofErr w:type="spellStart"/>
      <w:r w:rsidRPr="00B02FD5">
        <w:t>ACECQA</w:t>
      </w:r>
      <w:proofErr w:type="spellEnd"/>
      <w:r w:rsidRPr="00B02FD5">
        <w:t xml:space="preserve"> (Australian Children’s Educat</w:t>
      </w:r>
      <w:r w:rsidR="00FF65D4">
        <w:t xml:space="preserve">ion and Care Quality Authority) </w:t>
      </w:r>
      <w:r w:rsidRPr="00B02FD5">
        <w:t xml:space="preserve">2013, </w:t>
      </w:r>
      <w:r w:rsidR="00802E05">
        <w:br/>
      </w:r>
      <w:proofErr w:type="spellStart"/>
      <w:r w:rsidR="00B02FD5" w:rsidRPr="00B02FD5">
        <w:rPr>
          <w:i/>
        </w:rPr>
        <w:t>NQF</w:t>
      </w:r>
      <w:proofErr w:type="spellEnd"/>
      <w:r w:rsidR="00B02FD5" w:rsidRPr="00B02FD5">
        <w:rPr>
          <w:i/>
        </w:rPr>
        <w:t xml:space="preserve"> Snapshot, </w:t>
      </w:r>
      <w:proofErr w:type="spellStart"/>
      <w:r w:rsidR="00B02FD5" w:rsidRPr="00B02FD5">
        <w:rPr>
          <w:i/>
        </w:rPr>
        <w:t>Q2</w:t>
      </w:r>
      <w:proofErr w:type="spellEnd"/>
      <w:r w:rsidR="00B02FD5" w:rsidRPr="00B02FD5">
        <w:rPr>
          <w:i/>
        </w:rPr>
        <w:t xml:space="preserve"> 2013</w:t>
      </w:r>
      <w:r w:rsidRPr="00B02FD5">
        <w:t>, Sydney.</w:t>
      </w:r>
    </w:p>
    <w:p w:rsidR="00055924" w:rsidRPr="004607B5" w:rsidRDefault="00055924" w:rsidP="0008693D">
      <w:pPr>
        <w:pStyle w:val="Reference"/>
        <w:keepNext/>
      </w:pPr>
      <w:proofErr w:type="spellStart"/>
      <w:r w:rsidRPr="004607B5">
        <w:t>AIFS</w:t>
      </w:r>
      <w:proofErr w:type="spellEnd"/>
      <w:r w:rsidRPr="004607B5">
        <w:t xml:space="preserve"> (Australian Institute of Family Studies) </w:t>
      </w:r>
      <w:proofErr w:type="spellStart"/>
      <w:r w:rsidRPr="004607B5">
        <w:t>2005</w:t>
      </w:r>
      <w:r w:rsidR="00E67D1A" w:rsidRPr="004607B5">
        <w:t>a</w:t>
      </w:r>
      <w:proofErr w:type="spellEnd"/>
      <w:r w:rsidRPr="004607B5">
        <w:t xml:space="preserve">, </w:t>
      </w:r>
      <w:r w:rsidRPr="004607B5">
        <w:rPr>
          <w:i/>
        </w:rPr>
        <w:t>Growing Up in Australia: The Longitudinal Study of Australian Children: 2004 Annual Report</w:t>
      </w:r>
      <w:r w:rsidRPr="004607B5">
        <w:t xml:space="preserve">, Australian Government, Canberra. </w:t>
      </w:r>
    </w:p>
    <w:p w:rsidR="00055924" w:rsidRDefault="00055924" w:rsidP="0008693D">
      <w:pPr>
        <w:pStyle w:val="Reference"/>
        <w:keepNext/>
      </w:pPr>
      <w:r w:rsidRPr="004607B5">
        <w:t>—— </w:t>
      </w:r>
      <w:proofErr w:type="spellStart"/>
      <w:r w:rsidRPr="004607B5">
        <w:t>2005</w:t>
      </w:r>
      <w:r w:rsidR="00E67D1A" w:rsidRPr="004607B5">
        <w:t>b</w:t>
      </w:r>
      <w:proofErr w:type="spellEnd"/>
      <w:r w:rsidRPr="004607B5">
        <w:t xml:space="preserve">, </w:t>
      </w:r>
      <w:proofErr w:type="spellStart"/>
      <w:r w:rsidRPr="004607B5">
        <w:rPr>
          <w:i/>
        </w:rPr>
        <w:t>LSAC</w:t>
      </w:r>
      <w:proofErr w:type="spellEnd"/>
      <w:r w:rsidRPr="004607B5">
        <w:rPr>
          <w:i/>
        </w:rPr>
        <w:t xml:space="preserve"> Technical Paper </w:t>
      </w:r>
      <w:r w:rsidR="00FF65D4">
        <w:rPr>
          <w:i/>
        </w:rPr>
        <w:t>no. </w:t>
      </w:r>
      <w:r w:rsidRPr="004607B5">
        <w:rPr>
          <w:i/>
        </w:rPr>
        <w:t xml:space="preserve">2, Summarising children’s wellbeing: the </w:t>
      </w:r>
      <w:proofErr w:type="spellStart"/>
      <w:r w:rsidRPr="004607B5">
        <w:rPr>
          <w:i/>
        </w:rPr>
        <w:t>LSAC</w:t>
      </w:r>
      <w:proofErr w:type="spellEnd"/>
      <w:r w:rsidRPr="004607B5">
        <w:rPr>
          <w:i/>
        </w:rPr>
        <w:t xml:space="preserve"> Outcome Index</w:t>
      </w:r>
      <w:r w:rsidRPr="004607B5">
        <w:t>, Canberra.</w:t>
      </w:r>
    </w:p>
    <w:p w:rsidR="000F13C8" w:rsidRPr="004A5144" w:rsidRDefault="000F13C8" w:rsidP="0008693D">
      <w:pPr>
        <w:pStyle w:val="Reference"/>
        <w:keepNext/>
      </w:pPr>
      <w:r>
        <w:t>Australian Government Department of Education, 2014</w:t>
      </w:r>
      <w:r w:rsidRPr="007561B6">
        <w:t xml:space="preserve">, </w:t>
      </w:r>
      <w:r w:rsidRPr="007561B6">
        <w:rPr>
          <w:i/>
        </w:rPr>
        <w:t>Au</w:t>
      </w:r>
      <w:r>
        <w:rPr>
          <w:i/>
        </w:rPr>
        <w:t>stralian Early Development Census:</w:t>
      </w:r>
      <w:r w:rsidRPr="007561B6">
        <w:rPr>
          <w:i/>
        </w:rPr>
        <w:t xml:space="preserve"> 2012 Summary Report</w:t>
      </w:r>
      <w:r>
        <w:t xml:space="preserve"> – </w:t>
      </w:r>
      <w:r w:rsidRPr="007561B6">
        <w:rPr>
          <w:i/>
        </w:rPr>
        <w:t xml:space="preserve">November 2013, </w:t>
      </w:r>
      <w:r w:rsidRPr="007561B6">
        <w:t>Canberra.</w:t>
      </w:r>
      <w:r w:rsidRPr="004A5144">
        <w:t xml:space="preserve"> </w:t>
      </w:r>
    </w:p>
    <w:p w:rsidR="00710600" w:rsidRPr="007561B6" w:rsidRDefault="007C734F" w:rsidP="00FF65D4">
      <w:pPr>
        <w:pStyle w:val="Reference"/>
      </w:pPr>
      <w:r w:rsidRPr="007561B6">
        <w:t xml:space="preserve">Australian Government </w:t>
      </w:r>
      <w:r w:rsidR="008349C8">
        <w:t>Department of Social Services</w:t>
      </w:r>
      <w:r w:rsidR="00616E7A" w:rsidRPr="007561B6">
        <w:t>,</w:t>
      </w:r>
      <w:r w:rsidR="00A928BB" w:rsidRPr="007561B6">
        <w:t xml:space="preserve"> </w:t>
      </w:r>
      <w:r w:rsidR="00116184">
        <w:t>2015</w:t>
      </w:r>
      <w:r w:rsidR="00E648D1" w:rsidRPr="004A5144">
        <w:t xml:space="preserve">, </w:t>
      </w:r>
      <w:r w:rsidR="00E648D1" w:rsidRPr="0074427F">
        <w:t>Legislation, ratings and standards information on the National Quality Framework</w:t>
      </w:r>
      <w:r w:rsidR="000F13C8" w:rsidRPr="0074427F">
        <w:t xml:space="preserve">, </w:t>
      </w:r>
      <w:r w:rsidR="000F13C8" w:rsidRPr="000F13C8">
        <w:t>viewed 25</w:t>
      </w:r>
      <w:r w:rsidR="002D438E">
        <w:t> </w:t>
      </w:r>
      <w:r w:rsidR="000F13C8" w:rsidRPr="000F13C8">
        <w:t>August 2015,</w:t>
      </w:r>
      <w:r w:rsidR="000F13C8">
        <w:rPr>
          <w:i/>
        </w:rPr>
        <w:t xml:space="preserve"> &lt;</w:t>
      </w:r>
      <w:r w:rsidR="006212EF" w:rsidRPr="006212EF">
        <w:t>https://www.dss.gov.au/our</w:t>
      </w:r>
      <w:r w:rsidR="002D438E">
        <w:noBreakHyphen/>
      </w:r>
      <w:r w:rsidR="006212EF" w:rsidRPr="006212EF">
        <w:t>responsibilities/families</w:t>
      </w:r>
      <w:r w:rsidR="002D438E">
        <w:noBreakHyphen/>
      </w:r>
      <w:r w:rsidR="006212EF" w:rsidRPr="006212EF">
        <w:t>and</w:t>
      </w:r>
      <w:r w:rsidR="002D438E">
        <w:noBreakHyphen/>
      </w:r>
      <w:r w:rsidR="006212EF" w:rsidRPr="006212EF">
        <w:t>children/programmes</w:t>
      </w:r>
      <w:r w:rsidR="002D438E">
        <w:noBreakHyphen/>
      </w:r>
      <w:r w:rsidR="006212EF" w:rsidRPr="006212EF">
        <w:t>services/early</w:t>
      </w:r>
      <w:r w:rsidR="002D438E">
        <w:noBreakHyphen/>
      </w:r>
      <w:r w:rsidR="006212EF" w:rsidRPr="006212EF">
        <w:t>childhood</w:t>
      </w:r>
      <w:r w:rsidR="002D438E">
        <w:noBreakHyphen/>
      </w:r>
      <w:r w:rsidR="006212EF" w:rsidRPr="006212EF">
        <w:t>child</w:t>
      </w:r>
      <w:r w:rsidR="002D438E">
        <w:noBreakHyphen/>
      </w:r>
      <w:r w:rsidR="006212EF" w:rsidRPr="006212EF">
        <w:t>care/legislation</w:t>
      </w:r>
      <w:r w:rsidR="002D438E">
        <w:noBreakHyphen/>
      </w:r>
      <w:r w:rsidR="006212EF" w:rsidRPr="006212EF">
        <w:t>ratings</w:t>
      </w:r>
      <w:r w:rsidR="002D438E">
        <w:noBreakHyphen/>
      </w:r>
      <w:r w:rsidR="006212EF" w:rsidRPr="006212EF">
        <w:t>and</w:t>
      </w:r>
      <w:r w:rsidR="002D438E">
        <w:noBreakHyphen/>
      </w:r>
      <w:r w:rsidR="006212EF" w:rsidRPr="006212EF">
        <w:t>standards</w:t>
      </w:r>
      <w:r w:rsidR="002D438E">
        <w:noBreakHyphen/>
      </w:r>
      <w:r w:rsidR="006212EF" w:rsidRPr="006212EF">
        <w:t>information</w:t>
      </w:r>
      <w:r w:rsidR="002D438E">
        <w:noBreakHyphen/>
      </w:r>
      <w:r w:rsidR="006212EF" w:rsidRPr="006212EF">
        <w:t>on</w:t>
      </w:r>
      <w:r w:rsidR="002D438E">
        <w:noBreakHyphen/>
      </w:r>
      <w:r w:rsidR="006212EF" w:rsidRPr="006212EF">
        <w:t>the</w:t>
      </w:r>
      <w:r w:rsidR="002D438E">
        <w:noBreakHyphen/>
      </w:r>
      <w:r w:rsidR="006212EF" w:rsidRPr="006212EF">
        <w:t>national</w:t>
      </w:r>
      <w:r w:rsidR="002D438E">
        <w:noBreakHyphen/>
      </w:r>
      <w:r w:rsidR="006212EF" w:rsidRPr="006212EF">
        <w:t>quality</w:t>
      </w:r>
      <w:r w:rsidR="002D438E">
        <w:noBreakHyphen/>
      </w:r>
      <w:r w:rsidR="006212EF" w:rsidRPr="006212EF">
        <w:t>framework</w:t>
      </w:r>
      <w:r w:rsidR="000F13C8">
        <w:t>&gt;</w:t>
      </w:r>
      <w:r w:rsidR="00E648D1" w:rsidRPr="004A5144">
        <w:t xml:space="preserve">. </w:t>
      </w:r>
    </w:p>
    <w:p w:rsidR="00A42E75" w:rsidRPr="00EF5A5F" w:rsidRDefault="00F40779" w:rsidP="00FF65D4">
      <w:pPr>
        <w:pStyle w:val="Reference"/>
      </w:pPr>
      <w:r w:rsidRPr="004607B5">
        <w:t>OECD (Organisation for Economic Co</w:t>
      </w:r>
      <w:r w:rsidR="00172534">
        <w:noBreakHyphen/>
      </w:r>
      <w:r w:rsidRPr="004607B5">
        <w:t xml:space="preserve">operation and Development) 2006, </w:t>
      </w:r>
      <w:r w:rsidRPr="004607B5">
        <w:rPr>
          <w:i/>
        </w:rPr>
        <w:t>Starting Strong II: Early Childhood Education and Care</w:t>
      </w:r>
      <w:r w:rsidRPr="004607B5">
        <w:t>, Paris.</w:t>
      </w:r>
      <w:r w:rsidRPr="00A469BE">
        <w:t xml:space="preserve"> </w:t>
      </w:r>
    </w:p>
    <w:sectPr w:rsidR="00A42E75" w:rsidRPr="00EF5A5F" w:rsidSect="00A526A5">
      <w:headerReference w:type="even" r:id="rId34"/>
      <w:headerReference w:type="default" r:id="rId35"/>
      <w:footerReference w:type="even" r:id="rId36"/>
      <w:footerReference w:type="default" r:id="rId37"/>
      <w:pgSz w:w="11907" w:h="16840" w:code="9"/>
      <w:pgMar w:top="1984" w:right="1304" w:bottom="1247" w:left="1814" w:header="1701" w:footer="397" w:gutter="0"/>
      <w:pgNumType w:start="1" w:chapSep="period"/>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337E3" w:rsidRDefault="00B337E3">
      <w:r>
        <w:separator/>
      </w:r>
    </w:p>
  </w:endnote>
  <w:endnote w:type="continuationSeparator" w:id="0">
    <w:p w:rsidR="00B337E3" w:rsidRDefault="00B337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MT Extra">
    <w:panose1 w:val="05050102010205020202"/>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Corbel">
    <w:panose1 w:val="020B0503020204020204"/>
    <w:charset w:val="00"/>
    <w:family w:val="swiss"/>
    <w:pitch w:val="variable"/>
    <w:sig w:usb0="A00002EF" w:usb1="4000A44B" w:usb2="00000000" w:usb3="00000000" w:csb0="0000019F" w:csb1="00000000"/>
  </w:font>
  <w:font w:name="Consolas">
    <w:panose1 w:val="020B0609020204030204"/>
    <w:charset w:val="00"/>
    <w:family w:val="modern"/>
    <w:pitch w:val="fixed"/>
    <w:sig w:usb0="E10002FF" w:usb1="4000FCFF" w:usb2="00000009" w:usb3="00000000" w:csb0="0000019F" w:csb1="00000000"/>
  </w:font>
  <w:font w:name="ArialMT">
    <w:altName w:val="Arial"/>
    <w:panose1 w:val="00000000000000000000"/>
    <w:charset w:val="00"/>
    <w:family w:val="swiss"/>
    <w:notTrueType/>
    <w:pitch w:val="default"/>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B337E3" w:rsidTr="005F5594">
      <w:trPr>
        <w:trHeight w:hRule="exact" w:val="567"/>
      </w:trPr>
      <w:tc>
        <w:tcPr>
          <w:tcW w:w="510" w:type="dxa"/>
        </w:tcPr>
        <w:p w:rsidR="00B337E3" w:rsidRPr="00A24443" w:rsidRDefault="00B337E3" w:rsidP="005F5594">
          <w:pPr>
            <w:pStyle w:val="Footer"/>
            <w:tabs>
              <w:tab w:val="left" w:pos="0"/>
            </w:tabs>
            <w:ind w:right="0"/>
            <w:rPr>
              <w:rStyle w:val="PageNumber"/>
              <w:caps w:val="0"/>
            </w:rPr>
          </w:pPr>
          <w:r>
            <w:rPr>
              <w:rStyle w:val="PageNumber"/>
              <w:caps w:val="0"/>
            </w:rPr>
            <w:t>3.</w:t>
          </w: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607F58">
            <w:rPr>
              <w:rStyle w:val="PageNumber"/>
              <w:caps w:val="0"/>
              <w:noProof/>
            </w:rPr>
            <w:t>2</w:t>
          </w:r>
          <w:r w:rsidRPr="00A24443">
            <w:rPr>
              <w:rStyle w:val="PageNumber"/>
              <w:caps w:val="0"/>
            </w:rPr>
            <w:fldChar w:fldCharType="end"/>
          </w:r>
        </w:p>
      </w:tc>
      <w:tc>
        <w:tcPr>
          <w:tcW w:w="7767" w:type="dxa"/>
        </w:tcPr>
        <w:p w:rsidR="00B337E3" w:rsidRPr="0013739A" w:rsidRDefault="00B337E3" w:rsidP="00491645">
          <w:pPr>
            <w:pStyle w:val="Footer"/>
            <w:rPr>
              <w:rFonts w:cs="Arial"/>
            </w:rPr>
          </w:pPr>
          <w:r>
            <w:rPr>
              <w:rFonts w:cs="Arial"/>
            </w:rPr>
            <w:t>Report on Government Services 2016</w:t>
          </w:r>
          <w:bookmarkStart w:id="87" w:name="DraftReportEven"/>
          <w:bookmarkEnd w:id="87"/>
        </w:p>
      </w:tc>
      <w:tc>
        <w:tcPr>
          <w:tcW w:w="510" w:type="dxa"/>
        </w:tcPr>
        <w:p w:rsidR="00B337E3" w:rsidRDefault="00B337E3" w:rsidP="005F5594">
          <w:pPr>
            <w:pStyle w:val="Footer"/>
          </w:pPr>
        </w:p>
      </w:tc>
    </w:tr>
  </w:tbl>
  <w:p w:rsidR="00B337E3" w:rsidRDefault="00B337E3" w:rsidP="005F5594">
    <w:pPr>
      <w:pStyle w:val="FooterEnd"/>
    </w:pPr>
  </w:p>
  <w:p w:rsidR="00B337E3" w:rsidRDefault="00B337E3" w:rsidP="005F5594">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B337E3" w:rsidTr="005F5594">
      <w:trPr>
        <w:trHeight w:hRule="exact" w:val="567"/>
      </w:trPr>
      <w:tc>
        <w:tcPr>
          <w:tcW w:w="510" w:type="dxa"/>
        </w:tcPr>
        <w:p w:rsidR="00B337E3" w:rsidRDefault="00B337E3">
          <w:pPr>
            <w:pStyle w:val="Footer"/>
            <w:ind w:right="360" w:firstLine="360"/>
          </w:pPr>
        </w:p>
      </w:tc>
      <w:tc>
        <w:tcPr>
          <w:tcW w:w="7767" w:type="dxa"/>
        </w:tcPr>
        <w:p w:rsidR="00B337E3" w:rsidRPr="00BA5B14" w:rsidRDefault="00B337E3" w:rsidP="005F5594">
          <w:pPr>
            <w:pStyle w:val="Footer"/>
            <w:jc w:val="right"/>
            <w:rPr>
              <w:rFonts w:cs="Arial"/>
            </w:rPr>
          </w:pPr>
          <w:r>
            <w:rPr>
              <w:rFonts w:cs="Arial"/>
            </w:rPr>
            <w:t>Early Childhood Education and Care</w:t>
          </w:r>
          <w:bookmarkStart w:id="88" w:name="OLE_LINK4"/>
        </w:p>
      </w:tc>
      <w:tc>
        <w:tcPr>
          <w:tcW w:w="510" w:type="dxa"/>
        </w:tcPr>
        <w:p w:rsidR="00B337E3" w:rsidRPr="00A24443" w:rsidRDefault="00B337E3">
          <w:pPr>
            <w:pStyle w:val="Footer"/>
            <w:jc w:val="right"/>
            <w:rPr>
              <w:caps w:val="0"/>
            </w:rPr>
          </w:pPr>
          <w:r>
            <w:rPr>
              <w:rStyle w:val="PageNumber"/>
              <w:caps w:val="0"/>
            </w:rPr>
            <w:t>3.</w:t>
          </w: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607F58">
            <w:rPr>
              <w:rStyle w:val="PageNumber"/>
              <w:caps w:val="0"/>
              <w:noProof/>
            </w:rPr>
            <w:t>1</w:t>
          </w:r>
          <w:r w:rsidRPr="00A24443">
            <w:rPr>
              <w:rStyle w:val="PageNumber"/>
              <w:caps w:val="0"/>
            </w:rPr>
            <w:fldChar w:fldCharType="end"/>
          </w:r>
        </w:p>
      </w:tc>
    </w:tr>
  </w:tbl>
  <w:p w:rsidR="00B337E3" w:rsidRDefault="00B337E3">
    <w:pPr>
      <w:pStyle w:val="FooterEnd"/>
    </w:pPr>
  </w:p>
  <w:bookmarkEnd w:id="88"/>
  <w:p w:rsidR="00B337E3" w:rsidRDefault="00B337E3">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337E3" w:rsidRDefault="00B337E3">
      <w:r>
        <w:separator/>
      </w:r>
    </w:p>
  </w:footnote>
  <w:footnote w:type="continuationSeparator" w:id="0">
    <w:p w:rsidR="00B337E3" w:rsidRDefault="00B337E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B337E3">
      <w:tc>
        <w:tcPr>
          <w:tcW w:w="2155" w:type="dxa"/>
          <w:tcBorders>
            <w:top w:val="single" w:sz="24" w:space="0" w:color="auto"/>
          </w:tcBorders>
        </w:tcPr>
        <w:p w:rsidR="00B337E3" w:rsidRDefault="00B337E3" w:rsidP="00DD2048">
          <w:pPr>
            <w:pStyle w:val="HeaderEven"/>
          </w:pPr>
          <w:r w:rsidRPr="00DD2048">
            <w:tab/>
          </w:r>
        </w:p>
      </w:tc>
      <w:tc>
        <w:tcPr>
          <w:tcW w:w="6634" w:type="dxa"/>
          <w:tcBorders>
            <w:top w:val="single" w:sz="6" w:space="0" w:color="auto"/>
          </w:tcBorders>
        </w:tcPr>
        <w:p w:rsidR="00B337E3" w:rsidRDefault="00B337E3" w:rsidP="00DD2048">
          <w:pPr>
            <w:pStyle w:val="HeaderEven"/>
          </w:pPr>
        </w:p>
      </w:tc>
    </w:tr>
  </w:tbl>
  <w:p w:rsidR="00B337E3" w:rsidRDefault="00B337E3">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B337E3" w:rsidTr="00092927">
      <w:tc>
        <w:tcPr>
          <w:tcW w:w="6634" w:type="dxa"/>
          <w:tcBorders>
            <w:top w:val="single" w:sz="6" w:space="0" w:color="auto"/>
          </w:tcBorders>
        </w:tcPr>
        <w:p w:rsidR="00B337E3" w:rsidRPr="00DD2048" w:rsidRDefault="00B337E3" w:rsidP="008E7F4C">
          <w:pPr>
            <w:pStyle w:val="HeaderOdd"/>
            <w:tabs>
              <w:tab w:val="clear" w:pos="8789"/>
              <w:tab w:val="left" w:pos="4995"/>
            </w:tabs>
          </w:pPr>
        </w:p>
      </w:tc>
      <w:tc>
        <w:tcPr>
          <w:tcW w:w="2155" w:type="dxa"/>
          <w:tcBorders>
            <w:top w:val="single" w:sz="24" w:space="0" w:color="auto"/>
          </w:tcBorders>
        </w:tcPr>
        <w:p w:rsidR="00B337E3" w:rsidRDefault="00B337E3" w:rsidP="00092927">
          <w:pPr>
            <w:pStyle w:val="HeaderOdd"/>
          </w:pPr>
        </w:p>
      </w:tc>
    </w:tr>
  </w:tbl>
  <w:p w:rsidR="00B337E3" w:rsidRDefault="00B337E3">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0BA2943E"/>
    <w:lvl w:ilvl="0">
      <w:start w:val="1"/>
      <w:numFmt w:val="bullet"/>
      <w:lvlText w:val=""/>
      <w:lvlJc w:val="left"/>
      <w:pPr>
        <w:tabs>
          <w:tab w:val="num" w:pos="643"/>
        </w:tabs>
        <w:ind w:left="643" w:hanging="360"/>
      </w:pPr>
      <w:rPr>
        <w:rFonts w:ascii="Symbol" w:hAnsi="Symbol" w:hint="default"/>
      </w:rPr>
    </w:lvl>
  </w:abstractNum>
  <w:abstractNum w:abstractNumId="1">
    <w:nsid w:val="FFFFFF88"/>
    <w:multiLevelType w:val="singleLevel"/>
    <w:tmpl w:val="0B5AF1CA"/>
    <w:lvl w:ilvl="0">
      <w:start w:val="1"/>
      <w:numFmt w:val="decimal"/>
      <w:lvlText w:val="%1."/>
      <w:lvlJc w:val="left"/>
      <w:pPr>
        <w:tabs>
          <w:tab w:val="num" w:pos="360"/>
        </w:tabs>
        <w:ind w:left="360" w:hanging="360"/>
      </w:pPr>
    </w:lvl>
  </w:abstractNum>
  <w:abstractNum w:abstractNumId="2">
    <w:nsid w:val="FFFFFFFE"/>
    <w:multiLevelType w:val="singleLevel"/>
    <w:tmpl w:val="FFFFFFFF"/>
    <w:lvl w:ilvl="0">
      <w:numFmt w:val="decimal"/>
      <w:lvlText w:val="*"/>
      <w:lvlJc w:val="left"/>
    </w:lvl>
  </w:abstractNum>
  <w:abstractNum w:abstractNumId="3">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5">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6">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9">
    <w:nsid w:val="1452415F"/>
    <w:multiLevelType w:val="hybridMultilevel"/>
    <w:tmpl w:val="11042038"/>
    <w:lvl w:ilvl="0" w:tplc="CC683DAA">
      <w:start w:val="1"/>
      <w:numFmt w:val="bullet"/>
      <w:pStyle w:val="KeyPointsListBullet2"/>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0">
    <w:nsid w:val="1AB25CDE"/>
    <w:multiLevelType w:val="singleLevel"/>
    <w:tmpl w:val="3086CA22"/>
    <w:lvl w:ilvl="0">
      <w:start w:val="1"/>
      <w:numFmt w:val="decimal"/>
      <w:lvlText w:val="%1."/>
      <w:legacy w:legacy="1" w:legacySpace="0" w:legacyIndent="340"/>
      <w:lvlJc w:val="left"/>
      <w:pPr>
        <w:ind w:left="340" w:hanging="340"/>
      </w:pPr>
    </w:lvl>
  </w:abstractNum>
  <w:abstractNum w:abstractNumId="11">
    <w:nsid w:val="1E9160A4"/>
    <w:multiLevelType w:val="hybridMultilevel"/>
    <w:tmpl w:val="6CEAC950"/>
    <w:lvl w:ilvl="0" w:tplc="432AEC8C">
      <w:start w:val="1"/>
      <w:numFmt w:val="bullet"/>
      <w:lvlText w:val=""/>
      <w:lvlJc w:val="left"/>
      <w:pPr>
        <w:tabs>
          <w:tab w:val="num" w:pos="624"/>
        </w:tabs>
        <w:ind w:left="680" w:hanging="34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2">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13">
    <w:nsid w:val="245C11D2"/>
    <w:multiLevelType w:val="hybridMultilevel"/>
    <w:tmpl w:val="C99627D6"/>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14">
    <w:nsid w:val="2A4B499F"/>
    <w:multiLevelType w:val="hybridMultilevel"/>
    <w:tmpl w:val="A4DAC042"/>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start w:val="1"/>
      <w:numFmt w:val="bullet"/>
      <w:lvlText w:val=""/>
      <w:lvlJc w:val="left"/>
      <w:pPr>
        <w:ind w:left="1800" w:hanging="360"/>
      </w:pPr>
      <w:rPr>
        <w:rFonts w:ascii="Wingdings" w:hAnsi="Wingdings" w:hint="default"/>
      </w:rPr>
    </w:lvl>
    <w:lvl w:ilvl="3" w:tplc="0C09000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5">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6">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17">
    <w:nsid w:val="31DC06FE"/>
    <w:multiLevelType w:val="hybridMultilevel"/>
    <w:tmpl w:val="DC1466CA"/>
    <w:lvl w:ilvl="0" w:tplc="07629090">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8">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20">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21">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22">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23">
    <w:nsid w:val="5C3F2CDD"/>
    <w:multiLevelType w:val="hybridMultilevel"/>
    <w:tmpl w:val="4B123F5A"/>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4">
    <w:nsid w:val="60A27097"/>
    <w:multiLevelType w:val="hybridMultilevel"/>
    <w:tmpl w:val="39D64E4A"/>
    <w:lvl w:ilvl="0" w:tplc="FEF6E6BE">
      <w:start w:val="1"/>
      <w:numFmt w:val="bullet"/>
      <w:pStyle w:val="KeyPointsListBullet"/>
      <w:lvlText w:val=""/>
      <w:lvlJc w:val="left"/>
      <w:pPr>
        <w:ind w:left="72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26">
    <w:nsid w:val="6D0B19E7"/>
    <w:multiLevelType w:val="hybridMultilevel"/>
    <w:tmpl w:val="AD2CF428"/>
    <w:lvl w:ilvl="0" w:tplc="CA52360A">
      <w:start w:val="1"/>
      <w:numFmt w:val="bullet"/>
      <w:lvlText w:val=""/>
      <w:lvlJc w:val="left"/>
      <w:pPr>
        <w:tabs>
          <w:tab w:val="num" w:pos="360"/>
        </w:tabs>
        <w:ind w:left="360" w:hanging="360"/>
      </w:pPr>
      <w:rPr>
        <w:rFonts w:ascii="Symbol" w:hAnsi="Symbol" w:hint="default"/>
        <w:color w:val="auto"/>
        <w:sz w:val="26"/>
        <w:szCs w:val="26"/>
      </w:rPr>
    </w:lvl>
    <w:lvl w:ilvl="1" w:tplc="95C2A26E">
      <w:start w:val="1"/>
      <w:numFmt w:val="bullet"/>
      <w:lvlText w:val="­"/>
      <w:lvlJc w:val="left"/>
      <w:pPr>
        <w:tabs>
          <w:tab w:val="num" w:pos="1080"/>
        </w:tabs>
        <w:ind w:left="1080" w:hanging="360"/>
      </w:pPr>
      <w:rPr>
        <w:rFonts w:ascii="Courier New" w:hAnsi="Courier New" w:hint="default"/>
      </w:rPr>
    </w:lvl>
    <w:lvl w:ilvl="2" w:tplc="0C090005" w:tentative="1">
      <w:start w:val="1"/>
      <w:numFmt w:val="bullet"/>
      <w:lvlText w:val=""/>
      <w:lvlJc w:val="left"/>
      <w:pPr>
        <w:tabs>
          <w:tab w:val="num" w:pos="1800"/>
        </w:tabs>
        <w:ind w:left="1800" w:hanging="360"/>
      </w:pPr>
      <w:rPr>
        <w:rFonts w:ascii="Wingdings" w:hAnsi="Wingdings" w:hint="default"/>
      </w:rPr>
    </w:lvl>
    <w:lvl w:ilvl="3" w:tplc="0C090001" w:tentative="1">
      <w:start w:val="1"/>
      <w:numFmt w:val="bullet"/>
      <w:lvlText w:val=""/>
      <w:lvlJc w:val="left"/>
      <w:pPr>
        <w:tabs>
          <w:tab w:val="num" w:pos="2520"/>
        </w:tabs>
        <w:ind w:left="2520" w:hanging="360"/>
      </w:pPr>
      <w:rPr>
        <w:rFonts w:ascii="Symbol" w:hAnsi="Symbol" w:hint="default"/>
      </w:rPr>
    </w:lvl>
    <w:lvl w:ilvl="4" w:tplc="0C090003" w:tentative="1">
      <w:start w:val="1"/>
      <w:numFmt w:val="bullet"/>
      <w:lvlText w:val="o"/>
      <w:lvlJc w:val="left"/>
      <w:pPr>
        <w:tabs>
          <w:tab w:val="num" w:pos="3240"/>
        </w:tabs>
        <w:ind w:left="3240" w:hanging="360"/>
      </w:pPr>
      <w:rPr>
        <w:rFonts w:ascii="Courier New" w:hAnsi="Courier New" w:cs="Courier New" w:hint="default"/>
      </w:rPr>
    </w:lvl>
    <w:lvl w:ilvl="5" w:tplc="0C090005" w:tentative="1">
      <w:start w:val="1"/>
      <w:numFmt w:val="bullet"/>
      <w:lvlText w:val=""/>
      <w:lvlJc w:val="left"/>
      <w:pPr>
        <w:tabs>
          <w:tab w:val="num" w:pos="3960"/>
        </w:tabs>
        <w:ind w:left="3960" w:hanging="360"/>
      </w:pPr>
      <w:rPr>
        <w:rFonts w:ascii="Wingdings" w:hAnsi="Wingdings" w:hint="default"/>
      </w:rPr>
    </w:lvl>
    <w:lvl w:ilvl="6" w:tplc="0C090001" w:tentative="1">
      <w:start w:val="1"/>
      <w:numFmt w:val="bullet"/>
      <w:lvlText w:val=""/>
      <w:lvlJc w:val="left"/>
      <w:pPr>
        <w:tabs>
          <w:tab w:val="num" w:pos="4680"/>
        </w:tabs>
        <w:ind w:left="4680" w:hanging="360"/>
      </w:pPr>
      <w:rPr>
        <w:rFonts w:ascii="Symbol" w:hAnsi="Symbol" w:hint="default"/>
      </w:rPr>
    </w:lvl>
    <w:lvl w:ilvl="7" w:tplc="0C090003" w:tentative="1">
      <w:start w:val="1"/>
      <w:numFmt w:val="bullet"/>
      <w:lvlText w:val="o"/>
      <w:lvlJc w:val="left"/>
      <w:pPr>
        <w:tabs>
          <w:tab w:val="num" w:pos="5400"/>
        </w:tabs>
        <w:ind w:left="5400" w:hanging="360"/>
      </w:pPr>
      <w:rPr>
        <w:rFonts w:ascii="Courier New" w:hAnsi="Courier New" w:cs="Courier New" w:hint="default"/>
      </w:rPr>
    </w:lvl>
    <w:lvl w:ilvl="8" w:tplc="0C090005" w:tentative="1">
      <w:start w:val="1"/>
      <w:numFmt w:val="bullet"/>
      <w:lvlText w:val=""/>
      <w:lvlJc w:val="left"/>
      <w:pPr>
        <w:tabs>
          <w:tab w:val="num" w:pos="6120"/>
        </w:tabs>
        <w:ind w:left="6120" w:hanging="360"/>
      </w:pPr>
      <w:rPr>
        <w:rFonts w:ascii="Wingdings" w:hAnsi="Wingdings" w:hint="default"/>
      </w:rPr>
    </w:lvl>
  </w:abstractNum>
  <w:abstractNum w:abstractNumId="27">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28">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num w:numId="1">
    <w:abstractNumId w:val="25"/>
  </w:num>
  <w:num w:numId="2">
    <w:abstractNumId w:val="4"/>
  </w:num>
  <w:num w:numId="3">
    <w:abstractNumId w:val="5"/>
  </w:num>
  <w:num w:numId="4">
    <w:abstractNumId w:val="8"/>
  </w:num>
  <w:num w:numId="5">
    <w:abstractNumId w:val="19"/>
  </w:num>
  <w:num w:numId="6">
    <w:abstractNumId w:val="16"/>
  </w:num>
  <w:num w:numId="7">
    <w:abstractNumId w:val="27"/>
  </w:num>
  <w:num w:numId="8">
    <w:abstractNumId w:val="28"/>
  </w:num>
  <w:num w:numId="9">
    <w:abstractNumId w:val="12"/>
  </w:num>
  <w:num w:numId="10">
    <w:abstractNumId w:val="20"/>
  </w:num>
  <w:num w:numId="11">
    <w:abstractNumId w:val="21"/>
  </w:num>
  <w:num w:numId="12">
    <w:abstractNumId w:val="11"/>
  </w:num>
  <w:num w:numId="13">
    <w:abstractNumId w:val="3"/>
  </w:num>
  <w:num w:numId="14">
    <w:abstractNumId w:val="7"/>
  </w:num>
  <w:num w:numId="15">
    <w:abstractNumId w:val="6"/>
  </w:num>
  <w:num w:numId="16">
    <w:abstractNumId w:val="15"/>
  </w:num>
  <w:num w:numId="17">
    <w:abstractNumId w:val="18"/>
  </w:num>
  <w:num w:numId="18">
    <w:abstractNumId w:val="22"/>
  </w:num>
  <w:num w:numId="19">
    <w:abstractNumId w:val="23"/>
  </w:num>
  <w:num w:numId="20">
    <w:abstractNumId w:val="24"/>
  </w:num>
  <w:num w:numId="21">
    <w:abstractNumId w:val="9"/>
  </w:num>
  <w:num w:numId="22">
    <w:abstractNumId w:val="0"/>
  </w:num>
  <w:num w:numId="23">
    <w:abstractNumId w:val="2"/>
    <w:lvlOverride w:ilvl="0">
      <w:lvl w:ilvl="0">
        <w:start w:val="1"/>
        <w:numFmt w:val="bullet"/>
        <w:lvlText w:val=""/>
        <w:legacy w:legacy="1" w:legacySpace="0" w:legacyIndent="284"/>
        <w:lvlJc w:val="left"/>
        <w:pPr>
          <w:ind w:left="284" w:hanging="284"/>
        </w:pPr>
        <w:rPr>
          <w:rFonts w:ascii="Symbol" w:hAnsi="Symbol" w:hint="default"/>
          <w:sz w:val="18"/>
        </w:rPr>
      </w:lvl>
    </w:lvlOverride>
  </w:num>
  <w:num w:numId="24">
    <w:abstractNumId w:val="1"/>
  </w:num>
  <w:num w:numId="25">
    <w:abstractNumId w:val="10"/>
  </w:num>
  <w:num w:numId="26">
    <w:abstractNumId w:val="16"/>
  </w:num>
  <w:num w:numId="27">
    <w:abstractNumId w:val="16"/>
  </w:num>
  <w:num w:numId="28">
    <w:abstractNumId w:val="16"/>
  </w:num>
  <w:num w:numId="29">
    <w:abstractNumId w:val="19"/>
  </w:num>
  <w:num w:numId="30">
    <w:abstractNumId w:val="13"/>
  </w:num>
  <w:num w:numId="31">
    <w:abstractNumId w:val="26"/>
  </w:num>
  <w:num w:numId="32">
    <w:abstractNumId w:val="14"/>
  </w:num>
  <w:num w:numId="33">
    <w:abstractNumId w:val="17"/>
  </w:num>
  <w:num w:numId="34">
    <w:abstractNumId w:val="16"/>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mirrorMargins/>
  <w:activeWritingStyle w:appName="MSWord" w:lang="en-AU" w:vendorID="8" w:dllVersion="513" w:checkStyle="1"/>
  <w:proofState w:spelling="clean"/>
  <w:attachedTemplate r:id="rId1"/>
  <w:linkStyles/>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340"/>
  <w:evenAndOddHeaders/>
  <w:displayHorizontalDrawingGridEvery w:val="0"/>
  <w:displayVerticalDrawingGridEvery w:val="0"/>
  <w:doNotUseMarginsForDrawingGridOrigin/>
  <w:noPunctuationKerning/>
  <w:characterSpacingControl w:val="doNotCompress"/>
  <w:hdrShapeDefaults>
    <o:shapedefaults v:ext="edit" spidmax="53555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EvenFooter" w:val="0"/>
    <w:docVar w:name="_HasChapterNumber" w:val="1"/>
    <w:docVar w:name="_NumberByChapter" w:val="0"/>
    <w:docVar w:name="_Separator" w:val="."/>
    <w:docVar w:name="AppendixNumber" w:val="B"/>
    <w:docVar w:name="DocType" w:val="0"/>
    <w:docVar w:name="FindingOptions" w:val="1"/>
    <w:docVar w:name="LongChapterTitle" w:val="Chapter"/>
    <w:docVar w:name="LongReportTitle" w:val="Report title"/>
    <w:docVar w:name="RecOptions" w:val="111"/>
    <w:docVar w:name="ShortChapterTitle" w:val="Children's services"/>
    <w:docVar w:name="ShortReportTitle" w:val="Report on government services 2011"/>
    <w:docVar w:name="SideNote" w:val="1"/>
    <w:docVar w:name="UseShortChapter" w:val="0"/>
    <w:docVar w:name="UseShortReport" w:val="0"/>
  </w:docVars>
  <w:rsids>
    <w:rsidRoot w:val="00A4735C"/>
    <w:rsid w:val="00000319"/>
    <w:rsid w:val="0000080C"/>
    <w:rsid w:val="00000904"/>
    <w:rsid w:val="00000909"/>
    <w:rsid w:val="00001575"/>
    <w:rsid w:val="00001822"/>
    <w:rsid w:val="00001BFC"/>
    <w:rsid w:val="00001C49"/>
    <w:rsid w:val="000024C2"/>
    <w:rsid w:val="0000253B"/>
    <w:rsid w:val="00002A07"/>
    <w:rsid w:val="00002B3E"/>
    <w:rsid w:val="00002D1A"/>
    <w:rsid w:val="000033D5"/>
    <w:rsid w:val="0000351E"/>
    <w:rsid w:val="00003AEF"/>
    <w:rsid w:val="00004BAB"/>
    <w:rsid w:val="00004BD9"/>
    <w:rsid w:val="00004CCB"/>
    <w:rsid w:val="000055F9"/>
    <w:rsid w:val="000057BB"/>
    <w:rsid w:val="00005917"/>
    <w:rsid w:val="00005E7A"/>
    <w:rsid w:val="00006052"/>
    <w:rsid w:val="00006196"/>
    <w:rsid w:val="000064AA"/>
    <w:rsid w:val="000065D3"/>
    <w:rsid w:val="0000668F"/>
    <w:rsid w:val="00006A76"/>
    <w:rsid w:val="000071B4"/>
    <w:rsid w:val="00007D37"/>
    <w:rsid w:val="00007D5F"/>
    <w:rsid w:val="00007F9C"/>
    <w:rsid w:val="000102E5"/>
    <w:rsid w:val="000108C7"/>
    <w:rsid w:val="0001099F"/>
    <w:rsid w:val="00010A0C"/>
    <w:rsid w:val="00010AF2"/>
    <w:rsid w:val="0001128D"/>
    <w:rsid w:val="0001131F"/>
    <w:rsid w:val="0001192B"/>
    <w:rsid w:val="00011C65"/>
    <w:rsid w:val="00011E10"/>
    <w:rsid w:val="00011FA2"/>
    <w:rsid w:val="000121A4"/>
    <w:rsid w:val="0001253A"/>
    <w:rsid w:val="00012E2C"/>
    <w:rsid w:val="000137FF"/>
    <w:rsid w:val="000139A7"/>
    <w:rsid w:val="00014356"/>
    <w:rsid w:val="0001495D"/>
    <w:rsid w:val="00014B07"/>
    <w:rsid w:val="00015099"/>
    <w:rsid w:val="00015A40"/>
    <w:rsid w:val="00016675"/>
    <w:rsid w:val="0001668D"/>
    <w:rsid w:val="00016761"/>
    <w:rsid w:val="00016886"/>
    <w:rsid w:val="00016A12"/>
    <w:rsid w:val="000174CF"/>
    <w:rsid w:val="00017E8C"/>
    <w:rsid w:val="00020029"/>
    <w:rsid w:val="00020BD6"/>
    <w:rsid w:val="000213E0"/>
    <w:rsid w:val="00021F82"/>
    <w:rsid w:val="0002237F"/>
    <w:rsid w:val="00022938"/>
    <w:rsid w:val="000231FE"/>
    <w:rsid w:val="00023740"/>
    <w:rsid w:val="00023C40"/>
    <w:rsid w:val="00023D5E"/>
    <w:rsid w:val="0002405E"/>
    <w:rsid w:val="0002418C"/>
    <w:rsid w:val="0002436D"/>
    <w:rsid w:val="00024B91"/>
    <w:rsid w:val="00024E66"/>
    <w:rsid w:val="00024E81"/>
    <w:rsid w:val="00024F8F"/>
    <w:rsid w:val="000252CC"/>
    <w:rsid w:val="00025BCC"/>
    <w:rsid w:val="00026576"/>
    <w:rsid w:val="00026E15"/>
    <w:rsid w:val="000311BE"/>
    <w:rsid w:val="000318C9"/>
    <w:rsid w:val="00031FBF"/>
    <w:rsid w:val="00032020"/>
    <w:rsid w:val="0003281D"/>
    <w:rsid w:val="00032C61"/>
    <w:rsid w:val="00032FFF"/>
    <w:rsid w:val="000330BF"/>
    <w:rsid w:val="00033458"/>
    <w:rsid w:val="000335C2"/>
    <w:rsid w:val="00033946"/>
    <w:rsid w:val="00033E15"/>
    <w:rsid w:val="000340B7"/>
    <w:rsid w:val="0003438B"/>
    <w:rsid w:val="0003475D"/>
    <w:rsid w:val="00035038"/>
    <w:rsid w:val="00035CA3"/>
    <w:rsid w:val="0003611E"/>
    <w:rsid w:val="00036130"/>
    <w:rsid w:val="00036356"/>
    <w:rsid w:val="00036535"/>
    <w:rsid w:val="000365B2"/>
    <w:rsid w:val="000366E2"/>
    <w:rsid w:val="000366F6"/>
    <w:rsid w:val="00036710"/>
    <w:rsid w:val="00036793"/>
    <w:rsid w:val="00036BB3"/>
    <w:rsid w:val="00037133"/>
    <w:rsid w:val="0003716F"/>
    <w:rsid w:val="0003744B"/>
    <w:rsid w:val="000407FA"/>
    <w:rsid w:val="000408B1"/>
    <w:rsid w:val="00040BE2"/>
    <w:rsid w:val="00040EEA"/>
    <w:rsid w:val="000416EA"/>
    <w:rsid w:val="0004176C"/>
    <w:rsid w:val="000419FA"/>
    <w:rsid w:val="0004244F"/>
    <w:rsid w:val="000428F2"/>
    <w:rsid w:val="0004319A"/>
    <w:rsid w:val="000431CD"/>
    <w:rsid w:val="000433ED"/>
    <w:rsid w:val="00043408"/>
    <w:rsid w:val="00043615"/>
    <w:rsid w:val="000448B7"/>
    <w:rsid w:val="0004527E"/>
    <w:rsid w:val="0004549C"/>
    <w:rsid w:val="00045768"/>
    <w:rsid w:val="00045A17"/>
    <w:rsid w:val="00045A9A"/>
    <w:rsid w:val="00045D77"/>
    <w:rsid w:val="0004623D"/>
    <w:rsid w:val="000467B6"/>
    <w:rsid w:val="00046C67"/>
    <w:rsid w:val="00046E75"/>
    <w:rsid w:val="00047046"/>
    <w:rsid w:val="0004768B"/>
    <w:rsid w:val="000477C3"/>
    <w:rsid w:val="000477C8"/>
    <w:rsid w:val="00047A03"/>
    <w:rsid w:val="00047C63"/>
    <w:rsid w:val="00047D06"/>
    <w:rsid w:val="00047EB3"/>
    <w:rsid w:val="00050883"/>
    <w:rsid w:val="00050BB8"/>
    <w:rsid w:val="00050F59"/>
    <w:rsid w:val="00050FB2"/>
    <w:rsid w:val="00051572"/>
    <w:rsid w:val="00051853"/>
    <w:rsid w:val="00051E56"/>
    <w:rsid w:val="00052A64"/>
    <w:rsid w:val="00052BFE"/>
    <w:rsid w:val="00052FD8"/>
    <w:rsid w:val="00053262"/>
    <w:rsid w:val="0005367D"/>
    <w:rsid w:val="00053968"/>
    <w:rsid w:val="00053B7E"/>
    <w:rsid w:val="00053D4D"/>
    <w:rsid w:val="000542CD"/>
    <w:rsid w:val="00054CF7"/>
    <w:rsid w:val="000553F2"/>
    <w:rsid w:val="00055437"/>
    <w:rsid w:val="00055643"/>
    <w:rsid w:val="00055881"/>
    <w:rsid w:val="00055924"/>
    <w:rsid w:val="000559AD"/>
    <w:rsid w:val="00055ABE"/>
    <w:rsid w:val="00055D01"/>
    <w:rsid w:val="0005613C"/>
    <w:rsid w:val="000564F6"/>
    <w:rsid w:val="00056D58"/>
    <w:rsid w:val="00056F71"/>
    <w:rsid w:val="00057158"/>
    <w:rsid w:val="000579C6"/>
    <w:rsid w:val="00057C6D"/>
    <w:rsid w:val="0006067D"/>
    <w:rsid w:val="00060B79"/>
    <w:rsid w:val="00060C8D"/>
    <w:rsid w:val="00060E22"/>
    <w:rsid w:val="00060F9B"/>
    <w:rsid w:val="000611B7"/>
    <w:rsid w:val="00061391"/>
    <w:rsid w:val="000613DE"/>
    <w:rsid w:val="0006184F"/>
    <w:rsid w:val="00061B56"/>
    <w:rsid w:val="000629DB"/>
    <w:rsid w:val="00062A49"/>
    <w:rsid w:val="00062AD1"/>
    <w:rsid w:val="00062F8E"/>
    <w:rsid w:val="00063447"/>
    <w:rsid w:val="00063697"/>
    <w:rsid w:val="00063C6E"/>
    <w:rsid w:val="000640BF"/>
    <w:rsid w:val="0006424D"/>
    <w:rsid w:val="0006470E"/>
    <w:rsid w:val="0006518E"/>
    <w:rsid w:val="000663F1"/>
    <w:rsid w:val="00066829"/>
    <w:rsid w:val="0006689F"/>
    <w:rsid w:val="00066933"/>
    <w:rsid w:val="000669B4"/>
    <w:rsid w:val="00066F3E"/>
    <w:rsid w:val="0006717A"/>
    <w:rsid w:val="00067343"/>
    <w:rsid w:val="00067989"/>
    <w:rsid w:val="00067CB5"/>
    <w:rsid w:val="0007001A"/>
    <w:rsid w:val="0007019C"/>
    <w:rsid w:val="0007091C"/>
    <w:rsid w:val="00070A42"/>
    <w:rsid w:val="00071058"/>
    <w:rsid w:val="00071088"/>
    <w:rsid w:val="000713BB"/>
    <w:rsid w:val="000715FE"/>
    <w:rsid w:val="000716F8"/>
    <w:rsid w:val="0007188C"/>
    <w:rsid w:val="00071990"/>
    <w:rsid w:val="00071D8D"/>
    <w:rsid w:val="00071E61"/>
    <w:rsid w:val="00071F20"/>
    <w:rsid w:val="00072F94"/>
    <w:rsid w:val="000735E1"/>
    <w:rsid w:val="0007374A"/>
    <w:rsid w:val="00073A09"/>
    <w:rsid w:val="00073CA7"/>
    <w:rsid w:val="00073F42"/>
    <w:rsid w:val="0007504A"/>
    <w:rsid w:val="0007571C"/>
    <w:rsid w:val="000757C9"/>
    <w:rsid w:val="000759C4"/>
    <w:rsid w:val="00075A9A"/>
    <w:rsid w:val="00075BA4"/>
    <w:rsid w:val="00075EED"/>
    <w:rsid w:val="0007689C"/>
    <w:rsid w:val="000769CD"/>
    <w:rsid w:val="00076AB2"/>
    <w:rsid w:val="00077602"/>
    <w:rsid w:val="000777DC"/>
    <w:rsid w:val="00077835"/>
    <w:rsid w:val="00077A7E"/>
    <w:rsid w:val="00077D68"/>
    <w:rsid w:val="000802FF"/>
    <w:rsid w:val="000805EA"/>
    <w:rsid w:val="00080783"/>
    <w:rsid w:val="00080A35"/>
    <w:rsid w:val="00080B9F"/>
    <w:rsid w:val="000810AC"/>
    <w:rsid w:val="00081491"/>
    <w:rsid w:val="00081576"/>
    <w:rsid w:val="0008173C"/>
    <w:rsid w:val="00081C97"/>
    <w:rsid w:val="00082EF8"/>
    <w:rsid w:val="000831E6"/>
    <w:rsid w:val="00083572"/>
    <w:rsid w:val="000837B7"/>
    <w:rsid w:val="00083EE4"/>
    <w:rsid w:val="00084003"/>
    <w:rsid w:val="00084351"/>
    <w:rsid w:val="00084769"/>
    <w:rsid w:val="00084DB4"/>
    <w:rsid w:val="0008539E"/>
    <w:rsid w:val="00085804"/>
    <w:rsid w:val="0008584A"/>
    <w:rsid w:val="000859DE"/>
    <w:rsid w:val="00085E23"/>
    <w:rsid w:val="00085F02"/>
    <w:rsid w:val="0008648B"/>
    <w:rsid w:val="0008693D"/>
    <w:rsid w:val="00086C53"/>
    <w:rsid w:val="00087267"/>
    <w:rsid w:val="00087656"/>
    <w:rsid w:val="0008765A"/>
    <w:rsid w:val="000876B1"/>
    <w:rsid w:val="000876D0"/>
    <w:rsid w:val="00087924"/>
    <w:rsid w:val="00087B2C"/>
    <w:rsid w:val="00090156"/>
    <w:rsid w:val="000902F0"/>
    <w:rsid w:val="00090481"/>
    <w:rsid w:val="000907C0"/>
    <w:rsid w:val="00090AF6"/>
    <w:rsid w:val="00090DD8"/>
    <w:rsid w:val="00091790"/>
    <w:rsid w:val="00091F2A"/>
    <w:rsid w:val="00092050"/>
    <w:rsid w:val="000922E4"/>
    <w:rsid w:val="0009281F"/>
    <w:rsid w:val="00092927"/>
    <w:rsid w:val="000929E5"/>
    <w:rsid w:val="00092CFB"/>
    <w:rsid w:val="00092F26"/>
    <w:rsid w:val="0009301D"/>
    <w:rsid w:val="0009319C"/>
    <w:rsid w:val="0009360E"/>
    <w:rsid w:val="000937A1"/>
    <w:rsid w:val="000939F6"/>
    <w:rsid w:val="00094082"/>
    <w:rsid w:val="00094881"/>
    <w:rsid w:val="000948BB"/>
    <w:rsid w:val="00095290"/>
    <w:rsid w:val="000958B0"/>
    <w:rsid w:val="000958B4"/>
    <w:rsid w:val="00095C9C"/>
    <w:rsid w:val="00095D91"/>
    <w:rsid w:val="0009613B"/>
    <w:rsid w:val="00096225"/>
    <w:rsid w:val="00096392"/>
    <w:rsid w:val="00096713"/>
    <w:rsid w:val="000968E8"/>
    <w:rsid w:val="000973B0"/>
    <w:rsid w:val="00097435"/>
    <w:rsid w:val="00097A9B"/>
    <w:rsid w:val="00097D1E"/>
    <w:rsid w:val="000A031D"/>
    <w:rsid w:val="000A07A9"/>
    <w:rsid w:val="000A0AF6"/>
    <w:rsid w:val="000A127E"/>
    <w:rsid w:val="000A1AA6"/>
    <w:rsid w:val="000A1C4E"/>
    <w:rsid w:val="000A208D"/>
    <w:rsid w:val="000A320E"/>
    <w:rsid w:val="000A357F"/>
    <w:rsid w:val="000A378A"/>
    <w:rsid w:val="000A3BD9"/>
    <w:rsid w:val="000A41D3"/>
    <w:rsid w:val="000A4565"/>
    <w:rsid w:val="000A5B7F"/>
    <w:rsid w:val="000A68F6"/>
    <w:rsid w:val="000A6944"/>
    <w:rsid w:val="000A6C2E"/>
    <w:rsid w:val="000A70FB"/>
    <w:rsid w:val="000A731A"/>
    <w:rsid w:val="000A7607"/>
    <w:rsid w:val="000A7624"/>
    <w:rsid w:val="000A7AAC"/>
    <w:rsid w:val="000A7ACF"/>
    <w:rsid w:val="000A7E75"/>
    <w:rsid w:val="000A7FFB"/>
    <w:rsid w:val="000B047F"/>
    <w:rsid w:val="000B04BC"/>
    <w:rsid w:val="000B083F"/>
    <w:rsid w:val="000B105C"/>
    <w:rsid w:val="000B11A9"/>
    <w:rsid w:val="000B1204"/>
    <w:rsid w:val="000B177C"/>
    <w:rsid w:val="000B20FD"/>
    <w:rsid w:val="000B2317"/>
    <w:rsid w:val="000B23C1"/>
    <w:rsid w:val="000B24AC"/>
    <w:rsid w:val="000B2CDF"/>
    <w:rsid w:val="000B2D26"/>
    <w:rsid w:val="000B2D6C"/>
    <w:rsid w:val="000B2E40"/>
    <w:rsid w:val="000B3267"/>
    <w:rsid w:val="000B36A7"/>
    <w:rsid w:val="000B3DD0"/>
    <w:rsid w:val="000B4147"/>
    <w:rsid w:val="000B443F"/>
    <w:rsid w:val="000B4DBB"/>
    <w:rsid w:val="000B4F1C"/>
    <w:rsid w:val="000B52D5"/>
    <w:rsid w:val="000B532B"/>
    <w:rsid w:val="000B542E"/>
    <w:rsid w:val="000B557A"/>
    <w:rsid w:val="000B59F1"/>
    <w:rsid w:val="000B6262"/>
    <w:rsid w:val="000B6537"/>
    <w:rsid w:val="000B66E4"/>
    <w:rsid w:val="000B67BD"/>
    <w:rsid w:val="000B67C4"/>
    <w:rsid w:val="000B6BF5"/>
    <w:rsid w:val="000B6DFF"/>
    <w:rsid w:val="000B733D"/>
    <w:rsid w:val="000B7594"/>
    <w:rsid w:val="000B75A5"/>
    <w:rsid w:val="000B7FCE"/>
    <w:rsid w:val="000C00C6"/>
    <w:rsid w:val="000C0638"/>
    <w:rsid w:val="000C0708"/>
    <w:rsid w:val="000C0889"/>
    <w:rsid w:val="000C0CD0"/>
    <w:rsid w:val="000C0D56"/>
    <w:rsid w:val="000C10C1"/>
    <w:rsid w:val="000C1336"/>
    <w:rsid w:val="000C13DB"/>
    <w:rsid w:val="000C1569"/>
    <w:rsid w:val="000C15C8"/>
    <w:rsid w:val="000C17C2"/>
    <w:rsid w:val="000C192D"/>
    <w:rsid w:val="000C1A68"/>
    <w:rsid w:val="000C2010"/>
    <w:rsid w:val="000C208C"/>
    <w:rsid w:val="000C25F0"/>
    <w:rsid w:val="000C2D18"/>
    <w:rsid w:val="000C31E5"/>
    <w:rsid w:val="000C3D59"/>
    <w:rsid w:val="000C43E6"/>
    <w:rsid w:val="000C49A1"/>
    <w:rsid w:val="000C4B6A"/>
    <w:rsid w:val="000C4D68"/>
    <w:rsid w:val="000C50B7"/>
    <w:rsid w:val="000C52CE"/>
    <w:rsid w:val="000C545F"/>
    <w:rsid w:val="000C54F2"/>
    <w:rsid w:val="000C55D0"/>
    <w:rsid w:val="000C5BE5"/>
    <w:rsid w:val="000C5E3D"/>
    <w:rsid w:val="000C61DA"/>
    <w:rsid w:val="000C644C"/>
    <w:rsid w:val="000C6834"/>
    <w:rsid w:val="000C6BAD"/>
    <w:rsid w:val="000C6D17"/>
    <w:rsid w:val="000C6E60"/>
    <w:rsid w:val="000C7691"/>
    <w:rsid w:val="000D00E1"/>
    <w:rsid w:val="000D0D47"/>
    <w:rsid w:val="000D0D72"/>
    <w:rsid w:val="000D1035"/>
    <w:rsid w:val="000D12EC"/>
    <w:rsid w:val="000D19AF"/>
    <w:rsid w:val="000D1A63"/>
    <w:rsid w:val="000D2223"/>
    <w:rsid w:val="000D22AA"/>
    <w:rsid w:val="000D24A2"/>
    <w:rsid w:val="000D2A34"/>
    <w:rsid w:val="000D2B2E"/>
    <w:rsid w:val="000D2BEB"/>
    <w:rsid w:val="000D2EC4"/>
    <w:rsid w:val="000D30C0"/>
    <w:rsid w:val="000D32C9"/>
    <w:rsid w:val="000D35F3"/>
    <w:rsid w:val="000D3894"/>
    <w:rsid w:val="000D3B58"/>
    <w:rsid w:val="000D42E3"/>
    <w:rsid w:val="000D438C"/>
    <w:rsid w:val="000D453B"/>
    <w:rsid w:val="000D4980"/>
    <w:rsid w:val="000D49DE"/>
    <w:rsid w:val="000D5428"/>
    <w:rsid w:val="000D5553"/>
    <w:rsid w:val="000D558C"/>
    <w:rsid w:val="000D56EF"/>
    <w:rsid w:val="000D58E5"/>
    <w:rsid w:val="000D6538"/>
    <w:rsid w:val="000D672E"/>
    <w:rsid w:val="000D6761"/>
    <w:rsid w:val="000D686E"/>
    <w:rsid w:val="000D6E2D"/>
    <w:rsid w:val="000D6E81"/>
    <w:rsid w:val="000D770C"/>
    <w:rsid w:val="000D7E21"/>
    <w:rsid w:val="000D7F5F"/>
    <w:rsid w:val="000E0116"/>
    <w:rsid w:val="000E0502"/>
    <w:rsid w:val="000E106B"/>
    <w:rsid w:val="000E12C3"/>
    <w:rsid w:val="000E141F"/>
    <w:rsid w:val="000E14C6"/>
    <w:rsid w:val="000E1985"/>
    <w:rsid w:val="000E1B2B"/>
    <w:rsid w:val="000E1B9C"/>
    <w:rsid w:val="000E1BF7"/>
    <w:rsid w:val="000E1C3B"/>
    <w:rsid w:val="000E2150"/>
    <w:rsid w:val="000E2A34"/>
    <w:rsid w:val="000E2B7A"/>
    <w:rsid w:val="000E2F93"/>
    <w:rsid w:val="000E32C9"/>
    <w:rsid w:val="000E34C3"/>
    <w:rsid w:val="000E3849"/>
    <w:rsid w:val="000E38FA"/>
    <w:rsid w:val="000E3A7E"/>
    <w:rsid w:val="000E4613"/>
    <w:rsid w:val="000E4C4E"/>
    <w:rsid w:val="000E4C8C"/>
    <w:rsid w:val="000E4E02"/>
    <w:rsid w:val="000E4F44"/>
    <w:rsid w:val="000E50ED"/>
    <w:rsid w:val="000E560E"/>
    <w:rsid w:val="000E569E"/>
    <w:rsid w:val="000E59D3"/>
    <w:rsid w:val="000E5CDC"/>
    <w:rsid w:val="000E5F70"/>
    <w:rsid w:val="000E6193"/>
    <w:rsid w:val="000E61E8"/>
    <w:rsid w:val="000E64E0"/>
    <w:rsid w:val="000E659B"/>
    <w:rsid w:val="000E679F"/>
    <w:rsid w:val="000E6AF8"/>
    <w:rsid w:val="000E6FD1"/>
    <w:rsid w:val="000E7105"/>
    <w:rsid w:val="000E74ED"/>
    <w:rsid w:val="000E7C29"/>
    <w:rsid w:val="000F0135"/>
    <w:rsid w:val="000F0206"/>
    <w:rsid w:val="000F031F"/>
    <w:rsid w:val="000F07E1"/>
    <w:rsid w:val="000F0D09"/>
    <w:rsid w:val="000F113F"/>
    <w:rsid w:val="000F13C8"/>
    <w:rsid w:val="000F1796"/>
    <w:rsid w:val="000F1D10"/>
    <w:rsid w:val="000F2A16"/>
    <w:rsid w:val="000F2CAA"/>
    <w:rsid w:val="000F37AA"/>
    <w:rsid w:val="000F37B1"/>
    <w:rsid w:val="000F3890"/>
    <w:rsid w:val="000F428B"/>
    <w:rsid w:val="000F42C9"/>
    <w:rsid w:val="000F436F"/>
    <w:rsid w:val="000F44C9"/>
    <w:rsid w:val="000F4843"/>
    <w:rsid w:val="000F4B12"/>
    <w:rsid w:val="000F4D19"/>
    <w:rsid w:val="000F4D37"/>
    <w:rsid w:val="000F4E94"/>
    <w:rsid w:val="000F5463"/>
    <w:rsid w:val="000F5C2B"/>
    <w:rsid w:val="000F5E54"/>
    <w:rsid w:val="000F5EE5"/>
    <w:rsid w:val="000F6531"/>
    <w:rsid w:val="000F6595"/>
    <w:rsid w:val="000F671C"/>
    <w:rsid w:val="000F6D92"/>
    <w:rsid w:val="000F727F"/>
    <w:rsid w:val="000F7326"/>
    <w:rsid w:val="000F7746"/>
    <w:rsid w:val="000F7C3E"/>
    <w:rsid w:val="000F7E86"/>
    <w:rsid w:val="00100491"/>
    <w:rsid w:val="001005C3"/>
    <w:rsid w:val="001006A8"/>
    <w:rsid w:val="00100A7E"/>
    <w:rsid w:val="00100DCE"/>
    <w:rsid w:val="00100F54"/>
    <w:rsid w:val="00100F59"/>
    <w:rsid w:val="00101211"/>
    <w:rsid w:val="0010137D"/>
    <w:rsid w:val="00101560"/>
    <w:rsid w:val="001015EF"/>
    <w:rsid w:val="0010185C"/>
    <w:rsid w:val="00101944"/>
    <w:rsid w:val="00101B4D"/>
    <w:rsid w:val="00101E67"/>
    <w:rsid w:val="00102075"/>
    <w:rsid w:val="0010218B"/>
    <w:rsid w:val="00102262"/>
    <w:rsid w:val="001027F1"/>
    <w:rsid w:val="00102876"/>
    <w:rsid w:val="00102DF5"/>
    <w:rsid w:val="00102F59"/>
    <w:rsid w:val="00103261"/>
    <w:rsid w:val="0010363A"/>
    <w:rsid w:val="00104151"/>
    <w:rsid w:val="001041F6"/>
    <w:rsid w:val="0010442E"/>
    <w:rsid w:val="001046D0"/>
    <w:rsid w:val="001048F8"/>
    <w:rsid w:val="0010491D"/>
    <w:rsid w:val="00104AE0"/>
    <w:rsid w:val="00104C53"/>
    <w:rsid w:val="00104E67"/>
    <w:rsid w:val="00104EB5"/>
    <w:rsid w:val="001050A6"/>
    <w:rsid w:val="001055E3"/>
    <w:rsid w:val="001059A7"/>
    <w:rsid w:val="00105EB5"/>
    <w:rsid w:val="001060E1"/>
    <w:rsid w:val="00106680"/>
    <w:rsid w:val="00106812"/>
    <w:rsid w:val="00106815"/>
    <w:rsid w:val="001068F0"/>
    <w:rsid w:val="00106CDE"/>
    <w:rsid w:val="00106F41"/>
    <w:rsid w:val="00107090"/>
    <w:rsid w:val="00107DC7"/>
    <w:rsid w:val="001100E7"/>
    <w:rsid w:val="0011027A"/>
    <w:rsid w:val="001104B8"/>
    <w:rsid w:val="001104CC"/>
    <w:rsid w:val="001105AB"/>
    <w:rsid w:val="0011061F"/>
    <w:rsid w:val="00110815"/>
    <w:rsid w:val="00111029"/>
    <w:rsid w:val="00111DA6"/>
    <w:rsid w:val="00111F1D"/>
    <w:rsid w:val="00112345"/>
    <w:rsid w:val="001128B6"/>
    <w:rsid w:val="00112CC3"/>
    <w:rsid w:val="00112F0B"/>
    <w:rsid w:val="001132CB"/>
    <w:rsid w:val="00113313"/>
    <w:rsid w:val="00113E90"/>
    <w:rsid w:val="00114DD9"/>
    <w:rsid w:val="00115311"/>
    <w:rsid w:val="00115656"/>
    <w:rsid w:val="00115C34"/>
    <w:rsid w:val="00115F2F"/>
    <w:rsid w:val="00116184"/>
    <w:rsid w:val="00116706"/>
    <w:rsid w:val="00116876"/>
    <w:rsid w:val="00116A72"/>
    <w:rsid w:val="00116B12"/>
    <w:rsid w:val="001176AD"/>
    <w:rsid w:val="0011793A"/>
    <w:rsid w:val="00117BF4"/>
    <w:rsid w:val="00117DA8"/>
    <w:rsid w:val="001209EE"/>
    <w:rsid w:val="00120F6A"/>
    <w:rsid w:val="00121278"/>
    <w:rsid w:val="0012157D"/>
    <w:rsid w:val="0012190D"/>
    <w:rsid w:val="001219C4"/>
    <w:rsid w:val="00121AB8"/>
    <w:rsid w:val="00122336"/>
    <w:rsid w:val="00122470"/>
    <w:rsid w:val="00122A73"/>
    <w:rsid w:val="00122BD2"/>
    <w:rsid w:val="00122EAA"/>
    <w:rsid w:val="0012301F"/>
    <w:rsid w:val="0012318A"/>
    <w:rsid w:val="00123482"/>
    <w:rsid w:val="0012367B"/>
    <w:rsid w:val="001237A2"/>
    <w:rsid w:val="00123867"/>
    <w:rsid w:val="0012427D"/>
    <w:rsid w:val="001245D1"/>
    <w:rsid w:val="00124C44"/>
    <w:rsid w:val="00124CD7"/>
    <w:rsid w:val="00124D47"/>
    <w:rsid w:val="0012524D"/>
    <w:rsid w:val="00125836"/>
    <w:rsid w:val="00125E1B"/>
    <w:rsid w:val="00126A7A"/>
    <w:rsid w:val="00126CF9"/>
    <w:rsid w:val="00127121"/>
    <w:rsid w:val="0012725C"/>
    <w:rsid w:val="001272BA"/>
    <w:rsid w:val="0012731A"/>
    <w:rsid w:val="001274B5"/>
    <w:rsid w:val="00127690"/>
    <w:rsid w:val="001277B2"/>
    <w:rsid w:val="00127893"/>
    <w:rsid w:val="00127A36"/>
    <w:rsid w:val="00127DBC"/>
    <w:rsid w:val="0013108B"/>
    <w:rsid w:val="00131244"/>
    <w:rsid w:val="00131DC6"/>
    <w:rsid w:val="00132AB5"/>
    <w:rsid w:val="0013334B"/>
    <w:rsid w:val="00133E49"/>
    <w:rsid w:val="001346E5"/>
    <w:rsid w:val="00134889"/>
    <w:rsid w:val="0013488D"/>
    <w:rsid w:val="00134B8D"/>
    <w:rsid w:val="00134B94"/>
    <w:rsid w:val="00134E4F"/>
    <w:rsid w:val="0013520E"/>
    <w:rsid w:val="001352F8"/>
    <w:rsid w:val="00135858"/>
    <w:rsid w:val="0013665C"/>
    <w:rsid w:val="001369F7"/>
    <w:rsid w:val="00136A1E"/>
    <w:rsid w:val="00136EB1"/>
    <w:rsid w:val="00136F8B"/>
    <w:rsid w:val="00137345"/>
    <w:rsid w:val="001374C2"/>
    <w:rsid w:val="001379B3"/>
    <w:rsid w:val="00137BB8"/>
    <w:rsid w:val="00137DFF"/>
    <w:rsid w:val="00140548"/>
    <w:rsid w:val="00140611"/>
    <w:rsid w:val="00140BD7"/>
    <w:rsid w:val="001415EF"/>
    <w:rsid w:val="0014170B"/>
    <w:rsid w:val="00141CC1"/>
    <w:rsid w:val="001423E7"/>
    <w:rsid w:val="00142724"/>
    <w:rsid w:val="00142BE1"/>
    <w:rsid w:val="00142FEB"/>
    <w:rsid w:val="0014356E"/>
    <w:rsid w:val="001436CC"/>
    <w:rsid w:val="00143700"/>
    <w:rsid w:val="001439DD"/>
    <w:rsid w:val="00143CD2"/>
    <w:rsid w:val="001448C0"/>
    <w:rsid w:val="00144C8D"/>
    <w:rsid w:val="00144E03"/>
    <w:rsid w:val="00144FDA"/>
    <w:rsid w:val="001450A1"/>
    <w:rsid w:val="0014514A"/>
    <w:rsid w:val="00145257"/>
    <w:rsid w:val="001453C0"/>
    <w:rsid w:val="00145407"/>
    <w:rsid w:val="0014586F"/>
    <w:rsid w:val="00145913"/>
    <w:rsid w:val="001460D9"/>
    <w:rsid w:val="001463FD"/>
    <w:rsid w:val="0014648F"/>
    <w:rsid w:val="00146827"/>
    <w:rsid w:val="00146917"/>
    <w:rsid w:val="00146AB8"/>
    <w:rsid w:val="00150052"/>
    <w:rsid w:val="00150090"/>
    <w:rsid w:val="00150530"/>
    <w:rsid w:val="00150540"/>
    <w:rsid w:val="00150584"/>
    <w:rsid w:val="00150D2B"/>
    <w:rsid w:val="00150E7D"/>
    <w:rsid w:val="00150EA5"/>
    <w:rsid w:val="00151432"/>
    <w:rsid w:val="00151768"/>
    <w:rsid w:val="00151802"/>
    <w:rsid w:val="001518AC"/>
    <w:rsid w:val="00151FB0"/>
    <w:rsid w:val="001524D6"/>
    <w:rsid w:val="00152602"/>
    <w:rsid w:val="00152785"/>
    <w:rsid w:val="00152D04"/>
    <w:rsid w:val="00152E36"/>
    <w:rsid w:val="00152E62"/>
    <w:rsid w:val="001530F8"/>
    <w:rsid w:val="0015351E"/>
    <w:rsid w:val="0015360E"/>
    <w:rsid w:val="00153785"/>
    <w:rsid w:val="00153BCC"/>
    <w:rsid w:val="00153C76"/>
    <w:rsid w:val="00153CAC"/>
    <w:rsid w:val="00153D56"/>
    <w:rsid w:val="00154033"/>
    <w:rsid w:val="001541DD"/>
    <w:rsid w:val="001544BC"/>
    <w:rsid w:val="001545C6"/>
    <w:rsid w:val="00154BAE"/>
    <w:rsid w:val="00155399"/>
    <w:rsid w:val="001559E1"/>
    <w:rsid w:val="00155C05"/>
    <w:rsid w:val="00155C40"/>
    <w:rsid w:val="0015601C"/>
    <w:rsid w:val="00156591"/>
    <w:rsid w:val="00156A4B"/>
    <w:rsid w:val="00156B1E"/>
    <w:rsid w:val="00156D86"/>
    <w:rsid w:val="00156FEE"/>
    <w:rsid w:val="00157438"/>
    <w:rsid w:val="00157CA2"/>
    <w:rsid w:val="00157E17"/>
    <w:rsid w:val="001601F2"/>
    <w:rsid w:val="00160662"/>
    <w:rsid w:val="00160C35"/>
    <w:rsid w:val="00161349"/>
    <w:rsid w:val="00162088"/>
    <w:rsid w:val="00162294"/>
    <w:rsid w:val="00162F77"/>
    <w:rsid w:val="001634BE"/>
    <w:rsid w:val="0016389D"/>
    <w:rsid w:val="001639AA"/>
    <w:rsid w:val="001639E3"/>
    <w:rsid w:val="00163A05"/>
    <w:rsid w:val="00164268"/>
    <w:rsid w:val="0016432E"/>
    <w:rsid w:val="001649F0"/>
    <w:rsid w:val="001650DC"/>
    <w:rsid w:val="0016572C"/>
    <w:rsid w:val="0016595F"/>
    <w:rsid w:val="00165FDB"/>
    <w:rsid w:val="0016603E"/>
    <w:rsid w:val="00166170"/>
    <w:rsid w:val="0016622B"/>
    <w:rsid w:val="00166B10"/>
    <w:rsid w:val="00167451"/>
    <w:rsid w:val="0016766C"/>
    <w:rsid w:val="00170804"/>
    <w:rsid w:val="00170991"/>
    <w:rsid w:val="00170BF9"/>
    <w:rsid w:val="00170D92"/>
    <w:rsid w:val="00170E9D"/>
    <w:rsid w:val="00171360"/>
    <w:rsid w:val="00171741"/>
    <w:rsid w:val="001719A2"/>
    <w:rsid w:val="00171C8B"/>
    <w:rsid w:val="00171F72"/>
    <w:rsid w:val="001721C0"/>
    <w:rsid w:val="00172534"/>
    <w:rsid w:val="00172BA1"/>
    <w:rsid w:val="00172E1D"/>
    <w:rsid w:val="00172E31"/>
    <w:rsid w:val="00172F19"/>
    <w:rsid w:val="001738B3"/>
    <w:rsid w:val="001738FE"/>
    <w:rsid w:val="001739E3"/>
    <w:rsid w:val="00174656"/>
    <w:rsid w:val="001746AB"/>
    <w:rsid w:val="00174D12"/>
    <w:rsid w:val="00174E9F"/>
    <w:rsid w:val="001752C9"/>
    <w:rsid w:val="00175633"/>
    <w:rsid w:val="001758AD"/>
    <w:rsid w:val="00175A22"/>
    <w:rsid w:val="00175A83"/>
    <w:rsid w:val="00175D09"/>
    <w:rsid w:val="00175FD4"/>
    <w:rsid w:val="001766B7"/>
    <w:rsid w:val="00176D16"/>
    <w:rsid w:val="0017717B"/>
    <w:rsid w:val="001772E8"/>
    <w:rsid w:val="00177789"/>
    <w:rsid w:val="0017783B"/>
    <w:rsid w:val="001778B2"/>
    <w:rsid w:val="00177954"/>
    <w:rsid w:val="00177EAD"/>
    <w:rsid w:val="00177ED6"/>
    <w:rsid w:val="00177F62"/>
    <w:rsid w:val="00180348"/>
    <w:rsid w:val="00180392"/>
    <w:rsid w:val="001803C8"/>
    <w:rsid w:val="001808FE"/>
    <w:rsid w:val="00180AA4"/>
    <w:rsid w:val="00180BBB"/>
    <w:rsid w:val="00180F24"/>
    <w:rsid w:val="0018125B"/>
    <w:rsid w:val="0018165F"/>
    <w:rsid w:val="00181709"/>
    <w:rsid w:val="00181E6D"/>
    <w:rsid w:val="0018224E"/>
    <w:rsid w:val="001830F1"/>
    <w:rsid w:val="0018407E"/>
    <w:rsid w:val="00184438"/>
    <w:rsid w:val="001844BD"/>
    <w:rsid w:val="0018463B"/>
    <w:rsid w:val="00184DEB"/>
    <w:rsid w:val="00185132"/>
    <w:rsid w:val="00185138"/>
    <w:rsid w:val="00185D19"/>
    <w:rsid w:val="0018652C"/>
    <w:rsid w:val="00186A79"/>
    <w:rsid w:val="001871B8"/>
    <w:rsid w:val="00187388"/>
    <w:rsid w:val="001875A5"/>
    <w:rsid w:val="0018771E"/>
    <w:rsid w:val="00187A1C"/>
    <w:rsid w:val="001902EF"/>
    <w:rsid w:val="00190312"/>
    <w:rsid w:val="001905B4"/>
    <w:rsid w:val="00190DFA"/>
    <w:rsid w:val="00190E60"/>
    <w:rsid w:val="00190F7E"/>
    <w:rsid w:val="001911C4"/>
    <w:rsid w:val="00191614"/>
    <w:rsid w:val="00192D30"/>
    <w:rsid w:val="00192D54"/>
    <w:rsid w:val="00192F2E"/>
    <w:rsid w:val="00192F31"/>
    <w:rsid w:val="00192FC5"/>
    <w:rsid w:val="001931EE"/>
    <w:rsid w:val="001933AA"/>
    <w:rsid w:val="001933C0"/>
    <w:rsid w:val="00193958"/>
    <w:rsid w:val="00193B9A"/>
    <w:rsid w:val="00193DB7"/>
    <w:rsid w:val="00193F49"/>
    <w:rsid w:val="0019446A"/>
    <w:rsid w:val="00194537"/>
    <w:rsid w:val="001949E5"/>
    <w:rsid w:val="001952AD"/>
    <w:rsid w:val="001952DE"/>
    <w:rsid w:val="0019559D"/>
    <w:rsid w:val="00195BB1"/>
    <w:rsid w:val="00195E6B"/>
    <w:rsid w:val="001968D2"/>
    <w:rsid w:val="00197218"/>
    <w:rsid w:val="0019766C"/>
    <w:rsid w:val="0019783F"/>
    <w:rsid w:val="001979ED"/>
    <w:rsid w:val="001A0B8D"/>
    <w:rsid w:val="001A0B9F"/>
    <w:rsid w:val="001A1318"/>
    <w:rsid w:val="001A17B4"/>
    <w:rsid w:val="001A1D30"/>
    <w:rsid w:val="001A1DDB"/>
    <w:rsid w:val="001A26E0"/>
    <w:rsid w:val="001A2B48"/>
    <w:rsid w:val="001A2BD2"/>
    <w:rsid w:val="001A2C9B"/>
    <w:rsid w:val="001A2F52"/>
    <w:rsid w:val="001A2FFB"/>
    <w:rsid w:val="001A3082"/>
    <w:rsid w:val="001A322F"/>
    <w:rsid w:val="001A3329"/>
    <w:rsid w:val="001A34AB"/>
    <w:rsid w:val="001A36AA"/>
    <w:rsid w:val="001A3D4D"/>
    <w:rsid w:val="001A51CC"/>
    <w:rsid w:val="001A534E"/>
    <w:rsid w:val="001A5D86"/>
    <w:rsid w:val="001A6128"/>
    <w:rsid w:val="001A74F8"/>
    <w:rsid w:val="001A77E9"/>
    <w:rsid w:val="001A795E"/>
    <w:rsid w:val="001A7E81"/>
    <w:rsid w:val="001B07B5"/>
    <w:rsid w:val="001B07F7"/>
    <w:rsid w:val="001B0AA3"/>
    <w:rsid w:val="001B0EF1"/>
    <w:rsid w:val="001B0F3B"/>
    <w:rsid w:val="001B1392"/>
    <w:rsid w:val="001B1655"/>
    <w:rsid w:val="001B16CB"/>
    <w:rsid w:val="001B1A06"/>
    <w:rsid w:val="001B1DB7"/>
    <w:rsid w:val="001B1E3F"/>
    <w:rsid w:val="001B1FD4"/>
    <w:rsid w:val="001B2A13"/>
    <w:rsid w:val="001B2BD5"/>
    <w:rsid w:val="001B3360"/>
    <w:rsid w:val="001B4397"/>
    <w:rsid w:val="001B446F"/>
    <w:rsid w:val="001B45F7"/>
    <w:rsid w:val="001B4887"/>
    <w:rsid w:val="001B4BE6"/>
    <w:rsid w:val="001B4D60"/>
    <w:rsid w:val="001B4EA2"/>
    <w:rsid w:val="001B5225"/>
    <w:rsid w:val="001B5601"/>
    <w:rsid w:val="001B5BE6"/>
    <w:rsid w:val="001B6330"/>
    <w:rsid w:val="001B63C5"/>
    <w:rsid w:val="001B643F"/>
    <w:rsid w:val="001B651D"/>
    <w:rsid w:val="001B66BB"/>
    <w:rsid w:val="001B681D"/>
    <w:rsid w:val="001B6B26"/>
    <w:rsid w:val="001B6BFC"/>
    <w:rsid w:val="001B6D95"/>
    <w:rsid w:val="001B6ECF"/>
    <w:rsid w:val="001B71E2"/>
    <w:rsid w:val="001B7512"/>
    <w:rsid w:val="001B795E"/>
    <w:rsid w:val="001B7B60"/>
    <w:rsid w:val="001B7BFD"/>
    <w:rsid w:val="001B7D9C"/>
    <w:rsid w:val="001C0C29"/>
    <w:rsid w:val="001C0C47"/>
    <w:rsid w:val="001C0DCB"/>
    <w:rsid w:val="001C0ECE"/>
    <w:rsid w:val="001C1656"/>
    <w:rsid w:val="001C1B39"/>
    <w:rsid w:val="001C246C"/>
    <w:rsid w:val="001C24BE"/>
    <w:rsid w:val="001C3112"/>
    <w:rsid w:val="001C3295"/>
    <w:rsid w:val="001C34BB"/>
    <w:rsid w:val="001C3CFF"/>
    <w:rsid w:val="001C3F31"/>
    <w:rsid w:val="001C405A"/>
    <w:rsid w:val="001C4466"/>
    <w:rsid w:val="001C470B"/>
    <w:rsid w:val="001C482E"/>
    <w:rsid w:val="001C521F"/>
    <w:rsid w:val="001C5514"/>
    <w:rsid w:val="001C559F"/>
    <w:rsid w:val="001C57AE"/>
    <w:rsid w:val="001C5FF8"/>
    <w:rsid w:val="001C655E"/>
    <w:rsid w:val="001C688E"/>
    <w:rsid w:val="001C6ABF"/>
    <w:rsid w:val="001C6B21"/>
    <w:rsid w:val="001C6D22"/>
    <w:rsid w:val="001C6FC6"/>
    <w:rsid w:val="001C7001"/>
    <w:rsid w:val="001C7AEC"/>
    <w:rsid w:val="001D050C"/>
    <w:rsid w:val="001D0511"/>
    <w:rsid w:val="001D074F"/>
    <w:rsid w:val="001D07DE"/>
    <w:rsid w:val="001D0A33"/>
    <w:rsid w:val="001D0CB5"/>
    <w:rsid w:val="001D1387"/>
    <w:rsid w:val="001D1A4A"/>
    <w:rsid w:val="001D1DFB"/>
    <w:rsid w:val="001D231D"/>
    <w:rsid w:val="001D2489"/>
    <w:rsid w:val="001D28A8"/>
    <w:rsid w:val="001D2AB0"/>
    <w:rsid w:val="001D2DCF"/>
    <w:rsid w:val="001D2ED9"/>
    <w:rsid w:val="001D2FD1"/>
    <w:rsid w:val="001D3003"/>
    <w:rsid w:val="001D32E2"/>
    <w:rsid w:val="001D32F6"/>
    <w:rsid w:val="001D36D3"/>
    <w:rsid w:val="001D453B"/>
    <w:rsid w:val="001D458A"/>
    <w:rsid w:val="001D47B8"/>
    <w:rsid w:val="001D4BCA"/>
    <w:rsid w:val="001D4F79"/>
    <w:rsid w:val="001D52DC"/>
    <w:rsid w:val="001D545D"/>
    <w:rsid w:val="001D55CB"/>
    <w:rsid w:val="001D5865"/>
    <w:rsid w:val="001D596D"/>
    <w:rsid w:val="001D5B50"/>
    <w:rsid w:val="001D5C71"/>
    <w:rsid w:val="001D5DF9"/>
    <w:rsid w:val="001D68ED"/>
    <w:rsid w:val="001D6A72"/>
    <w:rsid w:val="001D6CB9"/>
    <w:rsid w:val="001D7C3C"/>
    <w:rsid w:val="001D7D9D"/>
    <w:rsid w:val="001E0482"/>
    <w:rsid w:val="001E062F"/>
    <w:rsid w:val="001E0B60"/>
    <w:rsid w:val="001E0CE4"/>
    <w:rsid w:val="001E1306"/>
    <w:rsid w:val="001E1426"/>
    <w:rsid w:val="001E14A2"/>
    <w:rsid w:val="001E1784"/>
    <w:rsid w:val="001E1816"/>
    <w:rsid w:val="001E1D04"/>
    <w:rsid w:val="001E1E0F"/>
    <w:rsid w:val="001E2C7D"/>
    <w:rsid w:val="001E2FE3"/>
    <w:rsid w:val="001E39E5"/>
    <w:rsid w:val="001E3B96"/>
    <w:rsid w:val="001E442C"/>
    <w:rsid w:val="001E498B"/>
    <w:rsid w:val="001E4A2D"/>
    <w:rsid w:val="001E4A46"/>
    <w:rsid w:val="001E4A9C"/>
    <w:rsid w:val="001E4D48"/>
    <w:rsid w:val="001E54D9"/>
    <w:rsid w:val="001E5A28"/>
    <w:rsid w:val="001E5B94"/>
    <w:rsid w:val="001E5CD7"/>
    <w:rsid w:val="001E5E3B"/>
    <w:rsid w:val="001E5FA5"/>
    <w:rsid w:val="001E6899"/>
    <w:rsid w:val="001E6990"/>
    <w:rsid w:val="001E6ABE"/>
    <w:rsid w:val="001E6B10"/>
    <w:rsid w:val="001E6C6F"/>
    <w:rsid w:val="001E79AF"/>
    <w:rsid w:val="001E79E4"/>
    <w:rsid w:val="001E7CBB"/>
    <w:rsid w:val="001F0194"/>
    <w:rsid w:val="001F04AD"/>
    <w:rsid w:val="001F0525"/>
    <w:rsid w:val="001F0973"/>
    <w:rsid w:val="001F0D99"/>
    <w:rsid w:val="001F0F15"/>
    <w:rsid w:val="001F0F39"/>
    <w:rsid w:val="001F0FAA"/>
    <w:rsid w:val="001F11E5"/>
    <w:rsid w:val="001F183A"/>
    <w:rsid w:val="001F1D2C"/>
    <w:rsid w:val="001F2802"/>
    <w:rsid w:val="001F2D5E"/>
    <w:rsid w:val="001F32AE"/>
    <w:rsid w:val="001F3327"/>
    <w:rsid w:val="001F4677"/>
    <w:rsid w:val="001F4BED"/>
    <w:rsid w:val="001F525F"/>
    <w:rsid w:val="001F5C40"/>
    <w:rsid w:val="001F6085"/>
    <w:rsid w:val="001F64AD"/>
    <w:rsid w:val="001F6C9C"/>
    <w:rsid w:val="001F74B0"/>
    <w:rsid w:val="001F777C"/>
    <w:rsid w:val="001F7800"/>
    <w:rsid w:val="001F7FEF"/>
    <w:rsid w:val="0020089E"/>
    <w:rsid w:val="002009A9"/>
    <w:rsid w:val="00200E05"/>
    <w:rsid w:val="00201243"/>
    <w:rsid w:val="002015AB"/>
    <w:rsid w:val="00201780"/>
    <w:rsid w:val="00201ACB"/>
    <w:rsid w:val="00201B6B"/>
    <w:rsid w:val="002026F3"/>
    <w:rsid w:val="0020288A"/>
    <w:rsid w:val="00202CD9"/>
    <w:rsid w:val="00203187"/>
    <w:rsid w:val="0020374A"/>
    <w:rsid w:val="002042F3"/>
    <w:rsid w:val="002046D2"/>
    <w:rsid w:val="00205282"/>
    <w:rsid w:val="002054D0"/>
    <w:rsid w:val="00205B0F"/>
    <w:rsid w:val="00205E27"/>
    <w:rsid w:val="00205EC6"/>
    <w:rsid w:val="00205F6E"/>
    <w:rsid w:val="00205F9E"/>
    <w:rsid w:val="00206175"/>
    <w:rsid w:val="00206662"/>
    <w:rsid w:val="00206799"/>
    <w:rsid w:val="00206A36"/>
    <w:rsid w:val="0020708E"/>
    <w:rsid w:val="0020743E"/>
    <w:rsid w:val="002074D6"/>
    <w:rsid w:val="00207808"/>
    <w:rsid w:val="00207B99"/>
    <w:rsid w:val="00207E84"/>
    <w:rsid w:val="00210039"/>
    <w:rsid w:val="00210360"/>
    <w:rsid w:val="00210A01"/>
    <w:rsid w:val="00210C93"/>
    <w:rsid w:val="00211795"/>
    <w:rsid w:val="00211831"/>
    <w:rsid w:val="0021199C"/>
    <w:rsid w:val="00211E75"/>
    <w:rsid w:val="00211F15"/>
    <w:rsid w:val="00212155"/>
    <w:rsid w:val="0021220B"/>
    <w:rsid w:val="0021264F"/>
    <w:rsid w:val="00212DE2"/>
    <w:rsid w:val="00213011"/>
    <w:rsid w:val="002131EA"/>
    <w:rsid w:val="00213A65"/>
    <w:rsid w:val="00213B7C"/>
    <w:rsid w:val="00213F89"/>
    <w:rsid w:val="002144FE"/>
    <w:rsid w:val="002148AC"/>
    <w:rsid w:val="002148BD"/>
    <w:rsid w:val="00214B35"/>
    <w:rsid w:val="00214B57"/>
    <w:rsid w:val="00215023"/>
    <w:rsid w:val="002150BB"/>
    <w:rsid w:val="0021519D"/>
    <w:rsid w:val="00215500"/>
    <w:rsid w:val="00215DD7"/>
    <w:rsid w:val="002163B3"/>
    <w:rsid w:val="00216E22"/>
    <w:rsid w:val="00217379"/>
    <w:rsid w:val="0021775F"/>
    <w:rsid w:val="002178DA"/>
    <w:rsid w:val="00217C88"/>
    <w:rsid w:val="002201C2"/>
    <w:rsid w:val="002206CB"/>
    <w:rsid w:val="00220783"/>
    <w:rsid w:val="00220E5B"/>
    <w:rsid w:val="00220E5D"/>
    <w:rsid w:val="0022132D"/>
    <w:rsid w:val="002216E5"/>
    <w:rsid w:val="002217B2"/>
    <w:rsid w:val="00221BC1"/>
    <w:rsid w:val="002225F2"/>
    <w:rsid w:val="00222994"/>
    <w:rsid w:val="00222F95"/>
    <w:rsid w:val="002234D0"/>
    <w:rsid w:val="002236A6"/>
    <w:rsid w:val="002236BF"/>
    <w:rsid w:val="002238C9"/>
    <w:rsid w:val="00223B60"/>
    <w:rsid w:val="00223EE0"/>
    <w:rsid w:val="002241B3"/>
    <w:rsid w:val="0022423A"/>
    <w:rsid w:val="00224781"/>
    <w:rsid w:val="00224C1C"/>
    <w:rsid w:val="00224D73"/>
    <w:rsid w:val="00224EBE"/>
    <w:rsid w:val="002254A5"/>
    <w:rsid w:val="00225778"/>
    <w:rsid w:val="00225974"/>
    <w:rsid w:val="00225A69"/>
    <w:rsid w:val="0022604A"/>
    <w:rsid w:val="00226054"/>
    <w:rsid w:val="002261F1"/>
    <w:rsid w:val="00226562"/>
    <w:rsid w:val="00226DE5"/>
    <w:rsid w:val="00226E79"/>
    <w:rsid w:val="00227219"/>
    <w:rsid w:val="00227269"/>
    <w:rsid w:val="002273DD"/>
    <w:rsid w:val="00227619"/>
    <w:rsid w:val="00230952"/>
    <w:rsid w:val="00230B0B"/>
    <w:rsid w:val="00230D25"/>
    <w:rsid w:val="00230DDC"/>
    <w:rsid w:val="002311B7"/>
    <w:rsid w:val="002311C5"/>
    <w:rsid w:val="002312CA"/>
    <w:rsid w:val="002312CC"/>
    <w:rsid w:val="002315CA"/>
    <w:rsid w:val="002317D2"/>
    <w:rsid w:val="002326FA"/>
    <w:rsid w:val="00232743"/>
    <w:rsid w:val="002327FA"/>
    <w:rsid w:val="00233001"/>
    <w:rsid w:val="00233112"/>
    <w:rsid w:val="00233114"/>
    <w:rsid w:val="00233300"/>
    <w:rsid w:val="00233327"/>
    <w:rsid w:val="0023359E"/>
    <w:rsid w:val="00233665"/>
    <w:rsid w:val="00233762"/>
    <w:rsid w:val="00233966"/>
    <w:rsid w:val="00233F35"/>
    <w:rsid w:val="002341D2"/>
    <w:rsid w:val="00234441"/>
    <w:rsid w:val="002348AD"/>
    <w:rsid w:val="0023501E"/>
    <w:rsid w:val="0023504E"/>
    <w:rsid w:val="002352A8"/>
    <w:rsid w:val="00235468"/>
    <w:rsid w:val="0023558B"/>
    <w:rsid w:val="002355F6"/>
    <w:rsid w:val="00235A42"/>
    <w:rsid w:val="00236269"/>
    <w:rsid w:val="002364FC"/>
    <w:rsid w:val="0023651C"/>
    <w:rsid w:val="0023662A"/>
    <w:rsid w:val="00236C89"/>
    <w:rsid w:val="0023707D"/>
    <w:rsid w:val="002374AD"/>
    <w:rsid w:val="002378A1"/>
    <w:rsid w:val="00237B81"/>
    <w:rsid w:val="00237E86"/>
    <w:rsid w:val="00237F18"/>
    <w:rsid w:val="0024022E"/>
    <w:rsid w:val="002406DD"/>
    <w:rsid w:val="002413A5"/>
    <w:rsid w:val="0024152E"/>
    <w:rsid w:val="00241570"/>
    <w:rsid w:val="00241657"/>
    <w:rsid w:val="002419B3"/>
    <w:rsid w:val="00241B07"/>
    <w:rsid w:val="00241D18"/>
    <w:rsid w:val="002420F1"/>
    <w:rsid w:val="0024261A"/>
    <w:rsid w:val="00242F4E"/>
    <w:rsid w:val="00243995"/>
    <w:rsid w:val="00244A8C"/>
    <w:rsid w:val="00245328"/>
    <w:rsid w:val="00245CEB"/>
    <w:rsid w:val="00245EAF"/>
    <w:rsid w:val="00245EE7"/>
    <w:rsid w:val="00245F80"/>
    <w:rsid w:val="00246004"/>
    <w:rsid w:val="002461C7"/>
    <w:rsid w:val="00246271"/>
    <w:rsid w:val="002463B4"/>
    <w:rsid w:val="002467A4"/>
    <w:rsid w:val="00246951"/>
    <w:rsid w:val="00246A8C"/>
    <w:rsid w:val="00247043"/>
    <w:rsid w:val="00247071"/>
    <w:rsid w:val="00247521"/>
    <w:rsid w:val="0024765F"/>
    <w:rsid w:val="00247AD7"/>
    <w:rsid w:val="00247BC6"/>
    <w:rsid w:val="00247E3D"/>
    <w:rsid w:val="002504BC"/>
    <w:rsid w:val="00250644"/>
    <w:rsid w:val="002509BF"/>
    <w:rsid w:val="00250C62"/>
    <w:rsid w:val="0025105B"/>
    <w:rsid w:val="002512EF"/>
    <w:rsid w:val="00251719"/>
    <w:rsid w:val="00251AB9"/>
    <w:rsid w:val="002525E5"/>
    <w:rsid w:val="00252995"/>
    <w:rsid w:val="00252F44"/>
    <w:rsid w:val="002531A9"/>
    <w:rsid w:val="002532F5"/>
    <w:rsid w:val="0025341A"/>
    <w:rsid w:val="00253865"/>
    <w:rsid w:val="0025449C"/>
    <w:rsid w:val="002545F1"/>
    <w:rsid w:val="0025466C"/>
    <w:rsid w:val="00255126"/>
    <w:rsid w:val="0025572E"/>
    <w:rsid w:val="00255BF6"/>
    <w:rsid w:val="00255D50"/>
    <w:rsid w:val="00256295"/>
    <w:rsid w:val="002566B6"/>
    <w:rsid w:val="002566E0"/>
    <w:rsid w:val="002568C1"/>
    <w:rsid w:val="002570B1"/>
    <w:rsid w:val="00257362"/>
    <w:rsid w:val="00257C49"/>
    <w:rsid w:val="00260104"/>
    <w:rsid w:val="002602FB"/>
    <w:rsid w:val="002607BE"/>
    <w:rsid w:val="00260BBA"/>
    <w:rsid w:val="00260BFE"/>
    <w:rsid w:val="00260DE1"/>
    <w:rsid w:val="00260E64"/>
    <w:rsid w:val="00260FA6"/>
    <w:rsid w:val="002614EE"/>
    <w:rsid w:val="00261884"/>
    <w:rsid w:val="0026194C"/>
    <w:rsid w:val="00261992"/>
    <w:rsid w:val="00261BD8"/>
    <w:rsid w:val="0026206E"/>
    <w:rsid w:val="00262265"/>
    <w:rsid w:val="002629F6"/>
    <w:rsid w:val="00262C27"/>
    <w:rsid w:val="00262EE5"/>
    <w:rsid w:val="002630F4"/>
    <w:rsid w:val="0026311C"/>
    <w:rsid w:val="00263564"/>
    <w:rsid w:val="00263581"/>
    <w:rsid w:val="002635CF"/>
    <w:rsid w:val="002638B2"/>
    <w:rsid w:val="0026416D"/>
    <w:rsid w:val="00264C1E"/>
    <w:rsid w:val="00264E2A"/>
    <w:rsid w:val="002657A1"/>
    <w:rsid w:val="00265869"/>
    <w:rsid w:val="00265A7E"/>
    <w:rsid w:val="00265AF1"/>
    <w:rsid w:val="002663F8"/>
    <w:rsid w:val="002665A9"/>
    <w:rsid w:val="00266849"/>
    <w:rsid w:val="00267636"/>
    <w:rsid w:val="00267984"/>
    <w:rsid w:val="00267C3B"/>
    <w:rsid w:val="00267EB3"/>
    <w:rsid w:val="00267F4D"/>
    <w:rsid w:val="002701A1"/>
    <w:rsid w:val="002708FA"/>
    <w:rsid w:val="0027100B"/>
    <w:rsid w:val="002712E6"/>
    <w:rsid w:val="0027179E"/>
    <w:rsid w:val="00271890"/>
    <w:rsid w:val="00271EA1"/>
    <w:rsid w:val="00271ED3"/>
    <w:rsid w:val="00272090"/>
    <w:rsid w:val="00272732"/>
    <w:rsid w:val="00272AEB"/>
    <w:rsid w:val="00272B71"/>
    <w:rsid w:val="00272FF0"/>
    <w:rsid w:val="00273F9E"/>
    <w:rsid w:val="00273FFE"/>
    <w:rsid w:val="00274662"/>
    <w:rsid w:val="00274D8E"/>
    <w:rsid w:val="00275079"/>
    <w:rsid w:val="00275194"/>
    <w:rsid w:val="0027531C"/>
    <w:rsid w:val="00275657"/>
    <w:rsid w:val="002759D2"/>
    <w:rsid w:val="00275DDD"/>
    <w:rsid w:val="00275E32"/>
    <w:rsid w:val="00276551"/>
    <w:rsid w:val="002766A2"/>
    <w:rsid w:val="002768CB"/>
    <w:rsid w:val="00276F36"/>
    <w:rsid w:val="002776A0"/>
    <w:rsid w:val="00277CBE"/>
    <w:rsid w:val="00277D0A"/>
    <w:rsid w:val="00277D1A"/>
    <w:rsid w:val="002805F7"/>
    <w:rsid w:val="00280A8A"/>
    <w:rsid w:val="002814CE"/>
    <w:rsid w:val="00281697"/>
    <w:rsid w:val="00281719"/>
    <w:rsid w:val="002817A7"/>
    <w:rsid w:val="002819A6"/>
    <w:rsid w:val="00281DDB"/>
    <w:rsid w:val="002824D0"/>
    <w:rsid w:val="0028258A"/>
    <w:rsid w:val="00283270"/>
    <w:rsid w:val="002833D1"/>
    <w:rsid w:val="0028346C"/>
    <w:rsid w:val="00283863"/>
    <w:rsid w:val="00283B78"/>
    <w:rsid w:val="00283EBA"/>
    <w:rsid w:val="0028401E"/>
    <w:rsid w:val="002840BF"/>
    <w:rsid w:val="002840CD"/>
    <w:rsid w:val="002842C6"/>
    <w:rsid w:val="002846FE"/>
    <w:rsid w:val="00285A88"/>
    <w:rsid w:val="00285E92"/>
    <w:rsid w:val="00285F51"/>
    <w:rsid w:val="00286D55"/>
    <w:rsid w:val="00287ACB"/>
    <w:rsid w:val="00287C02"/>
    <w:rsid w:val="00287DEB"/>
    <w:rsid w:val="00287FAF"/>
    <w:rsid w:val="00290465"/>
    <w:rsid w:val="00290896"/>
    <w:rsid w:val="00290BC8"/>
    <w:rsid w:val="0029109F"/>
    <w:rsid w:val="0029116B"/>
    <w:rsid w:val="00291352"/>
    <w:rsid w:val="00291700"/>
    <w:rsid w:val="00291ABA"/>
    <w:rsid w:val="002923F5"/>
    <w:rsid w:val="00293431"/>
    <w:rsid w:val="00293891"/>
    <w:rsid w:val="00294074"/>
    <w:rsid w:val="00294375"/>
    <w:rsid w:val="002943A6"/>
    <w:rsid w:val="00294718"/>
    <w:rsid w:val="002948EF"/>
    <w:rsid w:val="00294BA0"/>
    <w:rsid w:val="00294BC2"/>
    <w:rsid w:val="00295062"/>
    <w:rsid w:val="002954CE"/>
    <w:rsid w:val="002957A8"/>
    <w:rsid w:val="00295A13"/>
    <w:rsid w:val="00295D30"/>
    <w:rsid w:val="00295F00"/>
    <w:rsid w:val="00295FE7"/>
    <w:rsid w:val="002961B5"/>
    <w:rsid w:val="00296CC0"/>
    <w:rsid w:val="002970CA"/>
    <w:rsid w:val="00297720"/>
    <w:rsid w:val="002A03B6"/>
    <w:rsid w:val="002A0B16"/>
    <w:rsid w:val="002A0D5C"/>
    <w:rsid w:val="002A0E7C"/>
    <w:rsid w:val="002A167F"/>
    <w:rsid w:val="002A1C6A"/>
    <w:rsid w:val="002A226D"/>
    <w:rsid w:val="002A3AF1"/>
    <w:rsid w:val="002A3B08"/>
    <w:rsid w:val="002A3F16"/>
    <w:rsid w:val="002A45ED"/>
    <w:rsid w:val="002A4923"/>
    <w:rsid w:val="002A4D95"/>
    <w:rsid w:val="002A4E69"/>
    <w:rsid w:val="002A5A28"/>
    <w:rsid w:val="002A5DEC"/>
    <w:rsid w:val="002A6188"/>
    <w:rsid w:val="002A619D"/>
    <w:rsid w:val="002A659C"/>
    <w:rsid w:val="002A66B6"/>
    <w:rsid w:val="002A6B89"/>
    <w:rsid w:val="002A6BFA"/>
    <w:rsid w:val="002A6CB2"/>
    <w:rsid w:val="002A6D5D"/>
    <w:rsid w:val="002A7178"/>
    <w:rsid w:val="002A71C2"/>
    <w:rsid w:val="002A7359"/>
    <w:rsid w:val="002A7898"/>
    <w:rsid w:val="002A7B8C"/>
    <w:rsid w:val="002A7EB2"/>
    <w:rsid w:val="002B039F"/>
    <w:rsid w:val="002B06E9"/>
    <w:rsid w:val="002B0891"/>
    <w:rsid w:val="002B0CDF"/>
    <w:rsid w:val="002B0D5A"/>
    <w:rsid w:val="002B0F90"/>
    <w:rsid w:val="002B0F92"/>
    <w:rsid w:val="002B12BC"/>
    <w:rsid w:val="002B18E5"/>
    <w:rsid w:val="002B1BE1"/>
    <w:rsid w:val="002B1F73"/>
    <w:rsid w:val="002B1F89"/>
    <w:rsid w:val="002B2631"/>
    <w:rsid w:val="002B2E7F"/>
    <w:rsid w:val="002B306B"/>
    <w:rsid w:val="002B311B"/>
    <w:rsid w:val="002B321E"/>
    <w:rsid w:val="002B42B4"/>
    <w:rsid w:val="002B492B"/>
    <w:rsid w:val="002B4F8C"/>
    <w:rsid w:val="002B532F"/>
    <w:rsid w:val="002B56C7"/>
    <w:rsid w:val="002B57D2"/>
    <w:rsid w:val="002B5F5C"/>
    <w:rsid w:val="002B66B2"/>
    <w:rsid w:val="002B6975"/>
    <w:rsid w:val="002B6A6F"/>
    <w:rsid w:val="002B6AB1"/>
    <w:rsid w:val="002B7214"/>
    <w:rsid w:val="002B7234"/>
    <w:rsid w:val="002B7C11"/>
    <w:rsid w:val="002B7C52"/>
    <w:rsid w:val="002B7DE1"/>
    <w:rsid w:val="002C02E6"/>
    <w:rsid w:val="002C07A9"/>
    <w:rsid w:val="002C0853"/>
    <w:rsid w:val="002C08A9"/>
    <w:rsid w:val="002C0B46"/>
    <w:rsid w:val="002C0F98"/>
    <w:rsid w:val="002C103A"/>
    <w:rsid w:val="002C10E8"/>
    <w:rsid w:val="002C10FB"/>
    <w:rsid w:val="002C1274"/>
    <w:rsid w:val="002C127F"/>
    <w:rsid w:val="002C12CA"/>
    <w:rsid w:val="002C15E6"/>
    <w:rsid w:val="002C1F8D"/>
    <w:rsid w:val="002C1FCA"/>
    <w:rsid w:val="002C21E0"/>
    <w:rsid w:val="002C236D"/>
    <w:rsid w:val="002C2525"/>
    <w:rsid w:val="002C27BE"/>
    <w:rsid w:val="002C2B55"/>
    <w:rsid w:val="002C2BFF"/>
    <w:rsid w:val="002C2E0C"/>
    <w:rsid w:val="002C2E99"/>
    <w:rsid w:val="002C2F48"/>
    <w:rsid w:val="002C37A8"/>
    <w:rsid w:val="002C3988"/>
    <w:rsid w:val="002C3B64"/>
    <w:rsid w:val="002C3DD9"/>
    <w:rsid w:val="002C4245"/>
    <w:rsid w:val="002C46BF"/>
    <w:rsid w:val="002C47CA"/>
    <w:rsid w:val="002C4829"/>
    <w:rsid w:val="002C520E"/>
    <w:rsid w:val="002C5241"/>
    <w:rsid w:val="002C524C"/>
    <w:rsid w:val="002C5384"/>
    <w:rsid w:val="002C53EC"/>
    <w:rsid w:val="002C5893"/>
    <w:rsid w:val="002C5971"/>
    <w:rsid w:val="002C6780"/>
    <w:rsid w:val="002C6A20"/>
    <w:rsid w:val="002C6A30"/>
    <w:rsid w:val="002C6A7B"/>
    <w:rsid w:val="002C720B"/>
    <w:rsid w:val="002C7409"/>
    <w:rsid w:val="002C75D4"/>
    <w:rsid w:val="002C7887"/>
    <w:rsid w:val="002C7929"/>
    <w:rsid w:val="002C79FE"/>
    <w:rsid w:val="002C7B82"/>
    <w:rsid w:val="002D0364"/>
    <w:rsid w:val="002D06A4"/>
    <w:rsid w:val="002D0BD3"/>
    <w:rsid w:val="002D135D"/>
    <w:rsid w:val="002D1511"/>
    <w:rsid w:val="002D15A5"/>
    <w:rsid w:val="002D1704"/>
    <w:rsid w:val="002D244E"/>
    <w:rsid w:val="002D2718"/>
    <w:rsid w:val="002D34B6"/>
    <w:rsid w:val="002D34C6"/>
    <w:rsid w:val="002D3B60"/>
    <w:rsid w:val="002D438E"/>
    <w:rsid w:val="002D4494"/>
    <w:rsid w:val="002D47F2"/>
    <w:rsid w:val="002D4980"/>
    <w:rsid w:val="002D4BDD"/>
    <w:rsid w:val="002D508E"/>
    <w:rsid w:val="002D51F7"/>
    <w:rsid w:val="002D54D4"/>
    <w:rsid w:val="002D58C6"/>
    <w:rsid w:val="002D613A"/>
    <w:rsid w:val="002D6269"/>
    <w:rsid w:val="002D63F4"/>
    <w:rsid w:val="002D673A"/>
    <w:rsid w:val="002D674E"/>
    <w:rsid w:val="002D6848"/>
    <w:rsid w:val="002D6AAD"/>
    <w:rsid w:val="002D712B"/>
    <w:rsid w:val="002D74DA"/>
    <w:rsid w:val="002D760D"/>
    <w:rsid w:val="002D7A40"/>
    <w:rsid w:val="002D7C3E"/>
    <w:rsid w:val="002D7E34"/>
    <w:rsid w:val="002E0059"/>
    <w:rsid w:val="002E06CC"/>
    <w:rsid w:val="002E0CD1"/>
    <w:rsid w:val="002E1066"/>
    <w:rsid w:val="002E1261"/>
    <w:rsid w:val="002E1318"/>
    <w:rsid w:val="002E175A"/>
    <w:rsid w:val="002E1C3F"/>
    <w:rsid w:val="002E1F35"/>
    <w:rsid w:val="002E236D"/>
    <w:rsid w:val="002E2B16"/>
    <w:rsid w:val="002E2DA8"/>
    <w:rsid w:val="002E306E"/>
    <w:rsid w:val="002E349E"/>
    <w:rsid w:val="002E35DB"/>
    <w:rsid w:val="002E39EA"/>
    <w:rsid w:val="002E4133"/>
    <w:rsid w:val="002E45EF"/>
    <w:rsid w:val="002E4853"/>
    <w:rsid w:val="002E4BE8"/>
    <w:rsid w:val="002E4D12"/>
    <w:rsid w:val="002E53CA"/>
    <w:rsid w:val="002E54BD"/>
    <w:rsid w:val="002E5662"/>
    <w:rsid w:val="002E5D15"/>
    <w:rsid w:val="002E5E86"/>
    <w:rsid w:val="002E5ED2"/>
    <w:rsid w:val="002E67E0"/>
    <w:rsid w:val="002E744B"/>
    <w:rsid w:val="002E76FE"/>
    <w:rsid w:val="002E7B15"/>
    <w:rsid w:val="002F00CB"/>
    <w:rsid w:val="002F025B"/>
    <w:rsid w:val="002F0901"/>
    <w:rsid w:val="002F099E"/>
    <w:rsid w:val="002F0D75"/>
    <w:rsid w:val="002F0E1F"/>
    <w:rsid w:val="002F0FC1"/>
    <w:rsid w:val="002F10CE"/>
    <w:rsid w:val="002F1144"/>
    <w:rsid w:val="002F14E4"/>
    <w:rsid w:val="002F165C"/>
    <w:rsid w:val="002F1674"/>
    <w:rsid w:val="002F1F44"/>
    <w:rsid w:val="002F208E"/>
    <w:rsid w:val="002F25FA"/>
    <w:rsid w:val="002F29EE"/>
    <w:rsid w:val="002F2A90"/>
    <w:rsid w:val="002F2AED"/>
    <w:rsid w:val="002F3244"/>
    <w:rsid w:val="002F3396"/>
    <w:rsid w:val="002F342E"/>
    <w:rsid w:val="002F395B"/>
    <w:rsid w:val="002F3AE7"/>
    <w:rsid w:val="002F4657"/>
    <w:rsid w:val="002F490B"/>
    <w:rsid w:val="002F4F69"/>
    <w:rsid w:val="002F5055"/>
    <w:rsid w:val="002F5272"/>
    <w:rsid w:val="002F5BF8"/>
    <w:rsid w:val="002F62E1"/>
    <w:rsid w:val="002F6459"/>
    <w:rsid w:val="002F6487"/>
    <w:rsid w:val="002F663C"/>
    <w:rsid w:val="003000A4"/>
    <w:rsid w:val="00300342"/>
    <w:rsid w:val="00300477"/>
    <w:rsid w:val="00300DF4"/>
    <w:rsid w:val="00300E97"/>
    <w:rsid w:val="00301366"/>
    <w:rsid w:val="00301B0A"/>
    <w:rsid w:val="00301FC8"/>
    <w:rsid w:val="00302129"/>
    <w:rsid w:val="0030219C"/>
    <w:rsid w:val="003023B6"/>
    <w:rsid w:val="00302B28"/>
    <w:rsid w:val="00302CB7"/>
    <w:rsid w:val="003035DE"/>
    <w:rsid w:val="00303882"/>
    <w:rsid w:val="00303925"/>
    <w:rsid w:val="003040B6"/>
    <w:rsid w:val="00304174"/>
    <w:rsid w:val="00304504"/>
    <w:rsid w:val="0030450B"/>
    <w:rsid w:val="003046A4"/>
    <w:rsid w:val="0030476C"/>
    <w:rsid w:val="003047A5"/>
    <w:rsid w:val="003047C6"/>
    <w:rsid w:val="0030502A"/>
    <w:rsid w:val="0030537E"/>
    <w:rsid w:val="00305C6A"/>
    <w:rsid w:val="0030633C"/>
    <w:rsid w:val="00306479"/>
    <w:rsid w:val="003065EF"/>
    <w:rsid w:val="00306C51"/>
    <w:rsid w:val="00306D8C"/>
    <w:rsid w:val="00306F17"/>
    <w:rsid w:val="00307140"/>
    <w:rsid w:val="003077EF"/>
    <w:rsid w:val="00307EA7"/>
    <w:rsid w:val="00307EFC"/>
    <w:rsid w:val="00310033"/>
    <w:rsid w:val="003107F0"/>
    <w:rsid w:val="00310B0F"/>
    <w:rsid w:val="0031153D"/>
    <w:rsid w:val="0031158D"/>
    <w:rsid w:val="00311768"/>
    <w:rsid w:val="003119AB"/>
    <w:rsid w:val="003119E8"/>
    <w:rsid w:val="00311BFA"/>
    <w:rsid w:val="00312237"/>
    <w:rsid w:val="003129E1"/>
    <w:rsid w:val="00312A3A"/>
    <w:rsid w:val="00312DB5"/>
    <w:rsid w:val="003138CE"/>
    <w:rsid w:val="003138FF"/>
    <w:rsid w:val="00313DE9"/>
    <w:rsid w:val="0031403C"/>
    <w:rsid w:val="00314093"/>
    <w:rsid w:val="003140B3"/>
    <w:rsid w:val="003143A1"/>
    <w:rsid w:val="00314791"/>
    <w:rsid w:val="0031493E"/>
    <w:rsid w:val="00314CEC"/>
    <w:rsid w:val="00314E32"/>
    <w:rsid w:val="00314F28"/>
    <w:rsid w:val="00315837"/>
    <w:rsid w:val="00315D12"/>
    <w:rsid w:val="00315D90"/>
    <w:rsid w:val="00315DE8"/>
    <w:rsid w:val="00316234"/>
    <w:rsid w:val="00316E46"/>
    <w:rsid w:val="0031720B"/>
    <w:rsid w:val="00320080"/>
    <w:rsid w:val="00320735"/>
    <w:rsid w:val="003208A4"/>
    <w:rsid w:val="00320EFA"/>
    <w:rsid w:val="00321B74"/>
    <w:rsid w:val="0032238A"/>
    <w:rsid w:val="00322672"/>
    <w:rsid w:val="00322C2E"/>
    <w:rsid w:val="00322F26"/>
    <w:rsid w:val="00323201"/>
    <w:rsid w:val="003233BF"/>
    <w:rsid w:val="003233D3"/>
    <w:rsid w:val="00323706"/>
    <w:rsid w:val="0032382F"/>
    <w:rsid w:val="00324223"/>
    <w:rsid w:val="003248D3"/>
    <w:rsid w:val="0032494A"/>
    <w:rsid w:val="00324F5C"/>
    <w:rsid w:val="0032575C"/>
    <w:rsid w:val="00325845"/>
    <w:rsid w:val="00325BA4"/>
    <w:rsid w:val="00326511"/>
    <w:rsid w:val="0032671B"/>
    <w:rsid w:val="00326C2C"/>
    <w:rsid w:val="00326F56"/>
    <w:rsid w:val="0032738F"/>
    <w:rsid w:val="0032752D"/>
    <w:rsid w:val="00327756"/>
    <w:rsid w:val="00327AF3"/>
    <w:rsid w:val="00327B29"/>
    <w:rsid w:val="00327FC0"/>
    <w:rsid w:val="003302E2"/>
    <w:rsid w:val="00330338"/>
    <w:rsid w:val="00330472"/>
    <w:rsid w:val="0033059C"/>
    <w:rsid w:val="003307EE"/>
    <w:rsid w:val="00330E66"/>
    <w:rsid w:val="00331107"/>
    <w:rsid w:val="003315A7"/>
    <w:rsid w:val="0033186B"/>
    <w:rsid w:val="00331A42"/>
    <w:rsid w:val="00331BBD"/>
    <w:rsid w:val="00331C63"/>
    <w:rsid w:val="00331F93"/>
    <w:rsid w:val="003320A8"/>
    <w:rsid w:val="00332527"/>
    <w:rsid w:val="00332AE6"/>
    <w:rsid w:val="003333B9"/>
    <w:rsid w:val="003334D1"/>
    <w:rsid w:val="00333A03"/>
    <w:rsid w:val="003340A5"/>
    <w:rsid w:val="003348D8"/>
    <w:rsid w:val="00335118"/>
    <w:rsid w:val="00335593"/>
    <w:rsid w:val="003359B7"/>
    <w:rsid w:val="00335CEF"/>
    <w:rsid w:val="0033617D"/>
    <w:rsid w:val="00336246"/>
    <w:rsid w:val="00336333"/>
    <w:rsid w:val="0033670B"/>
    <w:rsid w:val="0033682E"/>
    <w:rsid w:val="00336D05"/>
    <w:rsid w:val="00336E3D"/>
    <w:rsid w:val="00337177"/>
    <w:rsid w:val="003379E2"/>
    <w:rsid w:val="00337A7F"/>
    <w:rsid w:val="00337F4B"/>
    <w:rsid w:val="00340081"/>
    <w:rsid w:val="00340662"/>
    <w:rsid w:val="003413EB"/>
    <w:rsid w:val="003419FD"/>
    <w:rsid w:val="00341C01"/>
    <w:rsid w:val="00342A4D"/>
    <w:rsid w:val="00342AB4"/>
    <w:rsid w:val="00342B68"/>
    <w:rsid w:val="00342CF3"/>
    <w:rsid w:val="00342DDB"/>
    <w:rsid w:val="00342E7E"/>
    <w:rsid w:val="0034334C"/>
    <w:rsid w:val="00343635"/>
    <w:rsid w:val="0034395E"/>
    <w:rsid w:val="00343E44"/>
    <w:rsid w:val="00344086"/>
    <w:rsid w:val="00345129"/>
    <w:rsid w:val="00345B48"/>
    <w:rsid w:val="00346015"/>
    <w:rsid w:val="00346175"/>
    <w:rsid w:val="00346589"/>
    <w:rsid w:val="00346E9C"/>
    <w:rsid w:val="00347129"/>
    <w:rsid w:val="0034727F"/>
    <w:rsid w:val="00347586"/>
    <w:rsid w:val="00347D1B"/>
    <w:rsid w:val="00347F6B"/>
    <w:rsid w:val="00350141"/>
    <w:rsid w:val="003501A9"/>
    <w:rsid w:val="003501F5"/>
    <w:rsid w:val="0035057E"/>
    <w:rsid w:val="00350629"/>
    <w:rsid w:val="00350A5F"/>
    <w:rsid w:val="00350B35"/>
    <w:rsid w:val="00350E00"/>
    <w:rsid w:val="0035143C"/>
    <w:rsid w:val="003517C7"/>
    <w:rsid w:val="00351BE1"/>
    <w:rsid w:val="00351C26"/>
    <w:rsid w:val="00351D0E"/>
    <w:rsid w:val="003520A1"/>
    <w:rsid w:val="00352491"/>
    <w:rsid w:val="003525E1"/>
    <w:rsid w:val="00352833"/>
    <w:rsid w:val="00352F9A"/>
    <w:rsid w:val="00353CA6"/>
    <w:rsid w:val="00353D41"/>
    <w:rsid w:val="00353E1B"/>
    <w:rsid w:val="003541F7"/>
    <w:rsid w:val="00354299"/>
    <w:rsid w:val="003542F4"/>
    <w:rsid w:val="003544CD"/>
    <w:rsid w:val="00354912"/>
    <w:rsid w:val="003549D5"/>
    <w:rsid w:val="00354A0B"/>
    <w:rsid w:val="00354C9F"/>
    <w:rsid w:val="00354F0A"/>
    <w:rsid w:val="0035544E"/>
    <w:rsid w:val="0035575B"/>
    <w:rsid w:val="00355A58"/>
    <w:rsid w:val="00355E3A"/>
    <w:rsid w:val="003564FB"/>
    <w:rsid w:val="00356610"/>
    <w:rsid w:val="00356BAC"/>
    <w:rsid w:val="00356BAF"/>
    <w:rsid w:val="00356FAB"/>
    <w:rsid w:val="00356FD3"/>
    <w:rsid w:val="0035725F"/>
    <w:rsid w:val="0035759B"/>
    <w:rsid w:val="0035773E"/>
    <w:rsid w:val="0035778E"/>
    <w:rsid w:val="0035794F"/>
    <w:rsid w:val="003579AB"/>
    <w:rsid w:val="00360F06"/>
    <w:rsid w:val="003612AD"/>
    <w:rsid w:val="00362B86"/>
    <w:rsid w:val="00363095"/>
    <w:rsid w:val="003630FD"/>
    <w:rsid w:val="00363116"/>
    <w:rsid w:val="00363617"/>
    <w:rsid w:val="00363780"/>
    <w:rsid w:val="0036399F"/>
    <w:rsid w:val="00363D69"/>
    <w:rsid w:val="0036412B"/>
    <w:rsid w:val="003644F2"/>
    <w:rsid w:val="0036452F"/>
    <w:rsid w:val="00364743"/>
    <w:rsid w:val="003647F5"/>
    <w:rsid w:val="00364F36"/>
    <w:rsid w:val="00365973"/>
    <w:rsid w:val="00366477"/>
    <w:rsid w:val="00366863"/>
    <w:rsid w:val="0036727F"/>
    <w:rsid w:val="00367445"/>
    <w:rsid w:val="00367623"/>
    <w:rsid w:val="003679B9"/>
    <w:rsid w:val="00367AD5"/>
    <w:rsid w:val="00367FBD"/>
    <w:rsid w:val="0037012B"/>
    <w:rsid w:val="00370335"/>
    <w:rsid w:val="0037078D"/>
    <w:rsid w:val="0037092A"/>
    <w:rsid w:val="00371000"/>
    <w:rsid w:val="003713BC"/>
    <w:rsid w:val="0037177B"/>
    <w:rsid w:val="00371B60"/>
    <w:rsid w:val="00371EAC"/>
    <w:rsid w:val="00372273"/>
    <w:rsid w:val="0037244A"/>
    <w:rsid w:val="0037252E"/>
    <w:rsid w:val="00372594"/>
    <w:rsid w:val="00372670"/>
    <w:rsid w:val="00372C0C"/>
    <w:rsid w:val="00372CA5"/>
    <w:rsid w:val="003732D7"/>
    <w:rsid w:val="0037335E"/>
    <w:rsid w:val="003735CA"/>
    <w:rsid w:val="00373AAC"/>
    <w:rsid w:val="00373BCC"/>
    <w:rsid w:val="00373E19"/>
    <w:rsid w:val="003742A8"/>
    <w:rsid w:val="003742F0"/>
    <w:rsid w:val="00374B97"/>
    <w:rsid w:val="00374F33"/>
    <w:rsid w:val="00374FE2"/>
    <w:rsid w:val="0037535D"/>
    <w:rsid w:val="0037565D"/>
    <w:rsid w:val="00376024"/>
    <w:rsid w:val="0037602C"/>
    <w:rsid w:val="00376059"/>
    <w:rsid w:val="003761FB"/>
    <w:rsid w:val="0037668D"/>
    <w:rsid w:val="00376D07"/>
    <w:rsid w:val="00376F44"/>
    <w:rsid w:val="003770C9"/>
    <w:rsid w:val="003772F6"/>
    <w:rsid w:val="00377309"/>
    <w:rsid w:val="003777CE"/>
    <w:rsid w:val="00377A0C"/>
    <w:rsid w:val="00377AC8"/>
    <w:rsid w:val="00380313"/>
    <w:rsid w:val="0038050E"/>
    <w:rsid w:val="00380643"/>
    <w:rsid w:val="0038095D"/>
    <w:rsid w:val="00380C9E"/>
    <w:rsid w:val="00380FC2"/>
    <w:rsid w:val="0038158F"/>
    <w:rsid w:val="00382074"/>
    <w:rsid w:val="00382830"/>
    <w:rsid w:val="00383212"/>
    <w:rsid w:val="00384B57"/>
    <w:rsid w:val="00384C16"/>
    <w:rsid w:val="00384E02"/>
    <w:rsid w:val="00384F8F"/>
    <w:rsid w:val="0038529B"/>
    <w:rsid w:val="00385A32"/>
    <w:rsid w:val="00385F93"/>
    <w:rsid w:val="00386246"/>
    <w:rsid w:val="0038696F"/>
    <w:rsid w:val="00386986"/>
    <w:rsid w:val="00386E76"/>
    <w:rsid w:val="00387830"/>
    <w:rsid w:val="0038787B"/>
    <w:rsid w:val="00390260"/>
    <w:rsid w:val="003906FE"/>
    <w:rsid w:val="00390752"/>
    <w:rsid w:val="003907A5"/>
    <w:rsid w:val="00390830"/>
    <w:rsid w:val="00390851"/>
    <w:rsid w:val="003908BC"/>
    <w:rsid w:val="00390D51"/>
    <w:rsid w:val="003914D6"/>
    <w:rsid w:val="00391C7C"/>
    <w:rsid w:val="00391D47"/>
    <w:rsid w:val="00392256"/>
    <w:rsid w:val="00392701"/>
    <w:rsid w:val="0039280F"/>
    <w:rsid w:val="00392BE0"/>
    <w:rsid w:val="00393376"/>
    <w:rsid w:val="003933B2"/>
    <w:rsid w:val="003946F3"/>
    <w:rsid w:val="00394CE2"/>
    <w:rsid w:val="00395407"/>
    <w:rsid w:val="00395449"/>
    <w:rsid w:val="003958E8"/>
    <w:rsid w:val="00395C1E"/>
    <w:rsid w:val="00396184"/>
    <w:rsid w:val="00396461"/>
    <w:rsid w:val="003964E8"/>
    <w:rsid w:val="00396674"/>
    <w:rsid w:val="00396A64"/>
    <w:rsid w:val="00397085"/>
    <w:rsid w:val="003973A5"/>
    <w:rsid w:val="00397BA7"/>
    <w:rsid w:val="00397BFA"/>
    <w:rsid w:val="00397D8C"/>
    <w:rsid w:val="00397E6E"/>
    <w:rsid w:val="003A063A"/>
    <w:rsid w:val="003A0B90"/>
    <w:rsid w:val="003A0D9E"/>
    <w:rsid w:val="003A0F2E"/>
    <w:rsid w:val="003A0FE4"/>
    <w:rsid w:val="003A136A"/>
    <w:rsid w:val="003A137E"/>
    <w:rsid w:val="003A144D"/>
    <w:rsid w:val="003A14C9"/>
    <w:rsid w:val="003A19F2"/>
    <w:rsid w:val="003A1BB1"/>
    <w:rsid w:val="003A1BFA"/>
    <w:rsid w:val="003A1D1B"/>
    <w:rsid w:val="003A2050"/>
    <w:rsid w:val="003A2409"/>
    <w:rsid w:val="003A2476"/>
    <w:rsid w:val="003A287F"/>
    <w:rsid w:val="003A2E2C"/>
    <w:rsid w:val="003A304C"/>
    <w:rsid w:val="003A3317"/>
    <w:rsid w:val="003A36C8"/>
    <w:rsid w:val="003A39FF"/>
    <w:rsid w:val="003A3B79"/>
    <w:rsid w:val="003A3BAF"/>
    <w:rsid w:val="003A3D0A"/>
    <w:rsid w:val="003A42BF"/>
    <w:rsid w:val="003A4506"/>
    <w:rsid w:val="003A4638"/>
    <w:rsid w:val="003A46C7"/>
    <w:rsid w:val="003A48FC"/>
    <w:rsid w:val="003A4D14"/>
    <w:rsid w:val="003A4F21"/>
    <w:rsid w:val="003A509D"/>
    <w:rsid w:val="003A56A5"/>
    <w:rsid w:val="003A5A78"/>
    <w:rsid w:val="003A5BF8"/>
    <w:rsid w:val="003A5E67"/>
    <w:rsid w:val="003A78A1"/>
    <w:rsid w:val="003A79E9"/>
    <w:rsid w:val="003B0303"/>
    <w:rsid w:val="003B0577"/>
    <w:rsid w:val="003B0993"/>
    <w:rsid w:val="003B0E5C"/>
    <w:rsid w:val="003B0F6A"/>
    <w:rsid w:val="003B1020"/>
    <w:rsid w:val="003B209B"/>
    <w:rsid w:val="003B2788"/>
    <w:rsid w:val="003B29D2"/>
    <w:rsid w:val="003B2A94"/>
    <w:rsid w:val="003B3281"/>
    <w:rsid w:val="003B32CD"/>
    <w:rsid w:val="003B43A5"/>
    <w:rsid w:val="003B471E"/>
    <w:rsid w:val="003B472A"/>
    <w:rsid w:val="003B508A"/>
    <w:rsid w:val="003B52CE"/>
    <w:rsid w:val="003B572C"/>
    <w:rsid w:val="003B5743"/>
    <w:rsid w:val="003B5E34"/>
    <w:rsid w:val="003B6853"/>
    <w:rsid w:val="003B68EC"/>
    <w:rsid w:val="003B6B4D"/>
    <w:rsid w:val="003B6BBB"/>
    <w:rsid w:val="003B6BF7"/>
    <w:rsid w:val="003B7322"/>
    <w:rsid w:val="003B77C0"/>
    <w:rsid w:val="003B7A01"/>
    <w:rsid w:val="003B7E10"/>
    <w:rsid w:val="003C045D"/>
    <w:rsid w:val="003C05AD"/>
    <w:rsid w:val="003C0C24"/>
    <w:rsid w:val="003C0E0E"/>
    <w:rsid w:val="003C1226"/>
    <w:rsid w:val="003C1A19"/>
    <w:rsid w:val="003C2AE2"/>
    <w:rsid w:val="003C2C5D"/>
    <w:rsid w:val="003C2FFD"/>
    <w:rsid w:val="003C301B"/>
    <w:rsid w:val="003C3458"/>
    <w:rsid w:val="003C3DE1"/>
    <w:rsid w:val="003C4541"/>
    <w:rsid w:val="003C4E5D"/>
    <w:rsid w:val="003C4FCB"/>
    <w:rsid w:val="003C53DD"/>
    <w:rsid w:val="003C5640"/>
    <w:rsid w:val="003C5AE3"/>
    <w:rsid w:val="003C63CA"/>
    <w:rsid w:val="003C6B56"/>
    <w:rsid w:val="003C6BFC"/>
    <w:rsid w:val="003C7290"/>
    <w:rsid w:val="003C7367"/>
    <w:rsid w:val="003C737D"/>
    <w:rsid w:val="003C742C"/>
    <w:rsid w:val="003C74A5"/>
    <w:rsid w:val="003C7ACB"/>
    <w:rsid w:val="003C7B4E"/>
    <w:rsid w:val="003D0169"/>
    <w:rsid w:val="003D07FF"/>
    <w:rsid w:val="003D0CCB"/>
    <w:rsid w:val="003D0E9B"/>
    <w:rsid w:val="003D117C"/>
    <w:rsid w:val="003D187F"/>
    <w:rsid w:val="003D1895"/>
    <w:rsid w:val="003D1CD6"/>
    <w:rsid w:val="003D2122"/>
    <w:rsid w:val="003D2173"/>
    <w:rsid w:val="003D24C8"/>
    <w:rsid w:val="003D250E"/>
    <w:rsid w:val="003D26BA"/>
    <w:rsid w:val="003D2841"/>
    <w:rsid w:val="003D2AB9"/>
    <w:rsid w:val="003D2B7F"/>
    <w:rsid w:val="003D2C94"/>
    <w:rsid w:val="003D309A"/>
    <w:rsid w:val="003D30BF"/>
    <w:rsid w:val="003D33AD"/>
    <w:rsid w:val="003D3503"/>
    <w:rsid w:val="003D3657"/>
    <w:rsid w:val="003D3911"/>
    <w:rsid w:val="003D3C6E"/>
    <w:rsid w:val="003D46AD"/>
    <w:rsid w:val="003D48BE"/>
    <w:rsid w:val="003D5045"/>
    <w:rsid w:val="003D5919"/>
    <w:rsid w:val="003D5B18"/>
    <w:rsid w:val="003D5F3F"/>
    <w:rsid w:val="003D676D"/>
    <w:rsid w:val="003D6E79"/>
    <w:rsid w:val="003D755B"/>
    <w:rsid w:val="003D7730"/>
    <w:rsid w:val="003D7739"/>
    <w:rsid w:val="003D77B9"/>
    <w:rsid w:val="003D7973"/>
    <w:rsid w:val="003D7A27"/>
    <w:rsid w:val="003E05A1"/>
    <w:rsid w:val="003E065D"/>
    <w:rsid w:val="003E07E4"/>
    <w:rsid w:val="003E0C2E"/>
    <w:rsid w:val="003E0CA8"/>
    <w:rsid w:val="003E11F9"/>
    <w:rsid w:val="003E1991"/>
    <w:rsid w:val="003E1BE3"/>
    <w:rsid w:val="003E1CD8"/>
    <w:rsid w:val="003E1E08"/>
    <w:rsid w:val="003E1EAF"/>
    <w:rsid w:val="003E25FB"/>
    <w:rsid w:val="003E272E"/>
    <w:rsid w:val="003E2ACB"/>
    <w:rsid w:val="003E2F99"/>
    <w:rsid w:val="003E3554"/>
    <w:rsid w:val="003E35B3"/>
    <w:rsid w:val="003E3AC1"/>
    <w:rsid w:val="003E3C0B"/>
    <w:rsid w:val="003E3E55"/>
    <w:rsid w:val="003E3F8D"/>
    <w:rsid w:val="003E4AC0"/>
    <w:rsid w:val="003E4AF3"/>
    <w:rsid w:val="003E584D"/>
    <w:rsid w:val="003E6197"/>
    <w:rsid w:val="003E6387"/>
    <w:rsid w:val="003E6B9A"/>
    <w:rsid w:val="003E6D2E"/>
    <w:rsid w:val="003E7480"/>
    <w:rsid w:val="003E753A"/>
    <w:rsid w:val="003E7828"/>
    <w:rsid w:val="003F0187"/>
    <w:rsid w:val="003F02AC"/>
    <w:rsid w:val="003F0595"/>
    <w:rsid w:val="003F062F"/>
    <w:rsid w:val="003F080D"/>
    <w:rsid w:val="003F0E23"/>
    <w:rsid w:val="003F1AB5"/>
    <w:rsid w:val="003F1BA9"/>
    <w:rsid w:val="003F2179"/>
    <w:rsid w:val="003F23DE"/>
    <w:rsid w:val="003F253E"/>
    <w:rsid w:val="003F2A26"/>
    <w:rsid w:val="003F2A73"/>
    <w:rsid w:val="003F3076"/>
    <w:rsid w:val="003F35F1"/>
    <w:rsid w:val="003F3ABF"/>
    <w:rsid w:val="003F3B41"/>
    <w:rsid w:val="003F404C"/>
    <w:rsid w:val="003F4C54"/>
    <w:rsid w:val="003F4CD7"/>
    <w:rsid w:val="003F4D1F"/>
    <w:rsid w:val="003F4E00"/>
    <w:rsid w:val="003F4E70"/>
    <w:rsid w:val="003F4F38"/>
    <w:rsid w:val="003F4FDF"/>
    <w:rsid w:val="003F546D"/>
    <w:rsid w:val="003F59E2"/>
    <w:rsid w:val="003F5A83"/>
    <w:rsid w:val="003F5DC8"/>
    <w:rsid w:val="003F5EB4"/>
    <w:rsid w:val="003F61D0"/>
    <w:rsid w:val="003F7051"/>
    <w:rsid w:val="003F72A8"/>
    <w:rsid w:val="003F749A"/>
    <w:rsid w:val="003F7821"/>
    <w:rsid w:val="003F7B35"/>
    <w:rsid w:val="003F7D08"/>
    <w:rsid w:val="003F7D45"/>
    <w:rsid w:val="003F7EBB"/>
    <w:rsid w:val="0040044F"/>
    <w:rsid w:val="0040063A"/>
    <w:rsid w:val="00400E3A"/>
    <w:rsid w:val="00400EEB"/>
    <w:rsid w:val="0040108B"/>
    <w:rsid w:val="00401B54"/>
    <w:rsid w:val="00401F2F"/>
    <w:rsid w:val="0040209E"/>
    <w:rsid w:val="00402427"/>
    <w:rsid w:val="004025F4"/>
    <w:rsid w:val="00402636"/>
    <w:rsid w:val="00402A50"/>
    <w:rsid w:val="00402BD5"/>
    <w:rsid w:val="00402CAD"/>
    <w:rsid w:val="00402D48"/>
    <w:rsid w:val="004030D1"/>
    <w:rsid w:val="004033B5"/>
    <w:rsid w:val="00403BCC"/>
    <w:rsid w:val="00403FFC"/>
    <w:rsid w:val="00404161"/>
    <w:rsid w:val="0040423F"/>
    <w:rsid w:val="00404482"/>
    <w:rsid w:val="00404675"/>
    <w:rsid w:val="004047E3"/>
    <w:rsid w:val="00404C5F"/>
    <w:rsid w:val="00404DF5"/>
    <w:rsid w:val="004050D3"/>
    <w:rsid w:val="0040552C"/>
    <w:rsid w:val="00405A6C"/>
    <w:rsid w:val="00405EB9"/>
    <w:rsid w:val="00406194"/>
    <w:rsid w:val="0040626E"/>
    <w:rsid w:val="00406277"/>
    <w:rsid w:val="004062BF"/>
    <w:rsid w:val="0040693E"/>
    <w:rsid w:val="00406B5C"/>
    <w:rsid w:val="004076C8"/>
    <w:rsid w:val="004078FE"/>
    <w:rsid w:val="0041015F"/>
    <w:rsid w:val="00410C25"/>
    <w:rsid w:val="00411119"/>
    <w:rsid w:val="0041144A"/>
    <w:rsid w:val="00411810"/>
    <w:rsid w:val="00411A83"/>
    <w:rsid w:val="00411C2C"/>
    <w:rsid w:val="00412324"/>
    <w:rsid w:val="0041258A"/>
    <w:rsid w:val="004129F3"/>
    <w:rsid w:val="0041309F"/>
    <w:rsid w:val="004131A1"/>
    <w:rsid w:val="00413364"/>
    <w:rsid w:val="004136BB"/>
    <w:rsid w:val="00413A28"/>
    <w:rsid w:val="00413A9B"/>
    <w:rsid w:val="00413DF9"/>
    <w:rsid w:val="004145BA"/>
    <w:rsid w:val="0041465E"/>
    <w:rsid w:val="00414996"/>
    <w:rsid w:val="00414B2B"/>
    <w:rsid w:val="00415189"/>
    <w:rsid w:val="00415855"/>
    <w:rsid w:val="00415977"/>
    <w:rsid w:val="00415B7C"/>
    <w:rsid w:val="004161FA"/>
    <w:rsid w:val="0041652B"/>
    <w:rsid w:val="0041658B"/>
    <w:rsid w:val="00416817"/>
    <w:rsid w:val="004168D3"/>
    <w:rsid w:val="00417F9D"/>
    <w:rsid w:val="00420394"/>
    <w:rsid w:val="004203E8"/>
    <w:rsid w:val="00420841"/>
    <w:rsid w:val="00420CEA"/>
    <w:rsid w:val="00420E6A"/>
    <w:rsid w:val="00421592"/>
    <w:rsid w:val="004216DF"/>
    <w:rsid w:val="00421CA6"/>
    <w:rsid w:val="004225A8"/>
    <w:rsid w:val="00422714"/>
    <w:rsid w:val="0042280F"/>
    <w:rsid w:val="004229D2"/>
    <w:rsid w:val="00422ED0"/>
    <w:rsid w:val="004234C7"/>
    <w:rsid w:val="00423619"/>
    <w:rsid w:val="0042370C"/>
    <w:rsid w:val="0042435F"/>
    <w:rsid w:val="00424A7E"/>
    <w:rsid w:val="00425D3E"/>
    <w:rsid w:val="0042645F"/>
    <w:rsid w:val="00426CE8"/>
    <w:rsid w:val="00426DAB"/>
    <w:rsid w:val="00427073"/>
    <w:rsid w:val="0042717F"/>
    <w:rsid w:val="004271A8"/>
    <w:rsid w:val="00427313"/>
    <w:rsid w:val="004274DC"/>
    <w:rsid w:val="0042751A"/>
    <w:rsid w:val="00427FED"/>
    <w:rsid w:val="00430126"/>
    <w:rsid w:val="004307DB"/>
    <w:rsid w:val="00430F3F"/>
    <w:rsid w:val="004317DE"/>
    <w:rsid w:val="0043192D"/>
    <w:rsid w:val="004320E0"/>
    <w:rsid w:val="0043224D"/>
    <w:rsid w:val="004326D6"/>
    <w:rsid w:val="004327EB"/>
    <w:rsid w:val="004330D0"/>
    <w:rsid w:val="00433812"/>
    <w:rsid w:val="00434146"/>
    <w:rsid w:val="0043414B"/>
    <w:rsid w:val="00434381"/>
    <w:rsid w:val="0043444F"/>
    <w:rsid w:val="00434713"/>
    <w:rsid w:val="004348E4"/>
    <w:rsid w:val="0043525D"/>
    <w:rsid w:val="00435597"/>
    <w:rsid w:val="004357C0"/>
    <w:rsid w:val="00435A78"/>
    <w:rsid w:val="00435E77"/>
    <w:rsid w:val="0043610B"/>
    <w:rsid w:val="004362F9"/>
    <w:rsid w:val="0043654A"/>
    <w:rsid w:val="0043669E"/>
    <w:rsid w:val="004369F9"/>
    <w:rsid w:val="00436F8E"/>
    <w:rsid w:val="00437042"/>
    <w:rsid w:val="004373CB"/>
    <w:rsid w:val="00437519"/>
    <w:rsid w:val="0043754A"/>
    <w:rsid w:val="00437B88"/>
    <w:rsid w:val="004400B5"/>
    <w:rsid w:val="0044080B"/>
    <w:rsid w:val="00440AA3"/>
    <w:rsid w:val="00440AED"/>
    <w:rsid w:val="00440C85"/>
    <w:rsid w:val="00441079"/>
    <w:rsid w:val="00441395"/>
    <w:rsid w:val="00441437"/>
    <w:rsid w:val="00441946"/>
    <w:rsid w:val="00442233"/>
    <w:rsid w:val="00442C60"/>
    <w:rsid w:val="00442E31"/>
    <w:rsid w:val="0044353D"/>
    <w:rsid w:val="0044397D"/>
    <w:rsid w:val="004439DD"/>
    <w:rsid w:val="004440D1"/>
    <w:rsid w:val="0044411A"/>
    <w:rsid w:val="00444322"/>
    <w:rsid w:val="004443AB"/>
    <w:rsid w:val="0044484D"/>
    <w:rsid w:val="00444A48"/>
    <w:rsid w:val="00444DF5"/>
    <w:rsid w:val="004453F7"/>
    <w:rsid w:val="00445615"/>
    <w:rsid w:val="0044573C"/>
    <w:rsid w:val="00445A25"/>
    <w:rsid w:val="00445AC8"/>
    <w:rsid w:val="00445C71"/>
    <w:rsid w:val="00446092"/>
    <w:rsid w:val="00446211"/>
    <w:rsid w:val="00446433"/>
    <w:rsid w:val="004468E3"/>
    <w:rsid w:val="00446999"/>
    <w:rsid w:val="00446CA3"/>
    <w:rsid w:val="00446E13"/>
    <w:rsid w:val="00446ECA"/>
    <w:rsid w:val="00447729"/>
    <w:rsid w:val="00447B74"/>
    <w:rsid w:val="00447C45"/>
    <w:rsid w:val="00447F35"/>
    <w:rsid w:val="004506AE"/>
    <w:rsid w:val="00450B72"/>
    <w:rsid w:val="00450F0F"/>
    <w:rsid w:val="00451003"/>
    <w:rsid w:val="004514EE"/>
    <w:rsid w:val="004516FF"/>
    <w:rsid w:val="0045190C"/>
    <w:rsid w:val="00451B85"/>
    <w:rsid w:val="0045236A"/>
    <w:rsid w:val="00452B67"/>
    <w:rsid w:val="00452E7E"/>
    <w:rsid w:val="00452F5A"/>
    <w:rsid w:val="00453053"/>
    <w:rsid w:val="00453945"/>
    <w:rsid w:val="00454013"/>
    <w:rsid w:val="00454422"/>
    <w:rsid w:val="0045479F"/>
    <w:rsid w:val="00454B1B"/>
    <w:rsid w:val="00454B6D"/>
    <w:rsid w:val="00454CB6"/>
    <w:rsid w:val="00455303"/>
    <w:rsid w:val="0045531D"/>
    <w:rsid w:val="00455422"/>
    <w:rsid w:val="00455A85"/>
    <w:rsid w:val="00455FC3"/>
    <w:rsid w:val="00456E4A"/>
    <w:rsid w:val="0045758E"/>
    <w:rsid w:val="0045786F"/>
    <w:rsid w:val="0046031F"/>
    <w:rsid w:val="00460434"/>
    <w:rsid w:val="00460708"/>
    <w:rsid w:val="004607B5"/>
    <w:rsid w:val="00460DE7"/>
    <w:rsid w:val="0046106F"/>
    <w:rsid w:val="004615CF"/>
    <w:rsid w:val="00461F31"/>
    <w:rsid w:val="004620BE"/>
    <w:rsid w:val="00462727"/>
    <w:rsid w:val="00462FA1"/>
    <w:rsid w:val="0046338C"/>
    <w:rsid w:val="0046364B"/>
    <w:rsid w:val="00463798"/>
    <w:rsid w:val="004639A1"/>
    <w:rsid w:val="004639FC"/>
    <w:rsid w:val="00463C19"/>
    <w:rsid w:val="00463E57"/>
    <w:rsid w:val="00464109"/>
    <w:rsid w:val="004642D3"/>
    <w:rsid w:val="00464868"/>
    <w:rsid w:val="00464B21"/>
    <w:rsid w:val="00464B79"/>
    <w:rsid w:val="00464BB5"/>
    <w:rsid w:val="00464C9B"/>
    <w:rsid w:val="0046509E"/>
    <w:rsid w:val="004652D9"/>
    <w:rsid w:val="004655F0"/>
    <w:rsid w:val="00465E62"/>
    <w:rsid w:val="00465F7B"/>
    <w:rsid w:val="0046643B"/>
    <w:rsid w:val="00466480"/>
    <w:rsid w:val="00466FD9"/>
    <w:rsid w:val="00467078"/>
    <w:rsid w:val="004670E4"/>
    <w:rsid w:val="00467516"/>
    <w:rsid w:val="00467D05"/>
    <w:rsid w:val="00467F9A"/>
    <w:rsid w:val="00470699"/>
    <w:rsid w:val="00470D48"/>
    <w:rsid w:val="00470E8F"/>
    <w:rsid w:val="00470FA6"/>
    <w:rsid w:val="0047102C"/>
    <w:rsid w:val="004712DE"/>
    <w:rsid w:val="004714F3"/>
    <w:rsid w:val="00471A08"/>
    <w:rsid w:val="00471D41"/>
    <w:rsid w:val="004721DC"/>
    <w:rsid w:val="004727BC"/>
    <w:rsid w:val="00472A91"/>
    <w:rsid w:val="00472D08"/>
    <w:rsid w:val="00472D62"/>
    <w:rsid w:val="004734B5"/>
    <w:rsid w:val="00473977"/>
    <w:rsid w:val="00473CEF"/>
    <w:rsid w:val="00473F71"/>
    <w:rsid w:val="004745BD"/>
    <w:rsid w:val="004749D0"/>
    <w:rsid w:val="00474AF3"/>
    <w:rsid w:val="00474BFC"/>
    <w:rsid w:val="0047527F"/>
    <w:rsid w:val="0047549F"/>
    <w:rsid w:val="004755AC"/>
    <w:rsid w:val="004755BC"/>
    <w:rsid w:val="00475D27"/>
    <w:rsid w:val="00476371"/>
    <w:rsid w:val="0047671F"/>
    <w:rsid w:val="00476782"/>
    <w:rsid w:val="004770A4"/>
    <w:rsid w:val="00477254"/>
    <w:rsid w:val="00477534"/>
    <w:rsid w:val="0047789A"/>
    <w:rsid w:val="00477AED"/>
    <w:rsid w:val="00477B62"/>
    <w:rsid w:val="00477BF9"/>
    <w:rsid w:val="004805D8"/>
    <w:rsid w:val="004805E3"/>
    <w:rsid w:val="00480767"/>
    <w:rsid w:val="004808C9"/>
    <w:rsid w:val="00481033"/>
    <w:rsid w:val="004811A3"/>
    <w:rsid w:val="004812D5"/>
    <w:rsid w:val="00482226"/>
    <w:rsid w:val="00482706"/>
    <w:rsid w:val="00482C53"/>
    <w:rsid w:val="00482D5E"/>
    <w:rsid w:val="0048316E"/>
    <w:rsid w:val="004833D8"/>
    <w:rsid w:val="0048388F"/>
    <w:rsid w:val="00483AA0"/>
    <w:rsid w:val="00483D2F"/>
    <w:rsid w:val="0048402A"/>
    <w:rsid w:val="004840C9"/>
    <w:rsid w:val="00484269"/>
    <w:rsid w:val="00484781"/>
    <w:rsid w:val="00484ECC"/>
    <w:rsid w:val="00485709"/>
    <w:rsid w:val="00486349"/>
    <w:rsid w:val="00486380"/>
    <w:rsid w:val="0048696C"/>
    <w:rsid w:val="00486C0A"/>
    <w:rsid w:val="00486F1A"/>
    <w:rsid w:val="004871E1"/>
    <w:rsid w:val="00487E7F"/>
    <w:rsid w:val="004903DD"/>
    <w:rsid w:val="004908D1"/>
    <w:rsid w:val="00490A9E"/>
    <w:rsid w:val="00490E38"/>
    <w:rsid w:val="00490EC1"/>
    <w:rsid w:val="00490F4C"/>
    <w:rsid w:val="004915BE"/>
    <w:rsid w:val="00491645"/>
    <w:rsid w:val="004916EB"/>
    <w:rsid w:val="00491AD5"/>
    <w:rsid w:val="00491D1D"/>
    <w:rsid w:val="00492254"/>
    <w:rsid w:val="00492484"/>
    <w:rsid w:val="00492DFD"/>
    <w:rsid w:val="004934D4"/>
    <w:rsid w:val="00493DF4"/>
    <w:rsid w:val="00493E59"/>
    <w:rsid w:val="0049461F"/>
    <w:rsid w:val="0049484F"/>
    <w:rsid w:val="004948C5"/>
    <w:rsid w:val="0049491F"/>
    <w:rsid w:val="00494991"/>
    <w:rsid w:val="00494C14"/>
    <w:rsid w:val="00495F5C"/>
    <w:rsid w:val="004968B4"/>
    <w:rsid w:val="00496973"/>
    <w:rsid w:val="00496A72"/>
    <w:rsid w:val="00496C0E"/>
    <w:rsid w:val="004971E0"/>
    <w:rsid w:val="004978FF"/>
    <w:rsid w:val="00497D0F"/>
    <w:rsid w:val="00497EEA"/>
    <w:rsid w:val="00497F55"/>
    <w:rsid w:val="004A011C"/>
    <w:rsid w:val="004A020D"/>
    <w:rsid w:val="004A0911"/>
    <w:rsid w:val="004A095D"/>
    <w:rsid w:val="004A0A67"/>
    <w:rsid w:val="004A0DE0"/>
    <w:rsid w:val="004A17E9"/>
    <w:rsid w:val="004A1ADD"/>
    <w:rsid w:val="004A1E47"/>
    <w:rsid w:val="004A214C"/>
    <w:rsid w:val="004A23E0"/>
    <w:rsid w:val="004A2461"/>
    <w:rsid w:val="004A24C4"/>
    <w:rsid w:val="004A26F3"/>
    <w:rsid w:val="004A29BA"/>
    <w:rsid w:val="004A2D00"/>
    <w:rsid w:val="004A32D0"/>
    <w:rsid w:val="004A35EA"/>
    <w:rsid w:val="004A3D5F"/>
    <w:rsid w:val="004A3F6E"/>
    <w:rsid w:val="004A4146"/>
    <w:rsid w:val="004A4CC6"/>
    <w:rsid w:val="004A5144"/>
    <w:rsid w:val="004A532D"/>
    <w:rsid w:val="004A58E8"/>
    <w:rsid w:val="004A59CC"/>
    <w:rsid w:val="004A5AAE"/>
    <w:rsid w:val="004A5BC8"/>
    <w:rsid w:val="004A5CA0"/>
    <w:rsid w:val="004A6248"/>
    <w:rsid w:val="004A710E"/>
    <w:rsid w:val="004A725E"/>
    <w:rsid w:val="004A7385"/>
    <w:rsid w:val="004A75A4"/>
    <w:rsid w:val="004A7731"/>
    <w:rsid w:val="004A7A41"/>
    <w:rsid w:val="004A7C5C"/>
    <w:rsid w:val="004A7CDA"/>
    <w:rsid w:val="004A7E58"/>
    <w:rsid w:val="004A7ED2"/>
    <w:rsid w:val="004B03E7"/>
    <w:rsid w:val="004B091E"/>
    <w:rsid w:val="004B0A18"/>
    <w:rsid w:val="004B1751"/>
    <w:rsid w:val="004B177D"/>
    <w:rsid w:val="004B1CBC"/>
    <w:rsid w:val="004B2478"/>
    <w:rsid w:val="004B266A"/>
    <w:rsid w:val="004B2ED6"/>
    <w:rsid w:val="004B3050"/>
    <w:rsid w:val="004B34A1"/>
    <w:rsid w:val="004B3524"/>
    <w:rsid w:val="004B36F1"/>
    <w:rsid w:val="004B37CC"/>
    <w:rsid w:val="004B3E76"/>
    <w:rsid w:val="004B400B"/>
    <w:rsid w:val="004B42C4"/>
    <w:rsid w:val="004B43BF"/>
    <w:rsid w:val="004B486F"/>
    <w:rsid w:val="004B489A"/>
    <w:rsid w:val="004B4C20"/>
    <w:rsid w:val="004B4CA6"/>
    <w:rsid w:val="004B50AB"/>
    <w:rsid w:val="004B50DE"/>
    <w:rsid w:val="004B510F"/>
    <w:rsid w:val="004B5646"/>
    <w:rsid w:val="004B5F3B"/>
    <w:rsid w:val="004B60D0"/>
    <w:rsid w:val="004B6144"/>
    <w:rsid w:val="004B66EB"/>
    <w:rsid w:val="004B689B"/>
    <w:rsid w:val="004B6C43"/>
    <w:rsid w:val="004B6CE8"/>
    <w:rsid w:val="004B6D6D"/>
    <w:rsid w:val="004B7968"/>
    <w:rsid w:val="004B79C7"/>
    <w:rsid w:val="004C0123"/>
    <w:rsid w:val="004C033F"/>
    <w:rsid w:val="004C0FFF"/>
    <w:rsid w:val="004C144D"/>
    <w:rsid w:val="004C18E1"/>
    <w:rsid w:val="004C1AB1"/>
    <w:rsid w:val="004C1AEF"/>
    <w:rsid w:val="004C1B6E"/>
    <w:rsid w:val="004C1D08"/>
    <w:rsid w:val="004C245C"/>
    <w:rsid w:val="004C279F"/>
    <w:rsid w:val="004C29BF"/>
    <w:rsid w:val="004C2A64"/>
    <w:rsid w:val="004C2ACB"/>
    <w:rsid w:val="004C2C5B"/>
    <w:rsid w:val="004C3387"/>
    <w:rsid w:val="004C36F6"/>
    <w:rsid w:val="004C3A7B"/>
    <w:rsid w:val="004C405F"/>
    <w:rsid w:val="004C4206"/>
    <w:rsid w:val="004C4235"/>
    <w:rsid w:val="004C474F"/>
    <w:rsid w:val="004C47F0"/>
    <w:rsid w:val="004C4C8F"/>
    <w:rsid w:val="004C4CF2"/>
    <w:rsid w:val="004C59A0"/>
    <w:rsid w:val="004C6001"/>
    <w:rsid w:val="004C6055"/>
    <w:rsid w:val="004C64FE"/>
    <w:rsid w:val="004C6B04"/>
    <w:rsid w:val="004C7379"/>
    <w:rsid w:val="004C753D"/>
    <w:rsid w:val="004C7588"/>
    <w:rsid w:val="004C78DE"/>
    <w:rsid w:val="004C7DAE"/>
    <w:rsid w:val="004C7FA9"/>
    <w:rsid w:val="004D03D2"/>
    <w:rsid w:val="004D068B"/>
    <w:rsid w:val="004D1562"/>
    <w:rsid w:val="004D19CD"/>
    <w:rsid w:val="004D204C"/>
    <w:rsid w:val="004D22A4"/>
    <w:rsid w:val="004D2335"/>
    <w:rsid w:val="004D2941"/>
    <w:rsid w:val="004D323C"/>
    <w:rsid w:val="004D3247"/>
    <w:rsid w:val="004D364F"/>
    <w:rsid w:val="004D3716"/>
    <w:rsid w:val="004D3DC0"/>
    <w:rsid w:val="004D43B2"/>
    <w:rsid w:val="004D4741"/>
    <w:rsid w:val="004D49E4"/>
    <w:rsid w:val="004D540F"/>
    <w:rsid w:val="004D576E"/>
    <w:rsid w:val="004D5BD8"/>
    <w:rsid w:val="004D6083"/>
    <w:rsid w:val="004D6227"/>
    <w:rsid w:val="004D65DA"/>
    <w:rsid w:val="004D671C"/>
    <w:rsid w:val="004D6A73"/>
    <w:rsid w:val="004D7430"/>
    <w:rsid w:val="004E0593"/>
    <w:rsid w:val="004E06B8"/>
    <w:rsid w:val="004E0BB3"/>
    <w:rsid w:val="004E130D"/>
    <w:rsid w:val="004E18A5"/>
    <w:rsid w:val="004E1D45"/>
    <w:rsid w:val="004E1E44"/>
    <w:rsid w:val="004E1ED6"/>
    <w:rsid w:val="004E2456"/>
    <w:rsid w:val="004E2736"/>
    <w:rsid w:val="004E2E86"/>
    <w:rsid w:val="004E2F24"/>
    <w:rsid w:val="004E340D"/>
    <w:rsid w:val="004E36D6"/>
    <w:rsid w:val="004E3E1F"/>
    <w:rsid w:val="004E4671"/>
    <w:rsid w:val="004E496F"/>
    <w:rsid w:val="004E5340"/>
    <w:rsid w:val="004E5632"/>
    <w:rsid w:val="004E573F"/>
    <w:rsid w:val="004E5D5E"/>
    <w:rsid w:val="004E5F8D"/>
    <w:rsid w:val="004E60B3"/>
    <w:rsid w:val="004E60DD"/>
    <w:rsid w:val="004E6CC9"/>
    <w:rsid w:val="004E6FB0"/>
    <w:rsid w:val="004F0411"/>
    <w:rsid w:val="004F05AC"/>
    <w:rsid w:val="004F06A2"/>
    <w:rsid w:val="004F0713"/>
    <w:rsid w:val="004F0BB1"/>
    <w:rsid w:val="004F1553"/>
    <w:rsid w:val="004F1804"/>
    <w:rsid w:val="004F1FAD"/>
    <w:rsid w:val="004F237C"/>
    <w:rsid w:val="004F356B"/>
    <w:rsid w:val="004F37BA"/>
    <w:rsid w:val="004F38AF"/>
    <w:rsid w:val="004F4183"/>
    <w:rsid w:val="004F4660"/>
    <w:rsid w:val="004F4DEB"/>
    <w:rsid w:val="004F4F19"/>
    <w:rsid w:val="004F4F3D"/>
    <w:rsid w:val="004F692D"/>
    <w:rsid w:val="004F6A06"/>
    <w:rsid w:val="004F6E3E"/>
    <w:rsid w:val="004F6E90"/>
    <w:rsid w:val="004F7379"/>
    <w:rsid w:val="004F7766"/>
    <w:rsid w:val="004F782B"/>
    <w:rsid w:val="004F78B2"/>
    <w:rsid w:val="004F7AF7"/>
    <w:rsid w:val="004F7E86"/>
    <w:rsid w:val="005002ED"/>
    <w:rsid w:val="005004EE"/>
    <w:rsid w:val="005007A7"/>
    <w:rsid w:val="00500DFC"/>
    <w:rsid w:val="00500E16"/>
    <w:rsid w:val="0050114D"/>
    <w:rsid w:val="00501260"/>
    <w:rsid w:val="00501452"/>
    <w:rsid w:val="0050182C"/>
    <w:rsid w:val="00501856"/>
    <w:rsid w:val="0050209D"/>
    <w:rsid w:val="005024EA"/>
    <w:rsid w:val="0050339C"/>
    <w:rsid w:val="0050380F"/>
    <w:rsid w:val="00503EF5"/>
    <w:rsid w:val="00504164"/>
    <w:rsid w:val="00504227"/>
    <w:rsid w:val="0050465E"/>
    <w:rsid w:val="00504812"/>
    <w:rsid w:val="00504896"/>
    <w:rsid w:val="00504A90"/>
    <w:rsid w:val="00504EA7"/>
    <w:rsid w:val="00505426"/>
    <w:rsid w:val="0050545D"/>
    <w:rsid w:val="005054F9"/>
    <w:rsid w:val="00505876"/>
    <w:rsid w:val="00505CF3"/>
    <w:rsid w:val="00505DAE"/>
    <w:rsid w:val="00505ECD"/>
    <w:rsid w:val="0050608F"/>
    <w:rsid w:val="00506395"/>
    <w:rsid w:val="005064A7"/>
    <w:rsid w:val="0050656D"/>
    <w:rsid w:val="00506728"/>
    <w:rsid w:val="0050684D"/>
    <w:rsid w:val="005069F8"/>
    <w:rsid w:val="00506BDF"/>
    <w:rsid w:val="00506D75"/>
    <w:rsid w:val="00506F5A"/>
    <w:rsid w:val="00507903"/>
    <w:rsid w:val="00507ADA"/>
    <w:rsid w:val="00507EE4"/>
    <w:rsid w:val="00507F4A"/>
    <w:rsid w:val="00507F63"/>
    <w:rsid w:val="005101E7"/>
    <w:rsid w:val="0051021D"/>
    <w:rsid w:val="00510660"/>
    <w:rsid w:val="00510BBE"/>
    <w:rsid w:val="00510C01"/>
    <w:rsid w:val="00510EFC"/>
    <w:rsid w:val="005116B5"/>
    <w:rsid w:val="0051191F"/>
    <w:rsid w:val="00511CF3"/>
    <w:rsid w:val="00511EB2"/>
    <w:rsid w:val="0051212F"/>
    <w:rsid w:val="005123F9"/>
    <w:rsid w:val="00512BD7"/>
    <w:rsid w:val="00512C73"/>
    <w:rsid w:val="00512E2C"/>
    <w:rsid w:val="00513047"/>
    <w:rsid w:val="0051375D"/>
    <w:rsid w:val="00513807"/>
    <w:rsid w:val="00513904"/>
    <w:rsid w:val="00513B3C"/>
    <w:rsid w:val="00513CF0"/>
    <w:rsid w:val="00514414"/>
    <w:rsid w:val="0051475C"/>
    <w:rsid w:val="00514AF9"/>
    <w:rsid w:val="00515AB9"/>
    <w:rsid w:val="00516215"/>
    <w:rsid w:val="00516A10"/>
    <w:rsid w:val="00516A2D"/>
    <w:rsid w:val="00516A9F"/>
    <w:rsid w:val="00516AB9"/>
    <w:rsid w:val="00516ACC"/>
    <w:rsid w:val="00516B82"/>
    <w:rsid w:val="00516BC2"/>
    <w:rsid w:val="00516E42"/>
    <w:rsid w:val="00517152"/>
    <w:rsid w:val="0052039A"/>
    <w:rsid w:val="0052051C"/>
    <w:rsid w:val="00520528"/>
    <w:rsid w:val="00520F98"/>
    <w:rsid w:val="00520FF4"/>
    <w:rsid w:val="00521345"/>
    <w:rsid w:val="00521920"/>
    <w:rsid w:val="00521E28"/>
    <w:rsid w:val="00522153"/>
    <w:rsid w:val="005222C3"/>
    <w:rsid w:val="0052249E"/>
    <w:rsid w:val="00522888"/>
    <w:rsid w:val="00523268"/>
    <w:rsid w:val="005233F6"/>
    <w:rsid w:val="00523583"/>
    <w:rsid w:val="0052387A"/>
    <w:rsid w:val="00523BD6"/>
    <w:rsid w:val="005241E1"/>
    <w:rsid w:val="00524424"/>
    <w:rsid w:val="005244AC"/>
    <w:rsid w:val="00524611"/>
    <w:rsid w:val="005249C1"/>
    <w:rsid w:val="00525689"/>
    <w:rsid w:val="00525CEF"/>
    <w:rsid w:val="00526027"/>
    <w:rsid w:val="005260ED"/>
    <w:rsid w:val="005265E7"/>
    <w:rsid w:val="00526A5C"/>
    <w:rsid w:val="00526E25"/>
    <w:rsid w:val="00527067"/>
    <w:rsid w:val="00527376"/>
    <w:rsid w:val="0052737E"/>
    <w:rsid w:val="005278C8"/>
    <w:rsid w:val="005279F3"/>
    <w:rsid w:val="00530468"/>
    <w:rsid w:val="005307A1"/>
    <w:rsid w:val="0053088B"/>
    <w:rsid w:val="0053098D"/>
    <w:rsid w:val="00530ABE"/>
    <w:rsid w:val="00530AEC"/>
    <w:rsid w:val="00530D25"/>
    <w:rsid w:val="00531997"/>
    <w:rsid w:val="00531CF0"/>
    <w:rsid w:val="0053296B"/>
    <w:rsid w:val="00532B02"/>
    <w:rsid w:val="00532DB6"/>
    <w:rsid w:val="0053355B"/>
    <w:rsid w:val="005339C6"/>
    <w:rsid w:val="005342C2"/>
    <w:rsid w:val="0053464D"/>
    <w:rsid w:val="00534F84"/>
    <w:rsid w:val="0053539F"/>
    <w:rsid w:val="005354A4"/>
    <w:rsid w:val="00535739"/>
    <w:rsid w:val="00535F33"/>
    <w:rsid w:val="00536430"/>
    <w:rsid w:val="00536618"/>
    <w:rsid w:val="00536688"/>
    <w:rsid w:val="005367A4"/>
    <w:rsid w:val="00536847"/>
    <w:rsid w:val="00536EE3"/>
    <w:rsid w:val="00537110"/>
    <w:rsid w:val="00537779"/>
    <w:rsid w:val="00537B69"/>
    <w:rsid w:val="00540630"/>
    <w:rsid w:val="0054080C"/>
    <w:rsid w:val="00541039"/>
    <w:rsid w:val="00541218"/>
    <w:rsid w:val="0054150A"/>
    <w:rsid w:val="005417F0"/>
    <w:rsid w:val="00541A0F"/>
    <w:rsid w:val="00541A3F"/>
    <w:rsid w:val="00541BF1"/>
    <w:rsid w:val="00542116"/>
    <w:rsid w:val="0054250B"/>
    <w:rsid w:val="00542837"/>
    <w:rsid w:val="00542C63"/>
    <w:rsid w:val="00542CAE"/>
    <w:rsid w:val="00542D75"/>
    <w:rsid w:val="00542F96"/>
    <w:rsid w:val="00542FD3"/>
    <w:rsid w:val="0054336B"/>
    <w:rsid w:val="00543A0D"/>
    <w:rsid w:val="00543D9E"/>
    <w:rsid w:val="005443E2"/>
    <w:rsid w:val="00544401"/>
    <w:rsid w:val="00545298"/>
    <w:rsid w:val="00545CAF"/>
    <w:rsid w:val="005461A4"/>
    <w:rsid w:val="00546245"/>
    <w:rsid w:val="00546751"/>
    <w:rsid w:val="005468F0"/>
    <w:rsid w:val="0054693C"/>
    <w:rsid w:val="00546D59"/>
    <w:rsid w:val="00546E11"/>
    <w:rsid w:val="00546F5E"/>
    <w:rsid w:val="00546F8C"/>
    <w:rsid w:val="0054759D"/>
    <w:rsid w:val="0054775F"/>
    <w:rsid w:val="00547D79"/>
    <w:rsid w:val="00550123"/>
    <w:rsid w:val="0055030A"/>
    <w:rsid w:val="0055067A"/>
    <w:rsid w:val="00550825"/>
    <w:rsid w:val="00551374"/>
    <w:rsid w:val="005516C2"/>
    <w:rsid w:val="00551C04"/>
    <w:rsid w:val="0055233C"/>
    <w:rsid w:val="0055250D"/>
    <w:rsid w:val="00552990"/>
    <w:rsid w:val="00552E7A"/>
    <w:rsid w:val="00552EF8"/>
    <w:rsid w:val="00552F34"/>
    <w:rsid w:val="00553233"/>
    <w:rsid w:val="00553D26"/>
    <w:rsid w:val="00554A7F"/>
    <w:rsid w:val="00554EE5"/>
    <w:rsid w:val="00554EF5"/>
    <w:rsid w:val="0055506B"/>
    <w:rsid w:val="005550E3"/>
    <w:rsid w:val="00555466"/>
    <w:rsid w:val="005554DA"/>
    <w:rsid w:val="0055577D"/>
    <w:rsid w:val="00556025"/>
    <w:rsid w:val="00556229"/>
    <w:rsid w:val="00556472"/>
    <w:rsid w:val="00556CA5"/>
    <w:rsid w:val="00556DED"/>
    <w:rsid w:val="005572A8"/>
    <w:rsid w:val="00557B80"/>
    <w:rsid w:val="00560E3D"/>
    <w:rsid w:val="005614E4"/>
    <w:rsid w:val="005619CB"/>
    <w:rsid w:val="00561A09"/>
    <w:rsid w:val="00561C00"/>
    <w:rsid w:val="00561E5B"/>
    <w:rsid w:val="00561EA3"/>
    <w:rsid w:val="00562ADC"/>
    <w:rsid w:val="00562B2B"/>
    <w:rsid w:val="005631EF"/>
    <w:rsid w:val="00564662"/>
    <w:rsid w:val="00564D53"/>
    <w:rsid w:val="00565466"/>
    <w:rsid w:val="00565691"/>
    <w:rsid w:val="00565B28"/>
    <w:rsid w:val="00566C34"/>
    <w:rsid w:val="00566D67"/>
    <w:rsid w:val="0056707F"/>
    <w:rsid w:val="005670F4"/>
    <w:rsid w:val="0056717D"/>
    <w:rsid w:val="005675FA"/>
    <w:rsid w:val="00567770"/>
    <w:rsid w:val="00567809"/>
    <w:rsid w:val="00567884"/>
    <w:rsid w:val="005678AF"/>
    <w:rsid w:val="00567BA4"/>
    <w:rsid w:val="00570049"/>
    <w:rsid w:val="005701CD"/>
    <w:rsid w:val="0057070D"/>
    <w:rsid w:val="00570A1C"/>
    <w:rsid w:val="00570DD2"/>
    <w:rsid w:val="00570F1F"/>
    <w:rsid w:val="005715A6"/>
    <w:rsid w:val="005719CC"/>
    <w:rsid w:val="005719F5"/>
    <w:rsid w:val="00571A88"/>
    <w:rsid w:val="00571B25"/>
    <w:rsid w:val="00571D0D"/>
    <w:rsid w:val="005729CA"/>
    <w:rsid w:val="005735A4"/>
    <w:rsid w:val="005735E3"/>
    <w:rsid w:val="00573A45"/>
    <w:rsid w:val="00575330"/>
    <w:rsid w:val="00575DCB"/>
    <w:rsid w:val="00576075"/>
    <w:rsid w:val="00576271"/>
    <w:rsid w:val="005763AE"/>
    <w:rsid w:val="005766AC"/>
    <w:rsid w:val="00576A9D"/>
    <w:rsid w:val="00576D6D"/>
    <w:rsid w:val="00576EC1"/>
    <w:rsid w:val="00577255"/>
    <w:rsid w:val="00577729"/>
    <w:rsid w:val="00577839"/>
    <w:rsid w:val="005778C1"/>
    <w:rsid w:val="00580100"/>
    <w:rsid w:val="0058107D"/>
    <w:rsid w:val="00581811"/>
    <w:rsid w:val="00581C1A"/>
    <w:rsid w:val="00581E79"/>
    <w:rsid w:val="0058229D"/>
    <w:rsid w:val="00582494"/>
    <w:rsid w:val="00582607"/>
    <w:rsid w:val="005827E6"/>
    <w:rsid w:val="00582840"/>
    <w:rsid w:val="00582C90"/>
    <w:rsid w:val="00582CED"/>
    <w:rsid w:val="005831DB"/>
    <w:rsid w:val="0058338F"/>
    <w:rsid w:val="00583393"/>
    <w:rsid w:val="00583760"/>
    <w:rsid w:val="00583E9B"/>
    <w:rsid w:val="00583F7E"/>
    <w:rsid w:val="00584371"/>
    <w:rsid w:val="0058437B"/>
    <w:rsid w:val="005846E1"/>
    <w:rsid w:val="00584990"/>
    <w:rsid w:val="00584C83"/>
    <w:rsid w:val="00584D6D"/>
    <w:rsid w:val="00584E68"/>
    <w:rsid w:val="00584FDD"/>
    <w:rsid w:val="00585519"/>
    <w:rsid w:val="0058592B"/>
    <w:rsid w:val="005859DA"/>
    <w:rsid w:val="00585A17"/>
    <w:rsid w:val="00586141"/>
    <w:rsid w:val="00586255"/>
    <w:rsid w:val="00586294"/>
    <w:rsid w:val="00587189"/>
    <w:rsid w:val="00587547"/>
    <w:rsid w:val="00587A63"/>
    <w:rsid w:val="0059016F"/>
    <w:rsid w:val="00590363"/>
    <w:rsid w:val="0059090F"/>
    <w:rsid w:val="00590BC2"/>
    <w:rsid w:val="00590BFD"/>
    <w:rsid w:val="00591388"/>
    <w:rsid w:val="0059148D"/>
    <w:rsid w:val="00591959"/>
    <w:rsid w:val="00591A09"/>
    <w:rsid w:val="00591EA9"/>
    <w:rsid w:val="00592108"/>
    <w:rsid w:val="005925E8"/>
    <w:rsid w:val="00592AE4"/>
    <w:rsid w:val="0059336D"/>
    <w:rsid w:val="00593512"/>
    <w:rsid w:val="0059365E"/>
    <w:rsid w:val="00593872"/>
    <w:rsid w:val="00593E55"/>
    <w:rsid w:val="005946A3"/>
    <w:rsid w:val="00595FA8"/>
    <w:rsid w:val="0059644D"/>
    <w:rsid w:val="00596476"/>
    <w:rsid w:val="00596B38"/>
    <w:rsid w:val="00596CF4"/>
    <w:rsid w:val="00597273"/>
    <w:rsid w:val="005972AB"/>
    <w:rsid w:val="005972F8"/>
    <w:rsid w:val="00597395"/>
    <w:rsid w:val="0059758F"/>
    <w:rsid w:val="005976DE"/>
    <w:rsid w:val="00597EE7"/>
    <w:rsid w:val="005A003E"/>
    <w:rsid w:val="005A0359"/>
    <w:rsid w:val="005A091A"/>
    <w:rsid w:val="005A0E41"/>
    <w:rsid w:val="005A135F"/>
    <w:rsid w:val="005A193E"/>
    <w:rsid w:val="005A19B0"/>
    <w:rsid w:val="005A1C78"/>
    <w:rsid w:val="005A1EF9"/>
    <w:rsid w:val="005A245B"/>
    <w:rsid w:val="005A249B"/>
    <w:rsid w:val="005A25AC"/>
    <w:rsid w:val="005A29B4"/>
    <w:rsid w:val="005A2A2C"/>
    <w:rsid w:val="005A2B9F"/>
    <w:rsid w:val="005A2E56"/>
    <w:rsid w:val="005A2F89"/>
    <w:rsid w:val="005A3303"/>
    <w:rsid w:val="005A3A55"/>
    <w:rsid w:val="005A3CF6"/>
    <w:rsid w:val="005A3D8C"/>
    <w:rsid w:val="005A3EC9"/>
    <w:rsid w:val="005A3F26"/>
    <w:rsid w:val="005A4034"/>
    <w:rsid w:val="005A418E"/>
    <w:rsid w:val="005A4226"/>
    <w:rsid w:val="005A42A1"/>
    <w:rsid w:val="005A4A54"/>
    <w:rsid w:val="005A4B4E"/>
    <w:rsid w:val="005A4F6C"/>
    <w:rsid w:val="005A5F68"/>
    <w:rsid w:val="005A60C6"/>
    <w:rsid w:val="005A64CD"/>
    <w:rsid w:val="005A699F"/>
    <w:rsid w:val="005A7292"/>
    <w:rsid w:val="005A7822"/>
    <w:rsid w:val="005A7C12"/>
    <w:rsid w:val="005B0264"/>
    <w:rsid w:val="005B0467"/>
    <w:rsid w:val="005B0B6D"/>
    <w:rsid w:val="005B177C"/>
    <w:rsid w:val="005B1909"/>
    <w:rsid w:val="005B1C40"/>
    <w:rsid w:val="005B1C7A"/>
    <w:rsid w:val="005B207A"/>
    <w:rsid w:val="005B2132"/>
    <w:rsid w:val="005B215F"/>
    <w:rsid w:val="005B22A9"/>
    <w:rsid w:val="005B2303"/>
    <w:rsid w:val="005B294A"/>
    <w:rsid w:val="005B299C"/>
    <w:rsid w:val="005B3058"/>
    <w:rsid w:val="005B33E0"/>
    <w:rsid w:val="005B33EA"/>
    <w:rsid w:val="005B340A"/>
    <w:rsid w:val="005B3E56"/>
    <w:rsid w:val="005B40E0"/>
    <w:rsid w:val="005B41C9"/>
    <w:rsid w:val="005B4300"/>
    <w:rsid w:val="005B4321"/>
    <w:rsid w:val="005B44F9"/>
    <w:rsid w:val="005B47C3"/>
    <w:rsid w:val="005B4A10"/>
    <w:rsid w:val="005B5728"/>
    <w:rsid w:val="005B5974"/>
    <w:rsid w:val="005B5FC3"/>
    <w:rsid w:val="005B6033"/>
    <w:rsid w:val="005B60B3"/>
    <w:rsid w:val="005B67FB"/>
    <w:rsid w:val="005B6977"/>
    <w:rsid w:val="005B6A8A"/>
    <w:rsid w:val="005B6D28"/>
    <w:rsid w:val="005B6F1A"/>
    <w:rsid w:val="005B6FBF"/>
    <w:rsid w:val="005B77F4"/>
    <w:rsid w:val="005B7B31"/>
    <w:rsid w:val="005B7D95"/>
    <w:rsid w:val="005C0ED1"/>
    <w:rsid w:val="005C1410"/>
    <w:rsid w:val="005C178E"/>
    <w:rsid w:val="005C18EE"/>
    <w:rsid w:val="005C19B1"/>
    <w:rsid w:val="005C1C4F"/>
    <w:rsid w:val="005C1C6F"/>
    <w:rsid w:val="005C1C78"/>
    <w:rsid w:val="005C1F12"/>
    <w:rsid w:val="005C2937"/>
    <w:rsid w:val="005C2C17"/>
    <w:rsid w:val="005C3AB4"/>
    <w:rsid w:val="005C3C3A"/>
    <w:rsid w:val="005C3CC7"/>
    <w:rsid w:val="005C4203"/>
    <w:rsid w:val="005C4642"/>
    <w:rsid w:val="005C465A"/>
    <w:rsid w:val="005C467B"/>
    <w:rsid w:val="005C47C3"/>
    <w:rsid w:val="005C4AB4"/>
    <w:rsid w:val="005C5A68"/>
    <w:rsid w:val="005C5C38"/>
    <w:rsid w:val="005C5E41"/>
    <w:rsid w:val="005C5F96"/>
    <w:rsid w:val="005C627D"/>
    <w:rsid w:val="005C67B8"/>
    <w:rsid w:val="005C6E57"/>
    <w:rsid w:val="005C7263"/>
    <w:rsid w:val="005C7580"/>
    <w:rsid w:val="005C768A"/>
    <w:rsid w:val="005C78F6"/>
    <w:rsid w:val="005D0041"/>
    <w:rsid w:val="005D012C"/>
    <w:rsid w:val="005D05B5"/>
    <w:rsid w:val="005D0612"/>
    <w:rsid w:val="005D06C9"/>
    <w:rsid w:val="005D0703"/>
    <w:rsid w:val="005D091A"/>
    <w:rsid w:val="005D0A56"/>
    <w:rsid w:val="005D0FED"/>
    <w:rsid w:val="005D127E"/>
    <w:rsid w:val="005D150E"/>
    <w:rsid w:val="005D15C4"/>
    <w:rsid w:val="005D18F9"/>
    <w:rsid w:val="005D1A20"/>
    <w:rsid w:val="005D1C0A"/>
    <w:rsid w:val="005D1E6E"/>
    <w:rsid w:val="005D27CA"/>
    <w:rsid w:val="005D390D"/>
    <w:rsid w:val="005D3AAE"/>
    <w:rsid w:val="005D41BD"/>
    <w:rsid w:val="005D461D"/>
    <w:rsid w:val="005D4683"/>
    <w:rsid w:val="005D46F1"/>
    <w:rsid w:val="005D4B61"/>
    <w:rsid w:val="005D50AC"/>
    <w:rsid w:val="005D5427"/>
    <w:rsid w:val="005D5476"/>
    <w:rsid w:val="005D61B5"/>
    <w:rsid w:val="005D6A07"/>
    <w:rsid w:val="005D6CC8"/>
    <w:rsid w:val="005D71F9"/>
    <w:rsid w:val="005D73FF"/>
    <w:rsid w:val="005D7538"/>
    <w:rsid w:val="005D7A88"/>
    <w:rsid w:val="005D7CE6"/>
    <w:rsid w:val="005E026E"/>
    <w:rsid w:val="005E0669"/>
    <w:rsid w:val="005E0A28"/>
    <w:rsid w:val="005E15AF"/>
    <w:rsid w:val="005E1709"/>
    <w:rsid w:val="005E1AE6"/>
    <w:rsid w:val="005E2397"/>
    <w:rsid w:val="005E25E7"/>
    <w:rsid w:val="005E2A14"/>
    <w:rsid w:val="005E2B6B"/>
    <w:rsid w:val="005E2D28"/>
    <w:rsid w:val="005E2D2A"/>
    <w:rsid w:val="005E2D35"/>
    <w:rsid w:val="005E31F0"/>
    <w:rsid w:val="005E32D4"/>
    <w:rsid w:val="005E3B9D"/>
    <w:rsid w:val="005E4173"/>
    <w:rsid w:val="005E44EC"/>
    <w:rsid w:val="005E49E6"/>
    <w:rsid w:val="005E4B28"/>
    <w:rsid w:val="005E51C7"/>
    <w:rsid w:val="005E5671"/>
    <w:rsid w:val="005E582A"/>
    <w:rsid w:val="005E5989"/>
    <w:rsid w:val="005E5C16"/>
    <w:rsid w:val="005E5C5C"/>
    <w:rsid w:val="005E608D"/>
    <w:rsid w:val="005E6593"/>
    <w:rsid w:val="005E665B"/>
    <w:rsid w:val="005E6972"/>
    <w:rsid w:val="005E717F"/>
    <w:rsid w:val="005E76AE"/>
    <w:rsid w:val="005E790E"/>
    <w:rsid w:val="005E7915"/>
    <w:rsid w:val="005E79CA"/>
    <w:rsid w:val="005E7C69"/>
    <w:rsid w:val="005E7CA9"/>
    <w:rsid w:val="005E7CC5"/>
    <w:rsid w:val="005F0387"/>
    <w:rsid w:val="005F0E76"/>
    <w:rsid w:val="005F0E96"/>
    <w:rsid w:val="005F1230"/>
    <w:rsid w:val="005F13C1"/>
    <w:rsid w:val="005F167F"/>
    <w:rsid w:val="005F1B30"/>
    <w:rsid w:val="005F1D66"/>
    <w:rsid w:val="005F1FD1"/>
    <w:rsid w:val="005F2BFF"/>
    <w:rsid w:val="005F2C69"/>
    <w:rsid w:val="005F2D34"/>
    <w:rsid w:val="005F302A"/>
    <w:rsid w:val="005F3158"/>
    <w:rsid w:val="005F3820"/>
    <w:rsid w:val="005F3C00"/>
    <w:rsid w:val="005F3C9D"/>
    <w:rsid w:val="005F46A0"/>
    <w:rsid w:val="005F4881"/>
    <w:rsid w:val="005F5019"/>
    <w:rsid w:val="005F538D"/>
    <w:rsid w:val="005F549D"/>
    <w:rsid w:val="005F5594"/>
    <w:rsid w:val="005F5657"/>
    <w:rsid w:val="005F5798"/>
    <w:rsid w:val="005F5847"/>
    <w:rsid w:val="005F5C4C"/>
    <w:rsid w:val="005F5C95"/>
    <w:rsid w:val="005F5D70"/>
    <w:rsid w:val="005F5E12"/>
    <w:rsid w:val="005F6775"/>
    <w:rsid w:val="005F69D5"/>
    <w:rsid w:val="005F6A46"/>
    <w:rsid w:val="005F7100"/>
    <w:rsid w:val="00600093"/>
    <w:rsid w:val="00600C02"/>
    <w:rsid w:val="00601228"/>
    <w:rsid w:val="00601361"/>
    <w:rsid w:val="006015D0"/>
    <w:rsid w:val="00601CB9"/>
    <w:rsid w:val="00602003"/>
    <w:rsid w:val="006021C8"/>
    <w:rsid w:val="00602403"/>
    <w:rsid w:val="006026C8"/>
    <w:rsid w:val="00602814"/>
    <w:rsid w:val="00602967"/>
    <w:rsid w:val="006029A2"/>
    <w:rsid w:val="00602C0B"/>
    <w:rsid w:val="00603636"/>
    <w:rsid w:val="0060399B"/>
    <w:rsid w:val="00603A9D"/>
    <w:rsid w:val="00603D03"/>
    <w:rsid w:val="00603FDC"/>
    <w:rsid w:val="00604239"/>
    <w:rsid w:val="00604484"/>
    <w:rsid w:val="00604DFD"/>
    <w:rsid w:val="00604EF6"/>
    <w:rsid w:val="006052F9"/>
    <w:rsid w:val="00605451"/>
    <w:rsid w:val="006058C3"/>
    <w:rsid w:val="00605F2D"/>
    <w:rsid w:val="0060609C"/>
    <w:rsid w:val="0060698B"/>
    <w:rsid w:val="00606A2B"/>
    <w:rsid w:val="00606F73"/>
    <w:rsid w:val="00607766"/>
    <w:rsid w:val="00607844"/>
    <w:rsid w:val="00607ABD"/>
    <w:rsid w:val="00607B9B"/>
    <w:rsid w:val="00607F58"/>
    <w:rsid w:val="00607F85"/>
    <w:rsid w:val="00610618"/>
    <w:rsid w:val="00610A3B"/>
    <w:rsid w:val="0061120F"/>
    <w:rsid w:val="00611595"/>
    <w:rsid w:val="00611A1D"/>
    <w:rsid w:val="00611ED5"/>
    <w:rsid w:val="0061233B"/>
    <w:rsid w:val="00612A74"/>
    <w:rsid w:val="0061332D"/>
    <w:rsid w:val="00613494"/>
    <w:rsid w:val="006137A1"/>
    <w:rsid w:val="00613F7A"/>
    <w:rsid w:val="0061402D"/>
    <w:rsid w:val="00614909"/>
    <w:rsid w:val="00614D1A"/>
    <w:rsid w:val="00615235"/>
    <w:rsid w:val="006153F2"/>
    <w:rsid w:val="006155DC"/>
    <w:rsid w:val="00615C42"/>
    <w:rsid w:val="00615C69"/>
    <w:rsid w:val="00615D45"/>
    <w:rsid w:val="00615D85"/>
    <w:rsid w:val="006162B5"/>
    <w:rsid w:val="006162BE"/>
    <w:rsid w:val="00616344"/>
    <w:rsid w:val="00616513"/>
    <w:rsid w:val="00616791"/>
    <w:rsid w:val="00616E7A"/>
    <w:rsid w:val="00616F23"/>
    <w:rsid w:val="0061754D"/>
    <w:rsid w:val="00617E55"/>
    <w:rsid w:val="00620575"/>
    <w:rsid w:val="006205F5"/>
    <w:rsid w:val="00620BBC"/>
    <w:rsid w:val="00620BC2"/>
    <w:rsid w:val="00620F9A"/>
    <w:rsid w:val="006210DA"/>
    <w:rsid w:val="0062110F"/>
    <w:rsid w:val="006212EF"/>
    <w:rsid w:val="00621582"/>
    <w:rsid w:val="00621B61"/>
    <w:rsid w:val="00621F22"/>
    <w:rsid w:val="0062218A"/>
    <w:rsid w:val="006222DE"/>
    <w:rsid w:val="006223A0"/>
    <w:rsid w:val="0062243F"/>
    <w:rsid w:val="006229F5"/>
    <w:rsid w:val="00623441"/>
    <w:rsid w:val="00623662"/>
    <w:rsid w:val="0062378F"/>
    <w:rsid w:val="00623951"/>
    <w:rsid w:val="00623A76"/>
    <w:rsid w:val="00623CB1"/>
    <w:rsid w:val="00623E09"/>
    <w:rsid w:val="00623FA3"/>
    <w:rsid w:val="0062405B"/>
    <w:rsid w:val="006241CA"/>
    <w:rsid w:val="00624862"/>
    <w:rsid w:val="006248E2"/>
    <w:rsid w:val="006248EE"/>
    <w:rsid w:val="00624937"/>
    <w:rsid w:val="00624D78"/>
    <w:rsid w:val="0062519B"/>
    <w:rsid w:val="00625772"/>
    <w:rsid w:val="006259F9"/>
    <w:rsid w:val="00626374"/>
    <w:rsid w:val="00626CD0"/>
    <w:rsid w:val="00627297"/>
    <w:rsid w:val="006279F9"/>
    <w:rsid w:val="00627A84"/>
    <w:rsid w:val="00627E1B"/>
    <w:rsid w:val="00627F81"/>
    <w:rsid w:val="006301FD"/>
    <w:rsid w:val="00631402"/>
    <w:rsid w:val="00631ED1"/>
    <w:rsid w:val="00631F87"/>
    <w:rsid w:val="0063233A"/>
    <w:rsid w:val="006324A1"/>
    <w:rsid w:val="00632561"/>
    <w:rsid w:val="00632A78"/>
    <w:rsid w:val="00632E47"/>
    <w:rsid w:val="00632F0B"/>
    <w:rsid w:val="0063326C"/>
    <w:rsid w:val="006335B5"/>
    <w:rsid w:val="0063389C"/>
    <w:rsid w:val="00633B1E"/>
    <w:rsid w:val="00633BB7"/>
    <w:rsid w:val="00633BF9"/>
    <w:rsid w:val="0063432D"/>
    <w:rsid w:val="0063448A"/>
    <w:rsid w:val="0063460E"/>
    <w:rsid w:val="00634A17"/>
    <w:rsid w:val="00635EF7"/>
    <w:rsid w:val="00636606"/>
    <w:rsid w:val="00636984"/>
    <w:rsid w:val="00636D95"/>
    <w:rsid w:val="00637247"/>
    <w:rsid w:val="0063744B"/>
    <w:rsid w:val="00637B5B"/>
    <w:rsid w:val="006400F1"/>
    <w:rsid w:val="006403C9"/>
    <w:rsid w:val="0064069A"/>
    <w:rsid w:val="006406DC"/>
    <w:rsid w:val="00640813"/>
    <w:rsid w:val="006408EA"/>
    <w:rsid w:val="00640A86"/>
    <w:rsid w:val="00640C03"/>
    <w:rsid w:val="00640CD2"/>
    <w:rsid w:val="00641532"/>
    <w:rsid w:val="00641BE3"/>
    <w:rsid w:val="0064213D"/>
    <w:rsid w:val="006422E7"/>
    <w:rsid w:val="00642679"/>
    <w:rsid w:val="0064287A"/>
    <w:rsid w:val="00642B8B"/>
    <w:rsid w:val="00642CE7"/>
    <w:rsid w:val="00642D80"/>
    <w:rsid w:val="00642F88"/>
    <w:rsid w:val="006438E0"/>
    <w:rsid w:val="006439FC"/>
    <w:rsid w:val="00643D7A"/>
    <w:rsid w:val="00643E58"/>
    <w:rsid w:val="00643F17"/>
    <w:rsid w:val="0064477F"/>
    <w:rsid w:val="00644D86"/>
    <w:rsid w:val="00644DE2"/>
    <w:rsid w:val="00644E70"/>
    <w:rsid w:val="0064538E"/>
    <w:rsid w:val="0064552C"/>
    <w:rsid w:val="006455C4"/>
    <w:rsid w:val="00645634"/>
    <w:rsid w:val="0064565D"/>
    <w:rsid w:val="00645776"/>
    <w:rsid w:val="00645920"/>
    <w:rsid w:val="006459B9"/>
    <w:rsid w:val="00645A32"/>
    <w:rsid w:val="00645E67"/>
    <w:rsid w:val="00646591"/>
    <w:rsid w:val="0064663B"/>
    <w:rsid w:val="006474AC"/>
    <w:rsid w:val="006475E2"/>
    <w:rsid w:val="006475F4"/>
    <w:rsid w:val="00647808"/>
    <w:rsid w:val="006479C2"/>
    <w:rsid w:val="0065057C"/>
    <w:rsid w:val="00651446"/>
    <w:rsid w:val="00651EE3"/>
    <w:rsid w:val="00651F5A"/>
    <w:rsid w:val="00651F6D"/>
    <w:rsid w:val="006527CA"/>
    <w:rsid w:val="0065299E"/>
    <w:rsid w:val="00652A8E"/>
    <w:rsid w:val="00652DDD"/>
    <w:rsid w:val="006538CC"/>
    <w:rsid w:val="006538D2"/>
    <w:rsid w:val="00653CD5"/>
    <w:rsid w:val="006541DF"/>
    <w:rsid w:val="006545A8"/>
    <w:rsid w:val="00654973"/>
    <w:rsid w:val="00654DC7"/>
    <w:rsid w:val="00654E09"/>
    <w:rsid w:val="006552CD"/>
    <w:rsid w:val="00655C2E"/>
    <w:rsid w:val="00655C82"/>
    <w:rsid w:val="00655CA0"/>
    <w:rsid w:val="00656047"/>
    <w:rsid w:val="00656156"/>
    <w:rsid w:val="006561E8"/>
    <w:rsid w:val="0065673A"/>
    <w:rsid w:val="0065673C"/>
    <w:rsid w:val="00656921"/>
    <w:rsid w:val="00656937"/>
    <w:rsid w:val="00656958"/>
    <w:rsid w:val="00656D1E"/>
    <w:rsid w:val="00656EE3"/>
    <w:rsid w:val="00657335"/>
    <w:rsid w:val="006574C9"/>
    <w:rsid w:val="00657688"/>
    <w:rsid w:val="006576B6"/>
    <w:rsid w:val="0066015B"/>
    <w:rsid w:val="00660207"/>
    <w:rsid w:val="006605FE"/>
    <w:rsid w:val="0066071B"/>
    <w:rsid w:val="006608B6"/>
    <w:rsid w:val="00660B48"/>
    <w:rsid w:val="00660BBD"/>
    <w:rsid w:val="00661140"/>
    <w:rsid w:val="006615D8"/>
    <w:rsid w:val="00661DDC"/>
    <w:rsid w:val="00662DCA"/>
    <w:rsid w:val="00662FF3"/>
    <w:rsid w:val="00663E9A"/>
    <w:rsid w:val="00663FB4"/>
    <w:rsid w:val="00664BD6"/>
    <w:rsid w:val="00664D70"/>
    <w:rsid w:val="00664F35"/>
    <w:rsid w:val="00665119"/>
    <w:rsid w:val="00665702"/>
    <w:rsid w:val="00665B39"/>
    <w:rsid w:val="00666160"/>
    <w:rsid w:val="006661AE"/>
    <w:rsid w:val="00666642"/>
    <w:rsid w:val="00666A5A"/>
    <w:rsid w:val="00666BFC"/>
    <w:rsid w:val="00666D31"/>
    <w:rsid w:val="00667273"/>
    <w:rsid w:val="00667489"/>
    <w:rsid w:val="006674B7"/>
    <w:rsid w:val="00667786"/>
    <w:rsid w:val="00670697"/>
    <w:rsid w:val="00670DED"/>
    <w:rsid w:val="006710DA"/>
    <w:rsid w:val="0067188E"/>
    <w:rsid w:val="00671DBF"/>
    <w:rsid w:val="00672293"/>
    <w:rsid w:val="00672505"/>
    <w:rsid w:val="00672B81"/>
    <w:rsid w:val="00672F36"/>
    <w:rsid w:val="00673113"/>
    <w:rsid w:val="00673484"/>
    <w:rsid w:val="00673DD6"/>
    <w:rsid w:val="00674B6B"/>
    <w:rsid w:val="006755A5"/>
    <w:rsid w:val="006757F7"/>
    <w:rsid w:val="00675FC4"/>
    <w:rsid w:val="0067691B"/>
    <w:rsid w:val="00676B4B"/>
    <w:rsid w:val="00676FA5"/>
    <w:rsid w:val="006778D9"/>
    <w:rsid w:val="00677DB9"/>
    <w:rsid w:val="0068006D"/>
    <w:rsid w:val="006801A2"/>
    <w:rsid w:val="0068025B"/>
    <w:rsid w:val="0068030A"/>
    <w:rsid w:val="006805B4"/>
    <w:rsid w:val="0068078C"/>
    <w:rsid w:val="006807CC"/>
    <w:rsid w:val="00680B33"/>
    <w:rsid w:val="00680BA1"/>
    <w:rsid w:val="00680BC2"/>
    <w:rsid w:val="00680EC6"/>
    <w:rsid w:val="00681364"/>
    <w:rsid w:val="0068148F"/>
    <w:rsid w:val="00681635"/>
    <w:rsid w:val="00681ADB"/>
    <w:rsid w:val="00681EA3"/>
    <w:rsid w:val="00682493"/>
    <w:rsid w:val="006825FE"/>
    <w:rsid w:val="006827A6"/>
    <w:rsid w:val="00682B40"/>
    <w:rsid w:val="00682BBE"/>
    <w:rsid w:val="00682FA0"/>
    <w:rsid w:val="00682FC6"/>
    <w:rsid w:val="00682FF9"/>
    <w:rsid w:val="0068393D"/>
    <w:rsid w:val="0068396B"/>
    <w:rsid w:val="006839BA"/>
    <w:rsid w:val="00683EFF"/>
    <w:rsid w:val="00684153"/>
    <w:rsid w:val="00684A4F"/>
    <w:rsid w:val="00684D95"/>
    <w:rsid w:val="006853DC"/>
    <w:rsid w:val="0068549C"/>
    <w:rsid w:val="00685B29"/>
    <w:rsid w:val="0068647C"/>
    <w:rsid w:val="0068655D"/>
    <w:rsid w:val="006869D0"/>
    <w:rsid w:val="00686CB6"/>
    <w:rsid w:val="00687219"/>
    <w:rsid w:val="006874BE"/>
    <w:rsid w:val="006874D1"/>
    <w:rsid w:val="00687822"/>
    <w:rsid w:val="0068793D"/>
    <w:rsid w:val="00690C8A"/>
    <w:rsid w:val="00691048"/>
    <w:rsid w:val="00691487"/>
    <w:rsid w:val="00691BF7"/>
    <w:rsid w:val="00691C4E"/>
    <w:rsid w:val="006924C6"/>
    <w:rsid w:val="00692639"/>
    <w:rsid w:val="006927B8"/>
    <w:rsid w:val="00692A0F"/>
    <w:rsid w:val="00692BA5"/>
    <w:rsid w:val="00692CF5"/>
    <w:rsid w:val="0069318F"/>
    <w:rsid w:val="0069383F"/>
    <w:rsid w:val="00693D04"/>
    <w:rsid w:val="00693EF1"/>
    <w:rsid w:val="00694173"/>
    <w:rsid w:val="0069445B"/>
    <w:rsid w:val="0069458A"/>
    <w:rsid w:val="00694845"/>
    <w:rsid w:val="00694969"/>
    <w:rsid w:val="00694A3B"/>
    <w:rsid w:val="00694A51"/>
    <w:rsid w:val="00694CC3"/>
    <w:rsid w:val="00695BE5"/>
    <w:rsid w:val="00695C5C"/>
    <w:rsid w:val="0069675E"/>
    <w:rsid w:val="0069682C"/>
    <w:rsid w:val="00696949"/>
    <w:rsid w:val="00696C07"/>
    <w:rsid w:val="00696C86"/>
    <w:rsid w:val="00696FF3"/>
    <w:rsid w:val="00697054"/>
    <w:rsid w:val="00697174"/>
    <w:rsid w:val="00697ABF"/>
    <w:rsid w:val="00697BF4"/>
    <w:rsid w:val="00697C76"/>
    <w:rsid w:val="00697CA4"/>
    <w:rsid w:val="00697D43"/>
    <w:rsid w:val="006A0226"/>
    <w:rsid w:val="006A10E9"/>
    <w:rsid w:val="006A1437"/>
    <w:rsid w:val="006A165E"/>
    <w:rsid w:val="006A16D4"/>
    <w:rsid w:val="006A1817"/>
    <w:rsid w:val="006A183E"/>
    <w:rsid w:val="006A1B61"/>
    <w:rsid w:val="006A1E2F"/>
    <w:rsid w:val="006A277C"/>
    <w:rsid w:val="006A29CF"/>
    <w:rsid w:val="006A2AF7"/>
    <w:rsid w:val="006A3355"/>
    <w:rsid w:val="006A3378"/>
    <w:rsid w:val="006A35CA"/>
    <w:rsid w:val="006A3670"/>
    <w:rsid w:val="006A39E2"/>
    <w:rsid w:val="006A3AA6"/>
    <w:rsid w:val="006A3F3E"/>
    <w:rsid w:val="006A43B8"/>
    <w:rsid w:val="006A4770"/>
    <w:rsid w:val="006A4B8B"/>
    <w:rsid w:val="006A4C32"/>
    <w:rsid w:val="006A54A8"/>
    <w:rsid w:val="006A570A"/>
    <w:rsid w:val="006A5FE1"/>
    <w:rsid w:val="006A6107"/>
    <w:rsid w:val="006A616B"/>
    <w:rsid w:val="006A6485"/>
    <w:rsid w:val="006A65B2"/>
    <w:rsid w:val="006A6702"/>
    <w:rsid w:val="006A6C32"/>
    <w:rsid w:val="006A7AD4"/>
    <w:rsid w:val="006A7E66"/>
    <w:rsid w:val="006B02CA"/>
    <w:rsid w:val="006B030B"/>
    <w:rsid w:val="006B044C"/>
    <w:rsid w:val="006B0EBC"/>
    <w:rsid w:val="006B10A3"/>
    <w:rsid w:val="006B1681"/>
    <w:rsid w:val="006B18EF"/>
    <w:rsid w:val="006B236D"/>
    <w:rsid w:val="006B25D2"/>
    <w:rsid w:val="006B2A6D"/>
    <w:rsid w:val="006B2DE3"/>
    <w:rsid w:val="006B2E35"/>
    <w:rsid w:val="006B3006"/>
    <w:rsid w:val="006B305B"/>
    <w:rsid w:val="006B3567"/>
    <w:rsid w:val="006B3741"/>
    <w:rsid w:val="006B3A04"/>
    <w:rsid w:val="006B3C3A"/>
    <w:rsid w:val="006B3CB2"/>
    <w:rsid w:val="006B4110"/>
    <w:rsid w:val="006B43DC"/>
    <w:rsid w:val="006B4AB6"/>
    <w:rsid w:val="006B4D19"/>
    <w:rsid w:val="006B4E8B"/>
    <w:rsid w:val="006B5112"/>
    <w:rsid w:val="006B52A3"/>
    <w:rsid w:val="006B52B0"/>
    <w:rsid w:val="006B54D0"/>
    <w:rsid w:val="006B54DB"/>
    <w:rsid w:val="006B560C"/>
    <w:rsid w:val="006B5671"/>
    <w:rsid w:val="006B56CA"/>
    <w:rsid w:val="006B593D"/>
    <w:rsid w:val="006B5BBA"/>
    <w:rsid w:val="006B6157"/>
    <w:rsid w:val="006B61CA"/>
    <w:rsid w:val="006B64BB"/>
    <w:rsid w:val="006B6517"/>
    <w:rsid w:val="006B6830"/>
    <w:rsid w:val="006B68CB"/>
    <w:rsid w:val="006B6A45"/>
    <w:rsid w:val="006B6B3B"/>
    <w:rsid w:val="006B6E5C"/>
    <w:rsid w:val="006B71DC"/>
    <w:rsid w:val="006C016E"/>
    <w:rsid w:val="006C01C4"/>
    <w:rsid w:val="006C028E"/>
    <w:rsid w:val="006C08A6"/>
    <w:rsid w:val="006C091E"/>
    <w:rsid w:val="006C0F82"/>
    <w:rsid w:val="006C10D9"/>
    <w:rsid w:val="006C159D"/>
    <w:rsid w:val="006C15A2"/>
    <w:rsid w:val="006C17F0"/>
    <w:rsid w:val="006C1AD4"/>
    <w:rsid w:val="006C2021"/>
    <w:rsid w:val="006C21AC"/>
    <w:rsid w:val="006C2238"/>
    <w:rsid w:val="006C22A2"/>
    <w:rsid w:val="006C2732"/>
    <w:rsid w:val="006C2BC3"/>
    <w:rsid w:val="006C2CFC"/>
    <w:rsid w:val="006C2D97"/>
    <w:rsid w:val="006C3245"/>
    <w:rsid w:val="006C3D14"/>
    <w:rsid w:val="006C4A51"/>
    <w:rsid w:val="006C51DD"/>
    <w:rsid w:val="006C5359"/>
    <w:rsid w:val="006C5964"/>
    <w:rsid w:val="006C6A19"/>
    <w:rsid w:val="006C6AE1"/>
    <w:rsid w:val="006C76C3"/>
    <w:rsid w:val="006C77B1"/>
    <w:rsid w:val="006C7914"/>
    <w:rsid w:val="006C7C73"/>
    <w:rsid w:val="006D00EA"/>
    <w:rsid w:val="006D023C"/>
    <w:rsid w:val="006D0AAF"/>
    <w:rsid w:val="006D0E1D"/>
    <w:rsid w:val="006D0EA0"/>
    <w:rsid w:val="006D19E1"/>
    <w:rsid w:val="006D1BF9"/>
    <w:rsid w:val="006D1D58"/>
    <w:rsid w:val="006D1DE0"/>
    <w:rsid w:val="006D2336"/>
    <w:rsid w:val="006D2345"/>
    <w:rsid w:val="006D2581"/>
    <w:rsid w:val="006D27EB"/>
    <w:rsid w:val="006D2E0F"/>
    <w:rsid w:val="006D31BE"/>
    <w:rsid w:val="006D3A98"/>
    <w:rsid w:val="006D3B7A"/>
    <w:rsid w:val="006D3F20"/>
    <w:rsid w:val="006D4696"/>
    <w:rsid w:val="006D46B4"/>
    <w:rsid w:val="006D48FE"/>
    <w:rsid w:val="006D4A0D"/>
    <w:rsid w:val="006D4B7E"/>
    <w:rsid w:val="006D4E10"/>
    <w:rsid w:val="006D5423"/>
    <w:rsid w:val="006D5729"/>
    <w:rsid w:val="006D58C8"/>
    <w:rsid w:val="006D5F30"/>
    <w:rsid w:val="006D5F6C"/>
    <w:rsid w:val="006D623C"/>
    <w:rsid w:val="006D6661"/>
    <w:rsid w:val="006D6676"/>
    <w:rsid w:val="006D67EC"/>
    <w:rsid w:val="006D6EB6"/>
    <w:rsid w:val="006D7884"/>
    <w:rsid w:val="006E0642"/>
    <w:rsid w:val="006E0D67"/>
    <w:rsid w:val="006E10F0"/>
    <w:rsid w:val="006E2ACE"/>
    <w:rsid w:val="006E2F42"/>
    <w:rsid w:val="006E2F6C"/>
    <w:rsid w:val="006E30D6"/>
    <w:rsid w:val="006E32A6"/>
    <w:rsid w:val="006E3502"/>
    <w:rsid w:val="006E3531"/>
    <w:rsid w:val="006E37F1"/>
    <w:rsid w:val="006E4310"/>
    <w:rsid w:val="006E4418"/>
    <w:rsid w:val="006E458F"/>
    <w:rsid w:val="006E4871"/>
    <w:rsid w:val="006E5356"/>
    <w:rsid w:val="006E5EED"/>
    <w:rsid w:val="006E64FD"/>
    <w:rsid w:val="006E65C4"/>
    <w:rsid w:val="006E66FD"/>
    <w:rsid w:val="006E6755"/>
    <w:rsid w:val="006E6843"/>
    <w:rsid w:val="006E6D41"/>
    <w:rsid w:val="006E6D4F"/>
    <w:rsid w:val="006E71B5"/>
    <w:rsid w:val="006E77D8"/>
    <w:rsid w:val="006E7822"/>
    <w:rsid w:val="006F01F2"/>
    <w:rsid w:val="006F04A8"/>
    <w:rsid w:val="006F0F2F"/>
    <w:rsid w:val="006F12BF"/>
    <w:rsid w:val="006F14DF"/>
    <w:rsid w:val="006F1A36"/>
    <w:rsid w:val="006F2A77"/>
    <w:rsid w:val="006F2B41"/>
    <w:rsid w:val="006F2CA2"/>
    <w:rsid w:val="006F2DB6"/>
    <w:rsid w:val="006F3069"/>
    <w:rsid w:val="006F369A"/>
    <w:rsid w:val="006F3853"/>
    <w:rsid w:val="006F38F1"/>
    <w:rsid w:val="006F3A38"/>
    <w:rsid w:val="006F4316"/>
    <w:rsid w:val="006F4AAF"/>
    <w:rsid w:val="006F4B55"/>
    <w:rsid w:val="006F505F"/>
    <w:rsid w:val="006F5877"/>
    <w:rsid w:val="006F5F0C"/>
    <w:rsid w:val="006F5FA4"/>
    <w:rsid w:val="006F603C"/>
    <w:rsid w:val="006F6530"/>
    <w:rsid w:val="006F66BA"/>
    <w:rsid w:val="006F6AE0"/>
    <w:rsid w:val="006F6C8D"/>
    <w:rsid w:val="006F6FF1"/>
    <w:rsid w:val="006F71FA"/>
    <w:rsid w:val="006F7337"/>
    <w:rsid w:val="006F7782"/>
    <w:rsid w:val="006F7885"/>
    <w:rsid w:val="00700273"/>
    <w:rsid w:val="007003C0"/>
    <w:rsid w:val="00700401"/>
    <w:rsid w:val="007008D2"/>
    <w:rsid w:val="0070142C"/>
    <w:rsid w:val="0070177C"/>
    <w:rsid w:val="00701B19"/>
    <w:rsid w:val="00701C0D"/>
    <w:rsid w:val="00702201"/>
    <w:rsid w:val="0070223F"/>
    <w:rsid w:val="0070267C"/>
    <w:rsid w:val="00702849"/>
    <w:rsid w:val="00702D2A"/>
    <w:rsid w:val="00702E05"/>
    <w:rsid w:val="00703A80"/>
    <w:rsid w:val="00704051"/>
    <w:rsid w:val="0070407E"/>
    <w:rsid w:val="007040D9"/>
    <w:rsid w:val="00704232"/>
    <w:rsid w:val="00704343"/>
    <w:rsid w:val="007043AC"/>
    <w:rsid w:val="007044BA"/>
    <w:rsid w:val="00704931"/>
    <w:rsid w:val="00704C6D"/>
    <w:rsid w:val="00704CEA"/>
    <w:rsid w:val="007054FD"/>
    <w:rsid w:val="007057A6"/>
    <w:rsid w:val="007058B4"/>
    <w:rsid w:val="00705BAA"/>
    <w:rsid w:val="0070603E"/>
    <w:rsid w:val="00706077"/>
    <w:rsid w:val="007061D9"/>
    <w:rsid w:val="0070623E"/>
    <w:rsid w:val="00706680"/>
    <w:rsid w:val="0070680C"/>
    <w:rsid w:val="0070697C"/>
    <w:rsid w:val="007069F4"/>
    <w:rsid w:val="00707015"/>
    <w:rsid w:val="007073D9"/>
    <w:rsid w:val="007076A2"/>
    <w:rsid w:val="00707B22"/>
    <w:rsid w:val="00707DDF"/>
    <w:rsid w:val="00707E4A"/>
    <w:rsid w:val="00710600"/>
    <w:rsid w:val="00710878"/>
    <w:rsid w:val="0071093E"/>
    <w:rsid w:val="00710A0A"/>
    <w:rsid w:val="00710BFF"/>
    <w:rsid w:val="00710D6E"/>
    <w:rsid w:val="00710D92"/>
    <w:rsid w:val="00710EEA"/>
    <w:rsid w:val="00711173"/>
    <w:rsid w:val="0071166A"/>
    <w:rsid w:val="007116F0"/>
    <w:rsid w:val="00711809"/>
    <w:rsid w:val="00711A10"/>
    <w:rsid w:val="00711A82"/>
    <w:rsid w:val="007123A1"/>
    <w:rsid w:val="00712A38"/>
    <w:rsid w:val="00712C10"/>
    <w:rsid w:val="00713222"/>
    <w:rsid w:val="00713376"/>
    <w:rsid w:val="00713462"/>
    <w:rsid w:val="007138CA"/>
    <w:rsid w:val="00713B52"/>
    <w:rsid w:val="00713C66"/>
    <w:rsid w:val="00713D79"/>
    <w:rsid w:val="00713D7F"/>
    <w:rsid w:val="00713E9A"/>
    <w:rsid w:val="00714472"/>
    <w:rsid w:val="007146CB"/>
    <w:rsid w:val="00714AC0"/>
    <w:rsid w:val="0071529B"/>
    <w:rsid w:val="00715591"/>
    <w:rsid w:val="00715714"/>
    <w:rsid w:val="00715AEA"/>
    <w:rsid w:val="00716718"/>
    <w:rsid w:val="00716839"/>
    <w:rsid w:val="00716855"/>
    <w:rsid w:val="00717408"/>
    <w:rsid w:val="0071760F"/>
    <w:rsid w:val="00717B98"/>
    <w:rsid w:val="00720421"/>
    <w:rsid w:val="007208CC"/>
    <w:rsid w:val="007209D6"/>
    <w:rsid w:val="00720D46"/>
    <w:rsid w:val="0072154E"/>
    <w:rsid w:val="00721685"/>
    <w:rsid w:val="00721E1F"/>
    <w:rsid w:val="00721F36"/>
    <w:rsid w:val="007226F3"/>
    <w:rsid w:val="00722939"/>
    <w:rsid w:val="00722B20"/>
    <w:rsid w:val="00722C63"/>
    <w:rsid w:val="00722EB5"/>
    <w:rsid w:val="007230B4"/>
    <w:rsid w:val="00723497"/>
    <w:rsid w:val="00723641"/>
    <w:rsid w:val="00723752"/>
    <w:rsid w:val="00723B42"/>
    <w:rsid w:val="00723EC7"/>
    <w:rsid w:val="00723FCB"/>
    <w:rsid w:val="00724585"/>
    <w:rsid w:val="0072474B"/>
    <w:rsid w:val="007249BA"/>
    <w:rsid w:val="00724BDF"/>
    <w:rsid w:val="00724C26"/>
    <w:rsid w:val="00724E72"/>
    <w:rsid w:val="00725573"/>
    <w:rsid w:val="007259E8"/>
    <w:rsid w:val="00725E42"/>
    <w:rsid w:val="0072615C"/>
    <w:rsid w:val="0072639A"/>
    <w:rsid w:val="007268A1"/>
    <w:rsid w:val="00726AA9"/>
    <w:rsid w:val="00726BF0"/>
    <w:rsid w:val="00726CDC"/>
    <w:rsid w:val="0072701E"/>
    <w:rsid w:val="007271F0"/>
    <w:rsid w:val="00727330"/>
    <w:rsid w:val="00727564"/>
    <w:rsid w:val="00727AA1"/>
    <w:rsid w:val="00727CFC"/>
    <w:rsid w:val="00727D40"/>
    <w:rsid w:val="00727F73"/>
    <w:rsid w:val="00730E20"/>
    <w:rsid w:val="0073103E"/>
    <w:rsid w:val="00731444"/>
    <w:rsid w:val="00731BE0"/>
    <w:rsid w:val="0073248A"/>
    <w:rsid w:val="007324E4"/>
    <w:rsid w:val="00732620"/>
    <w:rsid w:val="0073264E"/>
    <w:rsid w:val="00732A89"/>
    <w:rsid w:val="00732EDE"/>
    <w:rsid w:val="007332F1"/>
    <w:rsid w:val="00733348"/>
    <w:rsid w:val="007336DC"/>
    <w:rsid w:val="00733713"/>
    <w:rsid w:val="00733AA6"/>
    <w:rsid w:val="00733FFE"/>
    <w:rsid w:val="0073410E"/>
    <w:rsid w:val="007346D2"/>
    <w:rsid w:val="00734DF6"/>
    <w:rsid w:val="00734F45"/>
    <w:rsid w:val="00735664"/>
    <w:rsid w:val="007362C0"/>
    <w:rsid w:val="0073641F"/>
    <w:rsid w:val="00736426"/>
    <w:rsid w:val="00736511"/>
    <w:rsid w:val="00736DA8"/>
    <w:rsid w:val="0073733D"/>
    <w:rsid w:val="00737B1D"/>
    <w:rsid w:val="00737DC3"/>
    <w:rsid w:val="00737E8D"/>
    <w:rsid w:val="00740082"/>
    <w:rsid w:val="00740299"/>
    <w:rsid w:val="007406B3"/>
    <w:rsid w:val="007408F4"/>
    <w:rsid w:val="00740DB3"/>
    <w:rsid w:val="00741225"/>
    <w:rsid w:val="007414FE"/>
    <w:rsid w:val="00741505"/>
    <w:rsid w:val="007415E9"/>
    <w:rsid w:val="0074180C"/>
    <w:rsid w:val="00741A68"/>
    <w:rsid w:val="00742024"/>
    <w:rsid w:val="00742616"/>
    <w:rsid w:val="00742653"/>
    <w:rsid w:val="007427FE"/>
    <w:rsid w:val="00742A9A"/>
    <w:rsid w:val="00743110"/>
    <w:rsid w:val="0074356D"/>
    <w:rsid w:val="0074385C"/>
    <w:rsid w:val="007438BE"/>
    <w:rsid w:val="00743C35"/>
    <w:rsid w:val="00743E41"/>
    <w:rsid w:val="00743FC4"/>
    <w:rsid w:val="0074427F"/>
    <w:rsid w:val="007442C8"/>
    <w:rsid w:val="0074463A"/>
    <w:rsid w:val="007446C5"/>
    <w:rsid w:val="00744C68"/>
    <w:rsid w:val="00745498"/>
    <w:rsid w:val="0074549C"/>
    <w:rsid w:val="0074558C"/>
    <w:rsid w:val="007459AD"/>
    <w:rsid w:val="00745A42"/>
    <w:rsid w:val="007460CF"/>
    <w:rsid w:val="00746674"/>
    <w:rsid w:val="007466D4"/>
    <w:rsid w:val="0074674C"/>
    <w:rsid w:val="007469D5"/>
    <w:rsid w:val="00746C25"/>
    <w:rsid w:val="00746CBD"/>
    <w:rsid w:val="0074779F"/>
    <w:rsid w:val="0075012C"/>
    <w:rsid w:val="007503FA"/>
    <w:rsid w:val="007504BD"/>
    <w:rsid w:val="0075071E"/>
    <w:rsid w:val="00750A5A"/>
    <w:rsid w:val="00751B02"/>
    <w:rsid w:val="00751E27"/>
    <w:rsid w:val="00752056"/>
    <w:rsid w:val="00752106"/>
    <w:rsid w:val="007522F9"/>
    <w:rsid w:val="0075251F"/>
    <w:rsid w:val="0075257C"/>
    <w:rsid w:val="0075299B"/>
    <w:rsid w:val="00752A94"/>
    <w:rsid w:val="00752C26"/>
    <w:rsid w:val="0075314D"/>
    <w:rsid w:val="007535DA"/>
    <w:rsid w:val="007536F0"/>
    <w:rsid w:val="007539D1"/>
    <w:rsid w:val="00753A34"/>
    <w:rsid w:val="007540AF"/>
    <w:rsid w:val="007545C3"/>
    <w:rsid w:val="0075483D"/>
    <w:rsid w:val="00754E0A"/>
    <w:rsid w:val="00755090"/>
    <w:rsid w:val="0075533A"/>
    <w:rsid w:val="007555FC"/>
    <w:rsid w:val="007556B1"/>
    <w:rsid w:val="00755758"/>
    <w:rsid w:val="0075591E"/>
    <w:rsid w:val="007561B6"/>
    <w:rsid w:val="007561D9"/>
    <w:rsid w:val="007574B4"/>
    <w:rsid w:val="00757BC6"/>
    <w:rsid w:val="00757EA6"/>
    <w:rsid w:val="0076005D"/>
    <w:rsid w:val="007602AE"/>
    <w:rsid w:val="007605ED"/>
    <w:rsid w:val="00760B98"/>
    <w:rsid w:val="00760E71"/>
    <w:rsid w:val="00761004"/>
    <w:rsid w:val="0076120F"/>
    <w:rsid w:val="00761422"/>
    <w:rsid w:val="00761BF0"/>
    <w:rsid w:val="007622CE"/>
    <w:rsid w:val="00762584"/>
    <w:rsid w:val="007628DA"/>
    <w:rsid w:val="007628FF"/>
    <w:rsid w:val="007635D8"/>
    <w:rsid w:val="00763630"/>
    <w:rsid w:val="0076398A"/>
    <w:rsid w:val="00763BB6"/>
    <w:rsid w:val="00763C4F"/>
    <w:rsid w:val="00763FE3"/>
    <w:rsid w:val="0076456E"/>
    <w:rsid w:val="0076494D"/>
    <w:rsid w:val="00764D2A"/>
    <w:rsid w:val="0076543D"/>
    <w:rsid w:val="0076585B"/>
    <w:rsid w:val="007658F8"/>
    <w:rsid w:val="00765AD9"/>
    <w:rsid w:val="00765B20"/>
    <w:rsid w:val="0076620F"/>
    <w:rsid w:val="007665AC"/>
    <w:rsid w:val="00766756"/>
    <w:rsid w:val="00766DFE"/>
    <w:rsid w:val="00766F5A"/>
    <w:rsid w:val="00767097"/>
    <w:rsid w:val="007672F6"/>
    <w:rsid w:val="007673C4"/>
    <w:rsid w:val="0076763B"/>
    <w:rsid w:val="00767647"/>
    <w:rsid w:val="007702FE"/>
    <w:rsid w:val="0077079E"/>
    <w:rsid w:val="007709F4"/>
    <w:rsid w:val="00770A0E"/>
    <w:rsid w:val="00770BB8"/>
    <w:rsid w:val="00770E51"/>
    <w:rsid w:val="00771039"/>
    <w:rsid w:val="0077118E"/>
    <w:rsid w:val="007713E1"/>
    <w:rsid w:val="007715EC"/>
    <w:rsid w:val="0077169D"/>
    <w:rsid w:val="00771715"/>
    <w:rsid w:val="00771E55"/>
    <w:rsid w:val="007720CD"/>
    <w:rsid w:val="007721E5"/>
    <w:rsid w:val="007724CC"/>
    <w:rsid w:val="007728C3"/>
    <w:rsid w:val="00772FB0"/>
    <w:rsid w:val="00773334"/>
    <w:rsid w:val="00773686"/>
    <w:rsid w:val="00773A00"/>
    <w:rsid w:val="00774407"/>
    <w:rsid w:val="0077464D"/>
    <w:rsid w:val="00774ABA"/>
    <w:rsid w:val="0077538A"/>
    <w:rsid w:val="007757DB"/>
    <w:rsid w:val="00775BDF"/>
    <w:rsid w:val="00775C29"/>
    <w:rsid w:val="00775EA3"/>
    <w:rsid w:val="007761DC"/>
    <w:rsid w:val="007762CF"/>
    <w:rsid w:val="007762DF"/>
    <w:rsid w:val="00776FE7"/>
    <w:rsid w:val="007771D1"/>
    <w:rsid w:val="00777C04"/>
    <w:rsid w:val="00780345"/>
    <w:rsid w:val="00780B3F"/>
    <w:rsid w:val="00780CE2"/>
    <w:rsid w:val="00780CEB"/>
    <w:rsid w:val="0078189C"/>
    <w:rsid w:val="007818AD"/>
    <w:rsid w:val="00781A99"/>
    <w:rsid w:val="007823D0"/>
    <w:rsid w:val="007824CC"/>
    <w:rsid w:val="007824E6"/>
    <w:rsid w:val="00782B4D"/>
    <w:rsid w:val="00783B4C"/>
    <w:rsid w:val="00783C2D"/>
    <w:rsid w:val="00783DFE"/>
    <w:rsid w:val="00783E33"/>
    <w:rsid w:val="007841DC"/>
    <w:rsid w:val="00784B67"/>
    <w:rsid w:val="00784D1F"/>
    <w:rsid w:val="00784F0E"/>
    <w:rsid w:val="00785224"/>
    <w:rsid w:val="0078522F"/>
    <w:rsid w:val="0078533C"/>
    <w:rsid w:val="0078591A"/>
    <w:rsid w:val="00785970"/>
    <w:rsid w:val="00785C0A"/>
    <w:rsid w:val="00785E91"/>
    <w:rsid w:val="00785EC2"/>
    <w:rsid w:val="00785F8A"/>
    <w:rsid w:val="007864B3"/>
    <w:rsid w:val="00786A63"/>
    <w:rsid w:val="00786B25"/>
    <w:rsid w:val="00786C26"/>
    <w:rsid w:val="00786C72"/>
    <w:rsid w:val="00786E98"/>
    <w:rsid w:val="00787811"/>
    <w:rsid w:val="00787EEC"/>
    <w:rsid w:val="00790066"/>
    <w:rsid w:val="0079032B"/>
    <w:rsid w:val="007903F6"/>
    <w:rsid w:val="0079045E"/>
    <w:rsid w:val="007905F6"/>
    <w:rsid w:val="007907DF"/>
    <w:rsid w:val="00790EAE"/>
    <w:rsid w:val="007911E0"/>
    <w:rsid w:val="0079151C"/>
    <w:rsid w:val="007917A7"/>
    <w:rsid w:val="00791CC0"/>
    <w:rsid w:val="00791FD0"/>
    <w:rsid w:val="007921BA"/>
    <w:rsid w:val="00793250"/>
    <w:rsid w:val="007936A0"/>
    <w:rsid w:val="00793D46"/>
    <w:rsid w:val="00793ECE"/>
    <w:rsid w:val="0079413C"/>
    <w:rsid w:val="00794314"/>
    <w:rsid w:val="00794396"/>
    <w:rsid w:val="00794598"/>
    <w:rsid w:val="00794E91"/>
    <w:rsid w:val="007953F6"/>
    <w:rsid w:val="00795C7D"/>
    <w:rsid w:val="00795D6B"/>
    <w:rsid w:val="00795D9C"/>
    <w:rsid w:val="007962C3"/>
    <w:rsid w:val="00796400"/>
    <w:rsid w:val="00796584"/>
    <w:rsid w:val="0079680B"/>
    <w:rsid w:val="00796BE5"/>
    <w:rsid w:val="00796CC9"/>
    <w:rsid w:val="007970A4"/>
    <w:rsid w:val="0079727C"/>
    <w:rsid w:val="007975AE"/>
    <w:rsid w:val="00797622"/>
    <w:rsid w:val="007977E3"/>
    <w:rsid w:val="00797D88"/>
    <w:rsid w:val="007A0024"/>
    <w:rsid w:val="007A0BD5"/>
    <w:rsid w:val="007A115A"/>
    <w:rsid w:val="007A1334"/>
    <w:rsid w:val="007A168D"/>
    <w:rsid w:val="007A17B5"/>
    <w:rsid w:val="007A1B49"/>
    <w:rsid w:val="007A1E25"/>
    <w:rsid w:val="007A2886"/>
    <w:rsid w:val="007A290F"/>
    <w:rsid w:val="007A2C2B"/>
    <w:rsid w:val="007A2E26"/>
    <w:rsid w:val="007A2FF4"/>
    <w:rsid w:val="007A324C"/>
    <w:rsid w:val="007A341B"/>
    <w:rsid w:val="007A3541"/>
    <w:rsid w:val="007A35C5"/>
    <w:rsid w:val="007A3853"/>
    <w:rsid w:val="007A3916"/>
    <w:rsid w:val="007A3C27"/>
    <w:rsid w:val="007A3CD3"/>
    <w:rsid w:val="007A4239"/>
    <w:rsid w:val="007A4644"/>
    <w:rsid w:val="007A4AF3"/>
    <w:rsid w:val="007A4B0E"/>
    <w:rsid w:val="007A53E0"/>
    <w:rsid w:val="007A5A15"/>
    <w:rsid w:val="007A5AF7"/>
    <w:rsid w:val="007A5C0E"/>
    <w:rsid w:val="007A618F"/>
    <w:rsid w:val="007A65DF"/>
    <w:rsid w:val="007A68DA"/>
    <w:rsid w:val="007A6AF8"/>
    <w:rsid w:val="007A76B8"/>
    <w:rsid w:val="007A7BFE"/>
    <w:rsid w:val="007B0241"/>
    <w:rsid w:val="007B063C"/>
    <w:rsid w:val="007B09CF"/>
    <w:rsid w:val="007B0C56"/>
    <w:rsid w:val="007B0E03"/>
    <w:rsid w:val="007B0F53"/>
    <w:rsid w:val="007B10D9"/>
    <w:rsid w:val="007B1312"/>
    <w:rsid w:val="007B1417"/>
    <w:rsid w:val="007B16F9"/>
    <w:rsid w:val="007B1FC7"/>
    <w:rsid w:val="007B2018"/>
    <w:rsid w:val="007B2539"/>
    <w:rsid w:val="007B27DE"/>
    <w:rsid w:val="007B2C90"/>
    <w:rsid w:val="007B318D"/>
    <w:rsid w:val="007B32FA"/>
    <w:rsid w:val="007B376F"/>
    <w:rsid w:val="007B4145"/>
    <w:rsid w:val="007B41FA"/>
    <w:rsid w:val="007B4E5C"/>
    <w:rsid w:val="007B4FA6"/>
    <w:rsid w:val="007B51AE"/>
    <w:rsid w:val="007B5311"/>
    <w:rsid w:val="007B54C3"/>
    <w:rsid w:val="007B55C7"/>
    <w:rsid w:val="007B5867"/>
    <w:rsid w:val="007B594B"/>
    <w:rsid w:val="007B59CB"/>
    <w:rsid w:val="007B5A37"/>
    <w:rsid w:val="007B5BA4"/>
    <w:rsid w:val="007B5C59"/>
    <w:rsid w:val="007B5E81"/>
    <w:rsid w:val="007B70B2"/>
    <w:rsid w:val="007B7888"/>
    <w:rsid w:val="007B7C0A"/>
    <w:rsid w:val="007B7EAE"/>
    <w:rsid w:val="007C04B4"/>
    <w:rsid w:val="007C0C17"/>
    <w:rsid w:val="007C0C90"/>
    <w:rsid w:val="007C0CB2"/>
    <w:rsid w:val="007C18E4"/>
    <w:rsid w:val="007C1B56"/>
    <w:rsid w:val="007C1C4F"/>
    <w:rsid w:val="007C1CD9"/>
    <w:rsid w:val="007C203A"/>
    <w:rsid w:val="007C216A"/>
    <w:rsid w:val="007C2186"/>
    <w:rsid w:val="007C248F"/>
    <w:rsid w:val="007C249C"/>
    <w:rsid w:val="007C2FD4"/>
    <w:rsid w:val="007C332E"/>
    <w:rsid w:val="007C37D9"/>
    <w:rsid w:val="007C3BC4"/>
    <w:rsid w:val="007C3C2D"/>
    <w:rsid w:val="007C4098"/>
    <w:rsid w:val="007C4C5D"/>
    <w:rsid w:val="007C535A"/>
    <w:rsid w:val="007C5F56"/>
    <w:rsid w:val="007C5FBE"/>
    <w:rsid w:val="007C67FB"/>
    <w:rsid w:val="007C68AB"/>
    <w:rsid w:val="007C6ECE"/>
    <w:rsid w:val="007C6EE8"/>
    <w:rsid w:val="007C7016"/>
    <w:rsid w:val="007C734F"/>
    <w:rsid w:val="007C73E3"/>
    <w:rsid w:val="007C782A"/>
    <w:rsid w:val="007C7B0A"/>
    <w:rsid w:val="007C7E56"/>
    <w:rsid w:val="007C7F32"/>
    <w:rsid w:val="007D00D9"/>
    <w:rsid w:val="007D0154"/>
    <w:rsid w:val="007D0455"/>
    <w:rsid w:val="007D0C88"/>
    <w:rsid w:val="007D1073"/>
    <w:rsid w:val="007D187E"/>
    <w:rsid w:val="007D1AFA"/>
    <w:rsid w:val="007D1BF9"/>
    <w:rsid w:val="007D1F53"/>
    <w:rsid w:val="007D2658"/>
    <w:rsid w:val="007D2B45"/>
    <w:rsid w:val="007D31A2"/>
    <w:rsid w:val="007D328D"/>
    <w:rsid w:val="007D32DE"/>
    <w:rsid w:val="007D3752"/>
    <w:rsid w:val="007D3F7B"/>
    <w:rsid w:val="007D437F"/>
    <w:rsid w:val="007D4554"/>
    <w:rsid w:val="007D47C2"/>
    <w:rsid w:val="007D52B5"/>
    <w:rsid w:val="007D53C3"/>
    <w:rsid w:val="007D55B3"/>
    <w:rsid w:val="007D5960"/>
    <w:rsid w:val="007D5D53"/>
    <w:rsid w:val="007D6552"/>
    <w:rsid w:val="007D65AC"/>
    <w:rsid w:val="007D69B0"/>
    <w:rsid w:val="007D6DBD"/>
    <w:rsid w:val="007D7313"/>
    <w:rsid w:val="007D7B79"/>
    <w:rsid w:val="007D7DED"/>
    <w:rsid w:val="007E0069"/>
    <w:rsid w:val="007E01B5"/>
    <w:rsid w:val="007E08C9"/>
    <w:rsid w:val="007E094A"/>
    <w:rsid w:val="007E0A97"/>
    <w:rsid w:val="007E0D9F"/>
    <w:rsid w:val="007E10C4"/>
    <w:rsid w:val="007E116C"/>
    <w:rsid w:val="007E189C"/>
    <w:rsid w:val="007E190F"/>
    <w:rsid w:val="007E1DB2"/>
    <w:rsid w:val="007E2253"/>
    <w:rsid w:val="007E2522"/>
    <w:rsid w:val="007E285E"/>
    <w:rsid w:val="007E3610"/>
    <w:rsid w:val="007E36BE"/>
    <w:rsid w:val="007E398E"/>
    <w:rsid w:val="007E39FE"/>
    <w:rsid w:val="007E3F1D"/>
    <w:rsid w:val="007E3F26"/>
    <w:rsid w:val="007E4881"/>
    <w:rsid w:val="007E50E3"/>
    <w:rsid w:val="007E50F6"/>
    <w:rsid w:val="007E54E5"/>
    <w:rsid w:val="007E5684"/>
    <w:rsid w:val="007E6296"/>
    <w:rsid w:val="007E66D9"/>
    <w:rsid w:val="007E6797"/>
    <w:rsid w:val="007E68FD"/>
    <w:rsid w:val="007E708F"/>
    <w:rsid w:val="007E7358"/>
    <w:rsid w:val="007E7425"/>
    <w:rsid w:val="007E76DD"/>
    <w:rsid w:val="007E7ACC"/>
    <w:rsid w:val="007E7AF8"/>
    <w:rsid w:val="007E7F73"/>
    <w:rsid w:val="007F0014"/>
    <w:rsid w:val="007F02B0"/>
    <w:rsid w:val="007F0670"/>
    <w:rsid w:val="007F09EA"/>
    <w:rsid w:val="007F10CB"/>
    <w:rsid w:val="007F143B"/>
    <w:rsid w:val="007F1962"/>
    <w:rsid w:val="007F21AE"/>
    <w:rsid w:val="007F21DD"/>
    <w:rsid w:val="007F26E7"/>
    <w:rsid w:val="007F2A7E"/>
    <w:rsid w:val="007F2A84"/>
    <w:rsid w:val="007F2E25"/>
    <w:rsid w:val="007F32D4"/>
    <w:rsid w:val="007F363D"/>
    <w:rsid w:val="007F367A"/>
    <w:rsid w:val="007F3FB5"/>
    <w:rsid w:val="007F4044"/>
    <w:rsid w:val="007F463A"/>
    <w:rsid w:val="007F4C63"/>
    <w:rsid w:val="007F55DC"/>
    <w:rsid w:val="007F5B66"/>
    <w:rsid w:val="007F5F9D"/>
    <w:rsid w:val="007F60E0"/>
    <w:rsid w:val="007F6244"/>
    <w:rsid w:val="007F676C"/>
    <w:rsid w:val="007F6963"/>
    <w:rsid w:val="007F7141"/>
    <w:rsid w:val="007F72D8"/>
    <w:rsid w:val="007F73CC"/>
    <w:rsid w:val="007F7A2A"/>
    <w:rsid w:val="007F7A54"/>
    <w:rsid w:val="007F7EAB"/>
    <w:rsid w:val="0080006C"/>
    <w:rsid w:val="008002D0"/>
    <w:rsid w:val="00800370"/>
    <w:rsid w:val="00800675"/>
    <w:rsid w:val="00800956"/>
    <w:rsid w:val="00800D75"/>
    <w:rsid w:val="00801117"/>
    <w:rsid w:val="008011CE"/>
    <w:rsid w:val="00801333"/>
    <w:rsid w:val="00801545"/>
    <w:rsid w:val="00801816"/>
    <w:rsid w:val="008018DD"/>
    <w:rsid w:val="00802A0F"/>
    <w:rsid w:val="00802DAB"/>
    <w:rsid w:val="00802E05"/>
    <w:rsid w:val="00802E14"/>
    <w:rsid w:val="00803A53"/>
    <w:rsid w:val="008040BB"/>
    <w:rsid w:val="00804634"/>
    <w:rsid w:val="0080480F"/>
    <w:rsid w:val="00804946"/>
    <w:rsid w:val="00805060"/>
    <w:rsid w:val="008054A7"/>
    <w:rsid w:val="0080582B"/>
    <w:rsid w:val="00805BCE"/>
    <w:rsid w:val="00805D03"/>
    <w:rsid w:val="0080607F"/>
    <w:rsid w:val="008061B2"/>
    <w:rsid w:val="00806329"/>
    <w:rsid w:val="00806A66"/>
    <w:rsid w:val="00806D19"/>
    <w:rsid w:val="00807459"/>
    <w:rsid w:val="00807B32"/>
    <w:rsid w:val="00807C6B"/>
    <w:rsid w:val="0081065D"/>
    <w:rsid w:val="00811641"/>
    <w:rsid w:val="00811675"/>
    <w:rsid w:val="0081190F"/>
    <w:rsid w:val="00811BE6"/>
    <w:rsid w:val="00811C81"/>
    <w:rsid w:val="008124A8"/>
    <w:rsid w:val="0081292F"/>
    <w:rsid w:val="00812B7B"/>
    <w:rsid w:val="00812CCB"/>
    <w:rsid w:val="00813641"/>
    <w:rsid w:val="00813D63"/>
    <w:rsid w:val="0081479C"/>
    <w:rsid w:val="008147A5"/>
    <w:rsid w:val="00814AA1"/>
    <w:rsid w:val="00814D3F"/>
    <w:rsid w:val="00814D8E"/>
    <w:rsid w:val="0081525B"/>
    <w:rsid w:val="00815480"/>
    <w:rsid w:val="00815CC8"/>
    <w:rsid w:val="00815D52"/>
    <w:rsid w:val="00817C5B"/>
    <w:rsid w:val="00817E90"/>
    <w:rsid w:val="00820C99"/>
    <w:rsid w:val="00820D2B"/>
    <w:rsid w:val="00820DDE"/>
    <w:rsid w:val="0082125B"/>
    <w:rsid w:val="00821284"/>
    <w:rsid w:val="008212E0"/>
    <w:rsid w:val="00821941"/>
    <w:rsid w:val="00821EF1"/>
    <w:rsid w:val="00822377"/>
    <w:rsid w:val="00822B9F"/>
    <w:rsid w:val="00822E85"/>
    <w:rsid w:val="00823872"/>
    <w:rsid w:val="00823E60"/>
    <w:rsid w:val="0082435F"/>
    <w:rsid w:val="008245F3"/>
    <w:rsid w:val="00824FB8"/>
    <w:rsid w:val="00825598"/>
    <w:rsid w:val="00826C8D"/>
    <w:rsid w:val="00826DF2"/>
    <w:rsid w:val="0082749B"/>
    <w:rsid w:val="00827ADD"/>
    <w:rsid w:val="00827B13"/>
    <w:rsid w:val="008305F9"/>
    <w:rsid w:val="00830C85"/>
    <w:rsid w:val="00830EAD"/>
    <w:rsid w:val="00831057"/>
    <w:rsid w:val="008318C9"/>
    <w:rsid w:val="00831AA5"/>
    <w:rsid w:val="008321B8"/>
    <w:rsid w:val="008325ED"/>
    <w:rsid w:val="00832C31"/>
    <w:rsid w:val="00832D65"/>
    <w:rsid w:val="00832D7E"/>
    <w:rsid w:val="00833180"/>
    <w:rsid w:val="00833688"/>
    <w:rsid w:val="00833A46"/>
    <w:rsid w:val="00834038"/>
    <w:rsid w:val="00834099"/>
    <w:rsid w:val="0083480C"/>
    <w:rsid w:val="008349C8"/>
    <w:rsid w:val="008349D1"/>
    <w:rsid w:val="00834E47"/>
    <w:rsid w:val="00834E52"/>
    <w:rsid w:val="00835001"/>
    <w:rsid w:val="00835092"/>
    <w:rsid w:val="0083556A"/>
    <w:rsid w:val="00835895"/>
    <w:rsid w:val="00835BB5"/>
    <w:rsid w:val="00835C07"/>
    <w:rsid w:val="008360FE"/>
    <w:rsid w:val="00836346"/>
    <w:rsid w:val="00836EB4"/>
    <w:rsid w:val="0083733E"/>
    <w:rsid w:val="0083786D"/>
    <w:rsid w:val="00837A82"/>
    <w:rsid w:val="00837EBA"/>
    <w:rsid w:val="00837FEF"/>
    <w:rsid w:val="00840274"/>
    <w:rsid w:val="008404BA"/>
    <w:rsid w:val="008406C6"/>
    <w:rsid w:val="008408F4"/>
    <w:rsid w:val="00840CDC"/>
    <w:rsid w:val="00840F2E"/>
    <w:rsid w:val="0084142B"/>
    <w:rsid w:val="008423DD"/>
    <w:rsid w:val="00842868"/>
    <w:rsid w:val="00842F4B"/>
    <w:rsid w:val="00843886"/>
    <w:rsid w:val="00844DC1"/>
    <w:rsid w:val="00844E5F"/>
    <w:rsid w:val="00844F1B"/>
    <w:rsid w:val="00845079"/>
    <w:rsid w:val="0084538E"/>
    <w:rsid w:val="00845509"/>
    <w:rsid w:val="00846476"/>
    <w:rsid w:val="00846C1B"/>
    <w:rsid w:val="00847041"/>
    <w:rsid w:val="008473D5"/>
    <w:rsid w:val="00847542"/>
    <w:rsid w:val="0084787F"/>
    <w:rsid w:val="00847D45"/>
    <w:rsid w:val="00847D66"/>
    <w:rsid w:val="00850380"/>
    <w:rsid w:val="00850631"/>
    <w:rsid w:val="00850A61"/>
    <w:rsid w:val="00850B39"/>
    <w:rsid w:val="00850CC3"/>
    <w:rsid w:val="00850E12"/>
    <w:rsid w:val="00851718"/>
    <w:rsid w:val="008518B3"/>
    <w:rsid w:val="00851F1F"/>
    <w:rsid w:val="008526DF"/>
    <w:rsid w:val="008527CF"/>
    <w:rsid w:val="008528B0"/>
    <w:rsid w:val="00852A7E"/>
    <w:rsid w:val="00852BBC"/>
    <w:rsid w:val="008535AF"/>
    <w:rsid w:val="00853626"/>
    <w:rsid w:val="0085448E"/>
    <w:rsid w:val="00854EAC"/>
    <w:rsid w:val="00855024"/>
    <w:rsid w:val="00855049"/>
    <w:rsid w:val="00855A05"/>
    <w:rsid w:val="00855DF8"/>
    <w:rsid w:val="00855EAE"/>
    <w:rsid w:val="00855F84"/>
    <w:rsid w:val="0085636E"/>
    <w:rsid w:val="0085673A"/>
    <w:rsid w:val="00856E4F"/>
    <w:rsid w:val="00857734"/>
    <w:rsid w:val="00857902"/>
    <w:rsid w:val="00857D09"/>
    <w:rsid w:val="00860254"/>
    <w:rsid w:val="008603F2"/>
    <w:rsid w:val="0086061C"/>
    <w:rsid w:val="008606B4"/>
    <w:rsid w:val="00860755"/>
    <w:rsid w:val="00860AC9"/>
    <w:rsid w:val="00860C23"/>
    <w:rsid w:val="0086102A"/>
    <w:rsid w:val="008610BD"/>
    <w:rsid w:val="008611F7"/>
    <w:rsid w:val="008612C9"/>
    <w:rsid w:val="008616E0"/>
    <w:rsid w:val="00861DF9"/>
    <w:rsid w:val="00861E24"/>
    <w:rsid w:val="00861EFF"/>
    <w:rsid w:val="0086203D"/>
    <w:rsid w:val="008624DF"/>
    <w:rsid w:val="00862A07"/>
    <w:rsid w:val="00863112"/>
    <w:rsid w:val="00863DAC"/>
    <w:rsid w:val="00863E10"/>
    <w:rsid w:val="00864008"/>
    <w:rsid w:val="00864624"/>
    <w:rsid w:val="0086464D"/>
    <w:rsid w:val="00864880"/>
    <w:rsid w:val="008649C5"/>
    <w:rsid w:val="00864FD8"/>
    <w:rsid w:val="00865209"/>
    <w:rsid w:val="0086556A"/>
    <w:rsid w:val="008659EA"/>
    <w:rsid w:val="00865C99"/>
    <w:rsid w:val="00865DB3"/>
    <w:rsid w:val="00865F44"/>
    <w:rsid w:val="008660E0"/>
    <w:rsid w:val="008661C1"/>
    <w:rsid w:val="0086667C"/>
    <w:rsid w:val="00866753"/>
    <w:rsid w:val="00866B2A"/>
    <w:rsid w:val="008673E0"/>
    <w:rsid w:val="00867E58"/>
    <w:rsid w:val="008706E9"/>
    <w:rsid w:val="008707F6"/>
    <w:rsid w:val="00870D62"/>
    <w:rsid w:val="008716BB"/>
    <w:rsid w:val="00872513"/>
    <w:rsid w:val="00872A11"/>
    <w:rsid w:val="00872A27"/>
    <w:rsid w:val="00873839"/>
    <w:rsid w:val="008738F0"/>
    <w:rsid w:val="008738F9"/>
    <w:rsid w:val="00874E7A"/>
    <w:rsid w:val="0087520B"/>
    <w:rsid w:val="00875880"/>
    <w:rsid w:val="00875C41"/>
    <w:rsid w:val="00875EA0"/>
    <w:rsid w:val="00875EBA"/>
    <w:rsid w:val="0087615C"/>
    <w:rsid w:val="0087641D"/>
    <w:rsid w:val="00876426"/>
    <w:rsid w:val="008764AB"/>
    <w:rsid w:val="008769CA"/>
    <w:rsid w:val="00877179"/>
    <w:rsid w:val="008771C9"/>
    <w:rsid w:val="008775F1"/>
    <w:rsid w:val="00877B31"/>
    <w:rsid w:val="00877C10"/>
    <w:rsid w:val="00877E26"/>
    <w:rsid w:val="00877F39"/>
    <w:rsid w:val="00880007"/>
    <w:rsid w:val="008801CC"/>
    <w:rsid w:val="008807D2"/>
    <w:rsid w:val="00880EDE"/>
    <w:rsid w:val="0088149A"/>
    <w:rsid w:val="00881894"/>
    <w:rsid w:val="008818BC"/>
    <w:rsid w:val="0088194F"/>
    <w:rsid w:val="00881966"/>
    <w:rsid w:val="00881B51"/>
    <w:rsid w:val="00881D24"/>
    <w:rsid w:val="00881E2F"/>
    <w:rsid w:val="008821B2"/>
    <w:rsid w:val="008822F9"/>
    <w:rsid w:val="00882D25"/>
    <w:rsid w:val="00882DF3"/>
    <w:rsid w:val="00883796"/>
    <w:rsid w:val="00883981"/>
    <w:rsid w:val="00883F9A"/>
    <w:rsid w:val="00884138"/>
    <w:rsid w:val="0088498D"/>
    <w:rsid w:val="00885437"/>
    <w:rsid w:val="0088616B"/>
    <w:rsid w:val="00886740"/>
    <w:rsid w:val="008867CE"/>
    <w:rsid w:val="008869C4"/>
    <w:rsid w:val="00886CEC"/>
    <w:rsid w:val="00886F0B"/>
    <w:rsid w:val="008871D6"/>
    <w:rsid w:val="00887D84"/>
    <w:rsid w:val="00887DA5"/>
    <w:rsid w:val="008907E6"/>
    <w:rsid w:val="00890CE0"/>
    <w:rsid w:val="00890D68"/>
    <w:rsid w:val="00890E07"/>
    <w:rsid w:val="00891D45"/>
    <w:rsid w:val="00891E86"/>
    <w:rsid w:val="00892069"/>
    <w:rsid w:val="00892085"/>
    <w:rsid w:val="008924C1"/>
    <w:rsid w:val="0089250B"/>
    <w:rsid w:val="0089252C"/>
    <w:rsid w:val="0089269C"/>
    <w:rsid w:val="00892939"/>
    <w:rsid w:val="00893826"/>
    <w:rsid w:val="00893888"/>
    <w:rsid w:val="00893C96"/>
    <w:rsid w:val="00893ECD"/>
    <w:rsid w:val="0089452F"/>
    <w:rsid w:val="008946C9"/>
    <w:rsid w:val="00894817"/>
    <w:rsid w:val="0089492E"/>
    <w:rsid w:val="0089493B"/>
    <w:rsid w:val="008949A4"/>
    <w:rsid w:val="00895D0D"/>
    <w:rsid w:val="00895E31"/>
    <w:rsid w:val="0089644D"/>
    <w:rsid w:val="00896507"/>
    <w:rsid w:val="00896756"/>
    <w:rsid w:val="008969E1"/>
    <w:rsid w:val="00896D8B"/>
    <w:rsid w:val="00896E02"/>
    <w:rsid w:val="00896E24"/>
    <w:rsid w:val="0089719A"/>
    <w:rsid w:val="00897A86"/>
    <w:rsid w:val="008A066B"/>
    <w:rsid w:val="008A0EC7"/>
    <w:rsid w:val="008A155E"/>
    <w:rsid w:val="008A19D6"/>
    <w:rsid w:val="008A1CBD"/>
    <w:rsid w:val="008A2338"/>
    <w:rsid w:val="008A237E"/>
    <w:rsid w:val="008A29B8"/>
    <w:rsid w:val="008A2A25"/>
    <w:rsid w:val="008A2B32"/>
    <w:rsid w:val="008A2CD9"/>
    <w:rsid w:val="008A2D54"/>
    <w:rsid w:val="008A312C"/>
    <w:rsid w:val="008A3CE2"/>
    <w:rsid w:val="008A3DA6"/>
    <w:rsid w:val="008A3F67"/>
    <w:rsid w:val="008A4095"/>
    <w:rsid w:val="008A4787"/>
    <w:rsid w:val="008A4A24"/>
    <w:rsid w:val="008A4EF9"/>
    <w:rsid w:val="008A51A7"/>
    <w:rsid w:val="008A5419"/>
    <w:rsid w:val="008A5427"/>
    <w:rsid w:val="008A5434"/>
    <w:rsid w:val="008A5880"/>
    <w:rsid w:val="008A5A47"/>
    <w:rsid w:val="008A5CC3"/>
    <w:rsid w:val="008A5DBA"/>
    <w:rsid w:val="008A5DCD"/>
    <w:rsid w:val="008A5ED5"/>
    <w:rsid w:val="008A61DF"/>
    <w:rsid w:val="008A6904"/>
    <w:rsid w:val="008A6BCB"/>
    <w:rsid w:val="008A6EFB"/>
    <w:rsid w:val="008A7513"/>
    <w:rsid w:val="008A7560"/>
    <w:rsid w:val="008A787D"/>
    <w:rsid w:val="008B0795"/>
    <w:rsid w:val="008B092F"/>
    <w:rsid w:val="008B0AF5"/>
    <w:rsid w:val="008B0C76"/>
    <w:rsid w:val="008B0F36"/>
    <w:rsid w:val="008B1A1B"/>
    <w:rsid w:val="008B1AE7"/>
    <w:rsid w:val="008B1EE1"/>
    <w:rsid w:val="008B207A"/>
    <w:rsid w:val="008B22B4"/>
    <w:rsid w:val="008B26DE"/>
    <w:rsid w:val="008B26E1"/>
    <w:rsid w:val="008B2C65"/>
    <w:rsid w:val="008B32D7"/>
    <w:rsid w:val="008B33C6"/>
    <w:rsid w:val="008B3432"/>
    <w:rsid w:val="008B42D1"/>
    <w:rsid w:val="008B4629"/>
    <w:rsid w:val="008B465E"/>
    <w:rsid w:val="008B4FD5"/>
    <w:rsid w:val="008B5115"/>
    <w:rsid w:val="008B5151"/>
    <w:rsid w:val="008B5460"/>
    <w:rsid w:val="008B5501"/>
    <w:rsid w:val="008B55BC"/>
    <w:rsid w:val="008B575B"/>
    <w:rsid w:val="008B5972"/>
    <w:rsid w:val="008B5EE3"/>
    <w:rsid w:val="008B5F6B"/>
    <w:rsid w:val="008B6A7F"/>
    <w:rsid w:val="008B6BE9"/>
    <w:rsid w:val="008B6CA1"/>
    <w:rsid w:val="008B74DF"/>
    <w:rsid w:val="008B7588"/>
    <w:rsid w:val="008B7B3B"/>
    <w:rsid w:val="008B7CD1"/>
    <w:rsid w:val="008C02AD"/>
    <w:rsid w:val="008C03DC"/>
    <w:rsid w:val="008C04C7"/>
    <w:rsid w:val="008C0581"/>
    <w:rsid w:val="008C0997"/>
    <w:rsid w:val="008C0B85"/>
    <w:rsid w:val="008C13EE"/>
    <w:rsid w:val="008C233C"/>
    <w:rsid w:val="008C2700"/>
    <w:rsid w:val="008C2E5B"/>
    <w:rsid w:val="008C3463"/>
    <w:rsid w:val="008C34C9"/>
    <w:rsid w:val="008C3B57"/>
    <w:rsid w:val="008C3BCB"/>
    <w:rsid w:val="008C3E64"/>
    <w:rsid w:val="008C4551"/>
    <w:rsid w:val="008C45DD"/>
    <w:rsid w:val="008C4664"/>
    <w:rsid w:val="008C4957"/>
    <w:rsid w:val="008C5026"/>
    <w:rsid w:val="008C5469"/>
    <w:rsid w:val="008C57CB"/>
    <w:rsid w:val="008C585F"/>
    <w:rsid w:val="008C5B8D"/>
    <w:rsid w:val="008C5D6F"/>
    <w:rsid w:val="008C61EB"/>
    <w:rsid w:val="008C623F"/>
    <w:rsid w:val="008C624F"/>
    <w:rsid w:val="008C6323"/>
    <w:rsid w:val="008C7290"/>
    <w:rsid w:val="008C75FA"/>
    <w:rsid w:val="008C7A1B"/>
    <w:rsid w:val="008C7A71"/>
    <w:rsid w:val="008D0FEA"/>
    <w:rsid w:val="008D115B"/>
    <w:rsid w:val="008D1226"/>
    <w:rsid w:val="008D127A"/>
    <w:rsid w:val="008D177C"/>
    <w:rsid w:val="008D1A4C"/>
    <w:rsid w:val="008D2F4C"/>
    <w:rsid w:val="008D30A6"/>
    <w:rsid w:val="008D32DE"/>
    <w:rsid w:val="008D3570"/>
    <w:rsid w:val="008D3B45"/>
    <w:rsid w:val="008D4321"/>
    <w:rsid w:val="008D4877"/>
    <w:rsid w:val="008D48D8"/>
    <w:rsid w:val="008D52D5"/>
    <w:rsid w:val="008D5C43"/>
    <w:rsid w:val="008D5CE5"/>
    <w:rsid w:val="008D6142"/>
    <w:rsid w:val="008D6401"/>
    <w:rsid w:val="008D6423"/>
    <w:rsid w:val="008D6EF4"/>
    <w:rsid w:val="008D7220"/>
    <w:rsid w:val="008D72BF"/>
    <w:rsid w:val="008D74B8"/>
    <w:rsid w:val="008D782C"/>
    <w:rsid w:val="008D792B"/>
    <w:rsid w:val="008D79AB"/>
    <w:rsid w:val="008D7F07"/>
    <w:rsid w:val="008E02C8"/>
    <w:rsid w:val="008E051A"/>
    <w:rsid w:val="008E0BD9"/>
    <w:rsid w:val="008E11BF"/>
    <w:rsid w:val="008E12B6"/>
    <w:rsid w:val="008E2023"/>
    <w:rsid w:val="008E2151"/>
    <w:rsid w:val="008E2396"/>
    <w:rsid w:val="008E2819"/>
    <w:rsid w:val="008E2A26"/>
    <w:rsid w:val="008E2E61"/>
    <w:rsid w:val="008E3767"/>
    <w:rsid w:val="008E377E"/>
    <w:rsid w:val="008E3799"/>
    <w:rsid w:val="008E37F0"/>
    <w:rsid w:val="008E39AF"/>
    <w:rsid w:val="008E3B07"/>
    <w:rsid w:val="008E3C41"/>
    <w:rsid w:val="008E3D0F"/>
    <w:rsid w:val="008E41EA"/>
    <w:rsid w:val="008E4898"/>
    <w:rsid w:val="008E4B06"/>
    <w:rsid w:val="008E4C49"/>
    <w:rsid w:val="008E54B1"/>
    <w:rsid w:val="008E558B"/>
    <w:rsid w:val="008E5C5B"/>
    <w:rsid w:val="008E5D1C"/>
    <w:rsid w:val="008E5E6F"/>
    <w:rsid w:val="008E5F91"/>
    <w:rsid w:val="008E62DE"/>
    <w:rsid w:val="008E64D4"/>
    <w:rsid w:val="008E66C6"/>
    <w:rsid w:val="008E68E3"/>
    <w:rsid w:val="008E6D14"/>
    <w:rsid w:val="008E7553"/>
    <w:rsid w:val="008E7CF7"/>
    <w:rsid w:val="008E7F4C"/>
    <w:rsid w:val="008F16B8"/>
    <w:rsid w:val="008F1875"/>
    <w:rsid w:val="008F187A"/>
    <w:rsid w:val="008F1949"/>
    <w:rsid w:val="008F1A41"/>
    <w:rsid w:val="008F1B49"/>
    <w:rsid w:val="008F1D10"/>
    <w:rsid w:val="008F1F6D"/>
    <w:rsid w:val="008F2488"/>
    <w:rsid w:val="008F2F34"/>
    <w:rsid w:val="008F324D"/>
    <w:rsid w:val="008F3643"/>
    <w:rsid w:val="008F3688"/>
    <w:rsid w:val="008F3F0B"/>
    <w:rsid w:val="008F3FE4"/>
    <w:rsid w:val="008F42C8"/>
    <w:rsid w:val="008F4511"/>
    <w:rsid w:val="008F46F5"/>
    <w:rsid w:val="008F46FC"/>
    <w:rsid w:val="008F4772"/>
    <w:rsid w:val="008F515F"/>
    <w:rsid w:val="008F5452"/>
    <w:rsid w:val="008F5787"/>
    <w:rsid w:val="008F5DE9"/>
    <w:rsid w:val="008F6224"/>
    <w:rsid w:val="008F6408"/>
    <w:rsid w:val="008F666A"/>
    <w:rsid w:val="008F66FA"/>
    <w:rsid w:val="008F6A41"/>
    <w:rsid w:val="008F6C25"/>
    <w:rsid w:val="008F71D2"/>
    <w:rsid w:val="008F779A"/>
    <w:rsid w:val="008F7A23"/>
    <w:rsid w:val="008F7BB8"/>
    <w:rsid w:val="008F7CD4"/>
    <w:rsid w:val="00900188"/>
    <w:rsid w:val="009007A0"/>
    <w:rsid w:val="00900809"/>
    <w:rsid w:val="00901168"/>
    <w:rsid w:val="00901537"/>
    <w:rsid w:val="00902E47"/>
    <w:rsid w:val="00902E5F"/>
    <w:rsid w:val="009038BB"/>
    <w:rsid w:val="00903C26"/>
    <w:rsid w:val="00903C35"/>
    <w:rsid w:val="00903C5B"/>
    <w:rsid w:val="00904AF3"/>
    <w:rsid w:val="00904BD1"/>
    <w:rsid w:val="00904F08"/>
    <w:rsid w:val="00905772"/>
    <w:rsid w:val="00905854"/>
    <w:rsid w:val="00905B97"/>
    <w:rsid w:val="00905EC0"/>
    <w:rsid w:val="009063A9"/>
    <w:rsid w:val="00906639"/>
    <w:rsid w:val="009068AE"/>
    <w:rsid w:val="00907341"/>
    <w:rsid w:val="009073A8"/>
    <w:rsid w:val="0090788A"/>
    <w:rsid w:val="009078C0"/>
    <w:rsid w:val="00907904"/>
    <w:rsid w:val="00907BCD"/>
    <w:rsid w:val="00907FF4"/>
    <w:rsid w:val="00910074"/>
    <w:rsid w:val="009100E0"/>
    <w:rsid w:val="00910306"/>
    <w:rsid w:val="00911CF6"/>
    <w:rsid w:val="00912866"/>
    <w:rsid w:val="00912C16"/>
    <w:rsid w:val="00912DBA"/>
    <w:rsid w:val="00912E5E"/>
    <w:rsid w:val="009135F9"/>
    <w:rsid w:val="009141DA"/>
    <w:rsid w:val="00914BA5"/>
    <w:rsid w:val="00914DFE"/>
    <w:rsid w:val="00914F8B"/>
    <w:rsid w:val="009150E2"/>
    <w:rsid w:val="009154CB"/>
    <w:rsid w:val="0091551E"/>
    <w:rsid w:val="00915651"/>
    <w:rsid w:val="00915BBB"/>
    <w:rsid w:val="00915C2C"/>
    <w:rsid w:val="009162AE"/>
    <w:rsid w:val="009162F1"/>
    <w:rsid w:val="00916691"/>
    <w:rsid w:val="00916F7A"/>
    <w:rsid w:val="00917355"/>
    <w:rsid w:val="009177C6"/>
    <w:rsid w:val="009178B4"/>
    <w:rsid w:val="009206AC"/>
    <w:rsid w:val="00920BBE"/>
    <w:rsid w:val="00921090"/>
    <w:rsid w:val="00921663"/>
    <w:rsid w:val="009217B5"/>
    <w:rsid w:val="00921B88"/>
    <w:rsid w:val="00921E71"/>
    <w:rsid w:val="00922755"/>
    <w:rsid w:val="00922771"/>
    <w:rsid w:val="00922D87"/>
    <w:rsid w:val="00923888"/>
    <w:rsid w:val="00923916"/>
    <w:rsid w:val="00923A1C"/>
    <w:rsid w:val="00923D59"/>
    <w:rsid w:val="009244FC"/>
    <w:rsid w:val="0092466A"/>
    <w:rsid w:val="009247F6"/>
    <w:rsid w:val="00925061"/>
    <w:rsid w:val="009258E0"/>
    <w:rsid w:val="009259DF"/>
    <w:rsid w:val="00925E37"/>
    <w:rsid w:val="0092616B"/>
    <w:rsid w:val="0092632D"/>
    <w:rsid w:val="0092637D"/>
    <w:rsid w:val="00926A99"/>
    <w:rsid w:val="00926C8A"/>
    <w:rsid w:val="009272EF"/>
    <w:rsid w:val="0092746C"/>
    <w:rsid w:val="00930606"/>
    <w:rsid w:val="009307E5"/>
    <w:rsid w:val="00930E07"/>
    <w:rsid w:val="00931BCD"/>
    <w:rsid w:val="009322FC"/>
    <w:rsid w:val="00932815"/>
    <w:rsid w:val="0093285D"/>
    <w:rsid w:val="00932D95"/>
    <w:rsid w:val="00932DF6"/>
    <w:rsid w:val="00932F84"/>
    <w:rsid w:val="00932F86"/>
    <w:rsid w:val="00933CFA"/>
    <w:rsid w:val="009341CD"/>
    <w:rsid w:val="00934445"/>
    <w:rsid w:val="009347A7"/>
    <w:rsid w:val="009349D4"/>
    <w:rsid w:val="00934A31"/>
    <w:rsid w:val="00935C61"/>
    <w:rsid w:val="00936503"/>
    <w:rsid w:val="00936C9C"/>
    <w:rsid w:val="00936F14"/>
    <w:rsid w:val="00937775"/>
    <w:rsid w:val="009379EC"/>
    <w:rsid w:val="00937A19"/>
    <w:rsid w:val="00937A40"/>
    <w:rsid w:val="00937F53"/>
    <w:rsid w:val="009403BA"/>
    <w:rsid w:val="00940985"/>
    <w:rsid w:val="00941317"/>
    <w:rsid w:val="00941603"/>
    <w:rsid w:val="009416E3"/>
    <w:rsid w:val="009419D9"/>
    <w:rsid w:val="00941DC3"/>
    <w:rsid w:val="00942A3C"/>
    <w:rsid w:val="00942B09"/>
    <w:rsid w:val="00942E24"/>
    <w:rsid w:val="009434B4"/>
    <w:rsid w:val="00943584"/>
    <w:rsid w:val="0094397A"/>
    <w:rsid w:val="00943A54"/>
    <w:rsid w:val="009441BC"/>
    <w:rsid w:val="0094467D"/>
    <w:rsid w:val="009447A0"/>
    <w:rsid w:val="00944959"/>
    <w:rsid w:val="00944A5E"/>
    <w:rsid w:val="0094542E"/>
    <w:rsid w:val="0094566A"/>
    <w:rsid w:val="009459D0"/>
    <w:rsid w:val="00945D5A"/>
    <w:rsid w:val="0094624A"/>
    <w:rsid w:val="00946860"/>
    <w:rsid w:val="0094688D"/>
    <w:rsid w:val="00946EC5"/>
    <w:rsid w:val="00947274"/>
    <w:rsid w:val="00947344"/>
    <w:rsid w:val="0094743F"/>
    <w:rsid w:val="00947620"/>
    <w:rsid w:val="00947F3A"/>
    <w:rsid w:val="00950418"/>
    <w:rsid w:val="00950A36"/>
    <w:rsid w:val="00950D14"/>
    <w:rsid w:val="00950FF8"/>
    <w:rsid w:val="00951044"/>
    <w:rsid w:val="00951557"/>
    <w:rsid w:val="00951B6C"/>
    <w:rsid w:val="00951BF1"/>
    <w:rsid w:val="0095209B"/>
    <w:rsid w:val="009521C3"/>
    <w:rsid w:val="00953437"/>
    <w:rsid w:val="00953556"/>
    <w:rsid w:val="00953DE9"/>
    <w:rsid w:val="00953FFA"/>
    <w:rsid w:val="009547E5"/>
    <w:rsid w:val="0095483D"/>
    <w:rsid w:val="00954A59"/>
    <w:rsid w:val="009551BF"/>
    <w:rsid w:val="009553CF"/>
    <w:rsid w:val="00956111"/>
    <w:rsid w:val="0095616E"/>
    <w:rsid w:val="00956CDE"/>
    <w:rsid w:val="0095708E"/>
    <w:rsid w:val="00957BC6"/>
    <w:rsid w:val="00957C3B"/>
    <w:rsid w:val="009609D6"/>
    <w:rsid w:val="00960E4F"/>
    <w:rsid w:val="00961AD9"/>
    <w:rsid w:val="00961CF4"/>
    <w:rsid w:val="009623C1"/>
    <w:rsid w:val="009623D9"/>
    <w:rsid w:val="00962849"/>
    <w:rsid w:val="00962CAD"/>
    <w:rsid w:val="00962D4B"/>
    <w:rsid w:val="00963C94"/>
    <w:rsid w:val="00963CA6"/>
    <w:rsid w:val="00963CBA"/>
    <w:rsid w:val="009643B1"/>
    <w:rsid w:val="00964663"/>
    <w:rsid w:val="00964716"/>
    <w:rsid w:val="0096486B"/>
    <w:rsid w:val="00964B55"/>
    <w:rsid w:val="00964CFF"/>
    <w:rsid w:val="009653A5"/>
    <w:rsid w:val="0096546B"/>
    <w:rsid w:val="00965B7B"/>
    <w:rsid w:val="00965BA4"/>
    <w:rsid w:val="00965D9F"/>
    <w:rsid w:val="00965EA7"/>
    <w:rsid w:val="00966047"/>
    <w:rsid w:val="00966162"/>
    <w:rsid w:val="0096659F"/>
    <w:rsid w:val="0096664A"/>
    <w:rsid w:val="00966A6E"/>
    <w:rsid w:val="00966CEF"/>
    <w:rsid w:val="00966FB2"/>
    <w:rsid w:val="009674EE"/>
    <w:rsid w:val="00970009"/>
    <w:rsid w:val="0097041F"/>
    <w:rsid w:val="009707C3"/>
    <w:rsid w:val="0097081B"/>
    <w:rsid w:val="00970FFB"/>
    <w:rsid w:val="00971141"/>
    <w:rsid w:val="00971264"/>
    <w:rsid w:val="00971300"/>
    <w:rsid w:val="00971450"/>
    <w:rsid w:val="0097179F"/>
    <w:rsid w:val="009719D0"/>
    <w:rsid w:val="00972717"/>
    <w:rsid w:val="00972A43"/>
    <w:rsid w:val="00972E97"/>
    <w:rsid w:val="0097379F"/>
    <w:rsid w:val="00973822"/>
    <w:rsid w:val="00973AF1"/>
    <w:rsid w:val="00973C42"/>
    <w:rsid w:val="00974DE2"/>
    <w:rsid w:val="0097539A"/>
    <w:rsid w:val="009753B0"/>
    <w:rsid w:val="009756B5"/>
    <w:rsid w:val="00975A36"/>
    <w:rsid w:val="00975B68"/>
    <w:rsid w:val="00975D63"/>
    <w:rsid w:val="0097637D"/>
    <w:rsid w:val="00976590"/>
    <w:rsid w:val="0097671C"/>
    <w:rsid w:val="00976D93"/>
    <w:rsid w:val="0097709C"/>
    <w:rsid w:val="00977D6B"/>
    <w:rsid w:val="00980149"/>
    <w:rsid w:val="0098062C"/>
    <w:rsid w:val="00980960"/>
    <w:rsid w:val="00980973"/>
    <w:rsid w:val="0098098C"/>
    <w:rsid w:val="00980D75"/>
    <w:rsid w:val="00981445"/>
    <w:rsid w:val="009817D1"/>
    <w:rsid w:val="009817FE"/>
    <w:rsid w:val="00981A65"/>
    <w:rsid w:val="00981ACC"/>
    <w:rsid w:val="00981E05"/>
    <w:rsid w:val="0098203B"/>
    <w:rsid w:val="00982246"/>
    <w:rsid w:val="009831BE"/>
    <w:rsid w:val="00983256"/>
    <w:rsid w:val="009833AE"/>
    <w:rsid w:val="0098365C"/>
    <w:rsid w:val="00983A47"/>
    <w:rsid w:val="00983B16"/>
    <w:rsid w:val="00983F41"/>
    <w:rsid w:val="009848C0"/>
    <w:rsid w:val="00985162"/>
    <w:rsid w:val="009855A7"/>
    <w:rsid w:val="009859ED"/>
    <w:rsid w:val="00985C83"/>
    <w:rsid w:val="00986CC4"/>
    <w:rsid w:val="00986D0B"/>
    <w:rsid w:val="00986ECB"/>
    <w:rsid w:val="00987B59"/>
    <w:rsid w:val="00987C9D"/>
    <w:rsid w:val="00990876"/>
    <w:rsid w:val="00990A6E"/>
    <w:rsid w:val="00991156"/>
    <w:rsid w:val="00991298"/>
    <w:rsid w:val="00991929"/>
    <w:rsid w:val="00991F26"/>
    <w:rsid w:val="00992176"/>
    <w:rsid w:val="0099232F"/>
    <w:rsid w:val="00992C2E"/>
    <w:rsid w:val="009939A7"/>
    <w:rsid w:val="00993CCC"/>
    <w:rsid w:val="00993E9B"/>
    <w:rsid w:val="00993FA2"/>
    <w:rsid w:val="0099417F"/>
    <w:rsid w:val="009946A8"/>
    <w:rsid w:val="00994967"/>
    <w:rsid w:val="009949C6"/>
    <w:rsid w:val="009949E3"/>
    <w:rsid w:val="00995264"/>
    <w:rsid w:val="009956BC"/>
    <w:rsid w:val="00995F94"/>
    <w:rsid w:val="00996154"/>
    <w:rsid w:val="0099637C"/>
    <w:rsid w:val="009968C0"/>
    <w:rsid w:val="00996A19"/>
    <w:rsid w:val="009972C9"/>
    <w:rsid w:val="009975A9"/>
    <w:rsid w:val="00997B18"/>
    <w:rsid w:val="00997D60"/>
    <w:rsid w:val="009A00E3"/>
    <w:rsid w:val="009A086C"/>
    <w:rsid w:val="009A09EA"/>
    <w:rsid w:val="009A1225"/>
    <w:rsid w:val="009A192E"/>
    <w:rsid w:val="009A1CBA"/>
    <w:rsid w:val="009A201B"/>
    <w:rsid w:val="009A2403"/>
    <w:rsid w:val="009A293E"/>
    <w:rsid w:val="009A2953"/>
    <w:rsid w:val="009A29B1"/>
    <w:rsid w:val="009A2ED9"/>
    <w:rsid w:val="009A3374"/>
    <w:rsid w:val="009A35DF"/>
    <w:rsid w:val="009A378C"/>
    <w:rsid w:val="009A3EDD"/>
    <w:rsid w:val="009A43A9"/>
    <w:rsid w:val="009A53A6"/>
    <w:rsid w:val="009A5E1A"/>
    <w:rsid w:val="009A61BC"/>
    <w:rsid w:val="009A6398"/>
    <w:rsid w:val="009A6BA7"/>
    <w:rsid w:val="009A6D08"/>
    <w:rsid w:val="009A6F95"/>
    <w:rsid w:val="009A74D9"/>
    <w:rsid w:val="009A752E"/>
    <w:rsid w:val="009A79F6"/>
    <w:rsid w:val="009A7EF2"/>
    <w:rsid w:val="009B01B3"/>
    <w:rsid w:val="009B04E5"/>
    <w:rsid w:val="009B0887"/>
    <w:rsid w:val="009B09B1"/>
    <w:rsid w:val="009B0F0F"/>
    <w:rsid w:val="009B0F4A"/>
    <w:rsid w:val="009B1020"/>
    <w:rsid w:val="009B11B2"/>
    <w:rsid w:val="009B1216"/>
    <w:rsid w:val="009B12B6"/>
    <w:rsid w:val="009B1E44"/>
    <w:rsid w:val="009B1F94"/>
    <w:rsid w:val="009B2045"/>
    <w:rsid w:val="009B2369"/>
    <w:rsid w:val="009B2657"/>
    <w:rsid w:val="009B2E46"/>
    <w:rsid w:val="009B36FD"/>
    <w:rsid w:val="009B41D2"/>
    <w:rsid w:val="009B44E7"/>
    <w:rsid w:val="009B501F"/>
    <w:rsid w:val="009B5510"/>
    <w:rsid w:val="009B5674"/>
    <w:rsid w:val="009B5769"/>
    <w:rsid w:val="009B5CC5"/>
    <w:rsid w:val="009B6038"/>
    <w:rsid w:val="009B635F"/>
    <w:rsid w:val="009B6476"/>
    <w:rsid w:val="009B6C9E"/>
    <w:rsid w:val="009B6F24"/>
    <w:rsid w:val="009B7071"/>
    <w:rsid w:val="009B7140"/>
    <w:rsid w:val="009B71D1"/>
    <w:rsid w:val="009B726C"/>
    <w:rsid w:val="009B72C2"/>
    <w:rsid w:val="009B753D"/>
    <w:rsid w:val="009B7589"/>
    <w:rsid w:val="009B7D98"/>
    <w:rsid w:val="009B7E2C"/>
    <w:rsid w:val="009C014A"/>
    <w:rsid w:val="009C0247"/>
    <w:rsid w:val="009C0513"/>
    <w:rsid w:val="009C0855"/>
    <w:rsid w:val="009C0D5A"/>
    <w:rsid w:val="009C1143"/>
    <w:rsid w:val="009C19E5"/>
    <w:rsid w:val="009C227C"/>
    <w:rsid w:val="009C2B59"/>
    <w:rsid w:val="009C2F28"/>
    <w:rsid w:val="009C30E0"/>
    <w:rsid w:val="009C42AC"/>
    <w:rsid w:val="009C44A4"/>
    <w:rsid w:val="009C4973"/>
    <w:rsid w:val="009C4BF9"/>
    <w:rsid w:val="009C4CAE"/>
    <w:rsid w:val="009C51AA"/>
    <w:rsid w:val="009C52D0"/>
    <w:rsid w:val="009C53FF"/>
    <w:rsid w:val="009C578F"/>
    <w:rsid w:val="009C5A89"/>
    <w:rsid w:val="009C606C"/>
    <w:rsid w:val="009C6157"/>
    <w:rsid w:val="009C65C7"/>
    <w:rsid w:val="009C6813"/>
    <w:rsid w:val="009C6BE4"/>
    <w:rsid w:val="009C6C22"/>
    <w:rsid w:val="009C70D4"/>
    <w:rsid w:val="009C7505"/>
    <w:rsid w:val="009C7560"/>
    <w:rsid w:val="009C75F2"/>
    <w:rsid w:val="009C7BDA"/>
    <w:rsid w:val="009C7E03"/>
    <w:rsid w:val="009C7FB7"/>
    <w:rsid w:val="009D0714"/>
    <w:rsid w:val="009D0A4C"/>
    <w:rsid w:val="009D0B47"/>
    <w:rsid w:val="009D0C53"/>
    <w:rsid w:val="009D0E1B"/>
    <w:rsid w:val="009D0F89"/>
    <w:rsid w:val="009D1017"/>
    <w:rsid w:val="009D11D4"/>
    <w:rsid w:val="009D148E"/>
    <w:rsid w:val="009D2839"/>
    <w:rsid w:val="009D2B9E"/>
    <w:rsid w:val="009D330C"/>
    <w:rsid w:val="009D36AA"/>
    <w:rsid w:val="009D4415"/>
    <w:rsid w:val="009D44B0"/>
    <w:rsid w:val="009D4C47"/>
    <w:rsid w:val="009D5476"/>
    <w:rsid w:val="009D54B4"/>
    <w:rsid w:val="009D568B"/>
    <w:rsid w:val="009D5792"/>
    <w:rsid w:val="009D5B23"/>
    <w:rsid w:val="009D5D36"/>
    <w:rsid w:val="009D6113"/>
    <w:rsid w:val="009D624A"/>
    <w:rsid w:val="009D6D5C"/>
    <w:rsid w:val="009D6D65"/>
    <w:rsid w:val="009D7259"/>
    <w:rsid w:val="009D7765"/>
    <w:rsid w:val="009D7869"/>
    <w:rsid w:val="009D7918"/>
    <w:rsid w:val="009D7B78"/>
    <w:rsid w:val="009E0717"/>
    <w:rsid w:val="009E109E"/>
    <w:rsid w:val="009E1C7C"/>
    <w:rsid w:val="009E1EFB"/>
    <w:rsid w:val="009E1F2C"/>
    <w:rsid w:val="009E270D"/>
    <w:rsid w:val="009E2A18"/>
    <w:rsid w:val="009E2BE4"/>
    <w:rsid w:val="009E2C32"/>
    <w:rsid w:val="009E2F8A"/>
    <w:rsid w:val="009E3120"/>
    <w:rsid w:val="009E31F2"/>
    <w:rsid w:val="009E33D6"/>
    <w:rsid w:val="009E3534"/>
    <w:rsid w:val="009E357C"/>
    <w:rsid w:val="009E3A29"/>
    <w:rsid w:val="009E3FA0"/>
    <w:rsid w:val="009E4374"/>
    <w:rsid w:val="009E48D2"/>
    <w:rsid w:val="009E4A71"/>
    <w:rsid w:val="009E4B77"/>
    <w:rsid w:val="009E4B8F"/>
    <w:rsid w:val="009E4D5C"/>
    <w:rsid w:val="009E4F4E"/>
    <w:rsid w:val="009E5354"/>
    <w:rsid w:val="009E550A"/>
    <w:rsid w:val="009E57F8"/>
    <w:rsid w:val="009E5C29"/>
    <w:rsid w:val="009E6494"/>
    <w:rsid w:val="009E654A"/>
    <w:rsid w:val="009E65C4"/>
    <w:rsid w:val="009E6705"/>
    <w:rsid w:val="009E6794"/>
    <w:rsid w:val="009E696E"/>
    <w:rsid w:val="009E6A78"/>
    <w:rsid w:val="009E6AD8"/>
    <w:rsid w:val="009E7174"/>
    <w:rsid w:val="009E7B4D"/>
    <w:rsid w:val="009E7B51"/>
    <w:rsid w:val="009F02D8"/>
    <w:rsid w:val="009F0562"/>
    <w:rsid w:val="009F0853"/>
    <w:rsid w:val="009F0A6B"/>
    <w:rsid w:val="009F0E4B"/>
    <w:rsid w:val="009F106F"/>
    <w:rsid w:val="009F123D"/>
    <w:rsid w:val="009F13F9"/>
    <w:rsid w:val="009F2219"/>
    <w:rsid w:val="009F2789"/>
    <w:rsid w:val="009F2F21"/>
    <w:rsid w:val="009F310F"/>
    <w:rsid w:val="009F379E"/>
    <w:rsid w:val="009F3A0A"/>
    <w:rsid w:val="009F3EEB"/>
    <w:rsid w:val="009F3F0D"/>
    <w:rsid w:val="009F4170"/>
    <w:rsid w:val="009F4194"/>
    <w:rsid w:val="009F46F6"/>
    <w:rsid w:val="009F4982"/>
    <w:rsid w:val="009F4B78"/>
    <w:rsid w:val="009F555E"/>
    <w:rsid w:val="009F5976"/>
    <w:rsid w:val="009F5A44"/>
    <w:rsid w:val="009F5B8E"/>
    <w:rsid w:val="009F60EF"/>
    <w:rsid w:val="009F6400"/>
    <w:rsid w:val="009F657B"/>
    <w:rsid w:val="009F669C"/>
    <w:rsid w:val="009F6C0B"/>
    <w:rsid w:val="009F6DAD"/>
    <w:rsid w:val="009F6F61"/>
    <w:rsid w:val="009F7213"/>
    <w:rsid w:val="009F774F"/>
    <w:rsid w:val="009F7B79"/>
    <w:rsid w:val="009F7EFC"/>
    <w:rsid w:val="00A00471"/>
    <w:rsid w:val="00A0078E"/>
    <w:rsid w:val="00A00CE4"/>
    <w:rsid w:val="00A00D1F"/>
    <w:rsid w:val="00A00FA5"/>
    <w:rsid w:val="00A01007"/>
    <w:rsid w:val="00A0142F"/>
    <w:rsid w:val="00A01806"/>
    <w:rsid w:val="00A02513"/>
    <w:rsid w:val="00A0276A"/>
    <w:rsid w:val="00A02A8E"/>
    <w:rsid w:val="00A02AB8"/>
    <w:rsid w:val="00A02DE1"/>
    <w:rsid w:val="00A02F95"/>
    <w:rsid w:val="00A03EDF"/>
    <w:rsid w:val="00A042B4"/>
    <w:rsid w:val="00A047C3"/>
    <w:rsid w:val="00A048AE"/>
    <w:rsid w:val="00A04957"/>
    <w:rsid w:val="00A04C8D"/>
    <w:rsid w:val="00A04E2C"/>
    <w:rsid w:val="00A04F1D"/>
    <w:rsid w:val="00A0511F"/>
    <w:rsid w:val="00A0556C"/>
    <w:rsid w:val="00A059E7"/>
    <w:rsid w:val="00A06BE5"/>
    <w:rsid w:val="00A06BFE"/>
    <w:rsid w:val="00A07342"/>
    <w:rsid w:val="00A079B2"/>
    <w:rsid w:val="00A07DD6"/>
    <w:rsid w:val="00A105FD"/>
    <w:rsid w:val="00A10701"/>
    <w:rsid w:val="00A10E6D"/>
    <w:rsid w:val="00A113A2"/>
    <w:rsid w:val="00A113ED"/>
    <w:rsid w:val="00A12A73"/>
    <w:rsid w:val="00A12BC2"/>
    <w:rsid w:val="00A12C80"/>
    <w:rsid w:val="00A12D74"/>
    <w:rsid w:val="00A1300E"/>
    <w:rsid w:val="00A1350A"/>
    <w:rsid w:val="00A1362C"/>
    <w:rsid w:val="00A13BB0"/>
    <w:rsid w:val="00A14144"/>
    <w:rsid w:val="00A14B1B"/>
    <w:rsid w:val="00A14B20"/>
    <w:rsid w:val="00A14B21"/>
    <w:rsid w:val="00A14B5B"/>
    <w:rsid w:val="00A14F84"/>
    <w:rsid w:val="00A1538F"/>
    <w:rsid w:val="00A161F8"/>
    <w:rsid w:val="00A16B93"/>
    <w:rsid w:val="00A16E72"/>
    <w:rsid w:val="00A17096"/>
    <w:rsid w:val="00A17250"/>
    <w:rsid w:val="00A1745C"/>
    <w:rsid w:val="00A175C1"/>
    <w:rsid w:val="00A17B48"/>
    <w:rsid w:val="00A17D2A"/>
    <w:rsid w:val="00A17E26"/>
    <w:rsid w:val="00A202A7"/>
    <w:rsid w:val="00A20404"/>
    <w:rsid w:val="00A20D7C"/>
    <w:rsid w:val="00A211AD"/>
    <w:rsid w:val="00A21575"/>
    <w:rsid w:val="00A21863"/>
    <w:rsid w:val="00A21DFE"/>
    <w:rsid w:val="00A21E85"/>
    <w:rsid w:val="00A22246"/>
    <w:rsid w:val="00A2253F"/>
    <w:rsid w:val="00A22927"/>
    <w:rsid w:val="00A22974"/>
    <w:rsid w:val="00A22DC2"/>
    <w:rsid w:val="00A22EFE"/>
    <w:rsid w:val="00A23F8D"/>
    <w:rsid w:val="00A23FD5"/>
    <w:rsid w:val="00A24428"/>
    <w:rsid w:val="00A24934"/>
    <w:rsid w:val="00A24BDD"/>
    <w:rsid w:val="00A257DB"/>
    <w:rsid w:val="00A25C92"/>
    <w:rsid w:val="00A25F78"/>
    <w:rsid w:val="00A264A3"/>
    <w:rsid w:val="00A266E3"/>
    <w:rsid w:val="00A268C1"/>
    <w:rsid w:val="00A26A0E"/>
    <w:rsid w:val="00A277C3"/>
    <w:rsid w:val="00A27DB5"/>
    <w:rsid w:val="00A27EDB"/>
    <w:rsid w:val="00A3025A"/>
    <w:rsid w:val="00A30600"/>
    <w:rsid w:val="00A309B6"/>
    <w:rsid w:val="00A30F68"/>
    <w:rsid w:val="00A31302"/>
    <w:rsid w:val="00A3154D"/>
    <w:rsid w:val="00A318F0"/>
    <w:rsid w:val="00A32912"/>
    <w:rsid w:val="00A33258"/>
    <w:rsid w:val="00A33286"/>
    <w:rsid w:val="00A33698"/>
    <w:rsid w:val="00A3370E"/>
    <w:rsid w:val="00A337F4"/>
    <w:rsid w:val="00A33EA0"/>
    <w:rsid w:val="00A3478F"/>
    <w:rsid w:val="00A34A38"/>
    <w:rsid w:val="00A35192"/>
    <w:rsid w:val="00A3550F"/>
    <w:rsid w:val="00A357A0"/>
    <w:rsid w:val="00A35873"/>
    <w:rsid w:val="00A3616E"/>
    <w:rsid w:val="00A36907"/>
    <w:rsid w:val="00A36ABD"/>
    <w:rsid w:val="00A36DAF"/>
    <w:rsid w:val="00A3734E"/>
    <w:rsid w:val="00A3735C"/>
    <w:rsid w:val="00A374B9"/>
    <w:rsid w:val="00A3764F"/>
    <w:rsid w:val="00A3788A"/>
    <w:rsid w:val="00A378FC"/>
    <w:rsid w:val="00A37E62"/>
    <w:rsid w:val="00A40171"/>
    <w:rsid w:val="00A402B3"/>
    <w:rsid w:val="00A408E0"/>
    <w:rsid w:val="00A409D1"/>
    <w:rsid w:val="00A409E5"/>
    <w:rsid w:val="00A40AED"/>
    <w:rsid w:val="00A40B97"/>
    <w:rsid w:val="00A40E30"/>
    <w:rsid w:val="00A40E99"/>
    <w:rsid w:val="00A413DD"/>
    <w:rsid w:val="00A419BE"/>
    <w:rsid w:val="00A41AF1"/>
    <w:rsid w:val="00A42222"/>
    <w:rsid w:val="00A4238E"/>
    <w:rsid w:val="00A4255C"/>
    <w:rsid w:val="00A4262C"/>
    <w:rsid w:val="00A42658"/>
    <w:rsid w:val="00A42940"/>
    <w:rsid w:val="00A42E75"/>
    <w:rsid w:val="00A43200"/>
    <w:rsid w:val="00A4361F"/>
    <w:rsid w:val="00A44715"/>
    <w:rsid w:val="00A4572B"/>
    <w:rsid w:val="00A46318"/>
    <w:rsid w:val="00A467EF"/>
    <w:rsid w:val="00A46869"/>
    <w:rsid w:val="00A4705A"/>
    <w:rsid w:val="00A47276"/>
    <w:rsid w:val="00A4735C"/>
    <w:rsid w:val="00A4736C"/>
    <w:rsid w:val="00A476CB"/>
    <w:rsid w:val="00A4775B"/>
    <w:rsid w:val="00A4779E"/>
    <w:rsid w:val="00A4797E"/>
    <w:rsid w:val="00A47B21"/>
    <w:rsid w:val="00A50007"/>
    <w:rsid w:val="00A507F8"/>
    <w:rsid w:val="00A50B9F"/>
    <w:rsid w:val="00A50F79"/>
    <w:rsid w:val="00A51021"/>
    <w:rsid w:val="00A51336"/>
    <w:rsid w:val="00A51BE7"/>
    <w:rsid w:val="00A51C8A"/>
    <w:rsid w:val="00A520D2"/>
    <w:rsid w:val="00A52116"/>
    <w:rsid w:val="00A526A5"/>
    <w:rsid w:val="00A52889"/>
    <w:rsid w:val="00A52A08"/>
    <w:rsid w:val="00A52B04"/>
    <w:rsid w:val="00A52CC4"/>
    <w:rsid w:val="00A52E89"/>
    <w:rsid w:val="00A53022"/>
    <w:rsid w:val="00A53839"/>
    <w:rsid w:val="00A54256"/>
    <w:rsid w:val="00A546AA"/>
    <w:rsid w:val="00A547FA"/>
    <w:rsid w:val="00A54883"/>
    <w:rsid w:val="00A54C3E"/>
    <w:rsid w:val="00A55024"/>
    <w:rsid w:val="00A55187"/>
    <w:rsid w:val="00A55477"/>
    <w:rsid w:val="00A55590"/>
    <w:rsid w:val="00A55704"/>
    <w:rsid w:val="00A55990"/>
    <w:rsid w:val="00A559CF"/>
    <w:rsid w:val="00A55B94"/>
    <w:rsid w:val="00A55C77"/>
    <w:rsid w:val="00A55D09"/>
    <w:rsid w:val="00A55D83"/>
    <w:rsid w:val="00A55E75"/>
    <w:rsid w:val="00A55E99"/>
    <w:rsid w:val="00A5609B"/>
    <w:rsid w:val="00A561D3"/>
    <w:rsid w:val="00A568E3"/>
    <w:rsid w:val="00A56AD7"/>
    <w:rsid w:val="00A56AE8"/>
    <w:rsid w:val="00A57666"/>
    <w:rsid w:val="00A6059D"/>
    <w:rsid w:val="00A617EA"/>
    <w:rsid w:val="00A61841"/>
    <w:rsid w:val="00A61DA5"/>
    <w:rsid w:val="00A626AB"/>
    <w:rsid w:val="00A62AF6"/>
    <w:rsid w:val="00A62E88"/>
    <w:rsid w:val="00A62ED6"/>
    <w:rsid w:val="00A633E5"/>
    <w:rsid w:val="00A63878"/>
    <w:rsid w:val="00A638C5"/>
    <w:rsid w:val="00A638DE"/>
    <w:rsid w:val="00A63D2F"/>
    <w:rsid w:val="00A63F3C"/>
    <w:rsid w:val="00A64B44"/>
    <w:rsid w:val="00A64E2E"/>
    <w:rsid w:val="00A64E75"/>
    <w:rsid w:val="00A65958"/>
    <w:rsid w:val="00A65A19"/>
    <w:rsid w:val="00A65A6A"/>
    <w:rsid w:val="00A65AEF"/>
    <w:rsid w:val="00A65F7F"/>
    <w:rsid w:val="00A669FF"/>
    <w:rsid w:val="00A66C28"/>
    <w:rsid w:val="00A6714D"/>
    <w:rsid w:val="00A67451"/>
    <w:rsid w:val="00A67602"/>
    <w:rsid w:val="00A67E2D"/>
    <w:rsid w:val="00A70110"/>
    <w:rsid w:val="00A701C5"/>
    <w:rsid w:val="00A7056C"/>
    <w:rsid w:val="00A705ED"/>
    <w:rsid w:val="00A7064F"/>
    <w:rsid w:val="00A70A11"/>
    <w:rsid w:val="00A7136C"/>
    <w:rsid w:val="00A71A2D"/>
    <w:rsid w:val="00A71C02"/>
    <w:rsid w:val="00A7201F"/>
    <w:rsid w:val="00A72288"/>
    <w:rsid w:val="00A72380"/>
    <w:rsid w:val="00A725D7"/>
    <w:rsid w:val="00A72AA8"/>
    <w:rsid w:val="00A72EA6"/>
    <w:rsid w:val="00A73179"/>
    <w:rsid w:val="00A7340E"/>
    <w:rsid w:val="00A73B41"/>
    <w:rsid w:val="00A73C0C"/>
    <w:rsid w:val="00A74023"/>
    <w:rsid w:val="00A7405E"/>
    <w:rsid w:val="00A7507A"/>
    <w:rsid w:val="00A753D6"/>
    <w:rsid w:val="00A755AB"/>
    <w:rsid w:val="00A757C2"/>
    <w:rsid w:val="00A76195"/>
    <w:rsid w:val="00A7619E"/>
    <w:rsid w:val="00A76302"/>
    <w:rsid w:val="00A76805"/>
    <w:rsid w:val="00A76828"/>
    <w:rsid w:val="00A76BE2"/>
    <w:rsid w:val="00A76CD1"/>
    <w:rsid w:val="00A76DC3"/>
    <w:rsid w:val="00A776C4"/>
    <w:rsid w:val="00A80222"/>
    <w:rsid w:val="00A802FF"/>
    <w:rsid w:val="00A806F9"/>
    <w:rsid w:val="00A809C3"/>
    <w:rsid w:val="00A80B56"/>
    <w:rsid w:val="00A80D2D"/>
    <w:rsid w:val="00A80D47"/>
    <w:rsid w:val="00A81DBB"/>
    <w:rsid w:val="00A81E55"/>
    <w:rsid w:val="00A8203C"/>
    <w:rsid w:val="00A822E2"/>
    <w:rsid w:val="00A827B8"/>
    <w:rsid w:val="00A82D31"/>
    <w:rsid w:val="00A82EC4"/>
    <w:rsid w:val="00A8316D"/>
    <w:rsid w:val="00A836B1"/>
    <w:rsid w:val="00A83E1E"/>
    <w:rsid w:val="00A84745"/>
    <w:rsid w:val="00A84765"/>
    <w:rsid w:val="00A85323"/>
    <w:rsid w:val="00A857DC"/>
    <w:rsid w:val="00A8588F"/>
    <w:rsid w:val="00A85D18"/>
    <w:rsid w:val="00A86061"/>
    <w:rsid w:val="00A8644B"/>
    <w:rsid w:val="00A86AB9"/>
    <w:rsid w:val="00A86EFA"/>
    <w:rsid w:val="00A86FD3"/>
    <w:rsid w:val="00A87578"/>
    <w:rsid w:val="00A87645"/>
    <w:rsid w:val="00A877AE"/>
    <w:rsid w:val="00A87C99"/>
    <w:rsid w:val="00A87FE3"/>
    <w:rsid w:val="00A9037D"/>
    <w:rsid w:val="00A909C8"/>
    <w:rsid w:val="00A90ADB"/>
    <w:rsid w:val="00A91405"/>
    <w:rsid w:val="00A91721"/>
    <w:rsid w:val="00A91FDD"/>
    <w:rsid w:val="00A9209B"/>
    <w:rsid w:val="00A9264F"/>
    <w:rsid w:val="00A928BB"/>
    <w:rsid w:val="00A92C53"/>
    <w:rsid w:val="00A932D8"/>
    <w:rsid w:val="00A9337B"/>
    <w:rsid w:val="00A936D4"/>
    <w:rsid w:val="00A940FE"/>
    <w:rsid w:val="00A94310"/>
    <w:rsid w:val="00A944A1"/>
    <w:rsid w:val="00A94503"/>
    <w:rsid w:val="00A96521"/>
    <w:rsid w:val="00A965AD"/>
    <w:rsid w:val="00A96EE9"/>
    <w:rsid w:val="00A97107"/>
    <w:rsid w:val="00A974F8"/>
    <w:rsid w:val="00A97582"/>
    <w:rsid w:val="00A97ED2"/>
    <w:rsid w:val="00AA0082"/>
    <w:rsid w:val="00AA03F7"/>
    <w:rsid w:val="00AA04D8"/>
    <w:rsid w:val="00AA093A"/>
    <w:rsid w:val="00AA1034"/>
    <w:rsid w:val="00AA12FE"/>
    <w:rsid w:val="00AA1455"/>
    <w:rsid w:val="00AA1634"/>
    <w:rsid w:val="00AA166C"/>
    <w:rsid w:val="00AA1BC5"/>
    <w:rsid w:val="00AA1FC3"/>
    <w:rsid w:val="00AA25DB"/>
    <w:rsid w:val="00AA25F9"/>
    <w:rsid w:val="00AA297E"/>
    <w:rsid w:val="00AA2A1F"/>
    <w:rsid w:val="00AA2ACE"/>
    <w:rsid w:val="00AA2D40"/>
    <w:rsid w:val="00AA3017"/>
    <w:rsid w:val="00AA3295"/>
    <w:rsid w:val="00AA3AE0"/>
    <w:rsid w:val="00AA47AA"/>
    <w:rsid w:val="00AA53C3"/>
    <w:rsid w:val="00AA555B"/>
    <w:rsid w:val="00AA59F6"/>
    <w:rsid w:val="00AA5C03"/>
    <w:rsid w:val="00AA5DE9"/>
    <w:rsid w:val="00AA62A6"/>
    <w:rsid w:val="00AA6DDD"/>
    <w:rsid w:val="00AA7124"/>
    <w:rsid w:val="00AA71FD"/>
    <w:rsid w:val="00AA7278"/>
    <w:rsid w:val="00AA7566"/>
    <w:rsid w:val="00AA7DF3"/>
    <w:rsid w:val="00AB0248"/>
    <w:rsid w:val="00AB054B"/>
    <w:rsid w:val="00AB0814"/>
    <w:rsid w:val="00AB09C2"/>
    <w:rsid w:val="00AB10B9"/>
    <w:rsid w:val="00AB14FC"/>
    <w:rsid w:val="00AB1586"/>
    <w:rsid w:val="00AB1CD2"/>
    <w:rsid w:val="00AB246E"/>
    <w:rsid w:val="00AB2AFF"/>
    <w:rsid w:val="00AB2FB8"/>
    <w:rsid w:val="00AB30FD"/>
    <w:rsid w:val="00AB37B9"/>
    <w:rsid w:val="00AB37F8"/>
    <w:rsid w:val="00AB3ABA"/>
    <w:rsid w:val="00AB413B"/>
    <w:rsid w:val="00AB4497"/>
    <w:rsid w:val="00AB4663"/>
    <w:rsid w:val="00AB48F1"/>
    <w:rsid w:val="00AB53A8"/>
    <w:rsid w:val="00AB5504"/>
    <w:rsid w:val="00AB5638"/>
    <w:rsid w:val="00AB5A4E"/>
    <w:rsid w:val="00AB5A53"/>
    <w:rsid w:val="00AB6369"/>
    <w:rsid w:val="00AB6799"/>
    <w:rsid w:val="00AB6DBE"/>
    <w:rsid w:val="00AB754D"/>
    <w:rsid w:val="00AB772F"/>
    <w:rsid w:val="00AB7A91"/>
    <w:rsid w:val="00AC00FC"/>
    <w:rsid w:val="00AC03D0"/>
    <w:rsid w:val="00AC0879"/>
    <w:rsid w:val="00AC175A"/>
    <w:rsid w:val="00AC191E"/>
    <w:rsid w:val="00AC1AC1"/>
    <w:rsid w:val="00AC259C"/>
    <w:rsid w:val="00AC26E1"/>
    <w:rsid w:val="00AC2A5C"/>
    <w:rsid w:val="00AC2AC8"/>
    <w:rsid w:val="00AC3123"/>
    <w:rsid w:val="00AC3346"/>
    <w:rsid w:val="00AC39C1"/>
    <w:rsid w:val="00AC3A7E"/>
    <w:rsid w:val="00AC3DFA"/>
    <w:rsid w:val="00AC44B1"/>
    <w:rsid w:val="00AC4EE6"/>
    <w:rsid w:val="00AC55BC"/>
    <w:rsid w:val="00AC57F0"/>
    <w:rsid w:val="00AC5D23"/>
    <w:rsid w:val="00AC620B"/>
    <w:rsid w:val="00AC6271"/>
    <w:rsid w:val="00AC653A"/>
    <w:rsid w:val="00AC6A16"/>
    <w:rsid w:val="00AC6A45"/>
    <w:rsid w:val="00AC6B4D"/>
    <w:rsid w:val="00AC6BCF"/>
    <w:rsid w:val="00AC6D39"/>
    <w:rsid w:val="00AC6DD4"/>
    <w:rsid w:val="00AC6E04"/>
    <w:rsid w:val="00AC7255"/>
    <w:rsid w:val="00AC7AA2"/>
    <w:rsid w:val="00AD02EC"/>
    <w:rsid w:val="00AD0355"/>
    <w:rsid w:val="00AD06F1"/>
    <w:rsid w:val="00AD0743"/>
    <w:rsid w:val="00AD0967"/>
    <w:rsid w:val="00AD0DF5"/>
    <w:rsid w:val="00AD0EA5"/>
    <w:rsid w:val="00AD1013"/>
    <w:rsid w:val="00AD10FC"/>
    <w:rsid w:val="00AD1365"/>
    <w:rsid w:val="00AD16F8"/>
    <w:rsid w:val="00AD1972"/>
    <w:rsid w:val="00AD19C0"/>
    <w:rsid w:val="00AD21E9"/>
    <w:rsid w:val="00AD225C"/>
    <w:rsid w:val="00AD246D"/>
    <w:rsid w:val="00AD2C20"/>
    <w:rsid w:val="00AD3103"/>
    <w:rsid w:val="00AD3A36"/>
    <w:rsid w:val="00AD441A"/>
    <w:rsid w:val="00AD462F"/>
    <w:rsid w:val="00AD58A0"/>
    <w:rsid w:val="00AD5905"/>
    <w:rsid w:val="00AD5A9D"/>
    <w:rsid w:val="00AD5D95"/>
    <w:rsid w:val="00AD6479"/>
    <w:rsid w:val="00AD65D5"/>
    <w:rsid w:val="00AD72C9"/>
    <w:rsid w:val="00AD745F"/>
    <w:rsid w:val="00AD75E4"/>
    <w:rsid w:val="00AD7B15"/>
    <w:rsid w:val="00AD7BAC"/>
    <w:rsid w:val="00AE0A40"/>
    <w:rsid w:val="00AE0BFC"/>
    <w:rsid w:val="00AE0D5A"/>
    <w:rsid w:val="00AE11EF"/>
    <w:rsid w:val="00AE17BF"/>
    <w:rsid w:val="00AE18B4"/>
    <w:rsid w:val="00AE2419"/>
    <w:rsid w:val="00AE24A5"/>
    <w:rsid w:val="00AE3277"/>
    <w:rsid w:val="00AE32E1"/>
    <w:rsid w:val="00AE399A"/>
    <w:rsid w:val="00AE3A43"/>
    <w:rsid w:val="00AE3BA4"/>
    <w:rsid w:val="00AE42A6"/>
    <w:rsid w:val="00AE4A3C"/>
    <w:rsid w:val="00AE4A55"/>
    <w:rsid w:val="00AE4AAB"/>
    <w:rsid w:val="00AE4EC4"/>
    <w:rsid w:val="00AE50D7"/>
    <w:rsid w:val="00AE510F"/>
    <w:rsid w:val="00AE52BA"/>
    <w:rsid w:val="00AE5538"/>
    <w:rsid w:val="00AE5969"/>
    <w:rsid w:val="00AE597E"/>
    <w:rsid w:val="00AE59CB"/>
    <w:rsid w:val="00AE5B8B"/>
    <w:rsid w:val="00AE62D7"/>
    <w:rsid w:val="00AE69DE"/>
    <w:rsid w:val="00AE6BB1"/>
    <w:rsid w:val="00AE6BFC"/>
    <w:rsid w:val="00AE6CE9"/>
    <w:rsid w:val="00AE7051"/>
    <w:rsid w:val="00AE795C"/>
    <w:rsid w:val="00AE7AA4"/>
    <w:rsid w:val="00AE7BB8"/>
    <w:rsid w:val="00AF049E"/>
    <w:rsid w:val="00AF1076"/>
    <w:rsid w:val="00AF1D39"/>
    <w:rsid w:val="00AF2437"/>
    <w:rsid w:val="00AF2500"/>
    <w:rsid w:val="00AF255D"/>
    <w:rsid w:val="00AF2A2E"/>
    <w:rsid w:val="00AF2EAC"/>
    <w:rsid w:val="00AF2EE9"/>
    <w:rsid w:val="00AF32AF"/>
    <w:rsid w:val="00AF3618"/>
    <w:rsid w:val="00AF380E"/>
    <w:rsid w:val="00AF41C8"/>
    <w:rsid w:val="00AF4579"/>
    <w:rsid w:val="00AF48E7"/>
    <w:rsid w:val="00AF4B74"/>
    <w:rsid w:val="00AF4BD8"/>
    <w:rsid w:val="00AF590B"/>
    <w:rsid w:val="00AF6107"/>
    <w:rsid w:val="00AF68B0"/>
    <w:rsid w:val="00AF6C85"/>
    <w:rsid w:val="00AF6E18"/>
    <w:rsid w:val="00AF7165"/>
    <w:rsid w:val="00AF737B"/>
    <w:rsid w:val="00AF774B"/>
    <w:rsid w:val="00AF79C3"/>
    <w:rsid w:val="00B00206"/>
    <w:rsid w:val="00B0064B"/>
    <w:rsid w:val="00B00E69"/>
    <w:rsid w:val="00B00FA7"/>
    <w:rsid w:val="00B010EF"/>
    <w:rsid w:val="00B01613"/>
    <w:rsid w:val="00B0195F"/>
    <w:rsid w:val="00B01A8F"/>
    <w:rsid w:val="00B01DEC"/>
    <w:rsid w:val="00B01FBB"/>
    <w:rsid w:val="00B02001"/>
    <w:rsid w:val="00B023AC"/>
    <w:rsid w:val="00B02658"/>
    <w:rsid w:val="00B02DFC"/>
    <w:rsid w:val="00B02F0D"/>
    <w:rsid w:val="00B02FD5"/>
    <w:rsid w:val="00B03672"/>
    <w:rsid w:val="00B0371B"/>
    <w:rsid w:val="00B0400F"/>
    <w:rsid w:val="00B048A6"/>
    <w:rsid w:val="00B0581B"/>
    <w:rsid w:val="00B05B9C"/>
    <w:rsid w:val="00B061E6"/>
    <w:rsid w:val="00B06A69"/>
    <w:rsid w:val="00B06D21"/>
    <w:rsid w:val="00B0751D"/>
    <w:rsid w:val="00B07910"/>
    <w:rsid w:val="00B07B0E"/>
    <w:rsid w:val="00B07F72"/>
    <w:rsid w:val="00B07FA5"/>
    <w:rsid w:val="00B10472"/>
    <w:rsid w:val="00B1070E"/>
    <w:rsid w:val="00B109E3"/>
    <w:rsid w:val="00B10BF8"/>
    <w:rsid w:val="00B110C7"/>
    <w:rsid w:val="00B113F7"/>
    <w:rsid w:val="00B1184F"/>
    <w:rsid w:val="00B118E5"/>
    <w:rsid w:val="00B11ABF"/>
    <w:rsid w:val="00B11AF0"/>
    <w:rsid w:val="00B12070"/>
    <w:rsid w:val="00B1234E"/>
    <w:rsid w:val="00B12C45"/>
    <w:rsid w:val="00B12C95"/>
    <w:rsid w:val="00B12F10"/>
    <w:rsid w:val="00B13070"/>
    <w:rsid w:val="00B130BA"/>
    <w:rsid w:val="00B133CA"/>
    <w:rsid w:val="00B13981"/>
    <w:rsid w:val="00B13E59"/>
    <w:rsid w:val="00B1432E"/>
    <w:rsid w:val="00B14C76"/>
    <w:rsid w:val="00B150C0"/>
    <w:rsid w:val="00B1528A"/>
    <w:rsid w:val="00B157B1"/>
    <w:rsid w:val="00B15BC7"/>
    <w:rsid w:val="00B16086"/>
    <w:rsid w:val="00B16C80"/>
    <w:rsid w:val="00B16DF7"/>
    <w:rsid w:val="00B16E18"/>
    <w:rsid w:val="00B1724A"/>
    <w:rsid w:val="00B172A5"/>
    <w:rsid w:val="00B202CD"/>
    <w:rsid w:val="00B20D1E"/>
    <w:rsid w:val="00B20E22"/>
    <w:rsid w:val="00B2110E"/>
    <w:rsid w:val="00B211A9"/>
    <w:rsid w:val="00B2190B"/>
    <w:rsid w:val="00B21A9E"/>
    <w:rsid w:val="00B21BE5"/>
    <w:rsid w:val="00B21D6E"/>
    <w:rsid w:val="00B21E8A"/>
    <w:rsid w:val="00B220C1"/>
    <w:rsid w:val="00B227AB"/>
    <w:rsid w:val="00B2291F"/>
    <w:rsid w:val="00B234CC"/>
    <w:rsid w:val="00B23612"/>
    <w:rsid w:val="00B23888"/>
    <w:rsid w:val="00B244CB"/>
    <w:rsid w:val="00B247A5"/>
    <w:rsid w:val="00B24925"/>
    <w:rsid w:val="00B24ACC"/>
    <w:rsid w:val="00B24BE7"/>
    <w:rsid w:val="00B24CD3"/>
    <w:rsid w:val="00B24DAC"/>
    <w:rsid w:val="00B251BE"/>
    <w:rsid w:val="00B259E8"/>
    <w:rsid w:val="00B25A94"/>
    <w:rsid w:val="00B25AE7"/>
    <w:rsid w:val="00B25F5A"/>
    <w:rsid w:val="00B25FC2"/>
    <w:rsid w:val="00B2671F"/>
    <w:rsid w:val="00B267DE"/>
    <w:rsid w:val="00B269EA"/>
    <w:rsid w:val="00B26C88"/>
    <w:rsid w:val="00B26C8D"/>
    <w:rsid w:val="00B26CA4"/>
    <w:rsid w:val="00B26D0E"/>
    <w:rsid w:val="00B27A47"/>
    <w:rsid w:val="00B3008B"/>
    <w:rsid w:val="00B30509"/>
    <w:rsid w:val="00B30C3E"/>
    <w:rsid w:val="00B30EA4"/>
    <w:rsid w:val="00B31388"/>
    <w:rsid w:val="00B313FC"/>
    <w:rsid w:val="00B32435"/>
    <w:rsid w:val="00B32E68"/>
    <w:rsid w:val="00B32E72"/>
    <w:rsid w:val="00B337E3"/>
    <w:rsid w:val="00B33866"/>
    <w:rsid w:val="00B3411E"/>
    <w:rsid w:val="00B3434B"/>
    <w:rsid w:val="00B34740"/>
    <w:rsid w:val="00B34B65"/>
    <w:rsid w:val="00B352F8"/>
    <w:rsid w:val="00B354A9"/>
    <w:rsid w:val="00B355EA"/>
    <w:rsid w:val="00B35933"/>
    <w:rsid w:val="00B35EDD"/>
    <w:rsid w:val="00B36290"/>
    <w:rsid w:val="00B36583"/>
    <w:rsid w:val="00B365B9"/>
    <w:rsid w:val="00B36731"/>
    <w:rsid w:val="00B36D74"/>
    <w:rsid w:val="00B36F4D"/>
    <w:rsid w:val="00B37558"/>
    <w:rsid w:val="00B37B46"/>
    <w:rsid w:val="00B37F31"/>
    <w:rsid w:val="00B40230"/>
    <w:rsid w:val="00B4079E"/>
    <w:rsid w:val="00B40B8F"/>
    <w:rsid w:val="00B40D76"/>
    <w:rsid w:val="00B4118D"/>
    <w:rsid w:val="00B411AF"/>
    <w:rsid w:val="00B41589"/>
    <w:rsid w:val="00B419C8"/>
    <w:rsid w:val="00B4216E"/>
    <w:rsid w:val="00B4275D"/>
    <w:rsid w:val="00B42A3B"/>
    <w:rsid w:val="00B42DE2"/>
    <w:rsid w:val="00B431BE"/>
    <w:rsid w:val="00B43650"/>
    <w:rsid w:val="00B4374C"/>
    <w:rsid w:val="00B438B4"/>
    <w:rsid w:val="00B443B8"/>
    <w:rsid w:val="00B44BC3"/>
    <w:rsid w:val="00B44C83"/>
    <w:rsid w:val="00B44CA5"/>
    <w:rsid w:val="00B45441"/>
    <w:rsid w:val="00B455C2"/>
    <w:rsid w:val="00B45A2B"/>
    <w:rsid w:val="00B45B66"/>
    <w:rsid w:val="00B45DAD"/>
    <w:rsid w:val="00B461DE"/>
    <w:rsid w:val="00B46328"/>
    <w:rsid w:val="00B4638C"/>
    <w:rsid w:val="00B46854"/>
    <w:rsid w:val="00B46DC2"/>
    <w:rsid w:val="00B47567"/>
    <w:rsid w:val="00B4759F"/>
    <w:rsid w:val="00B478B1"/>
    <w:rsid w:val="00B47D7B"/>
    <w:rsid w:val="00B500AB"/>
    <w:rsid w:val="00B5040B"/>
    <w:rsid w:val="00B5058C"/>
    <w:rsid w:val="00B50D03"/>
    <w:rsid w:val="00B50E7D"/>
    <w:rsid w:val="00B50F2D"/>
    <w:rsid w:val="00B510C1"/>
    <w:rsid w:val="00B522D0"/>
    <w:rsid w:val="00B523F0"/>
    <w:rsid w:val="00B524D4"/>
    <w:rsid w:val="00B52530"/>
    <w:rsid w:val="00B52561"/>
    <w:rsid w:val="00B52E16"/>
    <w:rsid w:val="00B531B4"/>
    <w:rsid w:val="00B539E6"/>
    <w:rsid w:val="00B53EA9"/>
    <w:rsid w:val="00B549D8"/>
    <w:rsid w:val="00B55138"/>
    <w:rsid w:val="00B5525F"/>
    <w:rsid w:val="00B552BD"/>
    <w:rsid w:val="00B55320"/>
    <w:rsid w:val="00B556E4"/>
    <w:rsid w:val="00B556FB"/>
    <w:rsid w:val="00B55FC0"/>
    <w:rsid w:val="00B56823"/>
    <w:rsid w:val="00B5718B"/>
    <w:rsid w:val="00B57746"/>
    <w:rsid w:val="00B57DA4"/>
    <w:rsid w:val="00B57E47"/>
    <w:rsid w:val="00B60112"/>
    <w:rsid w:val="00B604E7"/>
    <w:rsid w:val="00B60746"/>
    <w:rsid w:val="00B60F0D"/>
    <w:rsid w:val="00B6184D"/>
    <w:rsid w:val="00B61F75"/>
    <w:rsid w:val="00B62339"/>
    <w:rsid w:val="00B62730"/>
    <w:rsid w:val="00B62BB6"/>
    <w:rsid w:val="00B62E20"/>
    <w:rsid w:val="00B62E45"/>
    <w:rsid w:val="00B6349E"/>
    <w:rsid w:val="00B63AB6"/>
    <w:rsid w:val="00B63E04"/>
    <w:rsid w:val="00B63EDF"/>
    <w:rsid w:val="00B6433B"/>
    <w:rsid w:val="00B645B1"/>
    <w:rsid w:val="00B64738"/>
    <w:rsid w:val="00B6495F"/>
    <w:rsid w:val="00B64F19"/>
    <w:rsid w:val="00B651F5"/>
    <w:rsid w:val="00B656BD"/>
    <w:rsid w:val="00B658EF"/>
    <w:rsid w:val="00B659B8"/>
    <w:rsid w:val="00B65C18"/>
    <w:rsid w:val="00B660C9"/>
    <w:rsid w:val="00B66294"/>
    <w:rsid w:val="00B664B1"/>
    <w:rsid w:val="00B66537"/>
    <w:rsid w:val="00B66717"/>
    <w:rsid w:val="00B66919"/>
    <w:rsid w:val="00B66B8C"/>
    <w:rsid w:val="00B670C4"/>
    <w:rsid w:val="00B6721F"/>
    <w:rsid w:val="00B6787E"/>
    <w:rsid w:val="00B6799E"/>
    <w:rsid w:val="00B679B8"/>
    <w:rsid w:val="00B67B3F"/>
    <w:rsid w:val="00B67D72"/>
    <w:rsid w:val="00B70022"/>
    <w:rsid w:val="00B70173"/>
    <w:rsid w:val="00B70AA8"/>
    <w:rsid w:val="00B70DF3"/>
    <w:rsid w:val="00B7127B"/>
    <w:rsid w:val="00B7196C"/>
    <w:rsid w:val="00B728F2"/>
    <w:rsid w:val="00B7292C"/>
    <w:rsid w:val="00B73191"/>
    <w:rsid w:val="00B7349E"/>
    <w:rsid w:val="00B74045"/>
    <w:rsid w:val="00B74298"/>
    <w:rsid w:val="00B742BA"/>
    <w:rsid w:val="00B742DF"/>
    <w:rsid w:val="00B74824"/>
    <w:rsid w:val="00B748AA"/>
    <w:rsid w:val="00B74B2C"/>
    <w:rsid w:val="00B7501D"/>
    <w:rsid w:val="00B7517A"/>
    <w:rsid w:val="00B753D1"/>
    <w:rsid w:val="00B75707"/>
    <w:rsid w:val="00B75C4F"/>
    <w:rsid w:val="00B75D65"/>
    <w:rsid w:val="00B75E32"/>
    <w:rsid w:val="00B762BB"/>
    <w:rsid w:val="00B76326"/>
    <w:rsid w:val="00B76862"/>
    <w:rsid w:val="00B76BB5"/>
    <w:rsid w:val="00B76C5F"/>
    <w:rsid w:val="00B77468"/>
    <w:rsid w:val="00B775F0"/>
    <w:rsid w:val="00B77665"/>
    <w:rsid w:val="00B778CE"/>
    <w:rsid w:val="00B77CA0"/>
    <w:rsid w:val="00B80BA3"/>
    <w:rsid w:val="00B8169B"/>
    <w:rsid w:val="00B81E23"/>
    <w:rsid w:val="00B81F3C"/>
    <w:rsid w:val="00B826B9"/>
    <w:rsid w:val="00B827F2"/>
    <w:rsid w:val="00B828B1"/>
    <w:rsid w:val="00B82CFC"/>
    <w:rsid w:val="00B836D9"/>
    <w:rsid w:val="00B842A6"/>
    <w:rsid w:val="00B84737"/>
    <w:rsid w:val="00B8482C"/>
    <w:rsid w:val="00B848F1"/>
    <w:rsid w:val="00B84B9E"/>
    <w:rsid w:val="00B84ED4"/>
    <w:rsid w:val="00B85232"/>
    <w:rsid w:val="00B852D6"/>
    <w:rsid w:val="00B85698"/>
    <w:rsid w:val="00B85C69"/>
    <w:rsid w:val="00B86620"/>
    <w:rsid w:val="00B86A6F"/>
    <w:rsid w:val="00B86A91"/>
    <w:rsid w:val="00B86BD3"/>
    <w:rsid w:val="00B873D8"/>
    <w:rsid w:val="00B8749E"/>
    <w:rsid w:val="00B87BE1"/>
    <w:rsid w:val="00B87EC9"/>
    <w:rsid w:val="00B9091A"/>
    <w:rsid w:val="00B90B50"/>
    <w:rsid w:val="00B91271"/>
    <w:rsid w:val="00B919A9"/>
    <w:rsid w:val="00B91E86"/>
    <w:rsid w:val="00B924DD"/>
    <w:rsid w:val="00B92527"/>
    <w:rsid w:val="00B926F2"/>
    <w:rsid w:val="00B928BF"/>
    <w:rsid w:val="00B92A58"/>
    <w:rsid w:val="00B92B4F"/>
    <w:rsid w:val="00B93730"/>
    <w:rsid w:val="00B94378"/>
    <w:rsid w:val="00B94FC5"/>
    <w:rsid w:val="00B9510D"/>
    <w:rsid w:val="00B953C7"/>
    <w:rsid w:val="00B9562F"/>
    <w:rsid w:val="00B95972"/>
    <w:rsid w:val="00B95B27"/>
    <w:rsid w:val="00B95C4C"/>
    <w:rsid w:val="00B95E07"/>
    <w:rsid w:val="00B96334"/>
    <w:rsid w:val="00B96F77"/>
    <w:rsid w:val="00B97393"/>
    <w:rsid w:val="00B97C6B"/>
    <w:rsid w:val="00BA0317"/>
    <w:rsid w:val="00BA046C"/>
    <w:rsid w:val="00BA0D1F"/>
    <w:rsid w:val="00BA0E06"/>
    <w:rsid w:val="00BA0E64"/>
    <w:rsid w:val="00BA0FE3"/>
    <w:rsid w:val="00BA1373"/>
    <w:rsid w:val="00BA2340"/>
    <w:rsid w:val="00BA26E1"/>
    <w:rsid w:val="00BA2779"/>
    <w:rsid w:val="00BA2C17"/>
    <w:rsid w:val="00BA3422"/>
    <w:rsid w:val="00BA3526"/>
    <w:rsid w:val="00BA3D5E"/>
    <w:rsid w:val="00BA44FE"/>
    <w:rsid w:val="00BA4649"/>
    <w:rsid w:val="00BA4B60"/>
    <w:rsid w:val="00BA4F14"/>
    <w:rsid w:val="00BA524F"/>
    <w:rsid w:val="00BA5327"/>
    <w:rsid w:val="00BA54AD"/>
    <w:rsid w:val="00BA5938"/>
    <w:rsid w:val="00BA5BFD"/>
    <w:rsid w:val="00BA5DC8"/>
    <w:rsid w:val="00BA645C"/>
    <w:rsid w:val="00BA6592"/>
    <w:rsid w:val="00BA71FD"/>
    <w:rsid w:val="00BA7263"/>
    <w:rsid w:val="00BA72EB"/>
    <w:rsid w:val="00BA7C8A"/>
    <w:rsid w:val="00BA7D76"/>
    <w:rsid w:val="00BB0063"/>
    <w:rsid w:val="00BB1097"/>
    <w:rsid w:val="00BB1670"/>
    <w:rsid w:val="00BB25AA"/>
    <w:rsid w:val="00BB2906"/>
    <w:rsid w:val="00BB3348"/>
    <w:rsid w:val="00BB39F8"/>
    <w:rsid w:val="00BB3C84"/>
    <w:rsid w:val="00BB3DED"/>
    <w:rsid w:val="00BB41C5"/>
    <w:rsid w:val="00BB446C"/>
    <w:rsid w:val="00BB4D81"/>
    <w:rsid w:val="00BB5918"/>
    <w:rsid w:val="00BB5B3E"/>
    <w:rsid w:val="00BB5D20"/>
    <w:rsid w:val="00BB6442"/>
    <w:rsid w:val="00BB6825"/>
    <w:rsid w:val="00BB6F2C"/>
    <w:rsid w:val="00BB720E"/>
    <w:rsid w:val="00BB7457"/>
    <w:rsid w:val="00BB750A"/>
    <w:rsid w:val="00BB76B0"/>
    <w:rsid w:val="00BB7A2F"/>
    <w:rsid w:val="00BB7A9A"/>
    <w:rsid w:val="00BB7B98"/>
    <w:rsid w:val="00BB7F11"/>
    <w:rsid w:val="00BC0A04"/>
    <w:rsid w:val="00BC0B9C"/>
    <w:rsid w:val="00BC1651"/>
    <w:rsid w:val="00BC19CA"/>
    <w:rsid w:val="00BC20C8"/>
    <w:rsid w:val="00BC2211"/>
    <w:rsid w:val="00BC2494"/>
    <w:rsid w:val="00BC2532"/>
    <w:rsid w:val="00BC25D9"/>
    <w:rsid w:val="00BC2652"/>
    <w:rsid w:val="00BC2960"/>
    <w:rsid w:val="00BC2C18"/>
    <w:rsid w:val="00BC2EBD"/>
    <w:rsid w:val="00BC30B5"/>
    <w:rsid w:val="00BC3291"/>
    <w:rsid w:val="00BC389B"/>
    <w:rsid w:val="00BC3B35"/>
    <w:rsid w:val="00BC43FD"/>
    <w:rsid w:val="00BC4432"/>
    <w:rsid w:val="00BC46E8"/>
    <w:rsid w:val="00BC4831"/>
    <w:rsid w:val="00BC68A7"/>
    <w:rsid w:val="00BC6AA7"/>
    <w:rsid w:val="00BC6BD9"/>
    <w:rsid w:val="00BC6C84"/>
    <w:rsid w:val="00BC6CB8"/>
    <w:rsid w:val="00BC6DA3"/>
    <w:rsid w:val="00BC6E9C"/>
    <w:rsid w:val="00BC7075"/>
    <w:rsid w:val="00BC7522"/>
    <w:rsid w:val="00BC7617"/>
    <w:rsid w:val="00BC772B"/>
    <w:rsid w:val="00BC7EC6"/>
    <w:rsid w:val="00BD03B8"/>
    <w:rsid w:val="00BD060C"/>
    <w:rsid w:val="00BD065B"/>
    <w:rsid w:val="00BD094B"/>
    <w:rsid w:val="00BD13F9"/>
    <w:rsid w:val="00BD20E2"/>
    <w:rsid w:val="00BD2657"/>
    <w:rsid w:val="00BD2D88"/>
    <w:rsid w:val="00BD2F57"/>
    <w:rsid w:val="00BD3184"/>
    <w:rsid w:val="00BD32BB"/>
    <w:rsid w:val="00BD341A"/>
    <w:rsid w:val="00BD3596"/>
    <w:rsid w:val="00BD3707"/>
    <w:rsid w:val="00BD376B"/>
    <w:rsid w:val="00BD3952"/>
    <w:rsid w:val="00BD3CAC"/>
    <w:rsid w:val="00BD3DDD"/>
    <w:rsid w:val="00BD4166"/>
    <w:rsid w:val="00BD44F7"/>
    <w:rsid w:val="00BD4972"/>
    <w:rsid w:val="00BD4A44"/>
    <w:rsid w:val="00BD4A96"/>
    <w:rsid w:val="00BD4F5F"/>
    <w:rsid w:val="00BD4FA6"/>
    <w:rsid w:val="00BD52E4"/>
    <w:rsid w:val="00BD569C"/>
    <w:rsid w:val="00BD5831"/>
    <w:rsid w:val="00BD5A35"/>
    <w:rsid w:val="00BD6198"/>
    <w:rsid w:val="00BD6453"/>
    <w:rsid w:val="00BD68F3"/>
    <w:rsid w:val="00BD6900"/>
    <w:rsid w:val="00BD6A08"/>
    <w:rsid w:val="00BD6C15"/>
    <w:rsid w:val="00BD6D80"/>
    <w:rsid w:val="00BD703D"/>
    <w:rsid w:val="00BD726C"/>
    <w:rsid w:val="00BD7290"/>
    <w:rsid w:val="00BD73F1"/>
    <w:rsid w:val="00BD7E0E"/>
    <w:rsid w:val="00BE00DB"/>
    <w:rsid w:val="00BE0586"/>
    <w:rsid w:val="00BE1A55"/>
    <w:rsid w:val="00BE2052"/>
    <w:rsid w:val="00BE277A"/>
    <w:rsid w:val="00BE2F2C"/>
    <w:rsid w:val="00BE345B"/>
    <w:rsid w:val="00BE3620"/>
    <w:rsid w:val="00BE4C8C"/>
    <w:rsid w:val="00BE503C"/>
    <w:rsid w:val="00BE50B4"/>
    <w:rsid w:val="00BE58CB"/>
    <w:rsid w:val="00BE598F"/>
    <w:rsid w:val="00BE5A89"/>
    <w:rsid w:val="00BE6613"/>
    <w:rsid w:val="00BE6B52"/>
    <w:rsid w:val="00BE6DA7"/>
    <w:rsid w:val="00BE6FD0"/>
    <w:rsid w:val="00BE750C"/>
    <w:rsid w:val="00BE76F0"/>
    <w:rsid w:val="00BE7A85"/>
    <w:rsid w:val="00BF014A"/>
    <w:rsid w:val="00BF0556"/>
    <w:rsid w:val="00BF08A6"/>
    <w:rsid w:val="00BF0A17"/>
    <w:rsid w:val="00BF0E7C"/>
    <w:rsid w:val="00BF1521"/>
    <w:rsid w:val="00BF1615"/>
    <w:rsid w:val="00BF17C6"/>
    <w:rsid w:val="00BF1B53"/>
    <w:rsid w:val="00BF244A"/>
    <w:rsid w:val="00BF2626"/>
    <w:rsid w:val="00BF2AF0"/>
    <w:rsid w:val="00BF2BC7"/>
    <w:rsid w:val="00BF2C03"/>
    <w:rsid w:val="00BF30E8"/>
    <w:rsid w:val="00BF31F1"/>
    <w:rsid w:val="00BF3412"/>
    <w:rsid w:val="00BF3481"/>
    <w:rsid w:val="00BF351C"/>
    <w:rsid w:val="00BF3985"/>
    <w:rsid w:val="00BF3F89"/>
    <w:rsid w:val="00BF3FEB"/>
    <w:rsid w:val="00BF4265"/>
    <w:rsid w:val="00BF4CE7"/>
    <w:rsid w:val="00BF5167"/>
    <w:rsid w:val="00BF5A08"/>
    <w:rsid w:val="00BF5CBE"/>
    <w:rsid w:val="00BF5E2D"/>
    <w:rsid w:val="00BF5E60"/>
    <w:rsid w:val="00BF610B"/>
    <w:rsid w:val="00BF7049"/>
    <w:rsid w:val="00BF7534"/>
    <w:rsid w:val="00BF760D"/>
    <w:rsid w:val="00BF76AF"/>
    <w:rsid w:val="00BF79F6"/>
    <w:rsid w:val="00BF7A10"/>
    <w:rsid w:val="00BF7E5D"/>
    <w:rsid w:val="00C000CE"/>
    <w:rsid w:val="00C007F3"/>
    <w:rsid w:val="00C008B5"/>
    <w:rsid w:val="00C00B06"/>
    <w:rsid w:val="00C00B36"/>
    <w:rsid w:val="00C00D74"/>
    <w:rsid w:val="00C015D0"/>
    <w:rsid w:val="00C01637"/>
    <w:rsid w:val="00C01AC2"/>
    <w:rsid w:val="00C01F2F"/>
    <w:rsid w:val="00C03330"/>
    <w:rsid w:val="00C03343"/>
    <w:rsid w:val="00C03462"/>
    <w:rsid w:val="00C03AE3"/>
    <w:rsid w:val="00C03E9D"/>
    <w:rsid w:val="00C040D7"/>
    <w:rsid w:val="00C0426B"/>
    <w:rsid w:val="00C0437A"/>
    <w:rsid w:val="00C0448E"/>
    <w:rsid w:val="00C047BF"/>
    <w:rsid w:val="00C0480F"/>
    <w:rsid w:val="00C049C1"/>
    <w:rsid w:val="00C04A33"/>
    <w:rsid w:val="00C054C2"/>
    <w:rsid w:val="00C061B7"/>
    <w:rsid w:val="00C0652B"/>
    <w:rsid w:val="00C06609"/>
    <w:rsid w:val="00C06D5A"/>
    <w:rsid w:val="00C06D78"/>
    <w:rsid w:val="00C072DC"/>
    <w:rsid w:val="00C0785C"/>
    <w:rsid w:val="00C079F5"/>
    <w:rsid w:val="00C07B4E"/>
    <w:rsid w:val="00C07C29"/>
    <w:rsid w:val="00C10D09"/>
    <w:rsid w:val="00C10F0E"/>
    <w:rsid w:val="00C111BA"/>
    <w:rsid w:val="00C11B50"/>
    <w:rsid w:val="00C11C87"/>
    <w:rsid w:val="00C11DCB"/>
    <w:rsid w:val="00C11DF6"/>
    <w:rsid w:val="00C122C6"/>
    <w:rsid w:val="00C1235B"/>
    <w:rsid w:val="00C12754"/>
    <w:rsid w:val="00C127A4"/>
    <w:rsid w:val="00C127B7"/>
    <w:rsid w:val="00C12B19"/>
    <w:rsid w:val="00C12CEC"/>
    <w:rsid w:val="00C135DF"/>
    <w:rsid w:val="00C136DA"/>
    <w:rsid w:val="00C13E09"/>
    <w:rsid w:val="00C14855"/>
    <w:rsid w:val="00C14A70"/>
    <w:rsid w:val="00C14AAB"/>
    <w:rsid w:val="00C14EB0"/>
    <w:rsid w:val="00C15186"/>
    <w:rsid w:val="00C153C2"/>
    <w:rsid w:val="00C155EE"/>
    <w:rsid w:val="00C15C95"/>
    <w:rsid w:val="00C15D50"/>
    <w:rsid w:val="00C1613B"/>
    <w:rsid w:val="00C164E4"/>
    <w:rsid w:val="00C16777"/>
    <w:rsid w:val="00C16BB6"/>
    <w:rsid w:val="00C16C72"/>
    <w:rsid w:val="00C16EAB"/>
    <w:rsid w:val="00C179F7"/>
    <w:rsid w:val="00C17A30"/>
    <w:rsid w:val="00C17D42"/>
    <w:rsid w:val="00C20FE6"/>
    <w:rsid w:val="00C216E9"/>
    <w:rsid w:val="00C2189F"/>
    <w:rsid w:val="00C218F2"/>
    <w:rsid w:val="00C21EBD"/>
    <w:rsid w:val="00C22506"/>
    <w:rsid w:val="00C22854"/>
    <w:rsid w:val="00C23666"/>
    <w:rsid w:val="00C23F0C"/>
    <w:rsid w:val="00C24156"/>
    <w:rsid w:val="00C2453F"/>
    <w:rsid w:val="00C2457E"/>
    <w:rsid w:val="00C249DA"/>
    <w:rsid w:val="00C24D0B"/>
    <w:rsid w:val="00C25030"/>
    <w:rsid w:val="00C25088"/>
    <w:rsid w:val="00C25802"/>
    <w:rsid w:val="00C25EDB"/>
    <w:rsid w:val="00C2640A"/>
    <w:rsid w:val="00C26F33"/>
    <w:rsid w:val="00C27306"/>
    <w:rsid w:val="00C27508"/>
    <w:rsid w:val="00C2761F"/>
    <w:rsid w:val="00C27803"/>
    <w:rsid w:val="00C27DA5"/>
    <w:rsid w:val="00C27F49"/>
    <w:rsid w:val="00C30225"/>
    <w:rsid w:val="00C305C0"/>
    <w:rsid w:val="00C30AA2"/>
    <w:rsid w:val="00C31736"/>
    <w:rsid w:val="00C318BD"/>
    <w:rsid w:val="00C322D4"/>
    <w:rsid w:val="00C327CA"/>
    <w:rsid w:val="00C32E36"/>
    <w:rsid w:val="00C33282"/>
    <w:rsid w:val="00C335FD"/>
    <w:rsid w:val="00C3395C"/>
    <w:rsid w:val="00C339AC"/>
    <w:rsid w:val="00C33AB2"/>
    <w:rsid w:val="00C34178"/>
    <w:rsid w:val="00C34415"/>
    <w:rsid w:val="00C345F8"/>
    <w:rsid w:val="00C3461D"/>
    <w:rsid w:val="00C34840"/>
    <w:rsid w:val="00C34AE3"/>
    <w:rsid w:val="00C34CC6"/>
    <w:rsid w:val="00C34E9B"/>
    <w:rsid w:val="00C34F4F"/>
    <w:rsid w:val="00C3511C"/>
    <w:rsid w:val="00C354D2"/>
    <w:rsid w:val="00C3563F"/>
    <w:rsid w:val="00C3586E"/>
    <w:rsid w:val="00C35E5E"/>
    <w:rsid w:val="00C36093"/>
    <w:rsid w:val="00C3624F"/>
    <w:rsid w:val="00C36A83"/>
    <w:rsid w:val="00C3737A"/>
    <w:rsid w:val="00C374C1"/>
    <w:rsid w:val="00C37D16"/>
    <w:rsid w:val="00C40398"/>
    <w:rsid w:val="00C4039E"/>
    <w:rsid w:val="00C40421"/>
    <w:rsid w:val="00C404C0"/>
    <w:rsid w:val="00C40560"/>
    <w:rsid w:val="00C405F9"/>
    <w:rsid w:val="00C407C5"/>
    <w:rsid w:val="00C40B21"/>
    <w:rsid w:val="00C40CD0"/>
    <w:rsid w:val="00C40F7A"/>
    <w:rsid w:val="00C41228"/>
    <w:rsid w:val="00C41AE4"/>
    <w:rsid w:val="00C41B7E"/>
    <w:rsid w:val="00C42F50"/>
    <w:rsid w:val="00C43157"/>
    <w:rsid w:val="00C4339F"/>
    <w:rsid w:val="00C433D1"/>
    <w:rsid w:val="00C43824"/>
    <w:rsid w:val="00C43997"/>
    <w:rsid w:val="00C43AA9"/>
    <w:rsid w:val="00C441FA"/>
    <w:rsid w:val="00C44F67"/>
    <w:rsid w:val="00C453C4"/>
    <w:rsid w:val="00C45A8E"/>
    <w:rsid w:val="00C45AEA"/>
    <w:rsid w:val="00C45DBA"/>
    <w:rsid w:val="00C4602B"/>
    <w:rsid w:val="00C462F9"/>
    <w:rsid w:val="00C4652E"/>
    <w:rsid w:val="00C472EB"/>
    <w:rsid w:val="00C47364"/>
    <w:rsid w:val="00C47456"/>
    <w:rsid w:val="00C47BC5"/>
    <w:rsid w:val="00C47CEB"/>
    <w:rsid w:val="00C47D89"/>
    <w:rsid w:val="00C47DD7"/>
    <w:rsid w:val="00C50799"/>
    <w:rsid w:val="00C50980"/>
    <w:rsid w:val="00C50B46"/>
    <w:rsid w:val="00C51C3F"/>
    <w:rsid w:val="00C51CC9"/>
    <w:rsid w:val="00C51E5A"/>
    <w:rsid w:val="00C52524"/>
    <w:rsid w:val="00C525BA"/>
    <w:rsid w:val="00C52B68"/>
    <w:rsid w:val="00C536FD"/>
    <w:rsid w:val="00C53A0D"/>
    <w:rsid w:val="00C53C0C"/>
    <w:rsid w:val="00C53CDD"/>
    <w:rsid w:val="00C54224"/>
    <w:rsid w:val="00C54288"/>
    <w:rsid w:val="00C54340"/>
    <w:rsid w:val="00C549F3"/>
    <w:rsid w:val="00C54B55"/>
    <w:rsid w:val="00C54B6D"/>
    <w:rsid w:val="00C54D6C"/>
    <w:rsid w:val="00C54DC5"/>
    <w:rsid w:val="00C550D8"/>
    <w:rsid w:val="00C552A2"/>
    <w:rsid w:val="00C553DA"/>
    <w:rsid w:val="00C55D44"/>
    <w:rsid w:val="00C56274"/>
    <w:rsid w:val="00C5647B"/>
    <w:rsid w:val="00C56799"/>
    <w:rsid w:val="00C567E0"/>
    <w:rsid w:val="00C569DB"/>
    <w:rsid w:val="00C578D3"/>
    <w:rsid w:val="00C579AB"/>
    <w:rsid w:val="00C57B28"/>
    <w:rsid w:val="00C60012"/>
    <w:rsid w:val="00C605DF"/>
    <w:rsid w:val="00C606AE"/>
    <w:rsid w:val="00C6088D"/>
    <w:rsid w:val="00C6098A"/>
    <w:rsid w:val="00C61A93"/>
    <w:rsid w:val="00C6202B"/>
    <w:rsid w:val="00C6248A"/>
    <w:rsid w:val="00C6252A"/>
    <w:rsid w:val="00C62F56"/>
    <w:rsid w:val="00C630AB"/>
    <w:rsid w:val="00C635F8"/>
    <w:rsid w:val="00C64D4B"/>
    <w:rsid w:val="00C64EF9"/>
    <w:rsid w:val="00C65F2B"/>
    <w:rsid w:val="00C660A2"/>
    <w:rsid w:val="00C665E2"/>
    <w:rsid w:val="00C668B9"/>
    <w:rsid w:val="00C66E40"/>
    <w:rsid w:val="00C66ECF"/>
    <w:rsid w:val="00C6729A"/>
    <w:rsid w:val="00C6732A"/>
    <w:rsid w:val="00C6761C"/>
    <w:rsid w:val="00C677E7"/>
    <w:rsid w:val="00C67B8C"/>
    <w:rsid w:val="00C70135"/>
    <w:rsid w:val="00C70543"/>
    <w:rsid w:val="00C705D9"/>
    <w:rsid w:val="00C70DD2"/>
    <w:rsid w:val="00C70E35"/>
    <w:rsid w:val="00C711A3"/>
    <w:rsid w:val="00C71793"/>
    <w:rsid w:val="00C71863"/>
    <w:rsid w:val="00C719BA"/>
    <w:rsid w:val="00C72243"/>
    <w:rsid w:val="00C7239C"/>
    <w:rsid w:val="00C727BC"/>
    <w:rsid w:val="00C72D33"/>
    <w:rsid w:val="00C72D99"/>
    <w:rsid w:val="00C72E23"/>
    <w:rsid w:val="00C72F20"/>
    <w:rsid w:val="00C73018"/>
    <w:rsid w:val="00C731EC"/>
    <w:rsid w:val="00C736E7"/>
    <w:rsid w:val="00C73788"/>
    <w:rsid w:val="00C738CF"/>
    <w:rsid w:val="00C73ADE"/>
    <w:rsid w:val="00C73C08"/>
    <w:rsid w:val="00C74196"/>
    <w:rsid w:val="00C74240"/>
    <w:rsid w:val="00C74471"/>
    <w:rsid w:val="00C749A2"/>
    <w:rsid w:val="00C74B4C"/>
    <w:rsid w:val="00C74C44"/>
    <w:rsid w:val="00C75730"/>
    <w:rsid w:val="00C7592A"/>
    <w:rsid w:val="00C75948"/>
    <w:rsid w:val="00C75A54"/>
    <w:rsid w:val="00C75B0B"/>
    <w:rsid w:val="00C75B8E"/>
    <w:rsid w:val="00C762F1"/>
    <w:rsid w:val="00C763ED"/>
    <w:rsid w:val="00C76405"/>
    <w:rsid w:val="00C76B62"/>
    <w:rsid w:val="00C76C53"/>
    <w:rsid w:val="00C76CDF"/>
    <w:rsid w:val="00C76E47"/>
    <w:rsid w:val="00C7718E"/>
    <w:rsid w:val="00C772A7"/>
    <w:rsid w:val="00C77460"/>
    <w:rsid w:val="00C776F1"/>
    <w:rsid w:val="00C8004B"/>
    <w:rsid w:val="00C8090A"/>
    <w:rsid w:val="00C80D47"/>
    <w:rsid w:val="00C81286"/>
    <w:rsid w:val="00C812EF"/>
    <w:rsid w:val="00C814BA"/>
    <w:rsid w:val="00C817E0"/>
    <w:rsid w:val="00C81AD2"/>
    <w:rsid w:val="00C81BB7"/>
    <w:rsid w:val="00C81EAE"/>
    <w:rsid w:val="00C83009"/>
    <w:rsid w:val="00C8365A"/>
    <w:rsid w:val="00C83D02"/>
    <w:rsid w:val="00C83F98"/>
    <w:rsid w:val="00C84041"/>
    <w:rsid w:val="00C8439B"/>
    <w:rsid w:val="00C84C9D"/>
    <w:rsid w:val="00C855A3"/>
    <w:rsid w:val="00C85AA6"/>
    <w:rsid w:val="00C85D95"/>
    <w:rsid w:val="00C8641A"/>
    <w:rsid w:val="00C867BC"/>
    <w:rsid w:val="00C86801"/>
    <w:rsid w:val="00C86B36"/>
    <w:rsid w:val="00C86C4D"/>
    <w:rsid w:val="00C87815"/>
    <w:rsid w:val="00C87C3C"/>
    <w:rsid w:val="00C90270"/>
    <w:rsid w:val="00C90405"/>
    <w:rsid w:val="00C90608"/>
    <w:rsid w:val="00C90FBA"/>
    <w:rsid w:val="00C91290"/>
    <w:rsid w:val="00C9139B"/>
    <w:rsid w:val="00C9172A"/>
    <w:rsid w:val="00C917DC"/>
    <w:rsid w:val="00C92345"/>
    <w:rsid w:val="00C927EC"/>
    <w:rsid w:val="00C93092"/>
    <w:rsid w:val="00C9354C"/>
    <w:rsid w:val="00C936CC"/>
    <w:rsid w:val="00C938FC"/>
    <w:rsid w:val="00C93D4F"/>
    <w:rsid w:val="00C93D8D"/>
    <w:rsid w:val="00C93DEE"/>
    <w:rsid w:val="00C93E7E"/>
    <w:rsid w:val="00C94253"/>
    <w:rsid w:val="00C942E1"/>
    <w:rsid w:val="00C9455B"/>
    <w:rsid w:val="00C94657"/>
    <w:rsid w:val="00C9476D"/>
    <w:rsid w:val="00C94894"/>
    <w:rsid w:val="00C9493C"/>
    <w:rsid w:val="00C949A4"/>
    <w:rsid w:val="00C94EB3"/>
    <w:rsid w:val="00C94F8C"/>
    <w:rsid w:val="00C94FB0"/>
    <w:rsid w:val="00C9512D"/>
    <w:rsid w:val="00C95B75"/>
    <w:rsid w:val="00C95F38"/>
    <w:rsid w:val="00C96092"/>
    <w:rsid w:val="00C97932"/>
    <w:rsid w:val="00C97CB9"/>
    <w:rsid w:val="00CA0248"/>
    <w:rsid w:val="00CA03FA"/>
    <w:rsid w:val="00CA0948"/>
    <w:rsid w:val="00CA0B75"/>
    <w:rsid w:val="00CA190C"/>
    <w:rsid w:val="00CA1977"/>
    <w:rsid w:val="00CA1BBF"/>
    <w:rsid w:val="00CA29B6"/>
    <w:rsid w:val="00CA2A94"/>
    <w:rsid w:val="00CA306F"/>
    <w:rsid w:val="00CA3247"/>
    <w:rsid w:val="00CA409C"/>
    <w:rsid w:val="00CA44AB"/>
    <w:rsid w:val="00CA497E"/>
    <w:rsid w:val="00CA56FF"/>
    <w:rsid w:val="00CA5B65"/>
    <w:rsid w:val="00CA5FFE"/>
    <w:rsid w:val="00CA716D"/>
    <w:rsid w:val="00CA73E2"/>
    <w:rsid w:val="00CA75BB"/>
    <w:rsid w:val="00CA7920"/>
    <w:rsid w:val="00CA7A58"/>
    <w:rsid w:val="00CA7E5E"/>
    <w:rsid w:val="00CB0226"/>
    <w:rsid w:val="00CB03B1"/>
    <w:rsid w:val="00CB0726"/>
    <w:rsid w:val="00CB0A43"/>
    <w:rsid w:val="00CB1373"/>
    <w:rsid w:val="00CB13BB"/>
    <w:rsid w:val="00CB14DE"/>
    <w:rsid w:val="00CB222A"/>
    <w:rsid w:val="00CB23AD"/>
    <w:rsid w:val="00CB26FE"/>
    <w:rsid w:val="00CB2B01"/>
    <w:rsid w:val="00CB2D87"/>
    <w:rsid w:val="00CB3114"/>
    <w:rsid w:val="00CB3AB1"/>
    <w:rsid w:val="00CB41AB"/>
    <w:rsid w:val="00CB4500"/>
    <w:rsid w:val="00CB45DB"/>
    <w:rsid w:val="00CB4C45"/>
    <w:rsid w:val="00CB4DAD"/>
    <w:rsid w:val="00CB515C"/>
    <w:rsid w:val="00CB534C"/>
    <w:rsid w:val="00CB53BE"/>
    <w:rsid w:val="00CB5BB7"/>
    <w:rsid w:val="00CB5BCF"/>
    <w:rsid w:val="00CB5C22"/>
    <w:rsid w:val="00CB63E0"/>
    <w:rsid w:val="00CB65B6"/>
    <w:rsid w:val="00CB694F"/>
    <w:rsid w:val="00CB6AC6"/>
    <w:rsid w:val="00CB6CB1"/>
    <w:rsid w:val="00CB6FAD"/>
    <w:rsid w:val="00CB738C"/>
    <w:rsid w:val="00CB7AAA"/>
    <w:rsid w:val="00CC01DB"/>
    <w:rsid w:val="00CC02EA"/>
    <w:rsid w:val="00CC0F3F"/>
    <w:rsid w:val="00CC1151"/>
    <w:rsid w:val="00CC1958"/>
    <w:rsid w:val="00CC2092"/>
    <w:rsid w:val="00CC2907"/>
    <w:rsid w:val="00CC2DC5"/>
    <w:rsid w:val="00CC308B"/>
    <w:rsid w:val="00CC3462"/>
    <w:rsid w:val="00CC3925"/>
    <w:rsid w:val="00CC395A"/>
    <w:rsid w:val="00CC43FD"/>
    <w:rsid w:val="00CC49C4"/>
    <w:rsid w:val="00CC50DC"/>
    <w:rsid w:val="00CC5689"/>
    <w:rsid w:val="00CC57C1"/>
    <w:rsid w:val="00CC5823"/>
    <w:rsid w:val="00CC5CF3"/>
    <w:rsid w:val="00CC6589"/>
    <w:rsid w:val="00CC6C03"/>
    <w:rsid w:val="00CC76C5"/>
    <w:rsid w:val="00CC7A82"/>
    <w:rsid w:val="00CC7BD7"/>
    <w:rsid w:val="00CC7F3F"/>
    <w:rsid w:val="00CD0852"/>
    <w:rsid w:val="00CD0F7C"/>
    <w:rsid w:val="00CD1402"/>
    <w:rsid w:val="00CD1576"/>
    <w:rsid w:val="00CD2220"/>
    <w:rsid w:val="00CD2296"/>
    <w:rsid w:val="00CD2405"/>
    <w:rsid w:val="00CD24D6"/>
    <w:rsid w:val="00CD2577"/>
    <w:rsid w:val="00CD2AEC"/>
    <w:rsid w:val="00CD2DFB"/>
    <w:rsid w:val="00CD3627"/>
    <w:rsid w:val="00CD36A1"/>
    <w:rsid w:val="00CD3D6A"/>
    <w:rsid w:val="00CD3E1E"/>
    <w:rsid w:val="00CD4FC9"/>
    <w:rsid w:val="00CD52A8"/>
    <w:rsid w:val="00CD52FF"/>
    <w:rsid w:val="00CD5F51"/>
    <w:rsid w:val="00CD6416"/>
    <w:rsid w:val="00CD682E"/>
    <w:rsid w:val="00CD721B"/>
    <w:rsid w:val="00CD7315"/>
    <w:rsid w:val="00CD7633"/>
    <w:rsid w:val="00CD77CE"/>
    <w:rsid w:val="00CD78B6"/>
    <w:rsid w:val="00CD7DDD"/>
    <w:rsid w:val="00CE01FD"/>
    <w:rsid w:val="00CE0A28"/>
    <w:rsid w:val="00CE0C7E"/>
    <w:rsid w:val="00CE0D45"/>
    <w:rsid w:val="00CE0DBF"/>
    <w:rsid w:val="00CE13B8"/>
    <w:rsid w:val="00CE1F07"/>
    <w:rsid w:val="00CE21C3"/>
    <w:rsid w:val="00CE22E9"/>
    <w:rsid w:val="00CE255E"/>
    <w:rsid w:val="00CE291A"/>
    <w:rsid w:val="00CE2BAB"/>
    <w:rsid w:val="00CE2FB4"/>
    <w:rsid w:val="00CE3461"/>
    <w:rsid w:val="00CE3CD9"/>
    <w:rsid w:val="00CE436A"/>
    <w:rsid w:val="00CE462D"/>
    <w:rsid w:val="00CE4701"/>
    <w:rsid w:val="00CE4EBC"/>
    <w:rsid w:val="00CE525D"/>
    <w:rsid w:val="00CE541D"/>
    <w:rsid w:val="00CE57F2"/>
    <w:rsid w:val="00CE60B6"/>
    <w:rsid w:val="00CE6484"/>
    <w:rsid w:val="00CE683D"/>
    <w:rsid w:val="00CE697D"/>
    <w:rsid w:val="00CE707F"/>
    <w:rsid w:val="00CE71BF"/>
    <w:rsid w:val="00CE7285"/>
    <w:rsid w:val="00CE77C6"/>
    <w:rsid w:val="00CE77CF"/>
    <w:rsid w:val="00CE77D7"/>
    <w:rsid w:val="00CE7A14"/>
    <w:rsid w:val="00CE7A4C"/>
    <w:rsid w:val="00CF031F"/>
    <w:rsid w:val="00CF03E1"/>
    <w:rsid w:val="00CF1088"/>
    <w:rsid w:val="00CF10A4"/>
    <w:rsid w:val="00CF16D9"/>
    <w:rsid w:val="00CF17D7"/>
    <w:rsid w:val="00CF1D34"/>
    <w:rsid w:val="00CF22CE"/>
    <w:rsid w:val="00CF2431"/>
    <w:rsid w:val="00CF2745"/>
    <w:rsid w:val="00CF2AB3"/>
    <w:rsid w:val="00CF3573"/>
    <w:rsid w:val="00CF358C"/>
    <w:rsid w:val="00CF3BA1"/>
    <w:rsid w:val="00CF3BF8"/>
    <w:rsid w:val="00CF3CD9"/>
    <w:rsid w:val="00CF3EE2"/>
    <w:rsid w:val="00CF428B"/>
    <w:rsid w:val="00CF4669"/>
    <w:rsid w:val="00CF49AA"/>
    <w:rsid w:val="00CF4B52"/>
    <w:rsid w:val="00CF4BEA"/>
    <w:rsid w:val="00CF4F5D"/>
    <w:rsid w:val="00CF5704"/>
    <w:rsid w:val="00CF576A"/>
    <w:rsid w:val="00CF576D"/>
    <w:rsid w:val="00CF5B13"/>
    <w:rsid w:val="00CF69BC"/>
    <w:rsid w:val="00CF6A82"/>
    <w:rsid w:val="00CF6BDA"/>
    <w:rsid w:val="00CF7A48"/>
    <w:rsid w:val="00CF7BF5"/>
    <w:rsid w:val="00CF7F81"/>
    <w:rsid w:val="00D00175"/>
    <w:rsid w:val="00D004FB"/>
    <w:rsid w:val="00D005A2"/>
    <w:rsid w:val="00D01E28"/>
    <w:rsid w:val="00D01F26"/>
    <w:rsid w:val="00D02A07"/>
    <w:rsid w:val="00D02B39"/>
    <w:rsid w:val="00D02BAC"/>
    <w:rsid w:val="00D03464"/>
    <w:rsid w:val="00D03467"/>
    <w:rsid w:val="00D0371A"/>
    <w:rsid w:val="00D03DC0"/>
    <w:rsid w:val="00D04771"/>
    <w:rsid w:val="00D04DC5"/>
    <w:rsid w:val="00D0541B"/>
    <w:rsid w:val="00D05644"/>
    <w:rsid w:val="00D05743"/>
    <w:rsid w:val="00D057C3"/>
    <w:rsid w:val="00D05807"/>
    <w:rsid w:val="00D05855"/>
    <w:rsid w:val="00D05B75"/>
    <w:rsid w:val="00D05BA4"/>
    <w:rsid w:val="00D05C58"/>
    <w:rsid w:val="00D05C5D"/>
    <w:rsid w:val="00D05D50"/>
    <w:rsid w:val="00D06B65"/>
    <w:rsid w:val="00D06E10"/>
    <w:rsid w:val="00D06F55"/>
    <w:rsid w:val="00D070FC"/>
    <w:rsid w:val="00D07331"/>
    <w:rsid w:val="00D078E9"/>
    <w:rsid w:val="00D1029F"/>
    <w:rsid w:val="00D10799"/>
    <w:rsid w:val="00D10887"/>
    <w:rsid w:val="00D10B54"/>
    <w:rsid w:val="00D10D3E"/>
    <w:rsid w:val="00D10D4D"/>
    <w:rsid w:val="00D111A3"/>
    <w:rsid w:val="00D111FA"/>
    <w:rsid w:val="00D114C3"/>
    <w:rsid w:val="00D11530"/>
    <w:rsid w:val="00D1181C"/>
    <w:rsid w:val="00D11A8F"/>
    <w:rsid w:val="00D11BD4"/>
    <w:rsid w:val="00D11F01"/>
    <w:rsid w:val="00D11F76"/>
    <w:rsid w:val="00D123F9"/>
    <w:rsid w:val="00D12563"/>
    <w:rsid w:val="00D1286F"/>
    <w:rsid w:val="00D12897"/>
    <w:rsid w:val="00D12AE6"/>
    <w:rsid w:val="00D12C2A"/>
    <w:rsid w:val="00D13E5A"/>
    <w:rsid w:val="00D149D5"/>
    <w:rsid w:val="00D14D4B"/>
    <w:rsid w:val="00D15824"/>
    <w:rsid w:val="00D15EE0"/>
    <w:rsid w:val="00D16232"/>
    <w:rsid w:val="00D162DF"/>
    <w:rsid w:val="00D162F1"/>
    <w:rsid w:val="00D166A9"/>
    <w:rsid w:val="00D171E3"/>
    <w:rsid w:val="00D173C1"/>
    <w:rsid w:val="00D1757D"/>
    <w:rsid w:val="00D17929"/>
    <w:rsid w:val="00D17A0A"/>
    <w:rsid w:val="00D17AA6"/>
    <w:rsid w:val="00D17AB0"/>
    <w:rsid w:val="00D17E16"/>
    <w:rsid w:val="00D17EF4"/>
    <w:rsid w:val="00D20894"/>
    <w:rsid w:val="00D20F26"/>
    <w:rsid w:val="00D21604"/>
    <w:rsid w:val="00D216FA"/>
    <w:rsid w:val="00D21975"/>
    <w:rsid w:val="00D21B6E"/>
    <w:rsid w:val="00D21E7D"/>
    <w:rsid w:val="00D21F73"/>
    <w:rsid w:val="00D2269B"/>
    <w:rsid w:val="00D22763"/>
    <w:rsid w:val="00D22FB8"/>
    <w:rsid w:val="00D230C4"/>
    <w:rsid w:val="00D230F6"/>
    <w:rsid w:val="00D23102"/>
    <w:rsid w:val="00D23211"/>
    <w:rsid w:val="00D235F1"/>
    <w:rsid w:val="00D236A6"/>
    <w:rsid w:val="00D23873"/>
    <w:rsid w:val="00D23D2B"/>
    <w:rsid w:val="00D23D95"/>
    <w:rsid w:val="00D23FFF"/>
    <w:rsid w:val="00D24195"/>
    <w:rsid w:val="00D246B6"/>
    <w:rsid w:val="00D24A8D"/>
    <w:rsid w:val="00D24BDD"/>
    <w:rsid w:val="00D24CA3"/>
    <w:rsid w:val="00D24F25"/>
    <w:rsid w:val="00D25367"/>
    <w:rsid w:val="00D25486"/>
    <w:rsid w:val="00D25608"/>
    <w:rsid w:val="00D25AA1"/>
    <w:rsid w:val="00D25CCE"/>
    <w:rsid w:val="00D25D2F"/>
    <w:rsid w:val="00D266AD"/>
    <w:rsid w:val="00D26833"/>
    <w:rsid w:val="00D26864"/>
    <w:rsid w:val="00D26994"/>
    <w:rsid w:val="00D26D58"/>
    <w:rsid w:val="00D27278"/>
    <w:rsid w:val="00D2787F"/>
    <w:rsid w:val="00D27D96"/>
    <w:rsid w:val="00D30380"/>
    <w:rsid w:val="00D30578"/>
    <w:rsid w:val="00D306EE"/>
    <w:rsid w:val="00D30948"/>
    <w:rsid w:val="00D30CA2"/>
    <w:rsid w:val="00D30D8C"/>
    <w:rsid w:val="00D31A16"/>
    <w:rsid w:val="00D31A45"/>
    <w:rsid w:val="00D31BA7"/>
    <w:rsid w:val="00D31E74"/>
    <w:rsid w:val="00D320E5"/>
    <w:rsid w:val="00D32426"/>
    <w:rsid w:val="00D328ED"/>
    <w:rsid w:val="00D32B26"/>
    <w:rsid w:val="00D33119"/>
    <w:rsid w:val="00D331EC"/>
    <w:rsid w:val="00D3407C"/>
    <w:rsid w:val="00D340B8"/>
    <w:rsid w:val="00D34B17"/>
    <w:rsid w:val="00D34B20"/>
    <w:rsid w:val="00D34B45"/>
    <w:rsid w:val="00D34E89"/>
    <w:rsid w:val="00D35478"/>
    <w:rsid w:val="00D354DD"/>
    <w:rsid w:val="00D369E3"/>
    <w:rsid w:val="00D36B73"/>
    <w:rsid w:val="00D37184"/>
    <w:rsid w:val="00D371D9"/>
    <w:rsid w:val="00D37BDA"/>
    <w:rsid w:val="00D37DA6"/>
    <w:rsid w:val="00D4054B"/>
    <w:rsid w:val="00D4076B"/>
    <w:rsid w:val="00D40A0D"/>
    <w:rsid w:val="00D40B0B"/>
    <w:rsid w:val="00D40BA8"/>
    <w:rsid w:val="00D40CCF"/>
    <w:rsid w:val="00D40D5B"/>
    <w:rsid w:val="00D410B6"/>
    <w:rsid w:val="00D4121C"/>
    <w:rsid w:val="00D412B2"/>
    <w:rsid w:val="00D422B0"/>
    <w:rsid w:val="00D43CB2"/>
    <w:rsid w:val="00D4407E"/>
    <w:rsid w:val="00D44336"/>
    <w:rsid w:val="00D445B0"/>
    <w:rsid w:val="00D44B39"/>
    <w:rsid w:val="00D451BD"/>
    <w:rsid w:val="00D45306"/>
    <w:rsid w:val="00D45489"/>
    <w:rsid w:val="00D45B90"/>
    <w:rsid w:val="00D45F4F"/>
    <w:rsid w:val="00D46008"/>
    <w:rsid w:val="00D460AF"/>
    <w:rsid w:val="00D46780"/>
    <w:rsid w:val="00D46865"/>
    <w:rsid w:val="00D46A48"/>
    <w:rsid w:val="00D47088"/>
    <w:rsid w:val="00D47156"/>
    <w:rsid w:val="00D472B7"/>
    <w:rsid w:val="00D47493"/>
    <w:rsid w:val="00D474D1"/>
    <w:rsid w:val="00D4751A"/>
    <w:rsid w:val="00D47E52"/>
    <w:rsid w:val="00D47EC1"/>
    <w:rsid w:val="00D5074B"/>
    <w:rsid w:val="00D5103E"/>
    <w:rsid w:val="00D5187E"/>
    <w:rsid w:val="00D51B6C"/>
    <w:rsid w:val="00D51C95"/>
    <w:rsid w:val="00D51DEF"/>
    <w:rsid w:val="00D51F10"/>
    <w:rsid w:val="00D51F3A"/>
    <w:rsid w:val="00D52527"/>
    <w:rsid w:val="00D52B63"/>
    <w:rsid w:val="00D52B75"/>
    <w:rsid w:val="00D52FB8"/>
    <w:rsid w:val="00D53606"/>
    <w:rsid w:val="00D53665"/>
    <w:rsid w:val="00D53D39"/>
    <w:rsid w:val="00D54016"/>
    <w:rsid w:val="00D54066"/>
    <w:rsid w:val="00D5437A"/>
    <w:rsid w:val="00D546E0"/>
    <w:rsid w:val="00D54D00"/>
    <w:rsid w:val="00D54FEF"/>
    <w:rsid w:val="00D55947"/>
    <w:rsid w:val="00D55D9C"/>
    <w:rsid w:val="00D56915"/>
    <w:rsid w:val="00D5697E"/>
    <w:rsid w:val="00D56E02"/>
    <w:rsid w:val="00D5747C"/>
    <w:rsid w:val="00D57602"/>
    <w:rsid w:val="00D57816"/>
    <w:rsid w:val="00D57AE6"/>
    <w:rsid w:val="00D57F06"/>
    <w:rsid w:val="00D6009E"/>
    <w:rsid w:val="00D60131"/>
    <w:rsid w:val="00D602DD"/>
    <w:rsid w:val="00D60998"/>
    <w:rsid w:val="00D60D14"/>
    <w:rsid w:val="00D61357"/>
    <w:rsid w:val="00D6142A"/>
    <w:rsid w:val="00D614B6"/>
    <w:rsid w:val="00D61B0A"/>
    <w:rsid w:val="00D622B4"/>
    <w:rsid w:val="00D62316"/>
    <w:rsid w:val="00D624EB"/>
    <w:rsid w:val="00D6282E"/>
    <w:rsid w:val="00D62931"/>
    <w:rsid w:val="00D62F97"/>
    <w:rsid w:val="00D630B6"/>
    <w:rsid w:val="00D645C7"/>
    <w:rsid w:val="00D64E69"/>
    <w:rsid w:val="00D6543A"/>
    <w:rsid w:val="00D655E1"/>
    <w:rsid w:val="00D656CC"/>
    <w:rsid w:val="00D6625B"/>
    <w:rsid w:val="00D66334"/>
    <w:rsid w:val="00D66F3D"/>
    <w:rsid w:val="00D67363"/>
    <w:rsid w:val="00D67CB9"/>
    <w:rsid w:val="00D67ED6"/>
    <w:rsid w:val="00D70068"/>
    <w:rsid w:val="00D70397"/>
    <w:rsid w:val="00D704AB"/>
    <w:rsid w:val="00D705E1"/>
    <w:rsid w:val="00D70C96"/>
    <w:rsid w:val="00D70D40"/>
    <w:rsid w:val="00D717BF"/>
    <w:rsid w:val="00D71F29"/>
    <w:rsid w:val="00D728CF"/>
    <w:rsid w:val="00D72958"/>
    <w:rsid w:val="00D72CC9"/>
    <w:rsid w:val="00D73033"/>
    <w:rsid w:val="00D73198"/>
    <w:rsid w:val="00D73764"/>
    <w:rsid w:val="00D73985"/>
    <w:rsid w:val="00D73B33"/>
    <w:rsid w:val="00D74096"/>
    <w:rsid w:val="00D74717"/>
    <w:rsid w:val="00D7475E"/>
    <w:rsid w:val="00D7494C"/>
    <w:rsid w:val="00D74BBB"/>
    <w:rsid w:val="00D74DB9"/>
    <w:rsid w:val="00D74E89"/>
    <w:rsid w:val="00D758B1"/>
    <w:rsid w:val="00D75AE6"/>
    <w:rsid w:val="00D764F5"/>
    <w:rsid w:val="00D7666E"/>
    <w:rsid w:val="00D769CB"/>
    <w:rsid w:val="00D76A6D"/>
    <w:rsid w:val="00D76F39"/>
    <w:rsid w:val="00D773F9"/>
    <w:rsid w:val="00D800AE"/>
    <w:rsid w:val="00D804FA"/>
    <w:rsid w:val="00D8071B"/>
    <w:rsid w:val="00D808D7"/>
    <w:rsid w:val="00D814D0"/>
    <w:rsid w:val="00D8196E"/>
    <w:rsid w:val="00D81DBE"/>
    <w:rsid w:val="00D81EB5"/>
    <w:rsid w:val="00D82255"/>
    <w:rsid w:val="00D8282F"/>
    <w:rsid w:val="00D82969"/>
    <w:rsid w:val="00D82D82"/>
    <w:rsid w:val="00D82E89"/>
    <w:rsid w:val="00D837A1"/>
    <w:rsid w:val="00D83FB4"/>
    <w:rsid w:val="00D83FF3"/>
    <w:rsid w:val="00D8426D"/>
    <w:rsid w:val="00D844A0"/>
    <w:rsid w:val="00D849AA"/>
    <w:rsid w:val="00D85057"/>
    <w:rsid w:val="00D8512A"/>
    <w:rsid w:val="00D85452"/>
    <w:rsid w:val="00D85D0E"/>
    <w:rsid w:val="00D85F32"/>
    <w:rsid w:val="00D86466"/>
    <w:rsid w:val="00D86A61"/>
    <w:rsid w:val="00D86FE3"/>
    <w:rsid w:val="00D874ED"/>
    <w:rsid w:val="00D87911"/>
    <w:rsid w:val="00D87A85"/>
    <w:rsid w:val="00D90B73"/>
    <w:rsid w:val="00D90F73"/>
    <w:rsid w:val="00D91116"/>
    <w:rsid w:val="00D91439"/>
    <w:rsid w:val="00D91A3B"/>
    <w:rsid w:val="00D91DD6"/>
    <w:rsid w:val="00D9262D"/>
    <w:rsid w:val="00D927AD"/>
    <w:rsid w:val="00D92C60"/>
    <w:rsid w:val="00D92E65"/>
    <w:rsid w:val="00D933BD"/>
    <w:rsid w:val="00D9377B"/>
    <w:rsid w:val="00D93B47"/>
    <w:rsid w:val="00D93BFE"/>
    <w:rsid w:val="00D9438F"/>
    <w:rsid w:val="00D948AC"/>
    <w:rsid w:val="00D949AB"/>
    <w:rsid w:val="00D94AAD"/>
    <w:rsid w:val="00D95040"/>
    <w:rsid w:val="00D95D8A"/>
    <w:rsid w:val="00D95E38"/>
    <w:rsid w:val="00D96517"/>
    <w:rsid w:val="00D97494"/>
    <w:rsid w:val="00D9758C"/>
    <w:rsid w:val="00D978A4"/>
    <w:rsid w:val="00D978CA"/>
    <w:rsid w:val="00D978DB"/>
    <w:rsid w:val="00D97A7E"/>
    <w:rsid w:val="00D97D49"/>
    <w:rsid w:val="00DA0195"/>
    <w:rsid w:val="00DA0C08"/>
    <w:rsid w:val="00DA0DA7"/>
    <w:rsid w:val="00DA0E9C"/>
    <w:rsid w:val="00DA1D4A"/>
    <w:rsid w:val="00DA1D5D"/>
    <w:rsid w:val="00DA1E11"/>
    <w:rsid w:val="00DA2717"/>
    <w:rsid w:val="00DA290D"/>
    <w:rsid w:val="00DA2DAE"/>
    <w:rsid w:val="00DA30B3"/>
    <w:rsid w:val="00DA3210"/>
    <w:rsid w:val="00DA327A"/>
    <w:rsid w:val="00DA33A5"/>
    <w:rsid w:val="00DA37A9"/>
    <w:rsid w:val="00DA3914"/>
    <w:rsid w:val="00DA3A0C"/>
    <w:rsid w:val="00DA400F"/>
    <w:rsid w:val="00DA433F"/>
    <w:rsid w:val="00DA43DB"/>
    <w:rsid w:val="00DA4459"/>
    <w:rsid w:val="00DA461D"/>
    <w:rsid w:val="00DA4B89"/>
    <w:rsid w:val="00DA4D63"/>
    <w:rsid w:val="00DA4E47"/>
    <w:rsid w:val="00DA4FBC"/>
    <w:rsid w:val="00DA5E19"/>
    <w:rsid w:val="00DA64FA"/>
    <w:rsid w:val="00DA6872"/>
    <w:rsid w:val="00DA7693"/>
    <w:rsid w:val="00DA76B0"/>
    <w:rsid w:val="00DA7DEB"/>
    <w:rsid w:val="00DA7E45"/>
    <w:rsid w:val="00DA7F80"/>
    <w:rsid w:val="00DB002C"/>
    <w:rsid w:val="00DB04CF"/>
    <w:rsid w:val="00DB0ADC"/>
    <w:rsid w:val="00DB0CC6"/>
    <w:rsid w:val="00DB1325"/>
    <w:rsid w:val="00DB16AF"/>
    <w:rsid w:val="00DB1DC3"/>
    <w:rsid w:val="00DB1E4C"/>
    <w:rsid w:val="00DB2199"/>
    <w:rsid w:val="00DB24E4"/>
    <w:rsid w:val="00DB271F"/>
    <w:rsid w:val="00DB2B6B"/>
    <w:rsid w:val="00DB2E63"/>
    <w:rsid w:val="00DB304F"/>
    <w:rsid w:val="00DB35F5"/>
    <w:rsid w:val="00DB37F0"/>
    <w:rsid w:val="00DB3FF3"/>
    <w:rsid w:val="00DB50B7"/>
    <w:rsid w:val="00DB557D"/>
    <w:rsid w:val="00DB57CA"/>
    <w:rsid w:val="00DB5A96"/>
    <w:rsid w:val="00DB60E6"/>
    <w:rsid w:val="00DB6720"/>
    <w:rsid w:val="00DB6D44"/>
    <w:rsid w:val="00DB6DD5"/>
    <w:rsid w:val="00DB6F80"/>
    <w:rsid w:val="00DB76BB"/>
    <w:rsid w:val="00DB77F1"/>
    <w:rsid w:val="00DB7E6D"/>
    <w:rsid w:val="00DB7F68"/>
    <w:rsid w:val="00DC052C"/>
    <w:rsid w:val="00DC074A"/>
    <w:rsid w:val="00DC0B55"/>
    <w:rsid w:val="00DC0B86"/>
    <w:rsid w:val="00DC0ED7"/>
    <w:rsid w:val="00DC0F4F"/>
    <w:rsid w:val="00DC121F"/>
    <w:rsid w:val="00DC19CF"/>
    <w:rsid w:val="00DC1A36"/>
    <w:rsid w:val="00DC1F78"/>
    <w:rsid w:val="00DC2646"/>
    <w:rsid w:val="00DC2E06"/>
    <w:rsid w:val="00DC3DFF"/>
    <w:rsid w:val="00DC40CF"/>
    <w:rsid w:val="00DC4B2A"/>
    <w:rsid w:val="00DC4D2B"/>
    <w:rsid w:val="00DC50D7"/>
    <w:rsid w:val="00DC54E8"/>
    <w:rsid w:val="00DC5B84"/>
    <w:rsid w:val="00DC5C11"/>
    <w:rsid w:val="00DC5E9D"/>
    <w:rsid w:val="00DC6045"/>
    <w:rsid w:val="00DC60DC"/>
    <w:rsid w:val="00DC63C4"/>
    <w:rsid w:val="00DC6737"/>
    <w:rsid w:val="00DC6ACB"/>
    <w:rsid w:val="00DC6F6B"/>
    <w:rsid w:val="00DC6FDC"/>
    <w:rsid w:val="00DC7481"/>
    <w:rsid w:val="00DC79C5"/>
    <w:rsid w:val="00DC7AAB"/>
    <w:rsid w:val="00DC7DEA"/>
    <w:rsid w:val="00DD0B54"/>
    <w:rsid w:val="00DD0CBE"/>
    <w:rsid w:val="00DD0E33"/>
    <w:rsid w:val="00DD1302"/>
    <w:rsid w:val="00DD18A7"/>
    <w:rsid w:val="00DD18BE"/>
    <w:rsid w:val="00DD18EB"/>
    <w:rsid w:val="00DD197F"/>
    <w:rsid w:val="00DD19FF"/>
    <w:rsid w:val="00DD1BE2"/>
    <w:rsid w:val="00DD2048"/>
    <w:rsid w:val="00DD28A3"/>
    <w:rsid w:val="00DD2AD2"/>
    <w:rsid w:val="00DD2B8B"/>
    <w:rsid w:val="00DD2CA1"/>
    <w:rsid w:val="00DD2D66"/>
    <w:rsid w:val="00DD2FD2"/>
    <w:rsid w:val="00DD3144"/>
    <w:rsid w:val="00DD38C6"/>
    <w:rsid w:val="00DD39F4"/>
    <w:rsid w:val="00DD3F19"/>
    <w:rsid w:val="00DD4088"/>
    <w:rsid w:val="00DD40F6"/>
    <w:rsid w:val="00DD4349"/>
    <w:rsid w:val="00DD5814"/>
    <w:rsid w:val="00DD5ACD"/>
    <w:rsid w:val="00DD7611"/>
    <w:rsid w:val="00DD7D13"/>
    <w:rsid w:val="00DD7D79"/>
    <w:rsid w:val="00DD7EA7"/>
    <w:rsid w:val="00DD7F72"/>
    <w:rsid w:val="00DE03C8"/>
    <w:rsid w:val="00DE087B"/>
    <w:rsid w:val="00DE0955"/>
    <w:rsid w:val="00DE1D72"/>
    <w:rsid w:val="00DE1F4C"/>
    <w:rsid w:val="00DE2464"/>
    <w:rsid w:val="00DE264D"/>
    <w:rsid w:val="00DE27A9"/>
    <w:rsid w:val="00DE2892"/>
    <w:rsid w:val="00DE30E4"/>
    <w:rsid w:val="00DE3966"/>
    <w:rsid w:val="00DE3AC3"/>
    <w:rsid w:val="00DE3BFF"/>
    <w:rsid w:val="00DE3C70"/>
    <w:rsid w:val="00DE3CF3"/>
    <w:rsid w:val="00DE3F57"/>
    <w:rsid w:val="00DE414B"/>
    <w:rsid w:val="00DE46BC"/>
    <w:rsid w:val="00DE46D5"/>
    <w:rsid w:val="00DE4756"/>
    <w:rsid w:val="00DE4836"/>
    <w:rsid w:val="00DE4A65"/>
    <w:rsid w:val="00DE4A7C"/>
    <w:rsid w:val="00DE5058"/>
    <w:rsid w:val="00DE52B6"/>
    <w:rsid w:val="00DE536C"/>
    <w:rsid w:val="00DE5CA2"/>
    <w:rsid w:val="00DE5D87"/>
    <w:rsid w:val="00DE5E64"/>
    <w:rsid w:val="00DE60AF"/>
    <w:rsid w:val="00DE61B8"/>
    <w:rsid w:val="00DE6396"/>
    <w:rsid w:val="00DE681B"/>
    <w:rsid w:val="00DE715C"/>
    <w:rsid w:val="00DE7738"/>
    <w:rsid w:val="00DF02E7"/>
    <w:rsid w:val="00DF0616"/>
    <w:rsid w:val="00DF0A04"/>
    <w:rsid w:val="00DF0A2F"/>
    <w:rsid w:val="00DF0AE4"/>
    <w:rsid w:val="00DF10AB"/>
    <w:rsid w:val="00DF13B1"/>
    <w:rsid w:val="00DF1481"/>
    <w:rsid w:val="00DF17ED"/>
    <w:rsid w:val="00DF1AF3"/>
    <w:rsid w:val="00DF1B1A"/>
    <w:rsid w:val="00DF209A"/>
    <w:rsid w:val="00DF2308"/>
    <w:rsid w:val="00DF29DD"/>
    <w:rsid w:val="00DF369F"/>
    <w:rsid w:val="00DF3BDE"/>
    <w:rsid w:val="00DF3DFE"/>
    <w:rsid w:val="00DF3E36"/>
    <w:rsid w:val="00DF45CF"/>
    <w:rsid w:val="00DF472B"/>
    <w:rsid w:val="00DF496D"/>
    <w:rsid w:val="00DF4D43"/>
    <w:rsid w:val="00DF4F88"/>
    <w:rsid w:val="00DF531D"/>
    <w:rsid w:val="00DF5D66"/>
    <w:rsid w:val="00DF61EB"/>
    <w:rsid w:val="00DF669E"/>
    <w:rsid w:val="00DF66F8"/>
    <w:rsid w:val="00DF6DBC"/>
    <w:rsid w:val="00DF7303"/>
    <w:rsid w:val="00DF7408"/>
    <w:rsid w:val="00DF7603"/>
    <w:rsid w:val="00DF762F"/>
    <w:rsid w:val="00DF792F"/>
    <w:rsid w:val="00E00085"/>
    <w:rsid w:val="00E0051A"/>
    <w:rsid w:val="00E0063A"/>
    <w:rsid w:val="00E00BB2"/>
    <w:rsid w:val="00E0197F"/>
    <w:rsid w:val="00E01A63"/>
    <w:rsid w:val="00E01C4D"/>
    <w:rsid w:val="00E01DD9"/>
    <w:rsid w:val="00E01E41"/>
    <w:rsid w:val="00E01E79"/>
    <w:rsid w:val="00E0208B"/>
    <w:rsid w:val="00E02658"/>
    <w:rsid w:val="00E027E1"/>
    <w:rsid w:val="00E02DD6"/>
    <w:rsid w:val="00E03DBC"/>
    <w:rsid w:val="00E04473"/>
    <w:rsid w:val="00E046D2"/>
    <w:rsid w:val="00E048B0"/>
    <w:rsid w:val="00E048BA"/>
    <w:rsid w:val="00E04AA1"/>
    <w:rsid w:val="00E05421"/>
    <w:rsid w:val="00E05FA3"/>
    <w:rsid w:val="00E05FF8"/>
    <w:rsid w:val="00E063C0"/>
    <w:rsid w:val="00E064D7"/>
    <w:rsid w:val="00E066AF"/>
    <w:rsid w:val="00E067A8"/>
    <w:rsid w:val="00E06B2B"/>
    <w:rsid w:val="00E071A3"/>
    <w:rsid w:val="00E0790F"/>
    <w:rsid w:val="00E07FFC"/>
    <w:rsid w:val="00E10D2B"/>
    <w:rsid w:val="00E10DFD"/>
    <w:rsid w:val="00E11F92"/>
    <w:rsid w:val="00E1202E"/>
    <w:rsid w:val="00E126BD"/>
    <w:rsid w:val="00E127BF"/>
    <w:rsid w:val="00E12AA6"/>
    <w:rsid w:val="00E12AEF"/>
    <w:rsid w:val="00E12D9F"/>
    <w:rsid w:val="00E12FBD"/>
    <w:rsid w:val="00E13566"/>
    <w:rsid w:val="00E136B4"/>
    <w:rsid w:val="00E14982"/>
    <w:rsid w:val="00E14E8D"/>
    <w:rsid w:val="00E1515B"/>
    <w:rsid w:val="00E1520E"/>
    <w:rsid w:val="00E1563C"/>
    <w:rsid w:val="00E15E80"/>
    <w:rsid w:val="00E15ED5"/>
    <w:rsid w:val="00E1679B"/>
    <w:rsid w:val="00E16989"/>
    <w:rsid w:val="00E16BBA"/>
    <w:rsid w:val="00E1757B"/>
    <w:rsid w:val="00E17944"/>
    <w:rsid w:val="00E179ED"/>
    <w:rsid w:val="00E20214"/>
    <w:rsid w:val="00E2054B"/>
    <w:rsid w:val="00E20A5A"/>
    <w:rsid w:val="00E214DA"/>
    <w:rsid w:val="00E216B0"/>
    <w:rsid w:val="00E21988"/>
    <w:rsid w:val="00E219D9"/>
    <w:rsid w:val="00E21D98"/>
    <w:rsid w:val="00E2236A"/>
    <w:rsid w:val="00E2264A"/>
    <w:rsid w:val="00E23069"/>
    <w:rsid w:val="00E230B9"/>
    <w:rsid w:val="00E23670"/>
    <w:rsid w:val="00E2372B"/>
    <w:rsid w:val="00E23E1B"/>
    <w:rsid w:val="00E23E5F"/>
    <w:rsid w:val="00E24383"/>
    <w:rsid w:val="00E2445B"/>
    <w:rsid w:val="00E249FF"/>
    <w:rsid w:val="00E24C0F"/>
    <w:rsid w:val="00E2501D"/>
    <w:rsid w:val="00E25734"/>
    <w:rsid w:val="00E25CC7"/>
    <w:rsid w:val="00E25D95"/>
    <w:rsid w:val="00E26224"/>
    <w:rsid w:val="00E270EC"/>
    <w:rsid w:val="00E27164"/>
    <w:rsid w:val="00E27266"/>
    <w:rsid w:val="00E27435"/>
    <w:rsid w:val="00E3089F"/>
    <w:rsid w:val="00E30AD9"/>
    <w:rsid w:val="00E30BAB"/>
    <w:rsid w:val="00E30DEE"/>
    <w:rsid w:val="00E30F15"/>
    <w:rsid w:val="00E3107B"/>
    <w:rsid w:val="00E31215"/>
    <w:rsid w:val="00E313D0"/>
    <w:rsid w:val="00E318F3"/>
    <w:rsid w:val="00E3237B"/>
    <w:rsid w:val="00E323A1"/>
    <w:rsid w:val="00E324F1"/>
    <w:rsid w:val="00E32605"/>
    <w:rsid w:val="00E32917"/>
    <w:rsid w:val="00E3306B"/>
    <w:rsid w:val="00E331D2"/>
    <w:rsid w:val="00E3350B"/>
    <w:rsid w:val="00E33C10"/>
    <w:rsid w:val="00E340AB"/>
    <w:rsid w:val="00E34A80"/>
    <w:rsid w:val="00E34C16"/>
    <w:rsid w:val="00E34C3A"/>
    <w:rsid w:val="00E350B3"/>
    <w:rsid w:val="00E35283"/>
    <w:rsid w:val="00E35CA8"/>
    <w:rsid w:val="00E35F9C"/>
    <w:rsid w:val="00E35FA3"/>
    <w:rsid w:val="00E35FE1"/>
    <w:rsid w:val="00E36130"/>
    <w:rsid w:val="00E3630A"/>
    <w:rsid w:val="00E364E7"/>
    <w:rsid w:val="00E36BB4"/>
    <w:rsid w:val="00E36EB6"/>
    <w:rsid w:val="00E3751E"/>
    <w:rsid w:val="00E37798"/>
    <w:rsid w:val="00E37C38"/>
    <w:rsid w:val="00E37C7A"/>
    <w:rsid w:val="00E40637"/>
    <w:rsid w:val="00E41289"/>
    <w:rsid w:val="00E413FB"/>
    <w:rsid w:val="00E4192F"/>
    <w:rsid w:val="00E41BAA"/>
    <w:rsid w:val="00E41CEC"/>
    <w:rsid w:val="00E4264E"/>
    <w:rsid w:val="00E429D8"/>
    <w:rsid w:val="00E42A15"/>
    <w:rsid w:val="00E42F12"/>
    <w:rsid w:val="00E43B75"/>
    <w:rsid w:val="00E4483E"/>
    <w:rsid w:val="00E448AB"/>
    <w:rsid w:val="00E44C6B"/>
    <w:rsid w:val="00E44D22"/>
    <w:rsid w:val="00E45240"/>
    <w:rsid w:val="00E45384"/>
    <w:rsid w:val="00E45656"/>
    <w:rsid w:val="00E45988"/>
    <w:rsid w:val="00E45B7D"/>
    <w:rsid w:val="00E465CE"/>
    <w:rsid w:val="00E46C0B"/>
    <w:rsid w:val="00E46FEC"/>
    <w:rsid w:val="00E4719C"/>
    <w:rsid w:val="00E4750D"/>
    <w:rsid w:val="00E475A1"/>
    <w:rsid w:val="00E47691"/>
    <w:rsid w:val="00E479A6"/>
    <w:rsid w:val="00E479C8"/>
    <w:rsid w:val="00E47AF3"/>
    <w:rsid w:val="00E50265"/>
    <w:rsid w:val="00E50A0A"/>
    <w:rsid w:val="00E50CCF"/>
    <w:rsid w:val="00E516D5"/>
    <w:rsid w:val="00E51A84"/>
    <w:rsid w:val="00E51D32"/>
    <w:rsid w:val="00E5211C"/>
    <w:rsid w:val="00E52157"/>
    <w:rsid w:val="00E521FC"/>
    <w:rsid w:val="00E52429"/>
    <w:rsid w:val="00E524EF"/>
    <w:rsid w:val="00E52687"/>
    <w:rsid w:val="00E52BF7"/>
    <w:rsid w:val="00E53376"/>
    <w:rsid w:val="00E5360C"/>
    <w:rsid w:val="00E53F3E"/>
    <w:rsid w:val="00E5407C"/>
    <w:rsid w:val="00E5450F"/>
    <w:rsid w:val="00E54858"/>
    <w:rsid w:val="00E54D2D"/>
    <w:rsid w:val="00E5539A"/>
    <w:rsid w:val="00E5588A"/>
    <w:rsid w:val="00E558BD"/>
    <w:rsid w:val="00E55AF9"/>
    <w:rsid w:val="00E55BE3"/>
    <w:rsid w:val="00E55D67"/>
    <w:rsid w:val="00E55E40"/>
    <w:rsid w:val="00E55F64"/>
    <w:rsid w:val="00E564BE"/>
    <w:rsid w:val="00E56519"/>
    <w:rsid w:val="00E5652C"/>
    <w:rsid w:val="00E56B2A"/>
    <w:rsid w:val="00E56B85"/>
    <w:rsid w:val="00E56C51"/>
    <w:rsid w:val="00E57306"/>
    <w:rsid w:val="00E5762D"/>
    <w:rsid w:val="00E602DE"/>
    <w:rsid w:val="00E6087C"/>
    <w:rsid w:val="00E609D7"/>
    <w:rsid w:val="00E60A94"/>
    <w:rsid w:val="00E60AD7"/>
    <w:rsid w:val="00E60F21"/>
    <w:rsid w:val="00E629F9"/>
    <w:rsid w:val="00E62CB3"/>
    <w:rsid w:val="00E63200"/>
    <w:rsid w:val="00E633A7"/>
    <w:rsid w:val="00E6372E"/>
    <w:rsid w:val="00E64096"/>
    <w:rsid w:val="00E64493"/>
    <w:rsid w:val="00E64747"/>
    <w:rsid w:val="00E64880"/>
    <w:rsid w:val="00E648D1"/>
    <w:rsid w:val="00E64A32"/>
    <w:rsid w:val="00E64FE7"/>
    <w:rsid w:val="00E65752"/>
    <w:rsid w:val="00E65F36"/>
    <w:rsid w:val="00E66025"/>
    <w:rsid w:val="00E66442"/>
    <w:rsid w:val="00E6653D"/>
    <w:rsid w:val="00E66988"/>
    <w:rsid w:val="00E66AFC"/>
    <w:rsid w:val="00E66C2F"/>
    <w:rsid w:val="00E67667"/>
    <w:rsid w:val="00E67D1A"/>
    <w:rsid w:val="00E67FA4"/>
    <w:rsid w:val="00E703B5"/>
    <w:rsid w:val="00E70BF4"/>
    <w:rsid w:val="00E70E92"/>
    <w:rsid w:val="00E71BEE"/>
    <w:rsid w:val="00E72057"/>
    <w:rsid w:val="00E720FC"/>
    <w:rsid w:val="00E72498"/>
    <w:rsid w:val="00E72B43"/>
    <w:rsid w:val="00E73028"/>
    <w:rsid w:val="00E73B8B"/>
    <w:rsid w:val="00E742E9"/>
    <w:rsid w:val="00E74CB0"/>
    <w:rsid w:val="00E75084"/>
    <w:rsid w:val="00E759A3"/>
    <w:rsid w:val="00E759CE"/>
    <w:rsid w:val="00E75C10"/>
    <w:rsid w:val="00E75CDA"/>
    <w:rsid w:val="00E75F18"/>
    <w:rsid w:val="00E76703"/>
    <w:rsid w:val="00E7683A"/>
    <w:rsid w:val="00E76C69"/>
    <w:rsid w:val="00E7769F"/>
    <w:rsid w:val="00E778F0"/>
    <w:rsid w:val="00E77F7D"/>
    <w:rsid w:val="00E80AB4"/>
    <w:rsid w:val="00E80FE4"/>
    <w:rsid w:val="00E811ED"/>
    <w:rsid w:val="00E8124C"/>
    <w:rsid w:val="00E814AB"/>
    <w:rsid w:val="00E815EB"/>
    <w:rsid w:val="00E81D34"/>
    <w:rsid w:val="00E823A8"/>
    <w:rsid w:val="00E82436"/>
    <w:rsid w:val="00E82730"/>
    <w:rsid w:val="00E828C4"/>
    <w:rsid w:val="00E82C39"/>
    <w:rsid w:val="00E82E57"/>
    <w:rsid w:val="00E82E5C"/>
    <w:rsid w:val="00E837EC"/>
    <w:rsid w:val="00E8394A"/>
    <w:rsid w:val="00E84664"/>
    <w:rsid w:val="00E84753"/>
    <w:rsid w:val="00E84D53"/>
    <w:rsid w:val="00E85C8F"/>
    <w:rsid w:val="00E85D5B"/>
    <w:rsid w:val="00E85F8A"/>
    <w:rsid w:val="00E86555"/>
    <w:rsid w:val="00E86683"/>
    <w:rsid w:val="00E866D2"/>
    <w:rsid w:val="00E86CD5"/>
    <w:rsid w:val="00E86DBF"/>
    <w:rsid w:val="00E86F99"/>
    <w:rsid w:val="00E873B4"/>
    <w:rsid w:val="00E90C33"/>
    <w:rsid w:val="00E90F1B"/>
    <w:rsid w:val="00E911B9"/>
    <w:rsid w:val="00E91374"/>
    <w:rsid w:val="00E91455"/>
    <w:rsid w:val="00E91526"/>
    <w:rsid w:val="00E919BF"/>
    <w:rsid w:val="00E91D7E"/>
    <w:rsid w:val="00E91E25"/>
    <w:rsid w:val="00E91EAD"/>
    <w:rsid w:val="00E923FD"/>
    <w:rsid w:val="00E92744"/>
    <w:rsid w:val="00E92ACB"/>
    <w:rsid w:val="00E92DFB"/>
    <w:rsid w:val="00E92E5F"/>
    <w:rsid w:val="00E933A3"/>
    <w:rsid w:val="00E93631"/>
    <w:rsid w:val="00E9379B"/>
    <w:rsid w:val="00E93902"/>
    <w:rsid w:val="00E93BB4"/>
    <w:rsid w:val="00E93EDF"/>
    <w:rsid w:val="00E93EF8"/>
    <w:rsid w:val="00E93F37"/>
    <w:rsid w:val="00E943F5"/>
    <w:rsid w:val="00E9484B"/>
    <w:rsid w:val="00E953D9"/>
    <w:rsid w:val="00E9546C"/>
    <w:rsid w:val="00E957F3"/>
    <w:rsid w:val="00E959EF"/>
    <w:rsid w:val="00E95E0A"/>
    <w:rsid w:val="00E95F28"/>
    <w:rsid w:val="00E966A2"/>
    <w:rsid w:val="00E967A8"/>
    <w:rsid w:val="00E9688A"/>
    <w:rsid w:val="00E968BF"/>
    <w:rsid w:val="00E96995"/>
    <w:rsid w:val="00E96A3B"/>
    <w:rsid w:val="00E96D4F"/>
    <w:rsid w:val="00E97605"/>
    <w:rsid w:val="00E97924"/>
    <w:rsid w:val="00E97CD1"/>
    <w:rsid w:val="00E97EAD"/>
    <w:rsid w:val="00EA07B5"/>
    <w:rsid w:val="00EA087C"/>
    <w:rsid w:val="00EA08D7"/>
    <w:rsid w:val="00EA19FB"/>
    <w:rsid w:val="00EA1E60"/>
    <w:rsid w:val="00EA1F3E"/>
    <w:rsid w:val="00EA1F70"/>
    <w:rsid w:val="00EA23F1"/>
    <w:rsid w:val="00EA25C6"/>
    <w:rsid w:val="00EA27A6"/>
    <w:rsid w:val="00EA2B23"/>
    <w:rsid w:val="00EA2E0F"/>
    <w:rsid w:val="00EA3A62"/>
    <w:rsid w:val="00EA46C0"/>
    <w:rsid w:val="00EA4853"/>
    <w:rsid w:val="00EA4F9F"/>
    <w:rsid w:val="00EA52C2"/>
    <w:rsid w:val="00EA6C0D"/>
    <w:rsid w:val="00EA6E0C"/>
    <w:rsid w:val="00EA6E46"/>
    <w:rsid w:val="00EA773C"/>
    <w:rsid w:val="00EA7A8A"/>
    <w:rsid w:val="00EB0AB9"/>
    <w:rsid w:val="00EB0C4D"/>
    <w:rsid w:val="00EB0EF3"/>
    <w:rsid w:val="00EB1219"/>
    <w:rsid w:val="00EB1241"/>
    <w:rsid w:val="00EB12B4"/>
    <w:rsid w:val="00EB1774"/>
    <w:rsid w:val="00EB1E7C"/>
    <w:rsid w:val="00EB1E9C"/>
    <w:rsid w:val="00EB22EF"/>
    <w:rsid w:val="00EB2BCD"/>
    <w:rsid w:val="00EB300F"/>
    <w:rsid w:val="00EB30CA"/>
    <w:rsid w:val="00EB330B"/>
    <w:rsid w:val="00EB352F"/>
    <w:rsid w:val="00EB370B"/>
    <w:rsid w:val="00EB38A4"/>
    <w:rsid w:val="00EB3C51"/>
    <w:rsid w:val="00EB4713"/>
    <w:rsid w:val="00EB4A3F"/>
    <w:rsid w:val="00EB4DFF"/>
    <w:rsid w:val="00EB52CE"/>
    <w:rsid w:val="00EB5372"/>
    <w:rsid w:val="00EB5854"/>
    <w:rsid w:val="00EB598A"/>
    <w:rsid w:val="00EB6402"/>
    <w:rsid w:val="00EB6CC8"/>
    <w:rsid w:val="00EB72DA"/>
    <w:rsid w:val="00EB73C7"/>
    <w:rsid w:val="00EB7415"/>
    <w:rsid w:val="00EC0440"/>
    <w:rsid w:val="00EC08BA"/>
    <w:rsid w:val="00EC0AB4"/>
    <w:rsid w:val="00EC0FFC"/>
    <w:rsid w:val="00EC1030"/>
    <w:rsid w:val="00EC1589"/>
    <w:rsid w:val="00EC1913"/>
    <w:rsid w:val="00EC1D77"/>
    <w:rsid w:val="00EC28A5"/>
    <w:rsid w:val="00EC2951"/>
    <w:rsid w:val="00EC2962"/>
    <w:rsid w:val="00EC3108"/>
    <w:rsid w:val="00EC3125"/>
    <w:rsid w:val="00EC3CB9"/>
    <w:rsid w:val="00EC405C"/>
    <w:rsid w:val="00EC4478"/>
    <w:rsid w:val="00EC4482"/>
    <w:rsid w:val="00EC45B8"/>
    <w:rsid w:val="00EC49B2"/>
    <w:rsid w:val="00EC4B67"/>
    <w:rsid w:val="00EC55A2"/>
    <w:rsid w:val="00EC56AD"/>
    <w:rsid w:val="00EC57DD"/>
    <w:rsid w:val="00EC58A7"/>
    <w:rsid w:val="00EC5AE1"/>
    <w:rsid w:val="00EC5CAF"/>
    <w:rsid w:val="00EC5E24"/>
    <w:rsid w:val="00EC6430"/>
    <w:rsid w:val="00EC6953"/>
    <w:rsid w:val="00EC70B6"/>
    <w:rsid w:val="00EC72CD"/>
    <w:rsid w:val="00EC7324"/>
    <w:rsid w:val="00EC7821"/>
    <w:rsid w:val="00EC7DE1"/>
    <w:rsid w:val="00ED0062"/>
    <w:rsid w:val="00ED02C8"/>
    <w:rsid w:val="00ED036F"/>
    <w:rsid w:val="00ED04F8"/>
    <w:rsid w:val="00ED073B"/>
    <w:rsid w:val="00ED0DD5"/>
    <w:rsid w:val="00ED1189"/>
    <w:rsid w:val="00ED1A00"/>
    <w:rsid w:val="00ED1E33"/>
    <w:rsid w:val="00ED239A"/>
    <w:rsid w:val="00ED2901"/>
    <w:rsid w:val="00ED2A37"/>
    <w:rsid w:val="00ED2C3B"/>
    <w:rsid w:val="00ED300D"/>
    <w:rsid w:val="00ED34BA"/>
    <w:rsid w:val="00ED3EF9"/>
    <w:rsid w:val="00ED46DA"/>
    <w:rsid w:val="00ED4FA9"/>
    <w:rsid w:val="00ED5A51"/>
    <w:rsid w:val="00ED5C17"/>
    <w:rsid w:val="00ED6071"/>
    <w:rsid w:val="00ED622A"/>
    <w:rsid w:val="00ED704E"/>
    <w:rsid w:val="00ED7087"/>
    <w:rsid w:val="00ED7578"/>
    <w:rsid w:val="00ED7658"/>
    <w:rsid w:val="00ED7AC9"/>
    <w:rsid w:val="00ED7BFE"/>
    <w:rsid w:val="00EE05B0"/>
    <w:rsid w:val="00EE0967"/>
    <w:rsid w:val="00EE0B3F"/>
    <w:rsid w:val="00EE153C"/>
    <w:rsid w:val="00EE1E8B"/>
    <w:rsid w:val="00EE27F0"/>
    <w:rsid w:val="00EE2874"/>
    <w:rsid w:val="00EE2B78"/>
    <w:rsid w:val="00EE3128"/>
    <w:rsid w:val="00EE344A"/>
    <w:rsid w:val="00EE34D1"/>
    <w:rsid w:val="00EE3909"/>
    <w:rsid w:val="00EE3AF2"/>
    <w:rsid w:val="00EE3B41"/>
    <w:rsid w:val="00EE439B"/>
    <w:rsid w:val="00EE58AC"/>
    <w:rsid w:val="00EE5E41"/>
    <w:rsid w:val="00EE5F5B"/>
    <w:rsid w:val="00EE638C"/>
    <w:rsid w:val="00EE6453"/>
    <w:rsid w:val="00EE64AE"/>
    <w:rsid w:val="00EE6647"/>
    <w:rsid w:val="00EE69E3"/>
    <w:rsid w:val="00EE73CE"/>
    <w:rsid w:val="00EE7471"/>
    <w:rsid w:val="00EE762F"/>
    <w:rsid w:val="00EE77CE"/>
    <w:rsid w:val="00EE7A34"/>
    <w:rsid w:val="00EF005F"/>
    <w:rsid w:val="00EF00EB"/>
    <w:rsid w:val="00EF0177"/>
    <w:rsid w:val="00EF0438"/>
    <w:rsid w:val="00EF05D5"/>
    <w:rsid w:val="00EF06CC"/>
    <w:rsid w:val="00EF0AFD"/>
    <w:rsid w:val="00EF0EDA"/>
    <w:rsid w:val="00EF139E"/>
    <w:rsid w:val="00EF142B"/>
    <w:rsid w:val="00EF1489"/>
    <w:rsid w:val="00EF14A7"/>
    <w:rsid w:val="00EF1981"/>
    <w:rsid w:val="00EF20F5"/>
    <w:rsid w:val="00EF21D9"/>
    <w:rsid w:val="00EF22D0"/>
    <w:rsid w:val="00EF2A8E"/>
    <w:rsid w:val="00EF2C71"/>
    <w:rsid w:val="00EF2CE2"/>
    <w:rsid w:val="00EF3099"/>
    <w:rsid w:val="00EF33F8"/>
    <w:rsid w:val="00EF3637"/>
    <w:rsid w:val="00EF36D6"/>
    <w:rsid w:val="00EF4001"/>
    <w:rsid w:val="00EF4368"/>
    <w:rsid w:val="00EF47A3"/>
    <w:rsid w:val="00EF4964"/>
    <w:rsid w:val="00EF49D8"/>
    <w:rsid w:val="00EF4C0F"/>
    <w:rsid w:val="00EF5014"/>
    <w:rsid w:val="00EF513C"/>
    <w:rsid w:val="00EF57C9"/>
    <w:rsid w:val="00EF638A"/>
    <w:rsid w:val="00EF6BB5"/>
    <w:rsid w:val="00EF6C70"/>
    <w:rsid w:val="00EF70E8"/>
    <w:rsid w:val="00EF745D"/>
    <w:rsid w:val="00EF764D"/>
    <w:rsid w:val="00EF78A9"/>
    <w:rsid w:val="00EF7DBE"/>
    <w:rsid w:val="00F00158"/>
    <w:rsid w:val="00F0047F"/>
    <w:rsid w:val="00F0128E"/>
    <w:rsid w:val="00F0169A"/>
    <w:rsid w:val="00F0174D"/>
    <w:rsid w:val="00F01B86"/>
    <w:rsid w:val="00F01D9A"/>
    <w:rsid w:val="00F01E0E"/>
    <w:rsid w:val="00F0205D"/>
    <w:rsid w:val="00F025CA"/>
    <w:rsid w:val="00F02A6E"/>
    <w:rsid w:val="00F02C46"/>
    <w:rsid w:val="00F0314D"/>
    <w:rsid w:val="00F03477"/>
    <w:rsid w:val="00F0362C"/>
    <w:rsid w:val="00F044F4"/>
    <w:rsid w:val="00F05B90"/>
    <w:rsid w:val="00F05C47"/>
    <w:rsid w:val="00F06006"/>
    <w:rsid w:val="00F0618D"/>
    <w:rsid w:val="00F0621F"/>
    <w:rsid w:val="00F0655C"/>
    <w:rsid w:val="00F065AF"/>
    <w:rsid w:val="00F065BB"/>
    <w:rsid w:val="00F06BF0"/>
    <w:rsid w:val="00F06C8A"/>
    <w:rsid w:val="00F06FDF"/>
    <w:rsid w:val="00F07C6E"/>
    <w:rsid w:val="00F10101"/>
    <w:rsid w:val="00F104B4"/>
    <w:rsid w:val="00F10957"/>
    <w:rsid w:val="00F10CFE"/>
    <w:rsid w:val="00F114D7"/>
    <w:rsid w:val="00F11631"/>
    <w:rsid w:val="00F11A47"/>
    <w:rsid w:val="00F11B78"/>
    <w:rsid w:val="00F11CE6"/>
    <w:rsid w:val="00F121A1"/>
    <w:rsid w:val="00F1225F"/>
    <w:rsid w:val="00F1268F"/>
    <w:rsid w:val="00F1291F"/>
    <w:rsid w:val="00F12C6C"/>
    <w:rsid w:val="00F12DD8"/>
    <w:rsid w:val="00F12E0C"/>
    <w:rsid w:val="00F12F53"/>
    <w:rsid w:val="00F13283"/>
    <w:rsid w:val="00F13ED6"/>
    <w:rsid w:val="00F13F25"/>
    <w:rsid w:val="00F14E68"/>
    <w:rsid w:val="00F14E8F"/>
    <w:rsid w:val="00F1502A"/>
    <w:rsid w:val="00F1543B"/>
    <w:rsid w:val="00F1578E"/>
    <w:rsid w:val="00F15807"/>
    <w:rsid w:val="00F15827"/>
    <w:rsid w:val="00F15960"/>
    <w:rsid w:val="00F15BA1"/>
    <w:rsid w:val="00F15E04"/>
    <w:rsid w:val="00F15F27"/>
    <w:rsid w:val="00F16150"/>
    <w:rsid w:val="00F16196"/>
    <w:rsid w:val="00F163AC"/>
    <w:rsid w:val="00F164EF"/>
    <w:rsid w:val="00F167EC"/>
    <w:rsid w:val="00F168EB"/>
    <w:rsid w:val="00F169A0"/>
    <w:rsid w:val="00F16BF6"/>
    <w:rsid w:val="00F17EE6"/>
    <w:rsid w:val="00F20EC8"/>
    <w:rsid w:val="00F20F23"/>
    <w:rsid w:val="00F21024"/>
    <w:rsid w:val="00F2126D"/>
    <w:rsid w:val="00F2170C"/>
    <w:rsid w:val="00F2182E"/>
    <w:rsid w:val="00F21BEF"/>
    <w:rsid w:val="00F21EBD"/>
    <w:rsid w:val="00F22011"/>
    <w:rsid w:val="00F222CF"/>
    <w:rsid w:val="00F22B0F"/>
    <w:rsid w:val="00F230C0"/>
    <w:rsid w:val="00F2327C"/>
    <w:rsid w:val="00F23826"/>
    <w:rsid w:val="00F24970"/>
    <w:rsid w:val="00F24DFB"/>
    <w:rsid w:val="00F24E71"/>
    <w:rsid w:val="00F25220"/>
    <w:rsid w:val="00F253C0"/>
    <w:rsid w:val="00F254A0"/>
    <w:rsid w:val="00F26156"/>
    <w:rsid w:val="00F269C8"/>
    <w:rsid w:val="00F26EA9"/>
    <w:rsid w:val="00F27970"/>
    <w:rsid w:val="00F27AEC"/>
    <w:rsid w:val="00F27AED"/>
    <w:rsid w:val="00F27C91"/>
    <w:rsid w:val="00F27CC9"/>
    <w:rsid w:val="00F27D2F"/>
    <w:rsid w:val="00F30144"/>
    <w:rsid w:val="00F30D1D"/>
    <w:rsid w:val="00F30E10"/>
    <w:rsid w:val="00F30E68"/>
    <w:rsid w:val="00F3134F"/>
    <w:rsid w:val="00F31DB5"/>
    <w:rsid w:val="00F3211A"/>
    <w:rsid w:val="00F32D01"/>
    <w:rsid w:val="00F330CD"/>
    <w:rsid w:val="00F333F3"/>
    <w:rsid w:val="00F3369A"/>
    <w:rsid w:val="00F33863"/>
    <w:rsid w:val="00F340E4"/>
    <w:rsid w:val="00F3450A"/>
    <w:rsid w:val="00F34749"/>
    <w:rsid w:val="00F347EF"/>
    <w:rsid w:val="00F34AF8"/>
    <w:rsid w:val="00F34B37"/>
    <w:rsid w:val="00F34B5A"/>
    <w:rsid w:val="00F34D75"/>
    <w:rsid w:val="00F34DFB"/>
    <w:rsid w:val="00F359BA"/>
    <w:rsid w:val="00F35FC6"/>
    <w:rsid w:val="00F3624B"/>
    <w:rsid w:val="00F36748"/>
    <w:rsid w:val="00F3722E"/>
    <w:rsid w:val="00F376A0"/>
    <w:rsid w:val="00F378DF"/>
    <w:rsid w:val="00F37D1B"/>
    <w:rsid w:val="00F37FC1"/>
    <w:rsid w:val="00F401C3"/>
    <w:rsid w:val="00F40779"/>
    <w:rsid w:val="00F407A7"/>
    <w:rsid w:val="00F40AA7"/>
    <w:rsid w:val="00F40BD2"/>
    <w:rsid w:val="00F40D0C"/>
    <w:rsid w:val="00F40E75"/>
    <w:rsid w:val="00F40FA9"/>
    <w:rsid w:val="00F415FB"/>
    <w:rsid w:val="00F41797"/>
    <w:rsid w:val="00F41984"/>
    <w:rsid w:val="00F419DA"/>
    <w:rsid w:val="00F41ECD"/>
    <w:rsid w:val="00F42144"/>
    <w:rsid w:val="00F422A1"/>
    <w:rsid w:val="00F4254B"/>
    <w:rsid w:val="00F426E9"/>
    <w:rsid w:val="00F42BE7"/>
    <w:rsid w:val="00F4391A"/>
    <w:rsid w:val="00F43E45"/>
    <w:rsid w:val="00F43FB6"/>
    <w:rsid w:val="00F444BF"/>
    <w:rsid w:val="00F4450F"/>
    <w:rsid w:val="00F448A0"/>
    <w:rsid w:val="00F44BAB"/>
    <w:rsid w:val="00F454E1"/>
    <w:rsid w:val="00F4593F"/>
    <w:rsid w:val="00F459D7"/>
    <w:rsid w:val="00F45A22"/>
    <w:rsid w:val="00F4621C"/>
    <w:rsid w:val="00F463ED"/>
    <w:rsid w:val="00F46C8A"/>
    <w:rsid w:val="00F470C0"/>
    <w:rsid w:val="00F47377"/>
    <w:rsid w:val="00F47401"/>
    <w:rsid w:val="00F474AA"/>
    <w:rsid w:val="00F47588"/>
    <w:rsid w:val="00F504AC"/>
    <w:rsid w:val="00F51258"/>
    <w:rsid w:val="00F5145A"/>
    <w:rsid w:val="00F5177C"/>
    <w:rsid w:val="00F51EA2"/>
    <w:rsid w:val="00F520F9"/>
    <w:rsid w:val="00F525A7"/>
    <w:rsid w:val="00F52A40"/>
    <w:rsid w:val="00F52CA8"/>
    <w:rsid w:val="00F52E3F"/>
    <w:rsid w:val="00F52F48"/>
    <w:rsid w:val="00F533A7"/>
    <w:rsid w:val="00F534E7"/>
    <w:rsid w:val="00F5383A"/>
    <w:rsid w:val="00F53ABB"/>
    <w:rsid w:val="00F548B9"/>
    <w:rsid w:val="00F54AE4"/>
    <w:rsid w:val="00F54B6F"/>
    <w:rsid w:val="00F54CF7"/>
    <w:rsid w:val="00F54D2C"/>
    <w:rsid w:val="00F54DF6"/>
    <w:rsid w:val="00F55345"/>
    <w:rsid w:val="00F55ABF"/>
    <w:rsid w:val="00F55BE0"/>
    <w:rsid w:val="00F55C20"/>
    <w:rsid w:val="00F560FF"/>
    <w:rsid w:val="00F56100"/>
    <w:rsid w:val="00F5662D"/>
    <w:rsid w:val="00F56A0E"/>
    <w:rsid w:val="00F56A15"/>
    <w:rsid w:val="00F576D9"/>
    <w:rsid w:val="00F5777C"/>
    <w:rsid w:val="00F57A3F"/>
    <w:rsid w:val="00F57C13"/>
    <w:rsid w:val="00F57F0C"/>
    <w:rsid w:val="00F60106"/>
    <w:rsid w:val="00F609E5"/>
    <w:rsid w:val="00F60A23"/>
    <w:rsid w:val="00F60A86"/>
    <w:rsid w:val="00F60CEF"/>
    <w:rsid w:val="00F60DD8"/>
    <w:rsid w:val="00F60F5E"/>
    <w:rsid w:val="00F61F6F"/>
    <w:rsid w:val="00F620DE"/>
    <w:rsid w:val="00F625E2"/>
    <w:rsid w:val="00F6261E"/>
    <w:rsid w:val="00F627E7"/>
    <w:rsid w:val="00F629B4"/>
    <w:rsid w:val="00F629CD"/>
    <w:rsid w:val="00F62C8D"/>
    <w:rsid w:val="00F62E8A"/>
    <w:rsid w:val="00F63463"/>
    <w:rsid w:val="00F63736"/>
    <w:rsid w:val="00F63780"/>
    <w:rsid w:val="00F63F57"/>
    <w:rsid w:val="00F63F96"/>
    <w:rsid w:val="00F6417E"/>
    <w:rsid w:val="00F643FE"/>
    <w:rsid w:val="00F644D7"/>
    <w:rsid w:val="00F645D8"/>
    <w:rsid w:val="00F646C4"/>
    <w:rsid w:val="00F64DDA"/>
    <w:rsid w:val="00F662EB"/>
    <w:rsid w:val="00F66307"/>
    <w:rsid w:val="00F66791"/>
    <w:rsid w:val="00F668AF"/>
    <w:rsid w:val="00F668B3"/>
    <w:rsid w:val="00F66B49"/>
    <w:rsid w:val="00F66C0E"/>
    <w:rsid w:val="00F67071"/>
    <w:rsid w:val="00F705C4"/>
    <w:rsid w:val="00F706C0"/>
    <w:rsid w:val="00F708B1"/>
    <w:rsid w:val="00F70955"/>
    <w:rsid w:val="00F70A30"/>
    <w:rsid w:val="00F70A57"/>
    <w:rsid w:val="00F70A6D"/>
    <w:rsid w:val="00F70FF0"/>
    <w:rsid w:val="00F710D3"/>
    <w:rsid w:val="00F712E6"/>
    <w:rsid w:val="00F72663"/>
    <w:rsid w:val="00F72D34"/>
    <w:rsid w:val="00F72D98"/>
    <w:rsid w:val="00F732FA"/>
    <w:rsid w:val="00F7334A"/>
    <w:rsid w:val="00F733E0"/>
    <w:rsid w:val="00F73922"/>
    <w:rsid w:val="00F73AA3"/>
    <w:rsid w:val="00F7402E"/>
    <w:rsid w:val="00F741FA"/>
    <w:rsid w:val="00F7429C"/>
    <w:rsid w:val="00F74652"/>
    <w:rsid w:val="00F7469F"/>
    <w:rsid w:val="00F74754"/>
    <w:rsid w:val="00F7476E"/>
    <w:rsid w:val="00F748CE"/>
    <w:rsid w:val="00F75278"/>
    <w:rsid w:val="00F7571F"/>
    <w:rsid w:val="00F7584E"/>
    <w:rsid w:val="00F75C1C"/>
    <w:rsid w:val="00F75EDB"/>
    <w:rsid w:val="00F7662D"/>
    <w:rsid w:val="00F766E5"/>
    <w:rsid w:val="00F76F9E"/>
    <w:rsid w:val="00F7754E"/>
    <w:rsid w:val="00F77BAA"/>
    <w:rsid w:val="00F8053B"/>
    <w:rsid w:val="00F806C6"/>
    <w:rsid w:val="00F80BF8"/>
    <w:rsid w:val="00F80E64"/>
    <w:rsid w:val="00F8141F"/>
    <w:rsid w:val="00F8179C"/>
    <w:rsid w:val="00F81EF7"/>
    <w:rsid w:val="00F82B32"/>
    <w:rsid w:val="00F82B9E"/>
    <w:rsid w:val="00F82C37"/>
    <w:rsid w:val="00F833AE"/>
    <w:rsid w:val="00F83BC3"/>
    <w:rsid w:val="00F83F8A"/>
    <w:rsid w:val="00F84136"/>
    <w:rsid w:val="00F84182"/>
    <w:rsid w:val="00F84292"/>
    <w:rsid w:val="00F842C9"/>
    <w:rsid w:val="00F84630"/>
    <w:rsid w:val="00F846F1"/>
    <w:rsid w:val="00F8478D"/>
    <w:rsid w:val="00F84A0A"/>
    <w:rsid w:val="00F85231"/>
    <w:rsid w:val="00F852C9"/>
    <w:rsid w:val="00F8547C"/>
    <w:rsid w:val="00F8560F"/>
    <w:rsid w:val="00F8567E"/>
    <w:rsid w:val="00F856D9"/>
    <w:rsid w:val="00F85772"/>
    <w:rsid w:val="00F85DAC"/>
    <w:rsid w:val="00F85F50"/>
    <w:rsid w:val="00F86023"/>
    <w:rsid w:val="00F862BF"/>
    <w:rsid w:val="00F862E5"/>
    <w:rsid w:val="00F8686A"/>
    <w:rsid w:val="00F8690E"/>
    <w:rsid w:val="00F86946"/>
    <w:rsid w:val="00F86FAE"/>
    <w:rsid w:val="00F87205"/>
    <w:rsid w:val="00F87514"/>
    <w:rsid w:val="00F875D2"/>
    <w:rsid w:val="00F90645"/>
    <w:rsid w:val="00F90EE9"/>
    <w:rsid w:val="00F91E07"/>
    <w:rsid w:val="00F920CD"/>
    <w:rsid w:val="00F921A8"/>
    <w:rsid w:val="00F922A2"/>
    <w:rsid w:val="00F92554"/>
    <w:rsid w:val="00F9264D"/>
    <w:rsid w:val="00F92A29"/>
    <w:rsid w:val="00F92B56"/>
    <w:rsid w:val="00F92C51"/>
    <w:rsid w:val="00F9302B"/>
    <w:rsid w:val="00F931C6"/>
    <w:rsid w:val="00F931D3"/>
    <w:rsid w:val="00F93A4E"/>
    <w:rsid w:val="00F93B5E"/>
    <w:rsid w:val="00F93B82"/>
    <w:rsid w:val="00F93F09"/>
    <w:rsid w:val="00F94866"/>
    <w:rsid w:val="00F948E4"/>
    <w:rsid w:val="00F951D7"/>
    <w:rsid w:val="00F95491"/>
    <w:rsid w:val="00F95A6B"/>
    <w:rsid w:val="00F95D38"/>
    <w:rsid w:val="00F960E5"/>
    <w:rsid w:val="00F960E9"/>
    <w:rsid w:val="00F977BF"/>
    <w:rsid w:val="00F97816"/>
    <w:rsid w:val="00F97852"/>
    <w:rsid w:val="00F97A64"/>
    <w:rsid w:val="00F97EFF"/>
    <w:rsid w:val="00FA0813"/>
    <w:rsid w:val="00FA14BA"/>
    <w:rsid w:val="00FA15CF"/>
    <w:rsid w:val="00FA1831"/>
    <w:rsid w:val="00FA1BCF"/>
    <w:rsid w:val="00FA1C9D"/>
    <w:rsid w:val="00FA1E20"/>
    <w:rsid w:val="00FA2020"/>
    <w:rsid w:val="00FA220B"/>
    <w:rsid w:val="00FA2416"/>
    <w:rsid w:val="00FA262B"/>
    <w:rsid w:val="00FA275C"/>
    <w:rsid w:val="00FA2780"/>
    <w:rsid w:val="00FA2864"/>
    <w:rsid w:val="00FA32D0"/>
    <w:rsid w:val="00FA3B27"/>
    <w:rsid w:val="00FA3DC7"/>
    <w:rsid w:val="00FA4082"/>
    <w:rsid w:val="00FA422F"/>
    <w:rsid w:val="00FA4640"/>
    <w:rsid w:val="00FA474E"/>
    <w:rsid w:val="00FA4C7C"/>
    <w:rsid w:val="00FA4DFC"/>
    <w:rsid w:val="00FA523F"/>
    <w:rsid w:val="00FA588B"/>
    <w:rsid w:val="00FA5A41"/>
    <w:rsid w:val="00FA611F"/>
    <w:rsid w:val="00FA6249"/>
    <w:rsid w:val="00FA642E"/>
    <w:rsid w:val="00FA659B"/>
    <w:rsid w:val="00FA65FB"/>
    <w:rsid w:val="00FA6658"/>
    <w:rsid w:val="00FA678F"/>
    <w:rsid w:val="00FA69D3"/>
    <w:rsid w:val="00FA71B9"/>
    <w:rsid w:val="00FA7202"/>
    <w:rsid w:val="00FA72DB"/>
    <w:rsid w:val="00FA7EB3"/>
    <w:rsid w:val="00FA7ECB"/>
    <w:rsid w:val="00FB0404"/>
    <w:rsid w:val="00FB07AD"/>
    <w:rsid w:val="00FB09A6"/>
    <w:rsid w:val="00FB0B6D"/>
    <w:rsid w:val="00FB0D06"/>
    <w:rsid w:val="00FB104D"/>
    <w:rsid w:val="00FB178B"/>
    <w:rsid w:val="00FB19D2"/>
    <w:rsid w:val="00FB1EF3"/>
    <w:rsid w:val="00FB227E"/>
    <w:rsid w:val="00FB24FB"/>
    <w:rsid w:val="00FB25CC"/>
    <w:rsid w:val="00FB2644"/>
    <w:rsid w:val="00FB273F"/>
    <w:rsid w:val="00FB2A0B"/>
    <w:rsid w:val="00FB356F"/>
    <w:rsid w:val="00FB35DF"/>
    <w:rsid w:val="00FB36B5"/>
    <w:rsid w:val="00FB3814"/>
    <w:rsid w:val="00FB3A91"/>
    <w:rsid w:val="00FB3CE1"/>
    <w:rsid w:val="00FB4365"/>
    <w:rsid w:val="00FB44AD"/>
    <w:rsid w:val="00FB49D3"/>
    <w:rsid w:val="00FB4D66"/>
    <w:rsid w:val="00FB4FAD"/>
    <w:rsid w:val="00FB54A5"/>
    <w:rsid w:val="00FB5623"/>
    <w:rsid w:val="00FB60F3"/>
    <w:rsid w:val="00FB615D"/>
    <w:rsid w:val="00FB69A1"/>
    <w:rsid w:val="00FB6C92"/>
    <w:rsid w:val="00FB75DF"/>
    <w:rsid w:val="00FB7CA7"/>
    <w:rsid w:val="00FC017F"/>
    <w:rsid w:val="00FC0999"/>
    <w:rsid w:val="00FC0B0D"/>
    <w:rsid w:val="00FC0E64"/>
    <w:rsid w:val="00FC1052"/>
    <w:rsid w:val="00FC166D"/>
    <w:rsid w:val="00FC2216"/>
    <w:rsid w:val="00FC260A"/>
    <w:rsid w:val="00FC274F"/>
    <w:rsid w:val="00FC2E02"/>
    <w:rsid w:val="00FC31C1"/>
    <w:rsid w:val="00FC3405"/>
    <w:rsid w:val="00FC3852"/>
    <w:rsid w:val="00FC4021"/>
    <w:rsid w:val="00FC4176"/>
    <w:rsid w:val="00FC42A7"/>
    <w:rsid w:val="00FC4362"/>
    <w:rsid w:val="00FC4AAA"/>
    <w:rsid w:val="00FC4AE0"/>
    <w:rsid w:val="00FC56AB"/>
    <w:rsid w:val="00FC5D2A"/>
    <w:rsid w:val="00FC6284"/>
    <w:rsid w:val="00FC669E"/>
    <w:rsid w:val="00FC6811"/>
    <w:rsid w:val="00FC6988"/>
    <w:rsid w:val="00FC6BC2"/>
    <w:rsid w:val="00FC6C0E"/>
    <w:rsid w:val="00FC7D3F"/>
    <w:rsid w:val="00FD043D"/>
    <w:rsid w:val="00FD06C5"/>
    <w:rsid w:val="00FD0D0A"/>
    <w:rsid w:val="00FD0EC3"/>
    <w:rsid w:val="00FD1350"/>
    <w:rsid w:val="00FD1584"/>
    <w:rsid w:val="00FD1B8A"/>
    <w:rsid w:val="00FD1E63"/>
    <w:rsid w:val="00FD249A"/>
    <w:rsid w:val="00FD2A3D"/>
    <w:rsid w:val="00FD3D51"/>
    <w:rsid w:val="00FD498F"/>
    <w:rsid w:val="00FD50D7"/>
    <w:rsid w:val="00FD50DC"/>
    <w:rsid w:val="00FD5263"/>
    <w:rsid w:val="00FD54F2"/>
    <w:rsid w:val="00FD5B2C"/>
    <w:rsid w:val="00FD5B31"/>
    <w:rsid w:val="00FD5B87"/>
    <w:rsid w:val="00FD659F"/>
    <w:rsid w:val="00FD6778"/>
    <w:rsid w:val="00FD6944"/>
    <w:rsid w:val="00FD7E12"/>
    <w:rsid w:val="00FD7F00"/>
    <w:rsid w:val="00FD7FCF"/>
    <w:rsid w:val="00FE040F"/>
    <w:rsid w:val="00FE04A0"/>
    <w:rsid w:val="00FE0E56"/>
    <w:rsid w:val="00FE1B16"/>
    <w:rsid w:val="00FE27F4"/>
    <w:rsid w:val="00FE2F91"/>
    <w:rsid w:val="00FE32F9"/>
    <w:rsid w:val="00FE388C"/>
    <w:rsid w:val="00FE3AF7"/>
    <w:rsid w:val="00FE3B8F"/>
    <w:rsid w:val="00FE3FD2"/>
    <w:rsid w:val="00FE44C9"/>
    <w:rsid w:val="00FE47ED"/>
    <w:rsid w:val="00FE585A"/>
    <w:rsid w:val="00FE5913"/>
    <w:rsid w:val="00FE59BE"/>
    <w:rsid w:val="00FE5C41"/>
    <w:rsid w:val="00FE63F0"/>
    <w:rsid w:val="00FE674F"/>
    <w:rsid w:val="00FE6944"/>
    <w:rsid w:val="00FE69BA"/>
    <w:rsid w:val="00FE69EA"/>
    <w:rsid w:val="00FE6DE0"/>
    <w:rsid w:val="00FE6EF2"/>
    <w:rsid w:val="00FE6F03"/>
    <w:rsid w:val="00FE748F"/>
    <w:rsid w:val="00FE7C26"/>
    <w:rsid w:val="00FF061E"/>
    <w:rsid w:val="00FF098F"/>
    <w:rsid w:val="00FF1397"/>
    <w:rsid w:val="00FF177D"/>
    <w:rsid w:val="00FF17FA"/>
    <w:rsid w:val="00FF1886"/>
    <w:rsid w:val="00FF1A0B"/>
    <w:rsid w:val="00FF1A2C"/>
    <w:rsid w:val="00FF203C"/>
    <w:rsid w:val="00FF226E"/>
    <w:rsid w:val="00FF22BD"/>
    <w:rsid w:val="00FF2E73"/>
    <w:rsid w:val="00FF3C8D"/>
    <w:rsid w:val="00FF3CA0"/>
    <w:rsid w:val="00FF3DA8"/>
    <w:rsid w:val="00FF3FD2"/>
    <w:rsid w:val="00FF43B3"/>
    <w:rsid w:val="00FF4484"/>
    <w:rsid w:val="00FF471B"/>
    <w:rsid w:val="00FF48EA"/>
    <w:rsid w:val="00FF543F"/>
    <w:rsid w:val="00FF5659"/>
    <w:rsid w:val="00FF5F01"/>
    <w:rsid w:val="00FF65D4"/>
    <w:rsid w:val="00FF6B2C"/>
    <w:rsid w:val="00FF786E"/>
    <w:rsid w:val="00FF7C73"/>
    <w:rsid w:val="00FF7CE9"/>
    <w:rsid w:val="00FF7F4C"/>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3555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Default Paragraph Font" w:uiPriority="1"/>
    <w:lsdException w:name="Body Text"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rsid w:val="00912866"/>
    <w:rPr>
      <w:sz w:val="24"/>
      <w:szCs w:val="24"/>
    </w:rPr>
  </w:style>
  <w:style w:type="paragraph" w:styleId="Heading1">
    <w:name w:val="heading 1"/>
    <w:basedOn w:val="BodyText"/>
    <w:next w:val="BodyText"/>
    <w:rsid w:val="00912866"/>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912866"/>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rsid w:val="00912866"/>
    <w:pPr>
      <w:spacing w:before="560" w:line="320" w:lineRule="exact"/>
      <w:ind w:left="0" w:firstLine="0"/>
      <w:outlineLvl w:val="2"/>
    </w:pPr>
    <w:rPr>
      <w:sz w:val="26"/>
    </w:rPr>
  </w:style>
  <w:style w:type="paragraph" w:styleId="Heading4">
    <w:name w:val="heading 4"/>
    <w:basedOn w:val="Heading3"/>
    <w:next w:val="BodyText"/>
    <w:qFormat/>
    <w:rsid w:val="00912866"/>
    <w:pPr>
      <w:spacing w:before="480"/>
      <w:outlineLvl w:val="3"/>
    </w:pPr>
    <w:rPr>
      <w:b w:val="0"/>
      <w:sz w:val="24"/>
    </w:rPr>
  </w:style>
  <w:style w:type="paragraph" w:styleId="Heading5">
    <w:name w:val="heading 5"/>
    <w:basedOn w:val="Heading4"/>
    <w:next w:val="BodyText"/>
    <w:link w:val="Heading5Char"/>
    <w:qFormat/>
    <w:rsid w:val="00912866"/>
    <w:pPr>
      <w:outlineLvl w:val="4"/>
    </w:pPr>
    <w:rPr>
      <w:i/>
      <w:sz w:val="22"/>
    </w:rPr>
  </w:style>
  <w:style w:type="paragraph" w:styleId="Heading6">
    <w:name w:val="heading 6"/>
    <w:basedOn w:val="BodyText"/>
    <w:next w:val="BodyText"/>
    <w:rsid w:val="00912866"/>
    <w:pPr>
      <w:spacing w:after="60"/>
      <w:jc w:val="left"/>
      <w:outlineLvl w:val="5"/>
    </w:pPr>
    <w:rPr>
      <w:i/>
      <w:sz w:val="22"/>
    </w:rPr>
  </w:style>
  <w:style w:type="paragraph" w:styleId="Heading7">
    <w:name w:val="heading 7"/>
    <w:basedOn w:val="BodyText"/>
    <w:next w:val="BodyText"/>
    <w:rsid w:val="00912866"/>
    <w:pPr>
      <w:spacing w:after="60" w:line="240" w:lineRule="auto"/>
      <w:jc w:val="left"/>
      <w:outlineLvl w:val="6"/>
    </w:pPr>
    <w:rPr>
      <w:rFonts w:ascii="Arial" w:hAnsi="Arial"/>
      <w:sz w:val="20"/>
    </w:rPr>
  </w:style>
  <w:style w:type="paragraph" w:styleId="Heading8">
    <w:name w:val="heading 8"/>
    <w:basedOn w:val="BodyText"/>
    <w:next w:val="BodyText"/>
    <w:rsid w:val="00912866"/>
    <w:pPr>
      <w:spacing w:after="60" w:line="240" w:lineRule="auto"/>
      <w:jc w:val="left"/>
      <w:outlineLvl w:val="7"/>
    </w:pPr>
    <w:rPr>
      <w:rFonts w:ascii="Arial" w:hAnsi="Arial"/>
      <w:i/>
      <w:sz w:val="20"/>
    </w:rPr>
  </w:style>
  <w:style w:type="paragraph" w:styleId="Heading9">
    <w:name w:val="heading 9"/>
    <w:basedOn w:val="BodyText"/>
    <w:next w:val="BodyText"/>
    <w:rsid w:val="00912866"/>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rsid w:val="0091286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12866"/>
  </w:style>
  <w:style w:type="paragraph" w:styleId="BodyText">
    <w:name w:val="Body Text"/>
    <w:link w:val="BodyTextChar"/>
    <w:qFormat/>
    <w:rsid w:val="00912866"/>
    <w:pPr>
      <w:spacing w:before="240" w:line="300" w:lineRule="atLeast"/>
      <w:jc w:val="both"/>
    </w:pPr>
    <w:rPr>
      <w:sz w:val="24"/>
    </w:rPr>
  </w:style>
  <w:style w:type="paragraph" w:customStyle="1" w:styleId="Chapter">
    <w:name w:val="Chapter"/>
    <w:basedOn w:val="Heading1"/>
    <w:next w:val="BodyText"/>
    <w:semiHidden/>
    <w:rsid w:val="00912866"/>
    <w:pPr>
      <w:ind w:left="0" w:firstLine="0"/>
      <w:outlineLvl w:val="9"/>
    </w:pPr>
  </w:style>
  <w:style w:type="paragraph" w:customStyle="1" w:styleId="SequenceInfo">
    <w:name w:val="Sequence Info"/>
    <w:basedOn w:val="BodyText"/>
    <w:semiHidden/>
    <w:rsid w:val="00912866"/>
    <w:rPr>
      <w:vanish/>
      <w:sz w:val="16"/>
    </w:rPr>
  </w:style>
  <w:style w:type="character" w:styleId="CommentReference">
    <w:name w:val="annotation reference"/>
    <w:basedOn w:val="DefaultParagraphFont"/>
    <w:semiHidden/>
    <w:rsid w:val="00912866"/>
    <w:rPr>
      <w:b/>
      <w:vanish/>
      <w:color w:val="FF00FF"/>
      <w:sz w:val="20"/>
    </w:rPr>
  </w:style>
  <w:style w:type="paragraph" w:styleId="CommentText">
    <w:name w:val="annotation text"/>
    <w:basedOn w:val="Normal"/>
    <w:semiHidden/>
    <w:rsid w:val="00912866"/>
    <w:pPr>
      <w:spacing w:before="120" w:line="240" w:lineRule="atLeast"/>
      <w:ind w:left="567" w:hanging="567"/>
    </w:pPr>
    <w:rPr>
      <w:sz w:val="20"/>
    </w:rPr>
  </w:style>
  <w:style w:type="paragraph" w:customStyle="1" w:styleId="Abbreviation">
    <w:name w:val="Abbreviation"/>
    <w:basedOn w:val="BodyText"/>
    <w:rsid w:val="00912866"/>
    <w:pPr>
      <w:spacing w:before="120"/>
      <w:ind w:left="2381" w:hanging="2381"/>
      <w:jc w:val="left"/>
    </w:pPr>
  </w:style>
  <w:style w:type="paragraph" w:customStyle="1" w:styleId="Box">
    <w:name w:val="Box"/>
    <w:basedOn w:val="BodyText"/>
    <w:link w:val="BoxChar"/>
    <w:qFormat/>
    <w:rsid w:val="00912866"/>
    <w:pPr>
      <w:keepNext/>
      <w:spacing w:before="120" w:line="260" w:lineRule="atLeast"/>
    </w:pPr>
    <w:rPr>
      <w:rFonts w:ascii="Arial" w:hAnsi="Arial"/>
      <w:sz w:val="20"/>
    </w:rPr>
  </w:style>
  <w:style w:type="paragraph" w:customStyle="1" w:styleId="QuoteBullet">
    <w:name w:val="Quote Bullet"/>
    <w:basedOn w:val="Quote"/>
    <w:rsid w:val="00912866"/>
    <w:pPr>
      <w:numPr>
        <w:numId w:val="11"/>
      </w:numPr>
    </w:pPr>
  </w:style>
  <w:style w:type="paragraph" w:styleId="Quote">
    <w:name w:val="Quote"/>
    <w:basedOn w:val="BodyText"/>
    <w:next w:val="BodyText"/>
    <w:qFormat/>
    <w:rsid w:val="00912866"/>
    <w:pPr>
      <w:spacing w:before="120" w:line="280" w:lineRule="exact"/>
      <w:ind w:left="340"/>
    </w:pPr>
    <w:rPr>
      <w:sz w:val="22"/>
    </w:rPr>
  </w:style>
  <w:style w:type="paragraph" w:customStyle="1" w:styleId="BoxListBullet">
    <w:name w:val="Box List Bullet"/>
    <w:basedOn w:val="BodyText"/>
    <w:rsid w:val="00912866"/>
    <w:pPr>
      <w:keepNext/>
      <w:numPr>
        <w:numId w:val="6"/>
      </w:numPr>
      <w:spacing w:before="100" w:line="260" w:lineRule="atLeast"/>
    </w:pPr>
    <w:rPr>
      <w:rFonts w:ascii="Arial" w:hAnsi="Arial"/>
      <w:sz w:val="20"/>
    </w:rPr>
  </w:style>
  <w:style w:type="paragraph" w:customStyle="1" w:styleId="BoxListBullet2">
    <w:name w:val="Box List Bullet 2"/>
    <w:basedOn w:val="BoxListBullet"/>
    <w:rsid w:val="00912866"/>
    <w:pPr>
      <w:numPr>
        <w:numId w:val="3"/>
      </w:numPr>
      <w:ind w:left="568" w:hanging="284"/>
    </w:pPr>
  </w:style>
  <w:style w:type="paragraph" w:customStyle="1" w:styleId="BoxListNumber">
    <w:name w:val="Box List Number"/>
    <w:basedOn w:val="BodyText"/>
    <w:rsid w:val="00912866"/>
    <w:pPr>
      <w:keepNext/>
      <w:numPr>
        <w:numId w:val="15"/>
      </w:numPr>
      <w:spacing w:before="100" w:line="260" w:lineRule="atLeast"/>
    </w:pPr>
    <w:rPr>
      <w:rFonts w:ascii="Arial" w:hAnsi="Arial"/>
      <w:sz w:val="20"/>
    </w:rPr>
  </w:style>
  <w:style w:type="paragraph" w:customStyle="1" w:styleId="BoxListNumber2">
    <w:name w:val="Box List Number 2"/>
    <w:basedOn w:val="BoxListNumber"/>
    <w:rsid w:val="00912866"/>
    <w:pPr>
      <w:numPr>
        <w:ilvl w:val="1"/>
      </w:numPr>
      <w:ind w:left="681" w:hanging="397"/>
    </w:pPr>
  </w:style>
  <w:style w:type="paragraph" w:customStyle="1" w:styleId="BoxQuote">
    <w:name w:val="Box Quote"/>
    <w:basedOn w:val="BodyText"/>
    <w:next w:val="Box"/>
    <w:link w:val="BoxQuoteChar"/>
    <w:qFormat/>
    <w:rsid w:val="00912866"/>
    <w:pPr>
      <w:keepNext/>
      <w:spacing w:before="60" w:line="240" w:lineRule="exact"/>
      <w:ind w:left="284"/>
    </w:pPr>
    <w:rPr>
      <w:rFonts w:ascii="Arial" w:hAnsi="Arial"/>
      <w:sz w:val="18"/>
    </w:rPr>
  </w:style>
  <w:style w:type="paragraph" w:customStyle="1" w:styleId="BoxSource">
    <w:name w:val="Box Source"/>
    <w:basedOn w:val="Source"/>
    <w:next w:val="BodyText"/>
    <w:rsid w:val="00912866"/>
    <w:pPr>
      <w:spacing w:before="120"/>
    </w:pPr>
  </w:style>
  <w:style w:type="paragraph" w:customStyle="1" w:styleId="Source">
    <w:name w:val="Source"/>
    <w:basedOn w:val="Normal"/>
    <w:next w:val="BodyText"/>
    <w:link w:val="SourceChar"/>
    <w:rsid w:val="00912866"/>
    <w:pPr>
      <w:keepLines/>
      <w:spacing w:before="80" w:line="220" w:lineRule="exact"/>
      <w:jc w:val="both"/>
    </w:pPr>
    <w:rPr>
      <w:rFonts w:ascii="Arial" w:hAnsi="Arial"/>
      <w:sz w:val="18"/>
      <w:szCs w:val="20"/>
    </w:rPr>
  </w:style>
  <w:style w:type="paragraph" w:customStyle="1" w:styleId="Note">
    <w:name w:val="Note"/>
    <w:basedOn w:val="BodyText"/>
    <w:next w:val="BodyText"/>
    <w:link w:val="NoteChar"/>
    <w:rsid w:val="00912866"/>
    <w:pPr>
      <w:keepLines/>
      <w:spacing w:before="80" w:line="220" w:lineRule="exact"/>
    </w:pPr>
    <w:rPr>
      <w:rFonts w:ascii="Arial" w:hAnsi="Arial"/>
      <w:sz w:val="18"/>
    </w:rPr>
  </w:style>
  <w:style w:type="paragraph" w:customStyle="1" w:styleId="BoxSpace">
    <w:name w:val="Box Space"/>
    <w:basedOn w:val="BodyText"/>
    <w:rsid w:val="00281719"/>
    <w:pPr>
      <w:keepNext/>
      <w:spacing w:before="360" w:line="80" w:lineRule="exact"/>
      <w:jc w:val="left"/>
    </w:pPr>
  </w:style>
  <w:style w:type="paragraph" w:customStyle="1" w:styleId="BoxSubtitle">
    <w:name w:val="Box Subtitle"/>
    <w:basedOn w:val="BoxTitle"/>
    <w:next w:val="Normal"/>
    <w:rsid w:val="00912866"/>
    <w:pPr>
      <w:spacing w:after="80" w:line="200" w:lineRule="exact"/>
      <w:ind w:firstLine="0"/>
    </w:pPr>
    <w:rPr>
      <w:b w:val="0"/>
      <w:sz w:val="20"/>
    </w:rPr>
  </w:style>
  <w:style w:type="paragraph" w:customStyle="1" w:styleId="BoxTitle">
    <w:name w:val="Box Title"/>
    <w:basedOn w:val="Caption"/>
    <w:next w:val="BoxSubtitle"/>
    <w:link w:val="BoxTitleChar"/>
    <w:rsid w:val="00912866"/>
    <w:pPr>
      <w:spacing w:before="120" w:after="0"/>
    </w:pPr>
  </w:style>
  <w:style w:type="paragraph" w:styleId="Caption">
    <w:name w:val="caption"/>
    <w:basedOn w:val="Normal"/>
    <w:next w:val="BodyText"/>
    <w:rsid w:val="00912866"/>
    <w:pPr>
      <w:keepNext/>
      <w:keepLines/>
      <w:spacing w:before="360" w:after="80" w:line="280" w:lineRule="exact"/>
      <w:ind w:left="1474" w:hanging="1474"/>
    </w:pPr>
    <w:rPr>
      <w:rFonts w:ascii="Arial" w:hAnsi="Arial"/>
      <w:b/>
    </w:rPr>
  </w:style>
  <w:style w:type="paragraph" w:customStyle="1" w:styleId="ChapterSummary">
    <w:name w:val="Chapter Summary"/>
    <w:basedOn w:val="BodyText"/>
    <w:rsid w:val="00912866"/>
    <w:pPr>
      <w:spacing w:line="280" w:lineRule="atLeast"/>
      <w:ind w:left="907"/>
    </w:pPr>
    <w:rPr>
      <w:rFonts w:ascii="Arial" w:hAnsi="Arial"/>
      <w:b/>
      <w:sz w:val="20"/>
    </w:rPr>
  </w:style>
  <w:style w:type="character" w:customStyle="1" w:styleId="DocumentInfo">
    <w:name w:val="Document Info"/>
    <w:basedOn w:val="DefaultParagraphFont"/>
    <w:semiHidden/>
    <w:rsid w:val="00912866"/>
    <w:rPr>
      <w:rFonts w:ascii="Arial" w:hAnsi="Arial"/>
      <w:sz w:val="14"/>
    </w:rPr>
  </w:style>
  <w:style w:type="paragraph" w:styleId="Footer">
    <w:name w:val="footer"/>
    <w:basedOn w:val="BodyText"/>
    <w:link w:val="FooterChar"/>
    <w:rsid w:val="00912866"/>
    <w:pPr>
      <w:spacing w:before="80" w:line="200" w:lineRule="exact"/>
      <w:ind w:right="6"/>
      <w:jc w:val="left"/>
    </w:pPr>
    <w:rPr>
      <w:rFonts w:ascii="Arial" w:hAnsi="Arial"/>
      <w:caps/>
      <w:spacing w:val="-4"/>
      <w:sz w:val="16"/>
    </w:rPr>
  </w:style>
  <w:style w:type="character" w:customStyle="1" w:styleId="DraftingNote">
    <w:name w:val="Drafting Note"/>
    <w:basedOn w:val="DefaultParagraphFont"/>
    <w:rsid w:val="00912866"/>
    <w:rPr>
      <w:b/>
      <w:color w:val="FF0000"/>
      <w:sz w:val="24"/>
      <w:u w:val="dotted"/>
    </w:rPr>
  </w:style>
  <w:style w:type="paragraph" w:customStyle="1" w:styleId="Figure">
    <w:name w:val="Figure"/>
    <w:basedOn w:val="BodyText"/>
    <w:link w:val="FigureChar"/>
    <w:rsid w:val="00912866"/>
    <w:pPr>
      <w:keepNext/>
      <w:spacing w:before="120" w:after="120" w:line="240" w:lineRule="atLeast"/>
      <w:jc w:val="center"/>
    </w:pPr>
  </w:style>
  <w:style w:type="paragraph" w:customStyle="1" w:styleId="FigureTitle">
    <w:name w:val="Figure Title"/>
    <w:basedOn w:val="Caption"/>
    <w:next w:val="Subtitle"/>
    <w:rsid w:val="00912866"/>
    <w:pPr>
      <w:spacing w:before="120"/>
    </w:pPr>
  </w:style>
  <w:style w:type="paragraph" w:styleId="Subtitle">
    <w:name w:val="Subtitle"/>
    <w:basedOn w:val="Caption"/>
    <w:link w:val="SubtitleChar"/>
    <w:qFormat/>
    <w:rsid w:val="00912866"/>
    <w:pPr>
      <w:spacing w:before="0" w:line="200" w:lineRule="exact"/>
      <w:ind w:firstLine="0"/>
    </w:pPr>
    <w:rPr>
      <w:b w:val="0"/>
      <w:sz w:val="20"/>
    </w:rPr>
  </w:style>
  <w:style w:type="paragraph" w:customStyle="1" w:styleId="Finding">
    <w:name w:val="Finding"/>
    <w:basedOn w:val="BodyText"/>
    <w:rsid w:val="00912866"/>
    <w:pPr>
      <w:keepLines/>
      <w:spacing w:before="120" w:line="280" w:lineRule="atLeast"/>
    </w:pPr>
    <w:rPr>
      <w:rFonts w:ascii="Arial" w:hAnsi="Arial"/>
      <w:sz w:val="22"/>
    </w:rPr>
  </w:style>
  <w:style w:type="paragraph" w:customStyle="1" w:styleId="FindingBullet">
    <w:name w:val="Finding Bullet"/>
    <w:basedOn w:val="Finding"/>
    <w:rsid w:val="00912866"/>
    <w:pPr>
      <w:numPr>
        <w:numId w:val="7"/>
      </w:numPr>
      <w:spacing w:before="80"/>
    </w:pPr>
  </w:style>
  <w:style w:type="paragraph" w:customStyle="1" w:styleId="FindingNoTitle">
    <w:name w:val="Finding NoTitle"/>
    <w:basedOn w:val="Finding"/>
    <w:rsid w:val="00912866"/>
    <w:pPr>
      <w:spacing w:before="240"/>
    </w:pPr>
  </w:style>
  <w:style w:type="paragraph" w:customStyle="1" w:styleId="FindingTitle">
    <w:name w:val="Finding Title"/>
    <w:basedOn w:val="RecTitle"/>
    <w:next w:val="Finding"/>
    <w:rsid w:val="00912866"/>
  </w:style>
  <w:style w:type="paragraph" w:customStyle="1" w:styleId="RecTitle">
    <w:name w:val="Rec Title"/>
    <w:basedOn w:val="BodyText"/>
    <w:next w:val="Rec"/>
    <w:qFormat/>
    <w:rsid w:val="00912866"/>
    <w:pPr>
      <w:keepNext/>
      <w:keepLines/>
      <w:spacing w:line="280" w:lineRule="atLeast"/>
    </w:pPr>
    <w:rPr>
      <w:rFonts w:ascii="Arial" w:hAnsi="Arial"/>
      <w:caps/>
      <w:sz w:val="18"/>
    </w:rPr>
  </w:style>
  <w:style w:type="paragraph" w:customStyle="1" w:styleId="FooterEnd">
    <w:name w:val="Footer End"/>
    <w:basedOn w:val="Footer"/>
    <w:rsid w:val="00912866"/>
    <w:pPr>
      <w:spacing w:before="0" w:line="20" w:lineRule="exact"/>
    </w:pPr>
  </w:style>
  <w:style w:type="character" w:styleId="FootnoteReference">
    <w:name w:val="footnote reference"/>
    <w:basedOn w:val="DefaultParagraphFont"/>
    <w:semiHidden/>
    <w:rsid w:val="00912866"/>
    <w:rPr>
      <w:rFonts w:ascii="Times New Roman" w:hAnsi="Times New Roman"/>
      <w:position w:val="6"/>
      <w:sz w:val="20"/>
      <w:vertAlign w:val="baseline"/>
    </w:rPr>
  </w:style>
  <w:style w:type="paragraph" w:styleId="FootnoteText">
    <w:name w:val="footnote text"/>
    <w:basedOn w:val="BodyText"/>
    <w:rsid w:val="00912866"/>
    <w:pPr>
      <w:tabs>
        <w:tab w:val="left" w:pos="284"/>
      </w:tabs>
      <w:spacing w:before="80" w:line="240" w:lineRule="exact"/>
      <w:ind w:left="284" w:hanging="284"/>
    </w:pPr>
    <w:rPr>
      <w:sz w:val="20"/>
    </w:rPr>
  </w:style>
  <w:style w:type="paragraph" w:styleId="Header">
    <w:name w:val="header"/>
    <w:basedOn w:val="BodyText"/>
    <w:rsid w:val="00912866"/>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2866"/>
    <w:pPr>
      <w:spacing w:line="20" w:lineRule="exact"/>
    </w:pPr>
    <w:rPr>
      <w:sz w:val="16"/>
    </w:rPr>
  </w:style>
  <w:style w:type="paragraph" w:customStyle="1" w:styleId="HeaderEven">
    <w:name w:val="Header Even"/>
    <w:basedOn w:val="Header"/>
    <w:semiHidden/>
    <w:rsid w:val="00912866"/>
  </w:style>
  <w:style w:type="paragraph" w:customStyle="1" w:styleId="HeaderOdd">
    <w:name w:val="Header Odd"/>
    <w:basedOn w:val="Header"/>
    <w:semiHidden/>
    <w:rsid w:val="00912866"/>
  </w:style>
  <w:style w:type="paragraph" w:customStyle="1" w:styleId="InformationRequest">
    <w:name w:val="Information Request"/>
    <w:basedOn w:val="Finding"/>
    <w:next w:val="BodyText"/>
    <w:rsid w:val="00912866"/>
    <w:rPr>
      <w:i/>
    </w:rPr>
  </w:style>
  <w:style w:type="paragraph" w:styleId="ListBullet">
    <w:name w:val="List Bullet"/>
    <w:aliases w:val="List Bullet1,List Bullet Char1,List Bullet Char Char,List Bullet Char1 Char Char"/>
    <w:basedOn w:val="BodyText"/>
    <w:link w:val="ListBulletChar"/>
    <w:rsid w:val="00912866"/>
    <w:pPr>
      <w:numPr>
        <w:numId w:val="5"/>
      </w:numPr>
      <w:spacing w:before="120"/>
    </w:pPr>
  </w:style>
  <w:style w:type="paragraph" w:styleId="ListBullet2">
    <w:name w:val="List Bullet 2"/>
    <w:basedOn w:val="BodyText"/>
    <w:rsid w:val="00912866"/>
    <w:pPr>
      <w:numPr>
        <w:numId w:val="2"/>
      </w:numPr>
      <w:spacing w:before="120"/>
    </w:pPr>
  </w:style>
  <w:style w:type="paragraph" w:styleId="ListBullet3">
    <w:name w:val="List Bullet 3"/>
    <w:basedOn w:val="BodyText"/>
    <w:rsid w:val="00912866"/>
    <w:pPr>
      <w:numPr>
        <w:numId w:val="1"/>
      </w:numPr>
      <w:spacing w:before="120"/>
      <w:ind w:left="1020" w:hanging="340"/>
    </w:pPr>
  </w:style>
  <w:style w:type="paragraph" w:styleId="ListNumber">
    <w:name w:val="List Number"/>
    <w:basedOn w:val="BodyText"/>
    <w:rsid w:val="00912866"/>
    <w:pPr>
      <w:numPr>
        <w:numId w:val="14"/>
      </w:numPr>
      <w:spacing w:before="120"/>
    </w:pPr>
  </w:style>
  <w:style w:type="paragraph" w:styleId="ListNumber2">
    <w:name w:val="List Number 2"/>
    <w:basedOn w:val="ListNumber"/>
    <w:rsid w:val="00912866"/>
    <w:pPr>
      <w:numPr>
        <w:ilvl w:val="1"/>
      </w:numPr>
    </w:pPr>
  </w:style>
  <w:style w:type="paragraph" w:styleId="ListNumber3">
    <w:name w:val="List Number 3"/>
    <w:basedOn w:val="ListNumber2"/>
    <w:rsid w:val="00912866"/>
    <w:pPr>
      <w:numPr>
        <w:ilvl w:val="2"/>
      </w:numPr>
    </w:pPr>
  </w:style>
  <w:style w:type="character" w:customStyle="1" w:styleId="NoteLabel">
    <w:name w:val="Note Label"/>
    <w:basedOn w:val="DefaultParagraphFont"/>
    <w:rsid w:val="00912866"/>
    <w:rPr>
      <w:rFonts w:ascii="Arial" w:hAnsi="Arial"/>
      <w:b/>
      <w:position w:val="6"/>
      <w:sz w:val="18"/>
    </w:rPr>
  </w:style>
  <w:style w:type="character" w:styleId="PageNumber">
    <w:name w:val="page number"/>
    <w:basedOn w:val="DefaultParagraphFont"/>
    <w:rsid w:val="00912866"/>
    <w:rPr>
      <w:rFonts w:ascii="Arial" w:hAnsi="Arial"/>
      <w:b/>
      <w:sz w:val="16"/>
    </w:rPr>
  </w:style>
  <w:style w:type="paragraph" w:customStyle="1" w:styleId="PartDivider">
    <w:name w:val="Part Divider"/>
    <w:basedOn w:val="BodyText"/>
    <w:next w:val="BodyText"/>
    <w:semiHidden/>
    <w:rsid w:val="00912866"/>
    <w:pPr>
      <w:spacing w:before="0" w:line="40" w:lineRule="exact"/>
      <w:jc w:val="right"/>
    </w:pPr>
    <w:rPr>
      <w:smallCaps/>
      <w:sz w:val="16"/>
    </w:rPr>
  </w:style>
  <w:style w:type="paragraph" w:customStyle="1" w:styleId="PartNumber">
    <w:name w:val="Part Number"/>
    <w:basedOn w:val="BodyText"/>
    <w:next w:val="BodyText"/>
    <w:semiHidden/>
    <w:rsid w:val="00912866"/>
    <w:pPr>
      <w:spacing w:before="4000" w:line="320" w:lineRule="exact"/>
      <w:ind w:left="6634"/>
      <w:jc w:val="right"/>
    </w:pPr>
    <w:rPr>
      <w:smallCaps/>
      <w:spacing w:val="60"/>
      <w:sz w:val="32"/>
    </w:rPr>
  </w:style>
  <w:style w:type="paragraph" w:customStyle="1" w:styleId="PartTitle">
    <w:name w:val="Part Title"/>
    <w:basedOn w:val="BodyText"/>
    <w:semiHidden/>
    <w:rsid w:val="00912866"/>
    <w:pPr>
      <w:spacing w:before="160" w:after="1360" w:line="520" w:lineRule="exact"/>
      <w:ind w:right="2381"/>
      <w:jc w:val="right"/>
    </w:pPr>
    <w:rPr>
      <w:smallCaps/>
      <w:sz w:val="52"/>
    </w:rPr>
  </w:style>
  <w:style w:type="paragraph" w:customStyle="1" w:styleId="Rec">
    <w:name w:val="Rec"/>
    <w:basedOn w:val="BodyText"/>
    <w:qFormat/>
    <w:rsid w:val="00912866"/>
    <w:pPr>
      <w:keepLines/>
      <w:spacing w:before="120" w:line="280" w:lineRule="atLeast"/>
    </w:pPr>
    <w:rPr>
      <w:rFonts w:ascii="Arial" w:hAnsi="Arial"/>
      <w:sz w:val="22"/>
    </w:rPr>
  </w:style>
  <w:style w:type="paragraph" w:customStyle="1" w:styleId="RecBullet">
    <w:name w:val="Rec Bullet"/>
    <w:basedOn w:val="Rec"/>
    <w:rsid w:val="00912866"/>
    <w:pPr>
      <w:numPr>
        <w:numId w:val="8"/>
      </w:numPr>
      <w:spacing w:before="80"/>
    </w:pPr>
  </w:style>
  <w:style w:type="paragraph" w:customStyle="1" w:styleId="RecB">
    <w:name w:val="RecB"/>
    <w:basedOn w:val="Normal"/>
    <w:rsid w:val="00912866"/>
    <w:pPr>
      <w:keepLines/>
      <w:pBdr>
        <w:left w:val="single" w:sz="24" w:space="12" w:color="C0C0C0"/>
      </w:pBdr>
      <w:spacing w:before="180" w:line="320" w:lineRule="atLeast"/>
      <w:jc w:val="both"/>
    </w:pPr>
    <w:rPr>
      <w:b/>
      <w:i/>
      <w:szCs w:val="20"/>
    </w:rPr>
  </w:style>
  <w:style w:type="paragraph" w:customStyle="1" w:styleId="RecBBullet">
    <w:name w:val="RecB Bullet"/>
    <w:basedOn w:val="RecB"/>
    <w:rsid w:val="00912866"/>
    <w:pPr>
      <w:numPr>
        <w:numId w:val="9"/>
      </w:numPr>
      <w:spacing w:before="80"/>
    </w:pPr>
  </w:style>
  <w:style w:type="paragraph" w:customStyle="1" w:styleId="RecBNoTitle">
    <w:name w:val="RecB NoTitle"/>
    <w:basedOn w:val="RecB"/>
    <w:rsid w:val="00912866"/>
    <w:pPr>
      <w:spacing w:before="240"/>
    </w:pPr>
  </w:style>
  <w:style w:type="paragraph" w:customStyle="1" w:styleId="Reference">
    <w:name w:val="Reference"/>
    <w:basedOn w:val="BodyText"/>
    <w:link w:val="ReferenceChar"/>
    <w:rsid w:val="00912866"/>
    <w:pPr>
      <w:spacing w:before="120"/>
      <w:ind w:left="340" w:hanging="340"/>
    </w:pPr>
  </w:style>
  <w:style w:type="paragraph" w:customStyle="1" w:styleId="SideNote">
    <w:name w:val="Side Note"/>
    <w:basedOn w:val="BodyText"/>
    <w:next w:val="BodyText"/>
    <w:semiHidden/>
    <w:rsid w:val="00912866"/>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semiHidden/>
    <w:rsid w:val="00912866"/>
    <w:pPr>
      <w:framePr w:wrap="around"/>
      <w:numPr>
        <w:numId w:val="4"/>
      </w:numPr>
      <w:tabs>
        <w:tab w:val="left" w:pos="227"/>
      </w:tabs>
    </w:pPr>
  </w:style>
  <w:style w:type="paragraph" w:customStyle="1" w:styleId="SideNoteGraphic">
    <w:name w:val="Side Note Graphic"/>
    <w:basedOn w:val="SideNote"/>
    <w:next w:val="BodyText"/>
    <w:semiHidden/>
    <w:rsid w:val="00912866"/>
    <w:pPr>
      <w:framePr w:wrap="around"/>
    </w:pPr>
  </w:style>
  <w:style w:type="paragraph" w:customStyle="1" w:styleId="TableBodyText">
    <w:name w:val="Table Body Text"/>
    <w:basedOn w:val="BodyText"/>
    <w:rsid w:val="00912866"/>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rsid w:val="00912866"/>
    <w:pPr>
      <w:numPr>
        <w:numId w:val="10"/>
      </w:numPr>
      <w:jc w:val="left"/>
    </w:pPr>
  </w:style>
  <w:style w:type="paragraph" w:customStyle="1" w:styleId="TableColumnHeading">
    <w:name w:val="Table Column Heading"/>
    <w:basedOn w:val="TableBodyText"/>
    <w:rsid w:val="00912866"/>
    <w:pPr>
      <w:spacing w:before="80" w:after="80"/>
    </w:pPr>
    <w:rPr>
      <w:i/>
    </w:rPr>
  </w:style>
  <w:style w:type="paragraph" w:styleId="TableofFigures">
    <w:name w:val="table of figures"/>
    <w:basedOn w:val="TOC3"/>
    <w:next w:val="BodyText"/>
    <w:semiHidden/>
    <w:rsid w:val="00912866"/>
    <w:pPr>
      <w:ind w:left="737" w:hanging="737"/>
    </w:pPr>
  </w:style>
  <w:style w:type="paragraph" w:styleId="TOC3">
    <w:name w:val="toc 3"/>
    <w:basedOn w:val="TOC2"/>
    <w:rsid w:val="00912866"/>
    <w:pPr>
      <w:spacing w:before="60"/>
      <w:ind w:left="1190" w:hanging="680"/>
    </w:pPr>
  </w:style>
  <w:style w:type="paragraph" w:styleId="TOC2">
    <w:name w:val="toc 2"/>
    <w:basedOn w:val="TOC1"/>
    <w:rsid w:val="00912866"/>
    <w:pPr>
      <w:ind w:left="1134" w:hanging="624"/>
    </w:pPr>
    <w:rPr>
      <w:b w:val="0"/>
    </w:rPr>
  </w:style>
  <w:style w:type="paragraph" w:customStyle="1" w:styleId="TableTitle">
    <w:name w:val="Table Title"/>
    <w:basedOn w:val="Caption"/>
    <w:next w:val="Subtitle"/>
    <w:qFormat/>
    <w:rsid w:val="00912866"/>
    <w:pPr>
      <w:spacing w:before="120"/>
    </w:pPr>
  </w:style>
  <w:style w:type="paragraph" w:customStyle="1" w:styleId="TableUnitsRow">
    <w:name w:val="Table Units Row"/>
    <w:basedOn w:val="TableBodyText"/>
    <w:rsid w:val="00912866"/>
    <w:pPr>
      <w:spacing w:before="40"/>
    </w:pPr>
  </w:style>
  <w:style w:type="paragraph" w:styleId="TOC1">
    <w:name w:val="toc 1"/>
    <w:basedOn w:val="Normal"/>
    <w:next w:val="TOC2"/>
    <w:link w:val="TOC1Char"/>
    <w:rsid w:val="00912866"/>
    <w:pPr>
      <w:tabs>
        <w:tab w:val="right" w:pos="8789"/>
      </w:tabs>
      <w:spacing w:before="120" w:line="320" w:lineRule="exact"/>
      <w:ind w:left="510" w:right="851" w:hanging="510"/>
    </w:pPr>
    <w:rPr>
      <w:rFonts w:ascii="Arial" w:hAnsi="Arial"/>
      <w:b/>
      <w:sz w:val="26"/>
      <w:szCs w:val="26"/>
      <w:lang w:eastAsia="en-US"/>
    </w:rPr>
  </w:style>
  <w:style w:type="paragraph" w:styleId="TOC4">
    <w:name w:val="toc 4"/>
    <w:basedOn w:val="TOC3"/>
    <w:semiHidden/>
    <w:rsid w:val="00912866"/>
    <w:pPr>
      <w:ind w:left="1191" w:firstLine="0"/>
    </w:pPr>
  </w:style>
  <w:style w:type="paragraph" w:customStyle="1" w:styleId="BoxContinued">
    <w:name w:val="Box Continued"/>
    <w:basedOn w:val="BodyText"/>
    <w:next w:val="BodyText"/>
    <w:link w:val="BoxContinuedChar"/>
    <w:semiHidden/>
    <w:rsid w:val="00912866"/>
    <w:pPr>
      <w:spacing w:before="180" w:line="220" w:lineRule="exact"/>
      <w:jc w:val="right"/>
    </w:pPr>
    <w:rPr>
      <w:rFonts w:ascii="Arial" w:hAnsi="Arial"/>
      <w:sz w:val="18"/>
    </w:rPr>
  </w:style>
  <w:style w:type="paragraph" w:customStyle="1" w:styleId="Continued">
    <w:name w:val="Continued"/>
    <w:basedOn w:val="BoxContinued"/>
    <w:next w:val="BodyText"/>
    <w:link w:val="ContinuedChar"/>
    <w:rsid w:val="00912866"/>
  </w:style>
  <w:style w:type="paragraph" w:customStyle="1" w:styleId="BoxHeading1">
    <w:name w:val="Box Heading 1"/>
    <w:basedOn w:val="BodyText"/>
    <w:next w:val="Box"/>
    <w:link w:val="BoxHeading1Char"/>
    <w:rsid w:val="00912866"/>
    <w:pPr>
      <w:keepNext/>
      <w:spacing w:before="200" w:line="280" w:lineRule="atLeast"/>
    </w:pPr>
    <w:rPr>
      <w:rFonts w:ascii="Arial" w:hAnsi="Arial"/>
      <w:b/>
      <w:sz w:val="22"/>
    </w:rPr>
  </w:style>
  <w:style w:type="paragraph" w:customStyle="1" w:styleId="BoxHeading2">
    <w:name w:val="Box Heading 2"/>
    <w:basedOn w:val="BoxHeading1"/>
    <w:next w:val="Normal"/>
    <w:rsid w:val="00912866"/>
    <w:rPr>
      <w:b w:val="0"/>
      <w:i/>
    </w:rPr>
  </w:style>
  <w:style w:type="paragraph" w:styleId="BalloonText">
    <w:name w:val="Balloon Text"/>
    <w:basedOn w:val="Normal"/>
    <w:link w:val="BalloonTextChar"/>
    <w:rsid w:val="00912866"/>
    <w:rPr>
      <w:rFonts w:ascii="Tahoma" w:hAnsi="Tahoma" w:cs="Tahoma"/>
      <w:sz w:val="16"/>
      <w:szCs w:val="16"/>
    </w:rPr>
  </w:style>
  <w:style w:type="paragraph" w:customStyle="1" w:styleId="Jurisdictioncommentsbodytext">
    <w:name w:val="Jurisdiction comments body text"/>
    <w:link w:val="JurisdictioncommentsbodytextChar"/>
    <w:rsid w:val="00912866"/>
    <w:pPr>
      <w:spacing w:after="140"/>
      <w:jc w:val="both"/>
    </w:pPr>
    <w:rPr>
      <w:rFonts w:ascii="Arial" w:hAnsi="Arial"/>
      <w:sz w:val="24"/>
      <w:lang w:eastAsia="en-US"/>
    </w:rPr>
  </w:style>
  <w:style w:type="paragraph" w:customStyle="1" w:styleId="Jurisdictioncommentsheading">
    <w:name w:val="Jurisdiction comments heading"/>
    <w:rsid w:val="00912866"/>
    <w:pPr>
      <w:spacing w:after="140" w:line="320" w:lineRule="atLeast"/>
      <w:jc w:val="both"/>
    </w:pPr>
    <w:rPr>
      <w:rFonts w:ascii="Arial" w:hAnsi="Arial"/>
      <w:b/>
      <w:sz w:val="24"/>
      <w:lang w:eastAsia="en-US"/>
    </w:rPr>
  </w:style>
  <w:style w:type="paragraph" w:customStyle="1" w:styleId="Jurisdictioncommentslistbullet">
    <w:name w:val="Jurisdiction comments list bullet"/>
    <w:link w:val="JurisdictioncommentslistbulletChar"/>
    <w:rsid w:val="00912866"/>
    <w:pPr>
      <w:numPr>
        <w:numId w:val="13"/>
      </w:numPr>
      <w:spacing w:after="140"/>
      <w:jc w:val="both"/>
    </w:pPr>
    <w:rPr>
      <w:rFonts w:ascii="Arial" w:hAnsi="Arial"/>
      <w:sz w:val="24"/>
      <w:lang w:eastAsia="en-US"/>
    </w:rPr>
  </w:style>
  <w:style w:type="paragraph" w:customStyle="1" w:styleId="SOC">
    <w:name w:val="SOC"/>
    <w:basedOn w:val="BodyText"/>
    <w:rsid w:val="00F534E7"/>
    <w:pPr>
      <w:spacing w:before="0" w:after="140" w:line="240" w:lineRule="auto"/>
    </w:pPr>
    <w:rPr>
      <w:rFonts w:ascii="Arial" w:hAnsi="Arial"/>
    </w:rPr>
  </w:style>
  <w:style w:type="table" w:styleId="TableGrid">
    <w:name w:val="Table Grid"/>
    <w:basedOn w:val="TableNormal"/>
    <w:rsid w:val="0091286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ommentSubject">
    <w:name w:val="annotation subject"/>
    <w:basedOn w:val="CommentText"/>
    <w:next w:val="CommentText"/>
    <w:semiHidden/>
    <w:rsid w:val="00306D8C"/>
    <w:pPr>
      <w:spacing w:before="0" w:line="240" w:lineRule="auto"/>
      <w:ind w:left="0" w:firstLine="0"/>
    </w:pPr>
    <w:rPr>
      <w:b/>
      <w:bCs/>
    </w:rPr>
  </w:style>
  <w:style w:type="character" w:styleId="Hyperlink">
    <w:name w:val="Hyperlink"/>
    <w:uiPriority w:val="99"/>
    <w:rsid w:val="004E1E44"/>
    <w:rPr>
      <w:color w:val="0000FF"/>
      <w:u w:val="single"/>
    </w:rPr>
  </w:style>
  <w:style w:type="paragraph" w:styleId="NormalWeb">
    <w:name w:val="Normal (Web)"/>
    <w:basedOn w:val="Normal"/>
    <w:link w:val="NormalWebChar"/>
    <w:rsid w:val="00BB3348"/>
    <w:pPr>
      <w:spacing w:before="100" w:beforeAutospacing="1" w:after="100" w:afterAutospacing="1"/>
    </w:pPr>
    <w:rPr>
      <w:rFonts w:ascii="Arial" w:hAnsi="Arial" w:cs="Arial"/>
      <w:sz w:val="15"/>
      <w:szCs w:val="15"/>
    </w:rPr>
  </w:style>
  <w:style w:type="paragraph" w:customStyle="1" w:styleId="Table">
    <w:name w:val="Table"/>
    <w:basedOn w:val="Normal"/>
    <w:semiHidden/>
    <w:rsid w:val="005E6972"/>
    <w:rPr>
      <w:rFonts w:ascii="Book Antiqua" w:hAnsi="Book Antiqua"/>
      <w:sz w:val="20"/>
      <w:szCs w:val="20"/>
      <w:lang w:eastAsia="en-US"/>
    </w:rPr>
  </w:style>
  <w:style w:type="paragraph" w:customStyle="1" w:styleId="DocInfo">
    <w:name w:val="Doc Info"/>
    <w:basedOn w:val="Normal"/>
    <w:next w:val="Normal"/>
    <w:rsid w:val="00F534E7"/>
    <w:pPr>
      <w:jc w:val="center"/>
    </w:pPr>
    <w:rPr>
      <w:rFonts w:ascii="Arial" w:hAnsi="Arial"/>
      <w:sz w:val="14"/>
    </w:rPr>
  </w:style>
  <w:style w:type="paragraph" w:customStyle="1" w:styleId="Heading2NotTOC">
    <w:name w:val="Heading 2 Not TOC"/>
    <w:basedOn w:val="Heading2"/>
    <w:next w:val="BodyText"/>
    <w:rsid w:val="00F534E7"/>
    <w:pPr>
      <w:outlineLvl w:val="9"/>
    </w:pPr>
  </w:style>
  <w:style w:type="character" w:customStyle="1" w:styleId="BodyTextChar">
    <w:name w:val="Body Text Char"/>
    <w:basedOn w:val="DefaultParagraphFont"/>
    <w:link w:val="BodyText"/>
    <w:rsid w:val="00912866"/>
    <w:rPr>
      <w:sz w:val="24"/>
    </w:rPr>
  </w:style>
  <w:style w:type="character" w:customStyle="1" w:styleId="BoxQuoteChar">
    <w:name w:val="Box Quote Char"/>
    <w:link w:val="BoxQuote"/>
    <w:rsid w:val="00B62339"/>
    <w:rPr>
      <w:rFonts w:ascii="Arial" w:hAnsi="Arial"/>
      <w:sz w:val="18"/>
    </w:rPr>
  </w:style>
  <w:style w:type="paragraph" w:customStyle="1" w:styleId="Default">
    <w:name w:val="Default"/>
    <w:rsid w:val="00696949"/>
    <w:pPr>
      <w:autoSpaceDE w:val="0"/>
      <w:autoSpaceDN w:val="0"/>
      <w:adjustRightInd w:val="0"/>
    </w:pPr>
    <w:rPr>
      <w:rFonts w:ascii="Corbel" w:hAnsi="Corbel" w:cs="Corbel"/>
      <w:color w:val="000000"/>
      <w:sz w:val="24"/>
      <w:szCs w:val="24"/>
    </w:rPr>
  </w:style>
  <w:style w:type="character" w:customStyle="1" w:styleId="NoteChar">
    <w:name w:val="Note Char"/>
    <w:link w:val="Note"/>
    <w:rsid w:val="00D05BA4"/>
    <w:rPr>
      <w:rFonts w:ascii="Arial" w:hAnsi="Arial"/>
      <w:sz w:val="18"/>
    </w:rPr>
  </w:style>
  <w:style w:type="character" w:customStyle="1" w:styleId="SourceChar">
    <w:name w:val="Source Char"/>
    <w:basedOn w:val="NoteChar"/>
    <w:link w:val="Source"/>
    <w:rsid w:val="000D19AF"/>
    <w:rPr>
      <w:rFonts w:ascii="Arial" w:hAnsi="Arial"/>
      <w:sz w:val="18"/>
    </w:rPr>
  </w:style>
  <w:style w:type="character" w:customStyle="1" w:styleId="FigureChar">
    <w:name w:val="Figure Char"/>
    <w:basedOn w:val="BodyTextChar"/>
    <w:link w:val="Figure"/>
    <w:rsid w:val="00D85D0E"/>
    <w:rPr>
      <w:sz w:val="24"/>
    </w:rPr>
  </w:style>
  <w:style w:type="character" w:customStyle="1" w:styleId="NormalWebChar">
    <w:name w:val="Normal (Web) Char"/>
    <w:link w:val="NormalWeb"/>
    <w:rsid w:val="00307EA7"/>
    <w:rPr>
      <w:rFonts w:ascii="Arial" w:hAnsi="Arial" w:cs="Arial"/>
      <w:sz w:val="15"/>
      <w:szCs w:val="15"/>
      <w:lang w:val="en-AU" w:eastAsia="en-AU" w:bidi="ar-SA"/>
    </w:rPr>
  </w:style>
  <w:style w:type="character" w:customStyle="1" w:styleId="BoxChar">
    <w:name w:val="Box Char"/>
    <w:link w:val="Box"/>
    <w:rsid w:val="004934D4"/>
    <w:rPr>
      <w:rFonts w:ascii="Arial" w:hAnsi="Arial"/>
    </w:rPr>
  </w:style>
  <w:style w:type="character" w:styleId="FollowedHyperlink">
    <w:name w:val="FollowedHyperlink"/>
    <w:rsid w:val="008F1D10"/>
    <w:rPr>
      <w:color w:val="800080"/>
      <w:u w:val="single"/>
    </w:rPr>
  </w:style>
  <w:style w:type="character" w:customStyle="1" w:styleId="JurisdictioncommentslistbulletChar">
    <w:name w:val="Jurisdiction comments list bullet Char"/>
    <w:link w:val="Jurisdictioncommentslistbullet"/>
    <w:rsid w:val="003C7ACB"/>
    <w:rPr>
      <w:rFonts w:ascii="Arial" w:hAnsi="Arial"/>
      <w:sz w:val="24"/>
      <w:lang w:eastAsia="en-US"/>
    </w:rPr>
  </w:style>
  <w:style w:type="character" w:customStyle="1" w:styleId="ListBulletChar">
    <w:name w:val="List Bullet Char"/>
    <w:aliases w:val="List Bullet1 Char,List Bullet Char1 Char,List Bullet Char Char Char,List Bullet Char1 Char Char Char"/>
    <w:basedOn w:val="BodyTextChar"/>
    <w:link w:val="ListBullet"/>
    <w:rsid w:val="003C7ACB"/>
    <w:rPr>
      <w:sz w:val="24"/>
    </w:rPr>
  </w:style>
  <w:style w:type="character" w:customStyle="1" w:styleId="BoxContinuedChar">
    <w:name w:val="Box Continued Char"/>
    <w:link w:val="BoxContinued"/>
    <w:semiHidden/>
    <w:rsid w:val="00824FB8"/>
    <w:rPr>
      <w:rFonts w:ascii="Arial" w:hAnsi="Arial"/>
      <w:sz w:val="18"/>
    </w:rPr>
  </w:style>
  <w:style w:type="character" w:customStyle="1" w:styleId="ContinuedChar">
    <w:name w:val="Continued Char"/>
    <w:basedOn w:val="BoxContinuedChar"/>
    <w:link w:val="Continued"/>
    <w:rsid w:val="00824FB8"/>
    <w:rPr>
      <w:rFonts w:ascii="Arial" w:hAnsi="Arial"/>
      <w:sz w:val="18"/>
    </w:rPr>
  </w:style>
  <w:style w:type="character" w:customStyle="1" w:styleId="JurisdictioncommentsbodytextChar">
    <w:name w:val="Jurisdiction comments body text Char"/>
    <w:link w:val="Jurisdictioncommentsbodytext"/>
    <w:rsid w:val="008404BA"/>
    <w:rPr>
      <w:rFonts w:ascii="Arial" w:hAnsi="Arial"/>
      <w:sz w:val="24"/>
      <w:lang w:eastAsia="en-US"/>
    </w:rPr>
  </w:style>
  <w:style w:type="paragraph" w:customStyle="1" w:styleId="RecBBullet2">
    <w:name w:val="RecB Bullet 2"/>
    <w:basedOn w:val="ListBullet2"/>
    <w:semiHidden/>
    <w:rsid w:val="00912866"/>
    <w:pPr>
      <w:pBdr>
        <w:left w:val="single" w:sz="24" w:space="29" w:color="C0C0C0"/>
      </w:pBdr>
    </w:pPr>
    <w:rPr>
      <w:b/>
      <w:i/>
    </w:rPr>
  </w:style>
  <w:style w:type="character" w:customStyle="1" w:styleId="BalloonTextChar">
    <w:name w:val="Balloon Text Char"/>
    <w:basedOn w:val="DefaultParagraphFont"/>
    <w:link w:val="BalloonText"/>
    <w:rsid w:val="00912866"/>
    <w:rPr>
      <w:rFonts w:ascii="Tahoma" w:hAnsi="Tahoma" w:cs="Tahoma"/>
      <w:sz w:val="16"/>
      <w:szCs w:val="16"/>
    </w:rPr>
  </w:style>
  <w:style w:type="character" w:customStyle="1" w:styleId="SubtitleChar">
    <w:name w:val="Subtitle Char"/>
    <w:basedOn w:val="DefaultParagraphFont"/>
    <w:link w:val="Subtitle"/>
    <w:rsid w:val="00912866"/>
    <w:rPr>
      <w:rFonts w:ascii="Arial" w:hAnsi="Arial"/>
      <w:szCs w:val="24"/>
    </w:rPr>
  </w:style>
  <w:style w:type="paragraph" w:customStyle="1" w:styleId="BoxListBullet3">
    <w:name w:val="Box List Bullet 3"/>
    <w:basedOn w:val="ListBullet3"/>
    <w:rsid w:val="00912866"/>
    <w:pPr>
      <w:numPr>
        <w:numId w:val="18"/>
      </w:numPr>
      <w:tabs>
        <w:tab w:val="left" w:pos="907"/>
      </w:tabs>
      <w:spacing w:before="60" w:line="260" w:lineRule="atLeast"/>
      <w:ind w:left="907" w:hanging="340"/>
    </w:pPr>
    <w:rPr>
      <w:rFonts w:ascii="Arial" w:hAnsi="Arial"/>
      <w:sz w:val="20"/>
    </w:rPr>
  </w:style>
  <w:style w:type="character" w:styleId="Emphasis">
    <w:name w:val="Emphasis"/>
    <w:basedOn w:val="DefaultParagraphFont"/>
    <w:rsid w:val="00912866"/>
    <w:rPr>
      <w:i/>
      <w:iCs/>
    </w:rPr>
  </w:style>
  <w:style w:type="paragraph" w:customStyle="1" w:styleId="BoxQuoteBullet">
    <w:name w:val="Box Quote Bullet"/>
    <w:basedOn w:val="BoxQuote"/>
    <w:next w:val="Box"/>
    <w:rsid w:val="00912866"/>
    <w:pPr>
      <w:numPr>
        <w:numId w:val="16"/>
      </w:numPr>
      <w:ind w:left="568" w:hanging="284"/>
    </w:pPr>
  </w:style>
  <w:style w:type="paragraph" w:customStyle="1" w:styleId="InformationRequestBullet">
    <w:name w:val="Information Request Bullet"/>
    <w:basedOn w:val="ListBullet"/>
    <w:next w:val="BodyText"/>
    <w:rsid w:val="00912866"/>
    <w:pPr>
      <w:numPr>
        <w:numId w:val="17"/>
      </w:numPr>
      <w:spacing w:before="80" w:line="280" w:lineRule="atLeast"/>
      <w:ind w:left="357" w:hanging="357"/>
    </w:pPr>
    <w:rPr>
      <w:rFonts w:ascii="Arial" w:hAnsi="Arial"/>
      <w:i/>
      <w:sz w:val="22"/>
    </w:rPr>
  </w:style>
  <w:style w:type="character" w:customStyle="1" w:styleId="ReferenceChar">
    <w:name w:val="Reference Char"/>
    <w:basedOn w:val="DefaultParagraphFont"/>
    <w:link w:val="Reference"/>
    <w:rsid w:val="00A42E75"/>
    <w:rPr>
      <w:sz w:val="24"/>
    </w:rPr>
  </w:style>
  <w:style w:type="paragraph" w:customStyle="1" w:styleId="BoxSpaceAbove">
    <w:name w:val="Box Space Above"/>
    <w:basedOn w:val="BodyText"/>
    <w:rsid w:val="00912866"/>
    <w:pPr>
      <w:keepNext/>
      <w:spacing w:before="360" w:line="80" w:lineRule="exact"/>
      <w:jc w:val="left"/>
    </w:pPr>
  </w:style>
  <w:style w:type="paragraph" w:customStyle="1" w:styleId="BoxSpaceBelow">
    <w:name w:val="Box Space Below"/>
    <w:basedOn w:val="Box"/>
    <w:rsid w:val="00912866"/>
    <w:pPr>
      <w:keepNext w:val="0"/>
      <w:spacing w:before="60" w:after="60" w:line="80" w:lineRule="exact"/>
    </w:pPr>
    <w:rPr>
      <w:sz w:val="14"/>
    </w:rPr>
  </w:style>
  <w:style w:type="paragraph" w:styleId="ListParagraph">
    <w:name w:val="List Paragraph"/>
    <w:basedOn w:val="Normal"/>
    <w:uiPriority w:val="34"/>
    <w:qFormat/>
    <w:rsid w:val="00B2291F"/>
    <w:pPr>
      <w:spacing w:after="200" w:line="276" w:lineRule="auto"/>
      <w:ind w:left="720"/>
      <w:contextualSpacing/>
    </w:pPr>
    <w:rPr>
      <w:rFonts w:asciiTheme="minorHAnsi" w:eastAsiaTheme="minorHAnsi" w:hAnsiTheme="minorHAnsi" w:cstheme="minorBidi"/>
      <w:sz w:val="22"/>
      <w:szCs w:val="22"/>
      <w:lang w:eastAsia="en-US"/>
    </w:rPr>
  </w:style>
  <w:style w:type="paragraph" w:customStyle="1" w:styleId="KeyPointsListBullet">
    <w:name w:val="Key Points List Bullet"/>
    <w:basedOn w:val="Normal"/>
    <w:qFormat/>
    <w:rsid w:val="00912866"/>
    <w:pPr>
      <w:keepNext/>
      <w:numPr>
        <w:numId w:val="20"/>
      </w:numPr>
      <w:spacing w:before="100" w:line="260" w:lineRule="atLeast"/>
      <w:ind w:left="357" w:hanging="357"/>
      <w:jc w:val="both"/>
    </w:pPr>
    <w:rPr>
      <w:rFonts w:ascii="Arial" w:hAnsi="Arial"/>
      <w:sz w:val="20"/>
      <w:szCs w:val="20"/>
      <w:lang w:eastAsia="en-US"/>
    </w:rPr>
  </w:style>
  <w:style w:type="paragraph" w:customStyle="1" w:styleId="KeyPointsListBullet2">
    <w:name w:val="Key Points List Bullet 2"/>
    <w:basedOn w:val="BoxListBullet2"/>
    <w:rsid w:val="00912866"/>
    <w:pPr>
      <w:numPr>
        <w:numId w:val="21"/>
      </w:numPr>
      <w:ind w:left="568" w:hanging="284"/>
    </w:pPr>
  </w:style>
  <w:style w:type="paragraph" w:customStyle="1" w:styleId="InformationRequestTitle">
    <w:name w:val="Information Request Title"/>
    <w:basedOn w:val="FindingTitle"/>
    <w:next w:val="InformationRequest"/>
    <w:rsid w:val="00912866"/>
    <w:rPr>
      <w:i/>
    </w:rPr>
  </w:style>
  <w:style w:type="paragraph" w:customStyle="1" w:styleId="Space">
    <w:name w:val="Space"/>
    <w:basedOn w:val="Normal"/>
    <w:rsid w:val="00912866"/>
    <w:pPr>
      <w:keepNext/>
      <w:spacing w:line="120" w:lineRule="exact"/>
      <w:jc w:val="both"/>
    </w:pPr>
    <w:rPr>
      <w:rFonts w:ascii="Arial" w:hAnsi="Arial"/>
      <w:sz w:val="20"/>
      <w:szCs w:val="20"/>
    </w:rPr>
  </w:style>
  <w:style w:type="paragraph" w:customStyle="1" w:styleId="Heading1nochapterno">
    <w:name w:val="Heading 1 (no chapter no.)"/>
    <w:basedOn w:val="Heading1"/>
    <w:rsid w:val="00912866"/>
    <w:pPr>
      <w:spacing w:before="0"/>
      <w:ind w:left="0" w:firstLine="0"/>
    </w:pPr>
  </w:style>
  <w:style w:type="paragraph" w:customStyle="1" w:styleId="Heading2nosectionno">
    <w:name w:val="Heading 2 (no section no.)"/>
    <w:basedOn w:val="Heading2"/>
    <w:rsid w:val="00912866"/>
    <w:pPr>
      <w:ind w:left="0" w:firstLine="0"/>
    </w:pPr>
  </w:style>
  <w:style w:type="character" w:customStyle="1" w:styleId="Heading5Char">
    <w:name w:val="Heading 5 Char"/>
    <w:basedOn w:val="DefaultParagraphFont"/>
    <w:link w:val="Heading5"/>
    <w:rsid w:val="00912866"/>
    <w:rPr>
      <w:rFonts w:ascii="Arial" w:hAnsi="Arial"/>
      <w:i/>
      <w:sz w:val="22"/>
    </w:rPr>
  </w:style>
  <w:style w:type="paragraph" w:customStyle="1" w:styleId="Figurespace">
    <w:name w:val="Figure space"/>
    <w:basedOn w:val="Box"/>
    <w:rsid w:val="00912866"/>
    <w:pPr>
      <w:spacing w:before="0" w:line="120" w:lineRule="exact"/>
    </w:pPr>
  </w:style>
  <w:style w:type="paragraph" w:customStyle="1" w:styleId="FooterDraftReport">
    <w:name w:val="FooterDraftReport"/>
    <w:basedOn w:val="Footer"/>
    <w:link w:val="FooterDraftReportChar"/>
    <w:rsid w:val="00912866"/>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FooterChar">
    <w:name w:val="Footer Char"/>
    <w:basedOn w:val="BodyTextChar"/>
    <w:link w:val="Footer"/>
    <w:rsid w:val="00912866"/>
    <w:rPr>
      <w:rFonts w:ascii="Arial" w:hAnsi="Arial"/>
      <w:caps/>
      <w:spacing w:val="-4"/>
      <w:sz w:val="16"/>
    </w:rPr>
  </w:style>
  <w:style w:type="character" w:customStyle="1" w:styleId="FooterDraftReportChar">
    <w:name w:val="FooterDraftReport Char"/>
    <w:basedOn w:val="FooterChar"/>
    <w:link w:val="FooterDraftReport"/>
    <w:rsid w:val="00912866"/>
    <w:rPr>
      <w:rFonts w:ascii="Arial" w:hAnsi="Arial" w:cs="Arial"/>
      <w:caps/>
      <w:color w:val="808080"/>
      <w:spacing w:val="-4"/>
      <w:sz w:val="16"/>
      <w14:textFill>
        <w14:solidFill>
          <w14:srgbClr w14:val="808080">
            <w14:lumMod w14:val="50000"/>
            <w14:lumOff w14:val="50000"/>
            <w14:lumMod w14:val="50000"/>
            <w14:lumOff w14:val="50000"/>
            <w14:lumMod w14:val="50000"/>
          </w14:srgbClr>
        </w14:solidFill>
      </w14:textFill>
    </w:rPr>
  </w:style>
  <w:style w:type="character" w:customStyle="1" w:styleId="TOC1Char">
    <w:name w:val="TOC 1 Char"/>
    <w:basedOn w:val="DefaultParagraphFont"/>
    <w:link w:val="TOC1"/>
    <w:rsid w:val="00912866"/>
    <w:rPr>
      <w:rFonts w:ascii="Arial" w:hAnsi="Arial"/>
      <w:b/>
      <w:sz w:val="26"/>
      <w:szCs w:val="26"/>
      <w:lang w:eastAsia="en-US"/>
    </w:rPr>
  </w:style>
  <w:style w:type="character" w:customStyle="1" w:styleId="BoxTitleChar">
    <w:name w:val="Box Title Char"/>
    <w:link w:val="BoxTitle"/>
    <w:rsid w:val="00434146"/>
    <w:rPr>
      <w:rFonts w:ascii="Arial" w:hAnsi="Arial"/>
      <w:b/>
      <w:sz w:val="24"/>
      <w:szCs w:val="24"/>
    </w:rPr>
  </w:style>
  <w:style w:type="character" w:customStyle="1" w:styleId="BoxHeading1Char">
    <w:name w:val="Box Heading 1 Char"/>
    <w:link w:val="BoxHeading1"/>
    <w:rsid w:val="00434146"/>
    <w:rPr>
      <w:rFonts w:ascii="Arial" w:hAnsi="Arial"/>
      <w:b/>
      <w:sz w:val="22"/>
    </w:rPr>
  </w:style>
  <w:style w:type="paragraph" w:styleId="PlainText">
    <w:name w:val="Plain Text"/>
    <w:basedOn w:val="Normal"/>
    <w:link w:val="PlainTextChar"/>
    <w:rsid w:val="003E05A1"/>
    <w:rPr>
      <w:rFonts w:ascii="Consolas" w:hAnsi="Consolas" w:cs="Consolas"/>
      <w:sz w:val="21"/>
      <w:szCs w:val="21"/>
    </w:rPr>
  </w:style>
  <w:style w:type="character" w:customStyle="1" w:styleId="PlainTextChar">
    <w:name w:val="Plain Text Char"/>
    <w:basedOn w:val="DefaultParagraphFont"/>
    <w:link w:val="PlainText"/>
    <w:rsid w:val="003E05A1"/>
    <w:rPr>
      <w:rFonts w:ascii="Consolas" w:hAnsi="Consolas" w:cs="Consolas"/>
      <w:sz w:val="21"/>
      <w:szCs w:val="21"/>
    </w:rPr>
  </w:style>
  <w:style w:type="paragraph" w:styleId="Revision">
    <w:name w:val="Revision"/>
    <w:hidden/>
    <w:uiPriority w:val="99"/>
    <w:semiHidden/>
    <w:rsid w:val="002E1066"/>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Default Paragraph Font" w:uiPriority="1"/>
    <w:lsdException w:name="Body Text"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rsid w:val="00912866"/>
    <w:rPr>
      <w:sz w:val="24"/>
      <w:szCs w:val="24"/>
    </w:rPr>
  </w:style>
  <w:style w:type="paragraph" w:styleId="Heading1">
    <w:name w:val="heading 1"/>
    <w:basedOn w:val="BodyText"/>
    <w:next w:val="BodyText"/>
    <w:rsid w:val="00912866"/>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912866"/>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rsid w:val="00912866"/>
    <w:pPr>
      <w:spacing w:before="560" w:line="320" w:lineRule="exact"/>
      <w:ind w:left="0" w:firstLine="0"/>
      <w:outlineLvl w:val="2"/>
    </w:pPr>
    <w:rPr>
      <w:sz w:val="26"/>
    </w:rPr>
  </w:style>
  <w:style w:type="paragraph" w:styleId="Heading4">
    <w:name w:val="heading 4"/>
    <w:basedOn w:val="Heading3"/>
    <w:next w:val="BodyText"/>
    <w:qFormat/>
    <w:rsid w:val="00912866"/>
    <w:pPr>
      <w:spacing w:before="480"/>
      <w:outlineLvl w:val="3"/>
    </w:pPr>
    <w:rPr>
      <w:b w:val="0"/>
      <w:sz w:val="24"/>
    </w:rPr>
  </w:style>
  <w:style w:type="paragraph" w:styleId="Heading5">
    <w:name w:val="heading 5"/>
    <w:basedOn w:val="Heading4"/>
    <w:next w:val="BodyText"/>
    <w:link w:val="Heading5Char"/>
    <w:qFormat/>
    <w:rsid w:val="00912866"/>
    <w:pPr>
      <w:outlineLvl w:val="4"/>
    </w:pPr>
    <w:rPr>
      <w:i/>
      <w:sz w:val="22"/>
    </w:rPr>
  </w:style>
  <w:style w:type="paragraph" w:styleId="Heading6">
    <w:name w:val="heading 6"/>
    <w:basedOn w:val="BodyText"/>
    <w:next w:val="BodyText"/>
    <w:rsid w:val="00912866"/>
    <w:pPr>
      <w:spacing w:after="60"/>
      <w:jc w:val="left"/>
      <w:outlineLvl w:val="5"/>
    </w:pPr>
    <w:rPr>
      <w:i/>
      <w:sz w:val="22"/>
    </w:rPr>
  </w:style>
  <w:style w:type="paragraph" w:styleId="Heading7">
    <w:name w:val="heading 7"/>
    <w:basedOn w:val="BodyText"/>
    <w:next w:val="BodyText"/>
    <w:rsid w:val="00912866"/>
    <w:pPr>
      <w:spacing w:after="60" w:line="240" w:lineRule="auto"/>
      <w:jc w:val="left"/>
      <w:outlineLvl w:val="6"/>
    </w:pPr>
    <w:rPr>
      <w:rFonts w:ascii="Arial" w:hAnsi="Arial"/>
      <w:sz w:val="20"/>
    </w:rPr>
  </w:style>
  <w:style w:type="paragraph" w:styleId="Heading8">
    <w:name w:val="heading 8"/>
    <w:basedOn w:val="BodyText"/>
    <w:next w:val="BodyText"/>
    <w:rsid w:val="00912866"/>
    <w:pPr>
      <w:spacing w:after="60" w:line="240" w:lineRule="auto"/>
      <w:jc w:val="left"/>
      <w:outlineLvl w:val="7"/>
    </w:pPr>
    <w:rPr>
      <w:rFonts w:ascii="Arial" w:hAnsi="Arial"/>
      <w:i/>
      <w:sz w:val="20"/>
    </w:rPr>
  </w:style>
  <w:style w:type="paragraph" w:styleId="Heading9">
    <w:name w:val="heading 9"/>
    <w:basedOn w:val="BodyText"/>
    <w:next w:val="BodyText"/>
    <w:rsid w:val="00912866"/>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rsid w:val="0091286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12866"/>
  </w:style>
  <w:style w:type="paragraph" w:styleId="BodyText">
    <w:name w:val="Body Text"/>
    <w:link w:val="BodyTextChar"/>
    <w:qFormat/>
    <w:rsid w:val="00912866"/>
    <w:pPr>
      <w:spacing w:before="240" w:line="300" w:lineRule="atLeast"/>
      <w:jc w:val="both"/>
    </w:pPr>
    <w:rPr>
      <w:sz w:val="24"/>
    </w:rPr>
  </w:style>
  <w:style w:type="paragraph" w:customStyle="1" w:styleId="Chapter">
    <w:name w:val="Chapter"/>
    <w:basedOn w:val="Heading1"/>
    <w:next w:val="BodyText"/>
    <w:semiHidden/>
    <w:rsid w:val="00912866"/>
    <w:pPr>
      <w:ind w:left="0" w:firstLine="0"/>
      <w:outlineLvl w:val="9"/>
    </w:pPr>
  </w:style>
  <w:style w:type="paragraph" w:customStyle="1" w:styleId="SequenceInfo">
    <w:name w:val="Sequence Info"/>
    <w:basedOn w:val="BodyText"/>
    <w:semiHidden/>
    <w:rsid w:val="00912866"/>
    <w:rPr>
      <w:vanish/>
      <w:sz w:val="16"/>
    </w:rPr>
  </w:style>
  <w:style w:type="character" w:styleId="CommentReference">
    <w:name w:val="annotation reference"/>
    <w:basedOn w:val="DefaultParagraphFont"/>
    <w:semiHidden/>
    <w:rsid w:val="00912866"/>
    <w:rPr>
      <w:b/>
      <w:vanish/>
      <w:color w:val="FF00FF"/>
      <w:sz w:val="20"/>
    </w:rPr>
  </w:style>
  <w:style w:type="paragraph" w:styleId="CommentText">
    <w:name w:val="annotation text"/>
    <w:basedOn w:val="Normal"/>
    <w:semiHidden/>
    <w:rsid w:val="00912866"/>
    <w:pPr>
      <w:spacing w:before="120" w:line="240" w:lineRule="atLeast"/>
      <w:ind w:left="567" w:hanging="567"/>
    </w:pPr>
    <w:rPr>
      <w:sz w:val="20"/>
    </w:rPr>
  </w:style>
  <w:style w:type="paragraph" w:customStyle="1" w:styleId="Abbreviation">
    <w:name w:val="Abbreviation"/>
    <w:basedOn w:val="BodyText"/>
    <w:rsid w:val="00912866"/>
    <w:pPr>
      <w:spacing w:before="120"/>
      <w:ind w:left="2381" w:hanging="2381"/>
      <w:jc w:val="left"/>
    </w:pPr>
  </w:style>
  <w:style w:type="paragraph" w:customStyle="1" w:styleId="Box">
    <w:name w:val="Box"/>
    <w:basedOn w:val="BodyText"/>
    <w:link w:val="BoxChar"/>
    <w:qFormat/>
    <w:rsid w:val="00912866"/>
    <w:pPr>
      <w:keepNext/>
      <w:spacing w:before="120" w:line="260" w:lineRule="atLeast"/>
    </w:pPr>
    <w:rPr>
      <w:rFonts w:ascii="Arial" w:hAnsi="Arial"/>
      <w:sz w:val="20"/>
    </w:rPr>
  </w:style>
  <w:style w:type="paragraph" w:customStyle="1" w:styleId="QuoteBullet">
    <w:name w:val="Quote Bullet"/>
    <w:basedOn w:val="Quote"/>
    <w:rsid w:val="00912866"/>
    <w:pPr>
      <w:numPr>
        <w:numId w:val="11"/>
      </w:numPr>
    </w:pPr>
  </w:style>
  <w:style w:type="paragraph" w:styleId="Quote">
    <w:name w:val="Quote"/>
    <w:basedOn w:val="BodyText"/>
    <w:next w:val="BodyText"/>
    <w:qFormat/>
    <w:rsid w:val="00912866"/>
    <w:pPr>
      <w:spacing w:before="120" w:line="280" w:lineRule="exact"/>
      <w:ind w:left="340"/>
    </w:pPr>
    <w:rPr>
      <w:sz w:val="22"/>
    </w:rPr>
  </w:style>
  <w:style w:type="paragraph" w:customStyle="1" w:styleId="BoxListBullet">
    <w:name w:val="Box List Bullet"/>
    <w:basedOn w:val="BodyText"/>
    <w:rsid w:val="00912866"/>
    <w:pPr>
      <w:keepNext/>
      <w:numPr>
        <w:numId w:val="6"/>
      </w:numPr>
      <w:spacing w:before="100" w:line="260" w:lineRule="atLeast"/>
    </w:pPr>
    <w:rPr>
      <w:rFonts w:ascii="Arial" w:hAnsi="Arial"/>
      <w:sz w:val="20"/>
    </w:rPr>
  </w:style>
  <w:style w:type="paragraph" w:customStyle="1" w:styleId="BoxListBullet2">
    <w:name w:val="Box List Bullet 2"/>
    <w:basedOn w:val="BoxListBullet"/>
    <w:rsid w:val="00912866"/>
    <w:pPr>
      <w:numPr>
        <w:numId w:val="3"/>
      </w:numPr>
      <w:ind w:left="568" w:hanging="284"/>
    </w:pPr>
  </w:style>
  <w:style w:type="paragraph" w:customStyle="1" w:styleId="BoxListNumber">
    <w:name w:val="Box List Number"/>
    <w:basedOn w:val="BodyText"/>
    <w:rsid w:val="00912866"/>
    <w:pPr>
      <w:keepNext/>
      <w:numPr>
        <w:numId w:val="15"/>
      </w:numPr>
      <w:spacing w:before="100" w:line="260" w:lineRule="atLeast"/>
    </w:pPr>
    <w:rPr>
      <w:rFonts w:ascii="Arial" w:hAnsi="Arial"/>
      <w:sz w:val="20"/>
    </w:rPr>
  </w:style>
  <w:style w:type="paragraph" w:customStyle="1" w:styleId="BoxListNumber2">
    <w:name w:val="Box List Number 2"/>
    <w:basedOn w:val="BoxListNumber"/>
    <w:rsid w:val="00912866"/>
    <w:pPr>
      <w:numPr>
        <w:ilvl w:val="1"/>
      </w:numPr>
      <w:ind w:left="681" w:hanging="397"/>
    </w:pPr>
  </w:style>
  <w:style w:type="paragraph" w:customStyle="1" w:styleId="BoxQuote">
    <w:name w:val="Box Quote"/>
    <w:basedOn w:val="BodyText"/>
    <w:next w:val="Box"/>
    <w:link w:val="BoxQuoteChar"/>
    <w:qFormat/>
    <w:rsid w:val="00912866"/>
    <w:pPr>
      <w:keepNext/>
      <w:spacing w:before="60" w:line="240" w:lineRule="exact"/>
      <w:ind w:left="284"/>
    </w:pPr>
    <w:rPr>
      <w:rFonts w:ascii="Arial" w:hAnsi="Arial"/>
      <w:sz w:val="18"/>
    </w:rPr>
  </w:style>
  <w:style w:type="paragraph" w:customStyle="1" w:styleId="BoxSource">
    <w:name w:val="Box Source"/>
    <w:basedOn w:val="Source"/>
    <w:next w:val="BodyText"/>
    <w:rsid w:val="00912866"/>
    <w:pPr>
      <w:spacing w:before="120"/>
    </w:pPr>
  </w:style>
  <w:style w:type="paragraph" w:customStyle="1" w:styleId="Source">
    <w:name w:val="Source"/>
    <w:basedOn w:val="Normal"/>
    <w:next w:val="BodyText"/>
    <w:link w:val="SourceChar"/>
    <w:rsid w:val="00912866"/>
    <w:pPr>
      <w:keepLines/>
      <w:spacing w:before="80" w:line="220" w:lineRule="exact"/>
      <w:jc w:val="both"/>
    </w:pPr>
    <w:rPr>
      <w:rFonts w:ascii="Arial" w:hAnsi="Arial"/>
      <w:sz w:val="18"/>
      <w:szCs w:val="20"/>
    </w:rPr>
  </w:style>
  <w:style w:type="paragraph" w:customStyle="1" w:styleId="Note">
    <w:name w:val="Note"/>
    <w:basedOn w:val="BodyText"/>
    <w:next w:val="BodyText"/>
    <w:link w:val="NoteChar"/>
    <w:rsid w:val="00912866"/>
    <w:pPr>
      <w:keepLines/>
      <w:spacing w:before="80" w:line="220" w:lineRule="exact"/>
    </w:pPr>
    <w:rPr>
      <w:rFonts w:ascii="Arial" w:hAnsi="Arial"/>
      <w:sz w:val="18"/>
    </w:rPr>
  </w:style>
  <w:style w:type="paragraph" w:customStyle="1" w:styleId="BoxSpace">
    <w:name w:val="Box Space"/>
    <w:basedOn w:val="BodyText"/>
    <w:rsid w:val="00281719"/>
    <w:pPr>
      <w:keepNext/>
      <w:spacing w:before="360" w:line="80" w:lineRule="exact"/>
      <w:jc w:val="left"/>
    </w:pPr>
  </w:style>
  <w:style w:type="paragraph" w:customStyle="1" w:styleId="BoxSubtitle">
    <w:name w:val="Box Subtitle"/>
    <w:basedOn w:val="BoxTitle"/>
    <w:next w:val="Normal"/>
    <w:rsid w:val="00912866"/>
    <w:pPr>
      <w:spacing w:after="80" w:line="200" w:lineRule="exact"/>
      <w:ind w:firstLine="0"/>
    </w:pPr>
    <w:rPr>
      <w:b w:val="0"/>
      <w:sz w:val="20"/>
    </w:rPr>
  </w:style>
  <w:style w:type="paragraph" w:customStyle="1" w:styleId="BoxTitle">
    <w:name w:val="Box Title"/>
    <w:basedOn w:val="Caption"/>
    <w:next w:val="BoxSubtitle"/>
    <w:link w:val="BoxTitleChar"/>
    <w:rsid w:val="00912866"/>
    <w:pPr>
      <w:spacing w:before="120" w:after="0"/>
    </w:pPr>
  </w:style>
  <w:style w:type="paragraph" w:styleId="Caption">
    <w:name w:val="caption"/>
    <w:basedOn w:val="Normal"/>
    <w:next w:val="BodyText"/>
    <w:rsid w:val="00912866"/>
    <w:pPr>
      <w:keepNext/>
      <w:keepLines/>
      <w:spacing w:before="360" w:after="80" w:line="280" w:lineRule="exact"/>
      <w:ind w:left="1474" w:hanging="1474"/>
    </w:pPr>
    <w:rPr>
      <w:rFonts w:ascii="Arial" w:hAnsi="Arial"/>
      <w:b/>
    </w:rPr>
  </w:style>
  <w:style w:type="paragraph" w:customStyle="1" w:styleId="ChapterSummary">
    <w:name w:val="Chapter Summary"/>
    <w:basedOn w:val="BodyText"/>
    <w:rsid w:val="00912866"/>
    <w:pPr>
      <w:spacing w:line="280" w:lineRule="atLeast"/>
      <w:ind w:left="907"/>
    </w:pPr>
    <w:rPr>
      <w:rFonts w:ascii="Arial" w:hAnsi="Arial"/>
      <w:b/>
      <w:sz w:val="20"/>
    </w:rPr>
  </w:style>
  <w:style w:type="character" w:customStyle="1" w:styleId="DocumentInfo">
    <w:name w:val="Document Info"/>
    <w:basedOn w:val="DefaultParagraphFont"/>
    <w:semiHidden/>
    <w:rsid w:val="00912866"/>
    <w:rPr>
      <w:rFonts w:ascii="Arial" w:hAnsi="Arial"/>
      <w:sz w:val="14"/>
    </w:rPr>
  </w:style>
  <w:style w:type="paragraph" w:styleId="Footer">
    <w:name w:val="footer"/>
    <w:basedOn w:val="BodyText"/>
    <w:link w:val="FooterChar"/>
    <w:rsid w:val="00912866"/>
    <w:pPr>
      <w:spacing w:before="80" w:line="200" w:lineRule="exact"/>
      <w:ind w:right="6"/>
      <w:jc w:val="left"/>
    </w:pPr>
    <w:rPr>
      <w:rFonts w:ascii="Arial" w:hAnsi="Arial"/>
      <w:caps/>
      <w:spacing w:val="-4"/>
      <w:sz w:val="16"/>
    </w:rPr>
  </w:style>
  <w:style w:type="character" w:customStyle="1" w:styleId="DraftingNote">
    <w:name w:val="Drafting Note"/>
    <w:basedOn w:val="DefaultParagraphFont"/>
    <w:rsid w:val="00912866"/>
    <w:rPr>
      <w:b/>
      <w:color w:val="FF0000"/>
      <w:sz w:val="24"/>
      <w:u w:val="dotted"/>
    </w:rPr>
  </w:style>
  <w:style w:type="paragraph" w:customStyle="1" w:styleId="Figure">
    <w:name w:val="Figure"/>
    <w:basedOn w:val="BodyText"/>
    <w:link w:val="FigureChar"/>
    <w:rsid w:val="00912866"/>
    <w:pPr>
      <w:keepNext/>
      <w:spacing w:before="120" w:after="120" w:line="240" w:lineRule="atLeast"/>
      <w:jc w:val="center"/>
    </w:pPr>
  </w:style>
  <w:style w:type="paragraph" w:customStyle="1" w:styleId="FigureTitle">
    <w:name w:val="Figure Title"/>
    <w:basedOn w:val="Caption"/>
    <w:next w:val="Subtitle"/>
    <w:rsid w:val="00912866"/>
    <w:pPr>
      <w:spacing w:before="120"/>
    </w:pPr>
  </w:style>
  <w:style w:type="paragraph" w:styleId="Subtitle">
    <w:name w:val="Subtitle"/>
    <w:basedOn w:val="Caption"/>
    <w:link w:val="SubtitleChar"/>
    <w:qFormat/>
    <w:rsid w:val="00912866"/>
    <w:pPr>
      <w:spacing w:before="0" w:line="200" w:lineRule="exact"/>
      <w:ind w:firstLine="0"/>
    </w:pPr>
    <w:rPr>
      <w:b w:val="0"/>
      <w:sz w:val="20"/>
    </w:rPr>
  </w:style>
  <w:style w:type="paragraph" w:customStyle="1" w:styleId="Finding">
    <w:name w:val="Finding"/>
    <w:basedOn w:val="BodyText"/>
    <w:rsid w:val="00912866"/>
    <w:pPr>
      <w:keepLines/>
      <w:spacing w:before="120" w:line="280" w:lineRule="atLeast"/>
    </w:pPr>
    <w:rPr>
      <w:rFonts w:ascii="Arial" w:hAnsi="Arial"/>
      <w:sz w:val="22"/>
    </w:rPr>
  </w:style>
  <w:style w:type="paragraph" w:customStyle="1" w:styleId="FindingBullet">
    <w:name w:val="Finding Bullet"/>
    <w:basedOn w:val="Finding"/>
    <w:rsid w:val="00912866"/>
    <w:pPr>
      <w:numPr>
        <w:numId w:val="7"/>
      </w:numPr>
      <w:spacing w:before="80"/>
    </w:pPr>
  </w:style>
  <w:style w:type="paragraph" w:customStyle="1" w:styleId="FindingNoTitle">
    <w:name w:val="Finding NoTitle"/>
    <w:basedOn w:val="Finding"/>
    <w:rsid w:val="00912866"/>
    <w:pPr>
      <w:spacing w:before="240"/>
    </w:pPr>
  </w:style>
  <w:style w:type="paragraph" w:customStyle="1" w:styleId="FindingTitle">
    <w:name w:val="Finding Title"/>
    <w:basedOn w:val="RecTitle"/>
    <w:next w:val="Finding"/>
    <w:rsid w:val="00912866"/>
  </w:style>
  <w:style w:type="paragraph" w:customStyle="1" w:styleId="RecTitle">
    <w:name w:val="Rec Title"/>
    <w:basedOn w:val="BodyText"/>
    <w:next w:val="Rec"/>
    <w:qFormat/>
    <w:rsid w:val="00912866"/>
    <w:pPr>
      <w:keepNext/>
      <w:keepLines/>
      <w:spacing w:line="280" w:lineRule="atLeast"/>
    </w:pPr>
    <w:rPr>
      <w:rFonts w:ascii="Arial" w:hAnsi="Arial"/>
      <w:caps/>
      <w:sz w:val="18"/>
    </w:rPr>
  </w:style>
  <w:style w:type="paragraph" w:customStyle="1" w:styleId="FooterEnd">
    <w:name w:val="Footer End"/>
    <w:basedOn w:val="Footer"/>
    <w:rsid w:val="00912866"/>
    <w:pPr>
      <w:spacing w:before="0" w:line="20" w:lineRule="exact"/>
    </w:pPr>
  </w:style>
  <w:style w:type="character" w:styleId="FootnoteReference">
    <w:name w:val="footnote reference"/>
    <w:basedOn w:val="DefaultParagraphFont"/>
    <w:semiHidden/>
    <w:rsid w:val="00912866"/>
    <w:rPr>
      <w:rFonts w:ascii="Times New Roman" w:hAnsi="Times New Roman"/>
      <w:position w:val="6"/>
      <w:sz w:val="20"/>
      <w:vertAlign w:val="baseline"/>
    </w:rPr>
  </w:style>
  <w:style w:type="paragraph" w:styleId="FootnoteText">
    <w:name w:val="footnote text"/>
    <w:basedOn w:val="BodyText"/>
    <w:rsid w:val="00912866"/>
    <w:pPr>
      <w:tabs>
        <w:tab w:val="left" w:pos="284"/>
      </w:tabs>
      <w:spacing w:before="80" w:line="240" w:lineRule="exact"/>
      <w:ind w:left="284" w:hanging="284"/>
    </w:pPr>
    <w:rPr>
      <w:sz w:val="20"/>
    </w:rPr>
  </w:style>
  <w:style w:type="paragraph" w:styleId="Header">
    <w:name w:val="header"/>
    <w:basedOn w:val="BodyText"/>
    <w:rsid w:val="00912866"/>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2866"/>
    <w:pPr>
      <w:spacing w:line="20" w:lineRule="exact"/>
    </w:pPr>
    <w:rPr>
      <w:sz w:val="16"/>
    </w:rPr>
  </w:style>
  <w:style w:type="paragraph" w:customStyle="1" w:styleId="HeaderEven">
    <w:name w:val="Header Even"/>
    <w:basedOn w:val="Header"/>
    <w:semiHidden/>
    <w:rsid w:val="00912866"/>
  </w:style>
  <w:style w:type="paragraph" w:customStyle="1" w:styleId="HeaderOdd">
    <w:name w:val="Header Odd"/>
    <w:basedOn w:val="Header"/>
    <w:semiHidden/>
    <w:rsid w:val="00912866"/>
  </w:style>
  <w:style w:type="paragraph" w:customStyle="1" w:styleId="InformationRequest">
    <w:name w:val="Information Request"/>
    <w:basedOn w:val="Finding"/>
    <w:next w:val="BodyText"/>
    <w:rsid w:val="00912866"/>
    <w:rPr>
      <w:i/>
    </w:rPr>
  </w:style>
  <w:style w:type="paragraph" w:styleId="ListBullet">
    <w:name w:val="List Bullet"/>
    <w:aliases w:val="List Bullet1,List Bullet Char1,List Bullet Char Char,List Bullet Char1 Char Char"/>
    <w:basedOn w:val="BodyText"/>
    <w:link w:val="ListBulletChar"/>
    <w:rsid w:val="00912866"/>
    <w:pPr>
      <w:numPr>
        <w:numId w:val="5"/>
      </w:numPr>
      <w:spacing w:before="120"/>
    </w:pPr>
  </w:style>
  <w:style w:type="paragraph" w:styleId="ListBullet2">
    <w:name w:val="List Bullet 2"/>
    <w:basedOn w:val="BodyText"/>
    <w:rsid w:val="00912866"/>
    <w:pPr>
      <w:numPr>
        <w:numId w:val="2"/>
      </w:numPr>
      <w:spacing w:before="120"/>
    </w:pPr>
  </w:style>
  <w:style w:type="paragraph" w:styleId="ListBullet3">
    <w:name w:val="List Bullet 3"/>
    <w:basedOn w:val="BodyText"/>
    <w:rsid w:val="00912866"/>
    <w:pPr>
      <w:numPr>
        <w:numId w:val="1"/>
      </w:numPr>
      <w:spacing w:before="120"/>
      <w:ind w:left="1020" w:hanging="340"/>
    </w:pPr>
  </w:style>
  <w:style w:type="paragraph" w:styleId="ListNumber">
    <w:name w:val="List Number"/>
    <w:basedOn w:val="BodyText"/>
    <w:rsid w:val="00912866"/>
    <w:pPr>
      <w:numPr>
        <w:numId w:val="14"/>
      </w:numPr>
      <w:spacing w:before="120"/>
    </w:pPr>
  </w:style>
  <w:style w:type="paragraph" w:styleId="ListNumber2">
    <w:name w:val="List Number 2"/>
    <w:basedOn w:val="ListNumber"/>
    <w:rsid w:val="00912866"/>
    <w:pPr>
      <w:numPr>
        <w:ilvl w:val="1"/>
      </w:numPr>
    </w:pPr>
  </w:style>
  <w:style w:type="paragraph" w:styleId="ListNumber3">
    <w:name w:val="List Number 3"/>
    <w:basedOn w:val="ListNumber2"/>
    <w:rsid w:val="00912866"/>
    <w:pPr>
      <w:numPr>
        <w:ilvl w:val="2"/>
      </w:numPr>
    </w:pPr>
  </w:style>
  <w:style w:type="character" w:customStyle="1" w:styleId="NoteLabel">
    <w:name w:val="Note Label"/>
    <w:basedOn w:val="DefaultParagraphFont"/>
    <w:rsid w:val="00912866"/>
    <w:rPr>
      <w:rFonts w:ascii="Arial" w:hAnsi="Arial"/>
      <w:b/>
      <w:position w:val="6"/>
      <w:sz w:val="18"/>
    </w:rPr>
  </w:style>
  <w:style w:type="character" w:styleId="PageNumber">
    <w:name w:val="page number"/>
    <w:basedOn w:val="DefaultParagraphFont"/>
    <w:rsid w:val="00912866"/>
    <w:rPr>
      <w:rFonts w:ascii="Arial" w:hAnsi="Arial"/>
      <w:b/>
      <w:sz w:val="16"/>
    </w:rPr>
  </w:style>
  <w:style w:type="paragraph" w:customStyle="1" w:styleId="PartDivider">
    <w:name w:val="Part Divider"/>
    <w:basedOn w:val="BodyText"/>
    <w:next w:val="BodyText"/>
    <w:semiHidden/>
    <w:rsid w:val="00912866"/>
    <w:pPr>
      <w:spacing w:before="0" w:line="40" w:lineRule="exact"/>
      <w:jc w:val="right"/>
    </w:pPr>
    <w:rPr>
      <w:smallCaps/>
      <w:sz w:val="16"/>
    </w:rPr>
  </w:style>
  <w:style w:type="paragraph" w:customStyle="1" w:styleId="PartNumber">
    <w:name w:val="Part Number"/>
    <w:basedOn w:val="BodyText"/>
    <w:next w:val="BodyText"/>
    <w:semiHidden/>
    <w:rsid w:val="00912866"/>
    <w:pPr>
      <w:spacing w:before="4000" w:line="320" w:lineRule="exact"/>
      <w:ind w:left="6634"/>
      <w:jc w:val="right"/>
    </w:pPr>
    <w:rPr>
      <w:smallCaps/>
      <w:spacing w:val="60"/>
      <w:sz w:val="32"/>
    </w:rPr>
  </w:style>
  <w:style w:type="paragraph" w:customStyle="1" w:styleId="PartTitle">
    <w:name w:val="Part Title"/>
    <w:basedOn w:val="BodyText"/>
    <w:semiHidden/>
    <w:rsid w:val="00912866"/>
    <w:pPr>
      <w:spacing w:before="160" w:after="1360" w:line="520" w:lineRule="exact"/>
      <w:ind w:right="2381"/>
      <w:jc w:val="right"/>
    </w:pPr>
    <w:rPr>
      <w:smallCaps/>
      <w:sz w:val="52"/>
    </w:rPr>
  </w:style>
  <w:style w:type="paragraph" w:customStyle="1" w:styleId="Rec">
    <w:name w:val="Rec"/>
    <w:basedOn w:val="BodyText"/>
    <w:qFormat/>
    <w:rsid w:val="00912866"/>
    <w:pPr>
      <w:keepLines/>
      <w:spacing w:before="120" w:line="280" w:lineRule="atLeast"/>
    </w:pPr>
    <w:rPr>
      <w:rFonts w:ascii="Arial" w:hAnsi="Arial"/>
      <w:sz w:val="22"/>
    </w:rPr>
  </w:style>
  <w:style w:type="paragraph" w:customStyle="1" w:styleId="RecBullet">
    <w:name w:val="Rec Bullet"/>
    <w:basedOn w:val="Rec"/>
    <w:rsid w:val="00912866"/>
    <w:pPr>
      <w:numPr>
        <w:numId w:val="8"/>
      </w:numPr>
      <w:spacing w:before="80"/>
    </w:pPr>
  </w:style>
  <w:style w:type="paragraph" w:customStyle="1" w:styleId="RecB">
    <w:name w:val="RecB"/>
    <w:basedOn w:val="Normal"/>
    <w:rsid w:val="00912866"/>
    <w:pPr>
      <w:keepLines/>
      <w:pBdr>
        <w:left w:val="single" w:sz="24" w:space="12" w:color="C0C0C0"/>
      </w:pBdr>
      <w:spacing w:before="180" w:line="320" w:lineRule="atLeast"/>
      <w:jc w:val="both"/>
    </w:pPr>
    <w:rPr>
      <w:b/>
      <w:i/>
      <w:szCs w:val="20"/>
    </w:rPr>
  </w:style>
  <w:style w:type="paragraph" w:customStyle="1" w:styleId="RecBBullet">
    <w:name w:val="RecB Bullet"/>
    <w:basedOn w:val="RecB"/>
    <w:rsid w:val="00912866"/>
    <w:pPr>
      <w:numPr>
        <w:numId w:val="9"/>
      </w:numPr>
      <w:spacing w:before="80"/>
    </w:pPr>
  </w:style>
  <w:style w:type="paragraph" w:customStyle="1" w:styleId="RecBNoTitle">
    <w:name w:val="RecB NoTitle"/>
    <w:basedOn w:val="RecB"/>
    <w:rsid w:val="00912866"/>
    <w:pPr>
      <w:spacing w:before="240"/>
    </w:pPr>
  </w:style>
  <w:style w:type="paragraph" w:customStyle="1" w:styleId="Reference">
    <w:name w:val="Reference"/>
    <w:basedOn w:val="BodyText"/>
    <w:link w:val="ReferenceChar"/>
    <w:rsid w:val="00912866"/>
    <w:pPr>
      <w:spacing w:before="120"/>
      <w:ind w:left="340" w:hanging="340"/>
    </w:pPr>
  </w:style>
  <w:style w:type="paragraph" w:customStyle="1" w:styleId="SideNote">
    <w:name w:val="Side Note"/>
    <w:basedOn w:val="BodyText"/>
    <w:next w:val="BodyText"/>
    <w:semiHidden/>
    <w:rsid w:val="00912866"/>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semiHidden/>
    <w:rsid w:val="00912866"/>
    <w:pPr>
      <w:framePr w:wrap="around"/>
      <w:numPr>
        <w:numId w:val="4"/>
      </w:numPr>
      <w:tabs>
        <w:tab w:val="left" w:pos="227"/>
      </w:tabs>
    </w:pPr>
  </w:style>
  <w:style w:type="paragraph" w:customStyle="1" w:styleId="SideNoteGraphic">
    <w:name w:val="Side Note Graphic"/>
    <w:basedOn w:val="SideNote"/>
    <w:next w:val="BodyText"/>
    <w:semiHidden/>
    <w:rsid w:val="00912866"/>
    <w:pPr>
      <w:framePr w:wrap="around"/>
    </w:pPr>
  </w:style>
  <w:style w:type="paragraph" w:customStyle="1" w:styleId="TableBodyText">
    <w:name w:val="Table Body Text"/>
    <w:basedOn w:val="BodyText"/>
    <w:rsid w:val="00912866"/>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rsid w:val="00912866"/>
    <w:pPr>
      <w:numPr>
        <w:numId w:val="10"/>
      </w:numPr>
      <w:jc w:val="left"/>
    </w:pPr>
  </w:style>
  <w:style w:type="paragraph" w:customStyle="1" w:styleId="TableColumnHeading">
    <w:name w:val="Table Column Heading"/>
    <w:basedOn w:val="TableBodyText"/>
    <w:rsid w:val="00912866"/>
    <w:pPr>
      <w:spacing w:before="80" w:after="80"/>
    </w:pPr>
    <w:rPr>
      <w:i/>
    </w:rPr>
  </w:style>
  <w:style w:type="paragraph" w:styleId="TableofFigures">
    <w:name w:val="table of figures"/>
    <w:basedOn w:val="TOC3"/>
    <w:next w:val="BodyText"/>
    <w:semiHidden/>
    <w:rsid w:val="00912866"/>
    <w:pPr>
      <w:ind w:left="737" w:hanging="737"/>
    </w:pPr>
  </w:style>
  <w:style w:type="paragraph" w:styleId="TOC3">
    <w:name w:val="toc 3"/>
    <w:basedOn w:val="TOC2"/>
    <w:rsid w:val="00912866"/>
    <w:pPr>
      <w:spacing w:before="60"/>
      <w:ind w:left="1190" w:hanging="680"/>
    </w:pPr>
  </w:style>
  <w:style w:type="paragraph" w:styleId="TOC2">
    <w:name w:val="toc 2"/>
    <w:basedOn w:val="TOC1"/>
    <w:rsid w:val="00912866"/>
    <w:pPr>
      <w:ind w:left="1134" w:hanging="624"/>
    </w:pPr>
    <w:rPr>
      <w:b w:val="0"/>
    </w:rPr>
  </w:style>
  <w:style w:type="paragraph" w:customStyle="1" w:styleId="TableTitle">
    <w:name w:val="Table Title"/>
    <w:basedOn w:val="Caption"/>
    <w:next w:val="Subtitle"/>
    <w:qFormat/>
    <w:rsid w:val="00912866"/>
    <w:pPr>
      <w:spacing w:before="120"/>
    </w:pPr>
  </w:style>
  <w:style w:type="paragraph" w:customStyle="1" w:styleId="TableUnitsRow">
    <w:name w:val="Table Units Row"/>
    <w:basedOn w:val="TableBodyText"/>
    <w:rsid w:val="00912866"/>
    <w:pPr>
      <w:spacing w:before="40"/>
    </w:pPr>
  </w:style>
  <w:style w:type="paragraph" w:styleId="TOC1">
    <w:name w:val="toc 1"/>
    <w:basedOn w:val="Normal"/>
    <w:next w:val="TOC2"/>
    <w:link w:val="TOC1Char"/>
    <w:rsid w:val="00912866"/>
    <w:pPr>
      <w:tabs>
        <w:tab w:val="right" w:pos="8789"/>
      </w:tabs>
      <w:spacing w:before="120" w:line="320" w:lineRule="exact"/>
      <w:ind w:left="510" w:right="851" w:hanging="510"/>
    </w:pPr>
    <w:rPr>
      <w:rFonts w:ascii="Arial" w:hAnsi="Arial"/>
      <w:b/>
      <w:sz w:val="26"/>
      <w:szCs w:val="26"/>
      <w:lang w:eastAsia="en-US"/>
    </w:rPr>
  </w:style>
  <w:style w:type="paragraph" w:styleId="TOC4">
    <w:name w:val="toc 4"/>
    <w:basedOn w:val="TOC3"/>
    <w:semiHidden/>
    <w:rsid w:val="00912866"/>
    <w:pPr>
      <w:ind w:left="1191" w:firstLine="0"/>
    </w:pPr>
  </w:style>
  <w:style w:type="paragraph" w:customStyle="1" w:styleId="BoxContinued">
    <w:name w:val="Box Continued"/>
    <w:basedOn w:val="BodyText"/>
    <w:next w:val="BodyText"/>
    <w:link w:val="BoxContinuedChar"/>
    <w:semiHidden/>
    <w:rsid w:val="00912866"/>
    <w:pPr>
      <w:spacing w:before="180" w:line="220" w:lineRule="exact"/>
      <w:jc w:val="right"/>
    </w:pPr>
    <w:rPr>
      <w:rFonts w:ascii="Arial" w:hAnsi="Arial"/>
      <w:sz w:val="18"/>
    </w:rPr>
  </w:style>
  <w:style w:type="paragraph" w:customStyle="1" w:styleId="Continued">
    <w:name w:val="Continued"/>
    <w:basedOn w:val="BoxContinued"/>
    <w:next w:val="BodyText"/>
    <w:link w:val="ContinuedChar"/>
    <w:rsid w:val="00912866"/>
  </w:style>
  <w:style w:type="paragraph" w:customStyle="1" w:styleId="BoxHeading1">
    <w:name w:val="Box Heading 1"/>
    <w:basedOn w:val="BodyText"/>
    <w:next w:val="Box"/>
    <w:link w:val="BoxHeading1Char"/>
    <w:rsid w:val="00912866"/>
    <w:pPr>
      <w:keepNext/>
      <w:spacing w:before="200" w:line="280" w:lineRule="atLeast"/>
    </w:pPr>
    <w:rPr>
      <w:rFonts w:ascii="Arial" w:hAnsi="Arial"/>
      <w:b/>
      <w:sz w:val="22"/>
    </w:rPr>
  </w:style>
  <w:style w:type="paragraph" w:customStyle="1" w:styleId="BoxHeading2">
    <w:name w:val="Box Heading 2"/>
    <w:basedOn w:val="BoxHeading1"/>
    <w:next w:val="Normal"/>
    <w:rsid w:val="00912866"/>
    <w:rPr>
      <w:b w:val="0"/>
      <w:i/>
    </w:rPr>
  </w:style>
  <w:style w:type="paragraph" w:styleId="BalloonText">
    <w:name w:val="Balloon Text"/>
    <w:basedOn w:val="Normal"/>
    <w:link w:val="BalloonTextChar"/>
    <w:rsid w:val="00912866"/>
    <w:rPr>
      <w:rFonts w:ascii="Tahoma" w:hAnsi="Tahoma" w:cs="Tahoma"/>
      <w:sz w:val="16"/>
      <w:szCs w:val="16"/>
    </w:rPr>
  </w:style>
  <w:style w:type="paragraph" w:customStyle="1" w:styleId="Jurisdictioncommentsbodytext">
    <w:name w:val="Jurisdiction comments body text"/>
    <w:link w:val="JurisdictioncommentsbodytextChar"/>
    <w:rsid w:val="00912866"/>
    <w:pPr>
      <w:spacing w:after="140"/>
      <w:jc w:val="both"/>
    </w:pPr>
    <w:rPr>
      <w:rFonts w:ascii="Arial" w:hAnsi="Arial"/>
      <w:sz w:val="24"/>
      <w:lang w:eastAsia="en-US"/>
    </w:rPr>
  </w:style>
  <w:style w:type="paragraph" w:customStyle="1" w:styleId="Jurisdictioncommentsheading">
    <w:name w:val="Jurisdiction comments heading"/>
    <w:rsid w:val="00912866"/>
    <w:pPr>
      <w:spacing w:after="140" w:line="320" w:lineRule="atLeast"/>
      <w:jc w:val="both"/>
    </w:pPr>
    <w:rPr>
      <w:rFonts w:ascii="Arial" w:hAnsi="Arial"/>
      <w:b/>
      <w:sz w:val="24"/>
      <w:lang w:eastAsia="en-US"/>
    </w:rPr>
  </w:style>
  <w:style w:type="paragraph" w:customStyle="1" w:styleId="Jurisdictioncommentslistbullet">
    <w:name w:val="Jurisdiction comments list bullet"/>
    <w:link w:val="JurisdictioncommentslistbulletChar"/>
    <w:rsid w:val="00912866"/>
    <w:pPr>
      <w:numPr>
        <w:numId w:val="13"/>
      </w:numPr>
      <w:spacing w:after="140"/>
      <w:jc w:val="both"/>
    </w:pPr>
    <w:rPr>
      <w:rFonts w:ascii="Arial" w:hAnsi="Arial"/>
      <w:sz w:val="24"/>
      <w:lang w:eastAsia="en-US"/>
    </w:rPr>
  </w:style>
  <w:style w:type="paragraph" w:customStyle="1" w:styleId="SOC">
    <w:name w:val="SOC"/>
    <w:basedOn w:val="BodyText"/>
    <w:rsid w:val="00F534E7"/>
    <w:pPr>
      <w:spacing w:before="0" w:after="140" w:line="240" w:lineRule="auto"/>
    </w:pPr>
    <w:rPr>
      <w:rFonts w:ascii="Arial" w:hAnsi="Arial"/>
    </w:rPr>
  </w:style>
  <w:style w:type="table" w:styleId="TableGrid">
    <w:name w:val="Table Grid"/>
    <w:basedOn w:val="TableNormal"/>
    <w:rsid w:val="0091286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ommentSubject">
    <w:name w:val="annotation subject"/>
    <w:basedOn w:val="CommentText"/>
    <w:next w:val="CommentText"/>
    <w:semiHidden/>
    <w:rsid w:val="00306D8C"/>
    <w:pPr>
      <w:spacing w:before="0" w:line="240" w:lineRule="auto"/>
      <w:ind w:left="0" w:firstLine="0"/>
    </w:pPr>
    <w:rPr>
      <w:b/>
      <w:bCs/>
    </w:rPr>
  </w:style>
  <w:style w:type="character" w:styleId="Hyperlink">
    <w:name w:val="Hyperlink"/>
    <w:uiPriority w:val="99"/>
    <w:rsid w:val="004E1E44"/>
    <w:rPr>
      <w:color w:val="0000FF"/>
      <w:u w:val="single"/>
    </w:rPr>
  </w:style>
  <w:style w:type="paragraph" w:styleId="NormalWeb">
    <w:name w:val="Normal (Web)"/>
    <w:basedOn w:val="Normal"/>
    <w:link w:val="NormalWebChar"/>
    <w:rsid w:val="00BB3348"/>
    <w:pPr>
      <w:spacing w:before="100" w:beforeAutospacing="1" w:after="100" w:afterAutospacing="1"/>
    </w:pPr>
    <w:rPr>
      <w:rFonts w:ascii="Arial" w:hAnsi="Arial" w:cs="Arial"/>
      <w:sz w:val="15"/>
      <w:szCs w:val="15"/>
    </w:rPr>
  </w:style>
  <w:style w:type="paragraph" w:customStyle="1" w:styleId="Table">
    <w:name w:val="Table"/>
    <w:basedOn w:val="Normal"/>
    <w:semiHidden/>
    <w:rsid w:val="005E6972"/>
    <w:rPr>
      <w:rFonts w:ascii="Book Antiqua" w:hAnsi="Book Antiqua"/>
      <w:sz w:val="20"/>
      <w:szCs w:val="20"/>
      <w:lang w:eastAsia="en-US"/>
    </w:rPr>
  </w:style>
  <w:style w:type="paragraph" w:customStyle="1" w:styleId="DocInfo">
    <w:name w:val="Doc Info"/>
    <w:basedOn w:val="Normal"/>
    <w:next w:val="Normal"/>
    <w:rsid w:val="00F534E7"/>
    <w:pPr>
      <w:jc w:val="center"/>
    </w:pPr>
    <w:rPr>
      <w:rFonts w:ascii="Arial" w:hAnsi="Arial"/>
      <w:sz w:val="14"/>
    </w:rPr>
  </w:style>
  <w:style w:type="paragraph" w:customStyle="1" w:styleId="Heading2NotTOC">
    <w:name w:val="Heading 2 Not TOC"/>
    <w:basedOn w:val="Heading2"/>
    <w:next w:val="BodyText"/>
    <w:rsid w:val="00F534E7"/>
    <w:pPr>
      <w:outlineLvl w:val="9"/>
    </w:pPr>
  </w:style>
  <w:style w:type="character" w:customStyle="1" w:styleId="BodyTextChar">
    <w:name w:val="Body Text Char"/>
    <w:basedOn w:val="DefaultParagraphFont"/>
    <w:link w:val="BodyText"/>
    <w:rsid w:val="00912866"/>
    <w:rPr>
      <w:sz w:val="24"/>
    </w:rPr>
  </w:style>
  <w:style w:type="character" w:customStyle="1" w:styleId="BoxQuoteChar">
    <w:name w:val="Box Quote Char"/>
    <w:link w:val="BoxQuote"/>
    <w:rsid w:val="00B62339"/>
    <w:rPr>
      <w:rFonts w:ascii="Arial" w:hAnsi="Arial"/>
      <w:sz w:val="18"/>
    </w:rPr>
  </w:style>
  <w:style w:type="paragraph" w:customStyle="1" w:styleId="Default">
    <w:name w:val="Default"/>
    <w:rsid w:val="00696949"/>
    <w:pPr>
      <w:autoSpaceDE w:val="0"/>
      <w:autoSpaceDN w:val="0"/>
      <w:adjustRightInd w:val="0"/>
    </w:pPr>
    <w:rPr>
      <w:rFonts w:ascii="Corbel" w:hAnsi="Corbel" w:cs="Corbel"/>
      <w:color w:val="000000"/>
      <w:sz w:val="24"/>
      <w:szCs w:val="24"/>
    </w:rPr>
  </w:style>
  <w:style w:type="character" w:customStyle="1" w:styleId="NoteChar">
    <w:name w:val="Note Char"/>
    <w:link w:val="Note"/>
    <w:rsid w:val="00D05BA4"/>
    <w:rPr>
      <w:rFonts w:ascii="Arial" w:hAnsi="Arial"/>
      <w:sz w:val="18"/>
    </w:rPr>
  </w:style>
  <w:style w:type="character" w:customStyle="1" w:styleId="SourceChar">
    <w:name w:val="Source Char"/>
    <w:basedOn w:val="NoteChar"/>
    <w:link w:val="Source"/>
    <w:rsid w:val="000D19AF"/>
    <w:rPr>
      <w:rFonts w:ascii="Arial" w:hAnsi="Arial"/>
      <w:sz w:val="18"/>
    </w:rPr>
  </w:style>
  <w:style w:type="character" w:customStyle="1" w:styleId="FigureChar">
    <w:name w:val="Figure Char"/>
    <w:basedOn w:val="BodyTextChar"/>
    <w:link w:val="Figure"/>
    <w:rsid w:val="00D85D0E"/>
    <w:rPr>
      <w:sz w:val="24"/>
    </w:rPr>
  </w:style>
  <w:style w:type="character" w:customStyle="1" w:styleId="NormalWebChar">
    <w:name w:val="Normal (Web) Char"/>
    <w:link w:val="NormalWeb"/>
    <w:rsid w:val="00307EA7"/>
    <w:rPr>
      <w:rFonts w:ascii="Arial" w:hAnsi="Arial" w:cs="Arial"/>
      <w:sz w:val="15"/>
      <w:szCs w:val="15"/>
      <w:lang w:val="en-AU" w:eastAsia="en-AU" w:bidi="ar-SA"/>
    </w:rPr>
  </w:style>
  <w:style w:type="character" w:customStyle="1" w:styleId="BoxChar">
    <w:name w:val="Box Char"/>
    <w:link w:val="Box"/>
    <w:rsid w:val="004934D4"/>
    <w:rPr>
      <w:rFonts w:ascii="Arial" w:hAnsi="Arial"/>
    </w:rPr>
  </w:style>
  <w:style w:type="character" w:styleId="FollowedHyperlink">
    <w:name w:val="FollowedHyperlink"/>
    <w:rsid w:val="008F1D10"/>
    <w:rPr>
      <w:color w:val="800080"/>
      <w:u w:val="single"/>
    </w:rPr>
  </w:style>
  <w:style w:type="character" w:customStyle="1" w:styleId="JurisdictioncommentslistbulletChar">
    <w:name w:val="Jurisdiction comments list bullet Char"/>
    <w:link w:val="Jurisdictioncommentslistbullet"/>
    <w:rsid w:val="003C7ACB"/>
    <w:rPr>
      <w:rFonts w:ascii="Arial" w:hAnsi="Arial"/>
      <w:sz w:val="24"/>
      <w:lang w:eastAsia="en-US"/>
    </w:rPr>
  </w:style>
  <w:style w:type="character" w:customStyle="1" w:styleId="ListBulletChar">
    <w:name w:val="List Bullet Char"/>
    <w:aliases w:val="List Bullet1 Char,List Bullet Char1 Char,List Bullet Char Char Char,List Bullet Char1 Char Char Char"/>
    <w:basedOn w:val="BodyTextChar"/>
    <w:link w:val="ListBullet"/>
    <w:rsid w:val="003C7ACB"/>
    <w:rPr>
      <w:sz w:val="24"/>
    </w:rPr>
  </w:style>
  <w:style w:type="character" w:customStyle="1" w:styleId="BoxContinuedChar">
    <w:name w:val="Box Continued Char"/>
    <w:link w:val="BoxContinued"/>
    <w:semiHidden/>
    <w:rsid w:val="00824FB8"/>
    <w:rPr>
      <w:rFonts w:ascii="Arial" w:hAnsi="Arial"/>
      <w:sz w:val="18"/>
    </w:rPr>
  </w:style>
  <w:style w:type="character" w:customStyle="1" w:styleId="ContinuedChar">
    <w:name w:val="Continued Char"/>
    <w:basedOn w:val="BoxContinuedChar"/>
    <w:link w:val="Continued"/>
    <w:rsid w:val="00824FB8"/>
    <w:rPr>
      <w:rFonts w:ascii="Arial" w:hAnsi="Arial"/>
      <w:sz w:val="18"/>
    </w:rPr>
  </w:style>
  <w:style w:type="character" w:customStyle="1" w:styleId="JurisdictioncommentsbodytextChar">
    <w:name w:val="Jurisdiction comments body text Char"/>
    <w:link w:val="Jurisdictioncommentsbodytext"/>
    <w:rsid w:val="008404BA"/>
    <w:rPr>
      <w:rFonts w:ascii="Arial" w:hAnsi="Arial"/>
      <w:sz w:val="24"/>
      <w:lang w:eastAsia="en-US"/>
    </w:rPr>
  </w:style>
  <w:style w:type="paragraph" w:customStyle="1" w:styleId="RecBBullet2">
    <w:name w:val="RecB Bullet 2"/>
    <w:basedOn w:val="ListBullet2"/>
    <w:semiHidden/>
    <w:rsid w:val="00912866"/>
    <w:pPr>
      <w:pBdr>
        <w:left w:val="single" w:sz="24" w:space="29" w:color="C0C0C0"/>
      </w:pBdr>
    </w:pPr>
    <w:rPr>
      <w:b/>
      <w:i/>
    </w:rPr>
  </w:style>
  <w:style w:type="character" w:customStyle="1" w:styleId="BalloonTextChar">
    <w:name w:val="Balloon Text Char"/>
    <w:basedOn w:val="DefaultParagraphFont"/>
    <w:link w:val="BalloonText"/>
    <w:rsid w:val="00912866"/>
    <w:rPr>
      <w:rFonts w:ascii="Tahoma" w:hAnsi="Tahoma" w:cs="Tahoma"/>
      <w:sz w:val="16"/>
      <w:szCs w:val="16"/>
    </w:rPr>
  </w:style>
  <w:style w:type="character" w:customStyle="1" w:styleId="SubtitleChar">
    <w:name w:val="Subtitle Char"/>
    <w:basedOn w:val="DefaultParagraphFont"/>
    <w:link w:val="Subtitle"/>
    <w:rsid w:val="00912866"/>
    <w:rPr>
      <w:rFonts w:ascii="Arial" w:hAnsi="Arial"/>
      <w:szCs w:val="24"/>
    </w:rPr>
  </w:style>
  <w:style w:type="paragraph" w:customStyle="1" w:styleId="BoxListBullet3">
    <w:name w:val="Box List Bullet 3"/>
    <w:basedOn w:val="ListBullet3"/>
    <w:rsid w:val="00912866"/>
    <w:pPr>
      <w:numPr>
        <w:numId w:val="18"/>
      </w:numPr>
      <w:tabs>
        <w:tab w:val="left" w:pos="907"/>
      </w:tabs>
      <w:spacing w:before="60" w:line="260" w:lineRule="atLeast"/>
      <w:ind w:left="907" w:hanging="340"/>
    </w:pPr>
    <w:rPr>
      <w:rFonts w:ascii="Arial" w:hAnsi="Arial"/>
      <w:sz w:val="20"/>
    </w:rPr>
  </w:style>
  <w:style w:type="character" w:styleId="Emphasis">
    <w:name w:val="Emphasis"/>
    <w:basedOn w:val="DefaultParagraphFont"/>
    <w:rsid w:val="00912866"/>
    <w:rPr>
      <w:i/>
      <w:iCs/>
    </w:rPr>
  </w:style>
  <w:style w:type="paragraph" w:customStyle="1" w:styleId="BoxQuoteBullet">
    <w:name w:val="Box Quote Bullet"/>
    <w:basedOn w:val="BoxQuote"/>
    <w:next w:val="Box"/>
    <w:rsid w:val="00912866"/>
    <w:pPr>
      <w:numPr>
        <w:numId w:val="16"/>
      </w:numPr>
      <w:ind w:left="568" w:hanging="284"/>
    </w:pPr>
  </w:style>
  <w:style w:type="paragraph" w:customStyle="1" w:styleId="InformationRequestBullet">
    <w:name w:val="Information Request Bullet"/>
    <w:basedOn w:val="ListBullet"/>
    <w:next w:val="BodyText"/>
    <w:rsid w:val="00912866"/>
    <w:pPr>
      <w:numPr>
        <w:numId w:val="17"/>
      </w:numPr>
      <w:spacing w:before="80" w:line="280" w:lineRule="atLeast"/>
      <w:ind w:left="357" w:hanging="357"/>
    </w:pPr>
    <w:rPr>
      <w:rFonts w:ascii="Arial" w:hAnsi="Arial"/>
      <w:i/>
      <w:sz w:val="22"/>
    </w:rPr>
  </w:style>
  <w:style w:type="character" w:customStyle="1" w:styleId="ReferenceChar">
    <w:name w:val="Reference Char"/>
    <w:basedOn w:val="DefaultParagraphFont"/>
    <w:link w:val="Reference"/>
    <w:rsid w:val="00A42E75"/>
    <w:rPr>
      <w:sz w:val="24"/>
    </w:rPr>
  </w:style>
  <w:style w:type="paragraph" w:customStyle="1" w:styleId="BoxSpaceAbove">
    <w:name w:val="Box Space Above"/>
    <w:basedOn w:val="BodyText"/>
    <w:rsid w:val="00912866"/>
    <w:pPr>
      <w:keepNext/>
      <w:spacing w:before="360" w:line="80" w:lineRule="exact"/>
      <w:jc w:val="left"/>
    </w:pPr>
  </w:style>
  <w:style w:type="paragraph" w:customStyle="1" w:styleId="BoxSpaceBelow">
    <w:name w:val="Box Space Below"/>
    <w:basedOn w:val="Box"/>
    <w:rsid w:val="00912866"/>
    <w:pPr>
      <w:keepNext w:val="0"/>
      <w:spacing w:before="60" w:after="60" w:line="80" w:lineRule="exact"/>
    </w:pPr>
    <w:rPr>
      <w:sz w:val="14"/>
    </w:rPr>
  </w:style>
  <w:style w:type="paragraph" w:styleId="ListParagraph">
    <w:name w:val="List Paragraph"/>
    <w:basedOn w:val="Normal"/>
    <w:uiPriority w:val="34"/>
    <w:qFormat/>
    <w:rsid w:val="00B2291F"/>
    <w:pPr>
      <w:spacing w:after="200" w:line="276" w:lineRule="auto"/>
      <w:ind w:left="720"/>
      <w:contextualSpacing/>
    </w:pPr>
    <w:rPr>
      <w:rFonts w:asciiTheme="minorHAnsi" w:eastAsiaTheme="minorHAnsi" w:hAnsiTheme="minorHAnsi" w:cstheme="minorBidi"/>
      <w:sz w:val="22"/>
      <w:szCs w:val="22"/>
      <w:lang w:eastAsia="en-US"/>
    </w:rPr>
  </w:style>
  <w:style w:type="paragraph" w:customStyle="1" w:styleId="KeyPointsListBullet">
    <w:name w:val="Key Points List Bullet"/>
    <w:basedOn w:val="Normal"/>
    <w:qFormat/>
    <w:rsid w:val="00912866"/>
    <w:pPr>
      <w:keepNext/>
      <w:numPr>
        <w:numId w:val="20"/>
      </w:numPr>
      <w:spacing w:before="100" w:line="260" w:lineRule="atLeast"/>
      <w:ind w:left="357" w:hanging="357"/>
      <w:jc w:val="both"/>
    </w:pPr>
    <w:rPr>
      <w:rFonts w:ascii="Arial" w:hAnsi="Arial"/>
      <w:sz w:val="20"/>
      <w:szCs w:val="20"/>
      <w:lang w:eastAsia="en-US"/>
    </w:rPr>
  </w:style>
  <w:style w:type="paragraph" w:customStyle="1" w:styleId="KeyPointsListBullet2">
    <w:name w:val="Key Points List Bullet 2"/>
    <w:basedOn w:val="BoxListBullet2"/>
    <w:rsid w:val="00912866"/>
    <w:pPr>
      <w:numPr>
        <w:numId w:val="21"/>
      </w:numPr>
      <w:ind w:left="568" w:hanging="284"/>
    </w:pPr>
  </w:style>
  <w:style w:type="paragraph" w:customStyle="1" w:styleId="InformationRequestTitle">
    <w:name w:val="Information Request Title"/>
    <w:basedOn w:val="FindingTitle"/>
    <w:next w:val="InformationRequest"/>
    <w:rsid w:val="00912866"/>
    <w:rPr>
      <w:i/>
    </w:rPr>
  </w:style>
  <w:style w:type="paragraph" w:customStyle="1" w:styleId="Space">
    <w:name w:val="Space"/>
    <w:basedOn w:val="Normal"/>
    <w:rsid w:val="00912866"/>
    <w:pPr>
      <w:keepNext/>
      <w:spacing w:line="120" w:lineRule="exact"/>
      <w:jc w:val="both"/>
    </w:pPr>
    <w:rPr>
      <w:rFonts w:ascii="Arial" w:hAnsi="Arial"/>
      <w:sz w:val="20"/>
      <w:szCs w:val="20"/>
    </w:rPr>
  </w:style>
  <w:style w:type="paragraph" w:customStyle="1" w:styleId="Heading1nochapterno">
    <w:name w:val="Heading 1 (no chapter no.)"/>
    <w:basedOn w:val="Heading1"/>
    <w:rsid w:val="00912866"/>
    <w:pPr>
      <w:spacing w:before="0"/>
      <w:ind w:left="0" w:firstLine="0"/>
    </w:pPr>
  </w:style>
  <w:style w:type="paragraph" w:customStyle="1" w:styleId="Heading2nosectionno">
    <w:name w:val="Heading 2 (no section no.)"/>
    <w:basedOn w:val="Heading2"/>
    <w:rsid w:val="00912866"/>
    <w:pPr>
      <w:ind w:left="0" w:firstLine="0"/>
    </w:pPr>
  </w:style>
  <w:style w:type="character" w:customStyle="1" w:styleId="Heading5Char">
    <w:name w:val="Heading 5 Char"/>
    <w:basedOn w:val="DefaultParagraphFont"/>
    <w:link w:val="Heading5"/>
    <w:rsid w:val="00912866"/>
    <w:rPr>
      <w:rFonts w:ascii="Arial" w:hAnsi="Arial"/>
      <w:i/>
      <w:sz w:val="22"/>
    </w:rPr>
  </w:style>
  <w:style w:type="paragraph" w:customStyle="1" w:styleId="Figurespace">
    <w:name w:val="Figure space"/>
    <w:basedOn w:val="Box"/>
    <w:rsid w:val="00912866"/>
    <w:pPr>
      <w:spacing w:before="0" w:line="120" w:lineRule="exact"/>
    </w:pPr>
  </w:style>
  <w:style w:type="paragraph" w:customStyle="1" w:styleId="FooterDraftReport">
    <w:name w:val="FooterDraftReport"/>
    <w:basedOn w:val="Footer"/>
    <w:link w:val="FooterDraftReportChar"/>
    <w:rsid w:val="00912866"/>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FooterChar">
    <w:name w:val="Footer Char"/>
    <w:basedOn w:val="BodyTextChar"/>
    <w:link w:val="Footer"/>
    <w:rsid w:val="00912866"/>
    <w:rPr>
      <w:rFonts w:ascii="Arial" w:hAnsi="Arial"/>
      <w:caps/>
      <w:spacing w:val="-4"/>
      <w:sz w:val="16"/>
    </w:rPr>
  </w:style>
  <w:style w:type="character" w:customStyle="1" w:styleId="FooterDraftReportChar">
    <w:name w:val="FooterDraftReport Char"/>
    <w:basedOn w:val="FooterChar"/>
    <w:link w:val="FooterDraftReport"/>
    <w:rsid w:val="00912866"/>
    <w:rPr>
      <w:rFonts w:ascii="Arial" w:hAnsi="Arial" w:cs="Arial"/>
      <w:caps/>
      <w:color w:val="808080"/>
      <w:spacing w:val="-4"/>
      <w:sz w:val="16"/>
      <w14:textFill>
        <w14:solidFill>
          <w14:srgbClr w14:val="808080">
            <w14:lumMod w14:val="50000"/>
            <w14:lumOff w14:val="50000"/>
            <w14:lumMod w14:val="50000"/>
            <w14:lumOff w14:val="50000"/>
            <w14:lumMod w14:val="50000"/>
          </w14:srgbClr>
        </w14:solidFill>
      </w14:textFill>
    </w:rPr>
  </w:style>
  <w:style w:type="character" w:customStyle="1" w:styleId="TOC1Char">
    <w:name w:val="TOC 1 Char"/>
    <w:basedOn w:val="DefaultParagraphFont"/>
    <w:link w:val="TOC1"/>
    <w:rsid w:val="00912866"/>
    <w:rPr>
      <w:rFonts w:ascii="Arial" w:hAnsi="Arial"/>
      <w:b/>
      <w:sz w:val="26"/>
      <w:szCs w:val="26"/>
      <w:lang w:eastAsia="en-US"/>
    </w:rPr>
  </w:style>
  <w:style w:type="character" w:customStyle="1" w:styleId="BoxTitleChar">
    <w:name w:val="Box Title Char"/>
    <w:link w:val="BoxTitle"/>
    <w:rsid w:val="00434146"/>
    <w:rPr>
      <w:rFonts w:ascii="Arial" w:hAnsi="Arial"/>
      <w:b/>
      <w:sz w:val="24"/>
      <w:szCs w:val="24"/>
    </w:rPr>
  </w:style>
  <w:style w:type="character" w:customStyle="1" w:styleId="BoxHeading1Char">
    <w:name w:val="Box Heading 1 Char"/>
    <w:link w:val="BoxHeading1"/>
    <w:rsid w:val="00434146"/>
    <w:rPr>
      <w:rFonts w:ascii="Arial" w:hAnsi="Arial"/>
      <w:b/>
      <w:sz w:val="22"/>
    </w:rPr>
  </w:style>
  <w:style w:type="paragraph" w:styleId="PlainText">
    <w:name w:val="Plain Text"/>
    <w:basedOn w:val="Normal"/>
    <w:link w:val="PlainTextChar"/>
    <w:rsid w:val="003E05A1"/>
    <w:rPr>
      <w:rFonts w:ascii="Consolas" w:hAnsi="Consolas" w:cs="Consolas"/>
      <w:sz w:val="21"/>
      <w:szCs w:val="21"/>
    </w:rPr>
  </w:style>
  <w:style w:type="character" w:customStyle="1" w:styleId="PlainTextChar">
    <w:name w:val="Plain Text Char"/>
    <w:basedOn w:val="DefaultParagraphFont"/>
    <w:link w:val="PlainText"/>
    <w:rsid w:val="003E05A1"/>
    <w:rPr>
      <w:rFonts w:ascii="Consolas" w:hAnsi="Consolas" w:cs="Consolas"/>
      <w:sz w:val="21"/>
      <w:szCs w:val="21"/>
    </w:rPr>
  </w:style>
  <w:style w:type="paragraph" w:styleId="Revision">
    <w:name w:val="Revision"/>
    <w:hidden/>
    <w:uiPriority w:val="99"/>
    <w:semiHidden/>
    <w:rsid w:val="002E1066"/>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05037">
      <w:bodyDiv w:val="1"/>
      <w:marLeft w:val="0"/>
      <w:marRight w:val="0"/>
      <w:marTop w:val="0"/>
      <w:marBottom w:val="0"/>
      <w:divBdr>
        <w:top w:val="none" w:sz="0" w:space="0" w:color="auto"/>
        <w:left w:val="none" w:sz="0" w:space="0" w:color="auto"/>
        <w:bottom w:val="none" w:sz="0" w:space="0" w:color="auto"/>
        <w:right w:val="none" w:sz="0" w:space="0" w:color="auto"/>
      </w:divBdr>
    </w:div>
    <w:div w:id="15733997">
      <w:bodyDiv w:val="1"/>
      <w:marLeft w:val="0"/>
      <w:marRight w:val="0"/>
      <w:marTop w:val="0"/>
      <w:marBottom w:val="0"/>
      <w:divBdr>
        <w:top w:val="none" w:sz="0" w:space="0" w:color="auto"/>
        <w:left w:val="none" w:sz="0" w:space="0" w:color="auto"/>
        <w:bottom w:val="none" w:sz="0" w:space="0" w:color="auto"/>
        <w:right w:val="none" w:sz="0" w:space="0" w:color="auto"/>
      </w:divBdr>
    </w:div>
    <w:div w:id="62676967">
      <w:bodyDiv w:val="1"/>
      <w:marLeft w:val="0"/>
      <w:marRight w:val="0"/>
      <w:marTop w:val="0"/>
      <w:marBottom w:val="0"/>
      <w:divBdr>
        <w:top w:val="none" w:sz="0" w:space="0" w:color="auto"/>
        <w:left w:val="none" w:sz="0" w:space="0" w:color="auto"/>
        <w:bottom w:val="none" w:sz="0" w:space="0" w:color="auto"/>
        <w:right w:val="none" w:sz="0" w:space="0" w:color="auto"/>
      </w:divBdr>
    </w:div>
    <w:div w:id="68312092">
      <w:bodyDiv w:val="1"/>
      <w:marLeft w:val="0"/>
      <w:marRight w:val="0"/>
      <w:marTop w:val="0"/>
      <w:marBottom w:val="0"/>
      <w:divBdr>
        <w:top w:val="none" w:sz="0" w:space="0" w:color="auto"/>
        <w:left w:val="none" w:sz="0" w:space="0" w:color="auto"/>
        <w:bottom w:val="none" w:sz="0" w:space="0" w:color="auto"/>
        <w:right w:val="none" w:sz="0" w:space="0" w:color="auto"/>
      </w:divBdr>
    </w:div>
    <w:div w:id="100076212">
      <w:bodyDiv w:val="1"/>
      <w:marLeft w:val="0"/>
      <w:marRight w:val="0"/>
      <w:marTop w:val="0"/>
      <w:marBottom w:val="0"/>
      <w:divBdr>
        <w:top w:val="none" w:sz="0" w:space="0" w:color="auto"/>
        <w:left w:val="none" w:sz="0" w:space="0" w:color="auto"/>
        <w:bottom w:val="none" w:sz="0" w:space="0" w:color="auto"/>
        <w:right w:val="none" w:sz="0" w:space="0" w:color="auto"/>
      </w:divBdr>
    </w:div>
    <w:div w:id="126439316">
      <w:bodyDiv w:val="1"/>
      <w:marLeft w:val="0"/>
      <w:marRight w:val="0"/>
      <w:marTop w:val="0"/>
      <w:marBottom w:val="0"/>
      <w:divBdr>
        <w:top w:val="none" w:sz="0" w:space="0" w:color="auto"/>
        <w:left w:val="none" w:sz="0" w:space="0" w:color="auto"/>
        <w:bottom w:val="none" w:sz="0" w:space="0" w:color="auto"/>
        <w:right w:val="none" w:sz="0" w:space="0" w:color="auto"/>
      </w:divBdr>
    </w:div>
    <w:div w:id="154494432">
      <w:bodyDiv w:val="1"/>
      <w:marLeft w:val="0"/>
      <w:marRight w:val="0"/>
      <w:marTop w:val="0"/>
      <w:marBottom w:val="0"/>
      <w:divBdr>
        <w:top w:val="none" w:sz="0" w:space="0" w:color="auto"/>
        <w:left w:val="none" w:sz="0" w:space="0" w:color="auto"/>
        <w:bottom w:val="none" w:sz="0" w:space="0" w:color="auto"/>
        <w:right w:val="none" w:sz="0" w:space="0" w:color="auto"/>
      </w:divBdr>
    </w:div>
    <w:div w:id="168329096">
      <w:bodyDiv w:val="1"/>
      <w:marLeft w:val="0"/>
      <w:marRight w:val="0"/>
      <w:marTop w:val="0"/>
      <w:marBottom w:val="0"/>
      <w:divBdr>
        <w:top w:val="none" w:sz="0" w:space="0" w:color="auto"/>
        <w:left w:val="none" w:sz="0" w:space="0" w:color="auto"/>
        <w:bottom w:val="none" w:sz="0" w:space="0" w:color="auto"/>
        <w:right w:val="none" w:sz="0" w:space="0" w:color="auto"/>
      </w:divBdr>
    </w:div>
    <w:div w:id="185095510">
      <w:bodyDiv w:val="1"/>
      <w:marLeft w:val="0"/>
      <w:marRight w:val="0"/>
      <w:marTop w:val="0"/>
      <w:marBottom w:val="0"/>
      <w:divBdr>
        <w:top w:val="none" w:sz="0" w:space="0" w:color="auto"/>
        <w:left w:val="none" w:sz="0" w:space="0" w:color="auto"/>
        <w:bottom w:val="none" w:sz="0" w:space="0" w:color="auto"/>
        <w:right w:val="none" w:sz="0" w:space="0" w:color="auto"/>
      </w:divBdr>
    </w:div>
    <w:div w:id="211693656">
      <w:bodyDiv w:val="1"/>
      <w:marLeft w:val="0"/>
      <w:marRight w:val="0"/>
      <w:marTop w:val="0"/>
      <w:marBottom w:val="0"/>
      <w:divBdr>
        <w:top w:val="none" w:sz="0" w:space="0" w:color="auto"/>
        <w:left w:val="none" w:sz="0" w:space="0" w:color="auto"/>
        <w:bottom w:val="none" w:sz="0" w:space="0" w:color="auto"/>
        <w:right w:val="none" w:sz="0" w:space="0" w:color="auto"/>
      </w:divBdr>
    </w:div>
    <w:div w:id="216669390">
      <w:bodyDiv w:val="1"/>
      <w:marLeft w:val="0"/>
      <w:marRight w:val="0"/>
      <w:marTop w:val="0"/>
      <w:marBottom w:val="0"/>
      <w:divBdr>
        <w:top w:val="none" w:sz="0" w:space="0" w:color="auto"/>
        <w:left w:val="none" w:sz="0" w:space="0" w:color="auto"/>
        <w:bottom w:val="none" w:sz="0" w:space="0" w:color="auto"/>
        <w:right w:val="none" w:sz="0" w:space="0" w:color="auto"/>
      </w:divBdr>
    </w:div>
    <w:div w:id="226956843">
      <w:bodyDiv w:val="1"/>
      <w:marLeft w:val="0"/>
      <w:marRight w:val="0"/>
      <w:marTop w:val="0"/>
      <w:marBottom w:val="0"/>
      <w:divBdr>
        <w:top w:val="none" w:sz="0" w:space="0" w:color="auto"/>
        <w:left w:val="none" w:sz="0" w:space="0" w:color="auto"/>
        <w:bottom w:val="none" w:sz="0" w:space="0" w:color="auto"/>
        <w:right w:val="none" w:sz="0" w:space="0" w:color="auto"/>
      </w:divBdr>
    </w:div>
    <w:div w:id="278995982">
      <w:bodyDiv w:val="1"/>
      <w:marLeft w:val="0"/>
      <w:marRight w:val="0"/>
      <w:marTop w:val="0"/>
      <w:marBottom w:val="0"/>
      <w:divBdr>
        <w:top w:val="none" w:sz="0" w:space="0" w:color="auto"/>
        <w:left w:val="none" w:sz="0" w:space="0" w:color="auto"/>
        <w:bottom w:val="none" w:sz="0" w:space="0" w:color="auto"/>
        <w:right w:val="none" w:sz="0" w:space="0" w:color="auto"/>
      </w:divBdr>
    </w:div>
    <w:div w:id="287011592">
      <w:bodyDiv w:val="1"/>
      <w:marLeft w:val="0"/>
      <w:marRight w:val="0"/>
      <w:marTop w:val="0"/>
      <w:marBottom w:val="0"/>
      <w:divBdr>
        <w:top w:val="none" w:sz="0" w:space="0" w:color="auto"/>
        <w:left w:val="none" w:sz="0" w:space="0" w:color="auto"/>
        <w:bottom w:val="none" w:sz="0" w:space="0" w:color="auto"/>
        <w:right w:val="none" w:sz="0" w:space="0" w:color="auto"/>
      </w:divBdr>
    </w:div>
    <w:div w:id="292904004">
      <w:bodyDiv w:val="1"/>
      <w:marLeft w:val="0"/>
      <w:marRight w:val="0"/>
      <w:marTop w:val="0"/>
      <w:marBottom w:val="0"/>
      <w:divBdr>
        <w:top w:val="none" w:sz="0" w:space="0" w:color="auto"/>
        <w:left w:val="none" w:sz="0" w:space="0" w:color="auto"/>
        <w:bottom w:val="none" w:sz="0" w:space="0" w:color="auto"/>
        <w:right w:val="none" w:sz="0" w:space="0" w:color="auto"/>
      </w:divBdr>
    </w:div>
    <w:div w:id="306328449">
      <w:bodyDiv w:val="1"/>
      <w:marLeft w:val="0"/>
      <w:marRight w:val="0"/>
      <w:marTop w:val="0"/>
      <w:marBottom w:val="0"/>
      <w:divBdr>
        <w:top w:val="none" w:sz="0" w:space="0" w:color="auto"/>
        <w:left w:val="none" w:sz="0" w:space="0" w:color="auto"/>
        <w:bottom w:val="none" w:sz="0" w:space="0" w:color="auto"/>
        <w:right w:val="none" w:sz="0" w:space="0" w:color="auto"/>
      </w:divBdr>
    </w:div>
    <w:div w:id="311914176">
      <w:bodyDiv w:val="1"/>
      <w:marLeft w:val="0"/>
      <w:marRight w:val="0"/>
      <w:marTop w:val="0"/>
      <w:marBottom w:val="0"/>
      <w:divBdr>
        <w:top w:val="none" w:sz="0" w:space="0" w:color="auto"/>
        <w:left w:val="none" w:sz="0" w:space="0" w:color="auto"/>
        <w:bottom w:val="none" w:sz="0" w:space="0" w:color="auto"/>
        <w:right w:val="none" w:sz="0" w:space="0" w:color="auto"/>
      </w:divBdr>
    </w:div>
    <w:div w:id="315031734">
      <w:bodyDiv w:val="1"/>
      <w:marLeft w:val="0"/>
      <w:marRight w:val="0"/>
      <w:marTop w:val="0"/>
      <w:marBottom w:val="0"/>
      <w:divBdr>
        <w:top w:val="none" w:sz="0" w:space="0" w:color="auto"/>
        <w:left w:val="none" w:sz="0" w:space="0" w:color="auto"/>
        <w:bottom w:val="none" w:sz="0" w:space="0" w:color="auto"/>
        <w:right w:val="none" w:sz="0" w:space="0" w:color="auto"/>
      </w:divBdr>
    </w:div>
    <w:div w:id="330067620">
      <w:bodyDiv w:val="1"/>
      <w:marLeft w:val="0"/>
      <w:marRight w:val="0"/>
      <w:marTop w:val="0"/>
      <w:marBottom w:val="0"/>
      <w:divBdr>
        <w:top w:val="none" w:sz="0" w:space="0" w:color="auto"/>
        <w:left w:val="none" w:sz="0" w:space="0" w:color="auto"/>
        <w:bottom w:val="none" w:sz="0" w:space="0" w:color="auto"/>
        <w:right w:val="none" w:sz="0" w:space="0" w:color="auto"/>
      </w:divBdr>
    </w:div>
    <w:div w:id="335575940">
      <w:bodyDiv w:val="1"/>
      <w:marLeft w:val="0"/>
      <w:marRight w:val="0"/>
      <w:marTop w:val="0"/>
      <w:marBottom w:val="0"/>
      <w:divBdr>
        <w:top w:val="none" w:sz="0" w:space="0" w:color="auto"/>
        <w:left w:val="none" w:sz="0" w:space="0" w:color="auto"/>
        <w:bottom w:val="none" w:sz="0" w:space="0" w:color="auto"/>
        <w:right w:val="none" w:sz="0" w:space="0" w:color="auto"/>
      </w:divBdr>
    </w:div>
    <w:div w:id="371000480">
      <w:bodyDiv w:val="1"/>
      <w:marLeft w:val="0"/>
      <w:marRight w:val="0"/>
      <w:marTop w:val="0"/>
      <w:marBottom w:val="0"/>
      <w:divBdr>
        <w:top w:val="none" w:sz="0" w:space="0" w:color="auto"/>
        <w:left w:val="none" w:sz="0" w:space="0" w:color="auto"/>
        <w:bottom w:val="none" w:sz="0" w:space="0" w:color="auto"/>
        <w:right w:val="none" w:sz="0" w:space="0" w:color="auto"/>
      </w:divBdr>
    </w:div>
    <w:div w:id="397560215">
      <w:bodyDiv w:val="1"/>
      <w:marLeft w:val="0"/>
      <w:marRight w:val="0"/>
      <w:marTop w:val="0"/>
      <w:marBottom w:val="0"/>
      <w:divBdr>
        <w:top w:val="none" w:sz="0" w:space="0" w:color="auto"/>
        <w:left w:val="none" w:sz="0" w:space="0" w:color="auto"/>
        <w:bottom w:val="none" w:sz="0" w:space="0" w:color="auto"/>
        <w:right w:val="none" w:sz="0" w:space="0" w:color="auto"/>
      </w:divBdr>
    </w:div>
    <w:div w:id="419833309">
      <w:bodyDiv w:val="1"/>
      <w:marLeft w:val="0"/>
      <w:marRight w:val="0"/>
      <w:marTop w:val="0"/>
      <w:marBottom w:val="0"/>
      <w:divBdr>
        <w:top w:val="none" w:sz="0" w:space="0" w:color="auto"/>
        <w:left w:val="none" w:sz="0" w:space="0" w:color="auto"/>
        <w:bottom w:val="none" w:sz="0" w:space="0" w:color="auto"/>
        <w:right w:val="none" w:sz="0" w:space="0" w:color="auto"/>
      </w:divBdr>
    </w:div>
    <w:div w:id="443041800">
      <w:bodyDiv w:val="1"/>
      <w:marLeft w:val="0"/>
      <w:marRight w:val="0"/>
      <w:marTop w:val="0"/>
      <w:marBottom w:val="0"/>
      <w:divBdr>
        <w:top w:val="none" w:sz="0" w:space="0" w:color="auto"/>
        <w:left w:val="none" w:sz="0" w:space="0" w:color="auto"/>
        <w:bottom w:val="none" w:sz="0" w:space="0" w:color="auto"/>
        <w:right w:val="none" w:sz="0" w:space="0" w:color="auto"/>
      </w:divBdr>
    </w:div>
    <w:div w:id="457333871">
      <w:bodyDiv w:val="1"/>
      <w:marLeft w:val="0"/>
      <w:marRight w:val="0"/>
      <w:marTop w:val="0"/>
      <w:marBottom w:val="0"/>
      <w:divBdr>
        <w:top w:val="none" w:sz="0" w:space="0" w:color="auto"/>
        <w:left w:val="none" w:sz="0" w:space="0" w:color="auto"/>
        <w:bottom w:val="none" w:sz="0" w:space="0" w:color="auto"/>
        <w:right w:val="none" w:sz="0" w:space="0" w:color="auto"/>
      </w:divBdr>
    </w:div>
    <w:div w:id="458107153">
      <w:bodyDiv w:val="1"/>
      <w:marLeft w:val="0"/>
      <w:marRight w:val="0"/>
      <w:marTop w:val="0"/>
      <w:marBottom w:val="0"/>
      <w:divBdr>
        <w:top w:val="none" w:sz="0" w:space="0" w:color="auto"/>
        <w:left w:val="none" w:sz="0" w:space="0" w:color="auto"/>
        <w:bottom w:val="none" w:sz="0" w:space="0" w:color="auto"/>
        <w:right w:val="none" w:sz="0" w:space="0" w:color="auto"/>
      </w:divBdr>
    </w:div>
    <w:div w:id="461460359">
      <w:bodyDiv w:val="1"/>
      <w:marLeft w:val="0"/>
      <w:marRight w:val="0"/>
      <w:marTop w:val="0"/>
      <w:marBottom w:val="0"/>
      <w:divBdr>
        <w:top w:val="none" w:sz="0" w:space="0" w:color="auto"/>
        <w:left w:val="none" w:sz="0" w:space="0" w:color="auto"/>
        <w:bottom w:val="none" w:sz="0" w:space="0" w:color="auto"/>
        <w:right w:val="none" w:sz="0" w:space="0" w:color="auto"/>
      </w:divBdr>
    </w:div>
    <w:div w:id="510222906">
      <w:bodyDiv w:val="1"/>
      <w:marLeft w:val="0"/>
      <w:marRight w:val="0"/>
      <w:marTop w:val="0"/>
      <w:marBottom w:val="0"/>
      <w:divBdr>
        <w:top w:val="none" w:sz="0" w:space="0" w:color="auto"/>
        <w:left w:val="none" w:sz="0" w:space="0" w:color="auto"/>
        <w:bottom w:val="none" w:sz="0" w:space="0" w:color="auto"/>
        <w:right w:val="none" w:sz="0" w:space="0" w:color="auto"/>
      </w:divBdr>
    </w:div>
    <w:div w:id="522131457">
      <w:bodyDiv w:val="1"/>
      <w:marLeft w:val="0"/>
      <w:marRight w:val="0"/>
      <w:marTop w:val="0"/>
      <w:marBottom w:val="0"/>
      <w:divBdr>
        <w:top w:val="none" w:sz="0" w:space="0" w:color="auto"/>
        <w:left w:val="none" w:sz="0" w:space="0" w:color="auto"/>
        <w:bottom w:val="none" w:sz="0" w:space="0" w:color="auto"/>
        <w:right w:val="none" w:sz="0" w:space="0" w:color="auto"/>
      </w:divBdr>
    </w:div>
    <w:div w:id="531890603">
      <w:bodyDiv w:val="1"/>
      <w:marLeft w:val="0"/>
      <w:marRight w:val="0"/>
      <w:marTop w:val="0"/>
      <w:marBottom w:val="0"/>
      <w:divBdr>
        <w:top w:val="none" w:sz="0" w:space="0" w:color="auto"/>
        <w:left w:val="none" w:sz="0" w:space="0" w:color="auto"/>
        <w:bottom w:val="none" w:sz="0" w:space="0" w:color="auto"/>
        <w:right w:val="none" w:sz="0" w:space="0" w:color="auto"/>
      </w:divBdr>
    </w:div>
    <w:div w:id="552814203">
      <w:bodyDiv w:val="1"/>
      <w:marLeft w:val="0"/>
      <w:marRight w:val="0"/>
      <w:marTop w:val="0"/>
      <w:marBottom w:val="0"/>
      <w:divBdr>
        <w:top w:val="none" w:sz="0" w:space="0" w:color="auto"/>
        <w:left w:val="none" w:sz="0" w:space="0" w:color="auto"/>
        <w:bottom w:val="none" w:sz="0" w:space="0" w:color="auto"/>
        <w:right w:val="none" w:sz="0" w:space="0" w:color="auto"/>
      </w:divBdr>
    </w:div>
    <w:div w:id="555775591">
      <w:bodyDiv w:val="1"/>
      <w:marLeft w:val="0"/>
      <w:marRight w:val="0"/>
      <w:marTop w:val="0"/>
      <w:marBottom w:val="0"/>
      <w:divBdr>
        <w:top w:val="none" w:sz="0" w:space="0" w:color="auto"/>
        <w:left w:val="none" w:sz="0" w:space="0" w:color="auto"/>
        <w:bottom w:val="none" w:sz="0" w:space="0" w:color="auto"/>
        <w:right w:val="none" w:sz="0" w:space="0" w:color="auto"/>
      </w:divBdr>
    </w:div>
    <w:div w:id="625818293">
      <w:bodyDiv w:val="1"/>
      <w:marLeft w:val="0"/>
      <w:marRight w:val="0"/>
      <w:marTop w:val="0"/>
      <w:marBottom w:val="0"/>
      <w:divBdr>
        <w:top w:val="none" w:sz="0" w:space="0" w:color="auto"/>
        <w:left w:val="none" w:sz="0" w:space="0" w:color="auto"/>
        <w:bottom w:val="none" w:sz="0" w:space="0" w:color="auto"/>
        <w:right w:val="none" w:sz="0" w:space="0" w:color="auto"/>
      </w:divBdr>
    </w:div>
    <w:div w:id="630020324">
      <w:bodyDiv w:val="1"/>
      <w:marLeft w:val="0"/>
      <w:marRight w:val="0"/>
      <w:marTop w:val="0"/>
      <w:marBottom w:val="0"/>
      <w:divBdr>
        <w:top w:val="none" w:sz="0" w:space="0" w:color="auto"/>
        <w:left w:val="none" w:sz="0" w:space="0" w:color="auto"/>
        <w:bottom w:val="none" w:sz="0" w:space="0" w:color="auto"/>
        <w:right w:val="none" w:sz="0" w:space="0" w:color="auto"/>
      </w:divBdr>
    </w:div>
    <w:div w:id="659043967">
      <w:bodyDiv w:val="1"/>
      <w:marLeft w:val="0"/>
      <w:marRight w:val="0"/>
      <w:marTop w:val="0"/>
      <w:marBottom w:val="0"/>
      <w:divBdr>
        <w:top w:val="none" w:sz="0" w:space="0" w:color="auto"/>
        <w:left w:val="none" w:sz="0" w:space="0" w:color="auto"/>
        <w:bottom w:val="none" w:sz="0" w:space="0" w:color="auto"/>
        <w:right w:val="none" w:sz="0" w:space="0" w:color="auto"/>
      </w:divBdr>
    </w:div>
    <w:div w:id="673266460">
      <w:bodyDiv w:val="1"/>
      <w:marLeft w:val="0"/>
      <w:marRight w:val="0"/>
      <w:marTop w:val="0"/>
      <w:marBottom w:val="0"/>
      <w:divBdr>
        <w:top w:val="none" w:sz="0" w:space="0" w:color="auto"/>
        <w:left w:val="none" w:sz="0" w:space="0" w:color="auto"/>
        <w:bottom w:val="none" w:sz="0" w:space="0" w:color="auto"/>
        <w:right w:val="none" w:sz="0" w:space="0" w:color="auto"/>
      </w:divBdr>
    </w:div>
    <w:div w:id="738283816">
      <w:bodyDiv w:val="1"/>
      <w:marLeft w:val="0"/>
      <w:marRight w:val="0"/>
      <w:marTop w:val="0"/>
      <w:marBottom w:val="0"/>
      <w:divBdr>
        <w:top w:val="none" w:sz="0" w:space="0" w:color="auto"/>
        <w:left w:val="none" w:sz="0" w:space="0" w:color="auto"/>
        <w:bottom w:val="none" w:sz="0" w:space="0" w:color="auto"/>
        <w:right w:val="none" w:sz="0" w:space="0" w:color="auto"/>
      </w:divBdr>
    </w:div>
    <w:div w:id="749233365">
      <w:bodyDiv w:val="1"/>
      <w:marLeft w:val="0"/>
      <w:marRight w:val="0"/>
      <w:marTop w:val="0"/>
      <w:marBottom w:val="0"/>
      <w:divBdr>
        <w:top w:val="none" w:sz="0" w:space="0" w:color="auto"/>
        <w:left w:val="none" w:sz="0" w:space="0" w:color="auto"/>
        <w:bottom w:val="none" w:sz="0" w:space="0" w:color="auto"/>
        <w:right w:val="none" w:sz="0" w:space="0" w:color="auto"/>
      </w:divBdr>
    </w:div>
    <w:div w:id="763644832">
      <w:bodyDiv w:val="1"/>
      <w:marLeft w:val="0"/>
      <w:marRight w:val="0"/>
      <w:marTop w:val="0"/>
      <w:marBottom w:val="0"/>
      <w:divBdr>
        <w:top w:val="none" w:sz="0" w:space="0" w:color="auto"/>
        <w:left w:val="none" w:sz="0" w:space="0" w:color="auto"/>
        <w:bottom w:val="none" w:sz="0" w:space="0" w:color="auto"/>
        <w:right w:val="none" w:sz="0" w:space="0" w:color="auto"/>
      </w:divBdr>
    </w:div>
    <w:div w:id="780496112">
      <w:bodyDiv w:val="1"/>
      <w:marLeft w:val="0"/>
      <w:marRight w:val="0"/>
      <w:marTop w:val="0"/>
      <w:marBottom w:val="0"/>
      <w:divBdr>
        <w:top w:val="none" w:sz="0" w:space="0" w:color="auto"/>
        <w:left w:val="none" w:sz="0" w:space="0" w:color="auto"/>
        <w:bottom w:val="none" w:sz="0" w:space="0" w:color="auto"/>
        <w:right w:val="none" w:sz="0" w:space="0" w:color="auto"/>
      </w:divBdr>
    </w:div>
    <w:div w:id="787167661">
      <w:bodyDiv w:val="1"/>
      <w:marLeft w:val="0"/>
      <w:marRight w:val="0"/>
      <w:marTop w:val="0"/>
      <w:marBottom w:val="0"/>
      <w:divBdr>
        <w:top w:val="none" w:sz="0" w:space="0" w:color="auto"/>
        <w:left w:val="none" w:sz="0" w:space="0" w:color="auto"/>
        <w:bottom w:val="none" w:sz="0" w:space="0" w:color="auto"/>
        <w:right w:val="none" w:sz="0" w:space="0" w:color="auto"/>
      </w:divBdr>
    </w:div>
    <w:div w:id="807165629">
      <w:bodyDiv w:val="1"/>
      <w:marLeft w:val="0"/>
      <w:marRight w:val="0"/>
      <w:marTop w:val="0"/>
      <w:marBottom w:val="0"/>
      <w:divBdr>
        <w:top w:val="none" w:sz="0" w:space="0" w:color="auto"/>
        <w:left w:val="none" w:sz="0" w:space="0" w:color="auto"/>
        <w:bottom w:val="none" w:sz="0" w:space="0" w:color="auto"/>
        <w:right w:val="none" w:sz="0" w:space="0" w:color="auto"/>
      </w:divBdr>
    </w:div>
    <w:div w:id="813714572">
      <w:bodyDiv w:val="1"/>
      <w:marLeft w:val="0"/>
      <w:marRight w:val="0"/>
      <w:marTop w:val="0"/>
      <w:marBottom w:val="0"/>
      <w:divBdr>
        <w:top w:val="none" w:sz="0" w:space="0" w:color="auto"/>
        <w:left w:val="none" w:sz="0" w:space="0" w:color="auto"/>
        <w:bottom w:val="none" w:sz="0" w:space="0" w:color="auto"/>
        <w:right w:val="none" w:sz="0" w:space="0" w:color="auto"/>
      </w:divBdr>
    </w:div>
    <w:div w:id="833885223">
      <w:bodyDiv w:val="1"/>
      <w:marLeft w:val="0"/>
      <w:marRight w:val="0"/>
      <w:marTop w:val="0"/>
      <w:marBottom w:val="0"/>
      <w:divBdr>
        <w:top w:val="none" w:sz="0" w:space="0" w:color="auto"/>
        <w:left w:val="none" w:sz="0" w:space="0" w:color="auto"/>
        <w:bottom w:val="none" w:sz="0" w:space="0" w:color="auto"/>
        <w:right w:val="none" w:sz="0" w:space="0" w:color="auto"/>
      </w:divBdr>
    </w:div>
    <w:div w:id="835807276">
      <w:bodyDiv w:val="1"/>
      <w:marLeft w:val="0"/>
      <w:marRight w:val="0"/>
      <w:marTop w:val="0"/>
      <w:marBottom w:val="0"/>
      <w:divBdr>
        <w:top w:val="none" w:sz="0" w:space="0" w:color="auto"/>
        <w:left w:val="none" w:sz="0" w:space="0" w:color="auto"/>
        <w:bottom w:val="none" w:sz="0" w:space="0" w:color="auto"/>
        <w:right w:val="none" w:sz="0" w:space="0" w:color="auto"/>
      </w:divBdr>
    </w:div>
    <w:div w:id="857161936">
      <w:bodyDiv w:val="1"/>
      <w:marLeft w:val="0"/>
      <w:marRight w:val="0"/>
      <w:marTop w:val="0"/>
      <w:marBottom w:val="0"/>
      <w:divBdr>
        <w:top w:val="none" w:sz="0" w:space="0" w:color="auto"/>
        <w:left w:val="none" w:sz="0" w:space="0" w:color="auto"/>
        <w:bottom w:val="none" w:sz="0" w:space="0" w:color="auto"/>
        <w:right w:val="none" w:sz="0" w:space="0" w:color="auto"/>
      </w:divBdr>
    </w:div>
    <w:div w:id="857431447">
      <w:bodyDiv w:val="1"/>
      <w:marLeft w:val="0"/>
      <w:marRight w:val="0"/>
      <w:marTop w:val="0"/>
      <w:marBottom w:val="0"/>
      <w:divBdr>
        <w:top w:val="none" w:sz="0" w:space="0" w:color="auto"/>
        <w:left w:val="none" w:sz="0" w:space="0" w:color="auto"/>
        <w:bottom w:val="none" w:sz="0" w:space="0" w:color="auto"/>
        <w:right w:val="none" w:sz="0" w:space="0" w:color="auto"/>
      </w:divBdr>
    </w:div>
    <w:div w:id="889800984">
      <w:bodyDiv w:val="1"/>
      <w:marLeft w:val="0"/>
      <w:marRight w:val="0"/>
      <w:marTop w:val="0"/>
      <w:marBottom w:val="0"/>
      <w:divBdr>
        <w:top w:val="none" w:sz="0" w:space="0" w:color="auto"/>
        <w:left w:val="none" w:sz="0" w:space="0" w:color="auto"/>
        <w:bottom w:val="none" w:sz="0" w:space="0" w:color="auto"/>
        <w:right w:val="none" w:sz="0" w:space="0" w:color="auto"/>
      </w:divBdr>
    </w:div>
    <w:div w:id="898398344">
      <w:bodyDiv w:val="1"/>
      <w:marLeft w:val="0"/>
      <w:marRight w:val="0"/>
      <w:marTop w:val="0"/>
      <w:marBottom w:val="0"/>
      <w:divBdr>
        <w:top w:val="none" w:sz="0" w:space="0" w:color="auto"/>
        <w:left w:val="none" w:sz="0" w:space="0" w:color="auto"/>
        <w:bottom w:val="none" w:sz="0" w:space="0" w:color="auto"/>
        <w:right w:val="none" w:sz="0" w:space="0" w:color="auto"/>
      </w:divBdr>
    </w:div>
    <w:div w:id="913784910">
      <w:bodyDiv w:val="1"/>
      <w:marLeft w:val="0"/>
      <w:marRight w:val="0"/>
      <w:marTop w:val="0"/>
      <w:marBottom w:val="0"/>
      <w:divBdr>
        <w:top w:val="none" w:sz="0" w:space="0" w:color="auto"/>
        <w:left w:val="none" w:sz="0" w:space="0" w:color="auto"/>
        <w:bottom w:val="none" w:sz="0" w:space="0" w:color="auto"/>
        <w:right w:val="none" w:sz="0" w:space="0" w:color="auto"/>
      </w:divBdr>
    </w:div>
    <w:div w:id="933172921">
      <w:bodyDiv w:val="1"/>
      <w:marLeft w:val="0"/>
      <w:marRight w:val="0"/>
      <w:marTop w:val="0"/>
      <w:marBottom w:val="0"/>
      <w:divBdr>
        <w:top w:val="none" w:sz="0" w:space="0" w:color="auto"/>
        <w:left w:val="none" w:sz="0" w:space="0" w:color="auto"/>
        <w:bottom w:val="none" w:sz="0" w:space="0" w:color="auto"/>
        <w:right w:val="none" w:sz="0" w:space="0" w:color="auto"/>
      </w:divBdr>
    </w:div>
    <w:div w:id="936714055">
      <w:bodyDiv w:val="1"/>
      <w:marLeft w:val="0"/>
      <w:marRight w:val="0"/>
      <w:marTop w:val="0"/>
      <w:marBottom w:val="0"/>
      <w:divBdr>
        <w:top w:val="none" w:sz="0" w:space="0" w:color="auto"/>
        <w:left w:val="none" w:sz="0" w:space="0" w:color="auto"/>
        <w:bottom w:val="none" w:sz="0" w:space="0" w:color="auto"/>
        <w:right w:val="none" w:sz="0" w:space="0" w:color="auto"/>
      </w:divBdr>
    </w:div>
    <w:div w:id="984314490">
      <w:bodyDiv w:val="1"/>
      <w:marLeft w:val="0"/>
      <w:marRight w:val="0"/>
      <w:marTop w:val="0"/>
      <w:marBottom w:val="0"/>
      <w:divBdr>
        <w:top w:val="none" w:sz="0" w:space="0" w:color="auto"/>
        <w:left w:val="none" w:sz="0" w:space="0" w:color="auto"/>
        <w:bottom w:val="none" w:sz="0" w:space="0" w:color="auto"/>
        <w:right w:val="none" w:sz="0" w:space="0" w:color="auto"/>
      </w:divBdr>
    </w:div>
    <w:div w:id="1046562882">
      <w:bodyDiv w:val="1"/>
      <w:marLeft w:val="0"/>
      <w:marRight w:val="0"/>
      <w:marTop w:val="0"/>
      <w:marBottom w:val="0"/>
      <w:divBdr>
        <w:top w:val="none" w:sz="0" w:space="0" w:color="auto"/>
        <w:left w:val="none" w:sz="0" w:space="0" w:color="auto"/>
        <w:bottom w:val="none" w:sz="0" w:space="0" w:color="auto"/>
        <w:right w:val="none" w:sz="0" w:space="0" w:color="auto"/>
      </w:divBdr>
    </w:div>
    <w:div w:id="1070155624">
      <w:bodyDiv w:val="1"/>
      <w:marLeft w:val="0"/>
      <w:marRight w:val="0"/>
      <w:marTop w:val="0"/>
      <w:marBottom w:val="0"/>
      <w:divBdr>
        <w:top w:val="none" w:sz="0" w:space="0" w:color="auto"/>
        <w:left w:val="none" w:sz="0" w:space="0" w:color="auto"/>
        <w:bottom w:val="none" w:sz="0" w:space="0" w:color="auto"/>
        <w:right w:val="none" w:sz="0" w:space="0" w:color="auto"/>
      </w:divBdr>
    </w:div>
    <w:div w:id="1080179259">
      <w:bodyDiv w:val="1"/>
      <w:marLeft w:val="0"/>
      <w:marRight w:val="0"/>
      <w:marTop w:val="0"/>
      <w:marBottom w:val="0"/>
      <w:divBdr>
        <w:top w:val="none" w:sz="0" w:space="0" w:color="auto"/>
        <w:left w:val="none" w:sz="0" w:space="0" w:color="auto"/>
        <w:bottom w:val="none" w:sz="0" w:space="0" w:color="auto"/>
        <w:right w:val="none" w:sz="0" w:space="0" w:color="auto"/>
      </w:divBdr>
    </w:div>
    <w:div w:id="1144201208">
      <w:bodyDiv w:val="1"/>
      <w:marLeft w:val="0"/>
      <w:marRight w:val="0"/>
      <w:marTop w:val="0"/>
      <w:marBottom w:val="0"/>
      <w:divBdr>
        <w:top w:val="none" w:sz="0" w:space="0" w:color="auto"/>
        <w:left w:val="none" w:sz="0" w:space="0" w:color="auto"/>
        <w:bottom w:val="none" w:sz="0" w:space="0" w:color="auto"/>
        <w:right w:val="none" w:sz="0" w:space="0" w:color="auto"/>
      </w:divBdr>
    </w:div>
    <w:div w:id="1155561507">
      <w:bodyDiv w:val="1"/>
      <w:marLeft w:val="0"/>
      <w:marRight w:val="0"/>
      <w:marTop w:val="0"/>
      <w:marBottom w:val="0"/>
      <w:divBdr>
        <w:top w:val="none" w:sz="0" w:space="0" w:color="auto"/>
        <w:left w:val="none" w:sz="0" w:space="0" w:color="auto"/>
        <w:bottom w:val="none" w:sz="0" w:space="0" w:color="auto"/>
        <w:right w:val="none" w:sz="0" w:space="0" w:color="auto"/>
      </w:divBdr>
    </w:div>
    <w:div w:id="1182889760">
      <w:bodyDiv w:val="1"/>
      <w:marLeft w:val="0"/>
      <w:marRight w:val="0"/>
      <w:marTop w:val="0"/>
      <w:marBottom w:val="0"/>
      <w:divBdr>
        <w:top w:val="none" w:sz="0" w:space="0" w:color="auto"/>
        <w:left w:val="none" w:sz="0" w:space="0" w:color="auto"/>
        <w:bottom w:val="none" w:sz="0" w:space="0" w:color="auto"/>
        <w:right w:val="none" w:sz="0" w:space="0" w:color="auto"/>
      </w:divBdr>
    </w:div>
    <w:div w:id="1215123791">
      <w:bodyDiv w:val="1"/>
      <w:marLeft w:val="0"/>
      <w:marRight w:val="0"/>
      <w:marTop w:val="0"/>
      <w:marBottom w:val="0"/>
      <w:divBdr>
        <w:top w:val="none" w:sz="0" w:space="0" w:color="auto"/>
        <w:left w:val="none" w:sz="0" w:space="0" w:color="auto"/>
        <w:bottom w:val="none" w:sz="0" w:space="0" w:color="auto"/>
        <w:right w:val="none" w:sz="0" w:space="0" w:color="auto"/>
      </w:divBdr>
    </w:div>
    <w:div w:id="1274704579">
      <w:bodyDiv w:val="1"/>
      <w:marLeft w:val="0"/>
      <w:marRight w:val="0"/>
      <w:marTop w:val="0"/>
      <w:marBottom w:val="0"/>
      <w:divBdr>
        <w:top w:val="none" w:sz="0" w:space="0" w:color="auto"/>
        <w:left w:val="none" w:sz="0" w:space="0" w:color="auto"/>
        <w:bottom w:val="none" w:sz="0" w:space="0" w:color="auto"/>
        <w:right w:val="none" w:sz="0" w:space="0" w:color="auto"/>
      </w:divBdr>
    </w:div>
    <w:div w:id="1288202273">
      <w:bodyDiv w:val="1"/>
      <w:marLeft w:val="0"/>
      <w:marRight w:val="0"/>
      <w:marTop w:val="0"/>
      <w:marBottom w:val="0"/>
      <w:divBdr>
        <w:top w:val="none" w:sz="0" w:space="0" w:color="auto"/>
        <w:left w:val="none" w:sz="0" w:space="0" w:color="auto"/>
        <w:bottom w:val="none" w:sz="0" w:space="0" w:color="auto"/>
        <w:right w:val="none" w:sz="0" w:space="0" w:color="auto"/>
      </w:divBdr>
    </w:div>
    <w:div w:id="1298341751">
      <w:bodyDiv w:val="1"/>
      <w:marLeft w:val="0"/>
      <w:marRight w:val="0"/>
      <w:marTop w:val="0"/>
      <w:marBottom w:val="0"/>
      <w:divBdr>
        <w:top w:val="none" w:sz="0" w:space="0" w:color="auto"/>
        <w:left w:val="none" w:sz="0" w:space="0" w:color="auto"/>
        <w:bottom w:val="none" w:sz="0" w:space="0" w:color="auto"/>
        <w:right w:val="none" w:sz="0" w:space="0" w:color="auto"/>
      </w:divBdr>
    </w:div>
    <w:div w:id="1310329840">
      <w:bodyDiv w:val="1"/>
      <w:marLeft w:val="0"/>
      <w:marRight w:val="0"/>
      <w:marTop w:val="0"/>
      <w:marBottom w:val="0"/>
      <w:divBdr>
        <w:top w:val="none" w:sz="0" w:space="0" w:color="auto"/>
        <w:left w:val="none" w:sz="0" w:space="0" w:color="auto"/>
        <w:bottom w:val="none" w:sz="0" w:space="0" w:color="auto"/>
        <w:right w:val="none" w:sz="0" w:space="0" w:color="auto"/>
      </w:divBdr>
    </w:div>
    <w:div w:id="1313408289">
      <w:bodyDiv w:val="1"/>
      <w:marLeft w:val="0"/>
      <w:marRight w:val="0"/>
      <w:marTop w:val="0"/>
      <w:marBottom w:val="0"/>
      <w:divBdr>
        <w:top w:val="none" w:sz="0" w:space="0" w:color="auto"/>
        <w:left w:val="none" w:sz="0" w:space="0" w:color="auto"/>
        <w:bottom w:val="none" w:sz="0" w:space="0" w:color="auto"/>
        <w:right w:val="none" w:sz="0" w:space="0" w:color="auto"/>
      </w:divBdr>
    </w:div>
    <w:div w:id="1338651959">
      <w:bodyDiv w:val="1"/>
      <w:marLeft w:val="0"/>
      <w:marRight w:val="0"/>
      <w:marTop w:val="0"/>
      <w:marBottom w:val="0"/>
      <w:divBdr>
        <w:top w:val="none" w:sz="0" w:space="0" w:color="auto"/>
        <w:left w:val="none" w:sz="0" w:space="0" w:color="auto"/>
        <w:bottom w:val="none" w:sz="0" w:space="0" w:color="auto"/>
        <w:right w:val="none" w:sz="0" w:space="0" w:color="auto"/>
      </w:divBdr>
    </w:div>
    <w:div w:id="1359041885">
      <w:bodyDiv w:val="1"/>
      <w:marLeft w:val="0"/>
      <w:marRight w:val="0"/>
      <w:marTop w:val="0"/>
      <w:marBottom w:val="0"/>
      <w:divBdr>
        <w:top w:val="none" w:sz="0" w:space="0" w:color="auto"/>
        <w:left w:val="none" w:sz="0" w:space="0" w:color="auto"/>
        <w:bottom w:val="none" w:sz="0" w:space="0" w:color="auto"/>
        <w:right w:val="none" w:sz="0" w:space="0" w:color="auto"/>
      </w:divBdr>
    </w:div>
    <w:div w:id="1366176997">
      <w:bodyDiv w:val="1"/>
      <w:marLeft w:val="0"/>
      <w:marRight w:val="0"/>
      <w:marTop w:val="0"/>
      <w:marBottom w:val="0"/>
      <w:divBdr>
        <w:top w:val="none" w:sz="0" w:space="0" w:color="auto"/>
        <w:left w:val="none" w:sz="0" w:space="0" w:color="auto"/>
        <w:bottom w:val="none" w:sz="0" w:space="0" w:color="auto"/>
        <w:right w:val="none" w:sz="0" w:space="0" w:color="auto"/>
      </w:divBdr>
    </w:div>
    <w:div w:id="1388529240">
      <w:bodyDiv w:val="1"/>
      <w:marLeft w:val="0"/>
      <w:marRight w:val="0"/>
      <w:marTop w:val="0"/>
      <w:marBottom w:val="0"/>
      <w:divBdr>
        <w:top w:val="none" w:sz="0" w:space="0" w:color="auto"/>
        <w:left w:val="none" w:sz="0" w:space="0" w:color="auto"/>
        <w:bottom w:val="none" w:sz="0" w:space="0" w:color="auto"/>
        <w:right w:val="none" w:sz="0" w:space="0" w:color="auto"/>
      </w:divBdr>
    </w:div>
    <w:div w:id="1398359627">
      <w:bodyDiv w:val="1"/>
      <w:marLeft w:val="0"/>
      <w:marRight w:val="0"/>
      <w:marTop w:val="0"/>
      <w:marBottom w:val="0"/>
      <w:divBdr>
        <w:top w:val="none" w:sz="0" w:space="0" w:color="auto"/>
        <w:left w:val="none" w:sz="0" w:space="0" w:color="auto"/>
        <w:bottom w:val="none" w:sz="0" w:space="0" w:color="auto"/>
        <w:right w:val="none" w:sz="0" w:space="0" w:color="auto"/>
      </w:divBdr>
    </w:div>
    <w:div w:id="1415853823">
      <w:bodyDiv w:val="1"/>
      <w:marLeft w:val="0"/>
      <w:marRight w:val="0"/>
      <w:marTop w:val="0"/>
      <w:marBottom w:val="0"/>
      <w:divBdr>
        <w:top w:val="none" w:sz="0" w:space="0" w:color="auto"/>
        <w:left w:val="none" w:sz="0" w:space="0" w:color="auto"/>
        <w:bottom w:val="none" w:sz="0" w:space="0" w:color="auto"/>
        <w:right w:val="none" w:sz="0" w:space="0" w:color="auto"/>
      </w:divBdr>
    </w:div>
    <w:div w:id="1425766813">
      <w:bodyDiv w:val="1"/>
      <w:marLeft w:val="0"/>
      <w:marRight w:val="0"/>
      <w:marTop w:val="0"/>
      <w:marBottom w:val="0"/>
      <w:divBdr>
        <w:top w:val="none" w:sz="0" w:space="0" w:color="auto"/>
        <w:left w:val="none" w:sz="0" w:space="0" w:color="auto"/>
        <w:bottom w:val="none" w:sz="0" w:space="0" w:color="auto"/>
        <w:right w:val="none" w:sz="0" w:space="0" w:color="auto"/>
      </w:divBdr>
    </w:div>
    <w:div w:id="1442383510">
      <w:bodyDiv w:val="1"/>
      <w:marLeft w:val="0"/>
      <w:marRight w:val="0"/>
      <w:marTop w:val="0"/>
      <w:marBottom w:val="0"/>
      <w:divBdr>
        <w:top w:val="none" w:sz="0" w:space="0" w:color="auto"/>
        <w:left w:val="none" w:sz="0" w:space="0" w:color="auto"/>
        <w:bottom w:val="none" w:sz="0" w:space="0" w:color="auto"/>
        <w:right w:val="none" w:sz="0" w:space="0" w:color="auto"/>
      </w:divBdr>
    </w:div>
    <w:div w:id="1444572137">
      <w:bodyDiv w:val="1"/>
      <w:marLeft w:val="0"/>
      <w:marRight w:val="0"/>
      <w:marTop w:val="0"/>
      <w:marBottom w:val="0"/>
      <w:divBdr>
        <w:top w:val="none" w:sz="0" w:space="0" w:color="auto"/>
        <w:left w:val="none" w:sz="0" w:space="0" w:color="auto"/>
        <w:bottom w:val="none" w:sz="0" w:space="0" w:color="auto"/>
        <w:right w:val="none" w:sz="0" w:space="0" w:color="auto"/>
      </w:divBdr>
    </w:div>
    <w:div w:id="1452823069">
      <w:bodyDiv w:val="1"/>
      <w:marLeft w:val="0"/>
      <w:marRight w:val="0"/>
      <w:marTop w:val="0"/>
      <w:marBottom w:val="0"/>
      <w:divBdr>
        <w:top w:val="none" w:sz="0" w:space="0" w:color="auto"/>
        <w:left w:val="none" w:sz="0" w:space="0" w:color="auto"/>
        <w:bottom w:val="none" w:sz="0" w:space="0" w:color="auto"/>
        <w:right w:val="none" w:sz="0" w:space="0" w:color="auto"/>
      </w:divBdr>
    </w:div>
    <w:div w:id="1496528398">
      <w:bodyDiv w:val="1"/>
      <w:marLeft w:val="0"/>
      <w:marRight w:val="0"/>
      <w:marTop w:val="0"/>
      <w:marBottom w:val="0"/>
      <w:divBdr>
        <w:top w:val="none" w:sz="0" w:space="0" w:color="auto"/>
        <w:left w:val="none" w:sz="0" w:space="0" w:color="auto"/>
        <w:bottom w:val="none" w:sz="0" w:space="0" w:color="auto"/>
        <w:right w:val="none" w:sz="0" w:space="0" w:color="auto"/>
      </w:divBdr>
    </w:div>
    <w:div w:id="1513453453">
      <w:bodyDiv w:val="1"/>
      <w:marLeft w:val="0"/>
      <w:marRight w:val="0"/>
      <w:marTop w:val="0"/>
      <w:marBottom w:val="0"/>
      <w:divBdr>
        <w:top w:val="none" w:sz="0" w:space="0" w:color="auto"/>
        <w:left w:val="none" w:sz="0" w:space="0" w:color="auto"/>
        <w:bottom w:val="none" w:sz="0" w:space="0" w:color="auto"/>
        <w:right w:val="none" w:sz="0" w:space="0" w:color="auto"/>
      </w:divBdr>
    </w:div>
    <w:div w:id="1518733531">
      <w:bodyDiv w:val="1"/>
      <w:marLeft w:val="0"/>
      <w:marRight w:val="0"/>
      <w:marTop w:val="0"/>
      <w:marBottom w:val="0"/>
      <w:divBdr>
        <w:top w:val="none" w:sz="0" w:space="0" w:color="auto"/>
        <w:left w:val="none" w:sz="0" w:space="0" w:color="auto"/>
        <w:bottom w:val="none" w:sz="0" w:space="0" w:color="auto"/>
        <w:right w:val="none" w:sz="0" w:space="0" w:color="auto"/>
      </w:divBdr>
    </w:div>
    <w:div w:id="1525943503">
      <w:bodyDiv w:val="1"/>
      <w:marLeft w:val="0"/>
      <w:marRight w:val="0"/>
      <w:marTop w:val="0"/>
      <w:marBottom w:val="0"/>
      <w:divBdr>
        <w:top w:val="none" w:sz="0" w:space="0" w:color="auto"/>
        <w:left w:val="none" w:sz="0" w:space="0" w:color="auto"/>
        <w:bottom w:val="none" w:sz="0" w:space="0" w:color="auto"/>
        <w:right w:val="none" w:sz="0" w:space="0" w:color="auto"/>
      </w:divBdr>
    </w:div>
    <w:div w:id="1554585567">
      <w:bodyDiv w:val="1"/>
      <w:marLeft w:val="0"/>
      <w:marRight w:val="0"/>
      <w:marTop w:val="0"/>
      <w:marBottom w:val="0"/>
      <w:divBdr>
        <w:top w:val="none" w:sz="0" w:space="0" w:color="auto"/>
        <w:left w:val="none" w:sz="0" w:space="0" w:color="auto"/>
        <w:bottom w:val="none" w:sz="0" w:space="0" w:color="auto"/>
        <w:right w:val="none" w:sz="0" w:space="0" w:color="auto"/>
      </w:divBdr>
    </w:div>
    <w:div w:id="1562523072">
      <w:bodyDiv w:val="1"/>
      <w:marLeft w:val="0"/>
      <w:marRight w:val="0"/>
      <w:marTop w:val="0"/>
      <w:marBottom w:val="0"/>
      <w:divBdr>
        <w:top w:val="none" w:sz="0" w:space="0" w:color="auto"/>
        <w:left w:val="none" w:sz="0" w:space="0" w:color="auto"/>
        <w:bottom w:val="none" w:sz="0" w:space="0" w:color="auto"/>
        <w:right w:val="none" w:sz="0" w:space="0" w:color="auto"/>
      </w:divBdr>
    </w:div>
    <w:div w:id="1577322649">
      <w:bodyDiv w:val="1"/>
      <w:marLeft w:val="0"/>
      <w:marRight w:val="0"/>
      <w:marTop w:val="0"/>
      <w:marBottom w:val="0"/>
      <w:divBdr>
        <w:top w:val="none" w:sz="0" w:space="0" w:color="auto"/>
        <w:left w:val="none" w:sz="0" w:space="0" w:color="auto"/>
        <w:bottom w:val="none" w:sz="0" w:space="0" w:color="auto"/>
        <w:right w:val="none" w:sz="0" w:space="0" w:color="auto"/>
      </w:divBdr>
    </w:div>
    <w:div w:id="1578511220">
      <w:bodyDiv w:val="1"/>
      <w:marLeft w:val="0"/>
      <w:marRight w:val="0"/>
      <w:marTop w:val="0"/>
      <w:marBottom w:val="0"/>
      <w:divBdr>
        <w:top w:val="none" w:sz="0" w:space="0" w:color="auto"/>
        <w:left w:val="none" w:sz="0" w:space="0" w:color="auto"/>
        <w:bottom w:val="none" w:sz="0" w:space="0" w:color="auto"/>
        <w:right w:val="none" w:sz="0" w:space="0" w:color="auto"/>
      </w:divBdr>
    </w:div>
    <w:div w:id="1619290594">
      <w:bodyDiv w:val="1"/>
      <w:marLeft w:val="0"/>
      <w:marRight w:val="0"/>
      <w:marTop w:val="0"/>
      <w:marBottom w:val="0"/>
      <w:divBdr>
        <w:top w:val="none" w:sz="0" w:space="0" w:color="auto"/>
        <w:left w:val="none" w:sz="0" w:space="0" w:color="auto"/>
        <w:bottom w:val="none" w:sz="0" w:space="0" w:color="auto"/>
        <w:right w:val="none" w:sz="0" w:space="0" w:color="auto"/>
      </w:divBdr>
    </w:div>
    <w:div w:id="1626545282">
      <w:bodyDiv w:val="1"/>
      <w:marLeft w:val="0"/>
      <w:marRight w:val="0"/>
      <w:marTop w:val="0"/>
      <w:marBottom w:val="0"/>
      <w:divBdr>
        <w:top w:val="none" w:sz="0" w:space="0" w:color="auto"/>
        <w:left w:val="none" w:sz="0" w:space="0" w:color="auto"/>
        <w:bottom w:val="none" w:sz="0" w:space="0" w:color="auto"/>
        <w:right w:val="none" w:sz="0" w:space="0" w:color="auto"/>
      </w:divBdr>
    </w:div>
    <w:div w:id="1650750084">
      <w:bodyDiv w:val="1"/>
      <w:marLeft w:val="0"/>
      <w:marRight w:val="0"/>
      <w:marTop w:val="0"/>
      <w:marBottom w:val="0"/>
      <w:divBdr>
        <w:top w:val="none" w:sz="0" w:space="0" w:color="auto"/>
        <w:left w:val="none" w:sz="0" w:space="0" w:color="auto"/>
        <w:bottom w:val="none" w:sz="0" w:space="0" w:color="auto"/>
        <w:right w:val="none" w:sz="0" w:space="0" w:color="auto"/>
      </w:divBdr>
    </w:div>
    <w:div w:id="1663698076">
      <w:bodyDiv w:val="1"/>
      <w:marLeft w:val="0"/>
      <w:marRight w:val="0"/>
      <w:marTop w:val="0"/>
      <w:marBottom w:val="0"/>
      <w:divBdr>
        <w:top w:val="none" w:sz="0" w:space="0" w:color="auto"/>
        <w:left w:val="none" w:sz="0" w:space="0" w:color="auto"/>
        <w:bottom w:val="none" w:sz="0" w:space="0" w:color="auto"/>
        <w:right w:val="none" w:sz="0" w:space="0" w:color="auto"/>
      </w:divBdr>
    </w:div>
    <w:div w:id="1665543722">
      <w:bodyDiv w:val="1"/>
      <w:marLeft w:val="0"/>
      <w:marRight w:val="0"/>
      <w:marTop w:val="0"/>
      <w:marBottom w:val="0"/>
      <w:divBdr>
        <w:top w:val="none" w:sz="0" w:space="0" w:color="auto"/>
        <w:left w:val="none" w:sz="0" w:space="0" w:color="auto"/>
        <w:bottom w:val="none" w:sz="0" w:space="0" w:color="auto"/>
        <w:right w:val="none" w:sz="0" w:space="0" w:color="auto"/>
      </w:divBdr>
    </w:div>
    <w:div w:id="1680890713">
      <w:bodyDiv w:val="1"/>
      <w:marLeft w:val="0"/>
      <w:marRight w:val="0"/>
      <w:marTop w:val="0"/>
      <w:marBottom w:val="0"/>
      <w:divBdr>
        <w:top w:val="none" w:sz="0" w:space="0" w:color="auto"/>
        <w:left w:val="none" w:sz="0" w:space="0" w:color="auto"/>
        <w:bottom w:val="none" w:sz="0" w:space="0" w:color="auto"/>
        <w:right w:val="none" w:sz="0" w:space="0" w:color="auto"/>
      </w:divBdr>
    </w:div>
    <w:div w:id="1691222850">
      <w:bodyDiv w:val="1"/>
      <w:marLeft w:val="0"/>
      <w:marRight w:val="0"/>
      <w:marTop w:val="0"/>
      <w:marBottom w:val="0"/>
      <w:divBdr>
        <w:top w:val="none" w:sz="0" w:space="0" w:color="auto"/>
        <w:left w:val="none" w:sz="0" w:space="0" w:color="auto"/>
        <w:bottom w:val="none" w:sz="0" w:space="0" w:color="auto"/>
        <w:right w:val="none" w:sz="0" w:space="0" w:color="auto"/>
      </w:divBdr>
    </w:div>
    <w:div w:id="1736053373">
      <w:bodyDiv w:val="1"/>
      <w:marLeft w:val="0"/>
      <w:marRight w:val="0"/>
      <w:marTop w:val="0"/>
      <w:marBottom w:val="0"/>
      <w:divBdr>
        <w:top w:val="none" w:sz="0" w:space="0" w:color="auto"/>
        <w:left w:val="none" w:sz="0" w:space="0" w:color="auto"/>
        <w:bottom w:val="none" w:sz="0" w:space="0" w:color="auto"/>
        <w:right w:val="none" w:sz="0" w:space="0" w:color="auto"/>
      </w:divBdr>
    </w:div>
    <w:div w:id="1748066160">
      <w:bodyDiv w:val="1"/>
      <w:marLeft w:val="0"/>
      <w:marRight w:val="0"/>
      <w:marTop w:val="0"/>
      <w:marBottom w:val="0"/>
      <w:divBdr>
        <w:top w:val="none" w:sz="0" w:space="0" w:color="auto"/>
        <w:left w:val="none" w:sz="0" w:space="0" w:color="auto"/>
        <w:bottom w:val="none" w:sz="0" w:space="0" w:color="auto"/>
        <w:right w:val="none" w:sz="0" w:space="0" w:color="auto"/>
      </w:divBdr>
    </w:div>
    <w:div w:id="1748115701">
      <w:bodyDiv w:val="1"/>
      <w:marLeft w:val="0"/>
      <w:marRight w:val="0"/>
      <w:marTop w:val="0"/>
      <w:marBottom w:val="0"/>
      <w:divBdr>
        <w:top w:val="none" w:sz="0" w:space="0" w:color="auto"/>
        <w:left w:val="none" w:sz="0" w:space="0" w:color="auto"/>
        <w:bottom w:val="none" w:sz="0" w:space="0" w:color="auto"/>
        <w:right w:val="none" w:sz="0" w:space="0" w:color="auto"/>
      </w:divBdr>
    </w:div>
    <w:div w:id="1757703744">
      <w:bodyDiv w:val="1"/>
      <w:marLeft w:val="0"/>
      <w:marRight w:val="0"/>
      <w:marTop w:val="0"/>
      <w:marBottom w:val="0"/>
      <w:divBdr>
        <w:top w:val="none" w:sz="0" w:space="0" w:color="auto"/>
        <w:left w:val="none" w:sz="0" w:space="0" w:color="auto"/>
        <w:bottom w:val="none" w:sz="0" w:space="0" w:color="auto"/>
        <w:right w:val="none" w:sz="0" w:space="0" w:color="auto"/>
      </w:divBdr>
    </w:div>
    <w:div w:id="1767723716">
      <w:bodyDiv w:val="1"/>
      <w:marLeft w:val="0"/>
      <w:marRight w:val="0"/>
      <w:marTop w:val="0"/>
      <w:marBottom w:val="0"/>
      <w:divBdr>
        <w:top w:val="none" w:sz="0" w:space="0" w:color="auto"/>
        <w:left w:val="none" w:sz="0" w:space="0" w:color="auto"/>
        <w:bottom w:val="none" w:sz="0" w:space="0" w:color="auto"/>
        <w:right w:val="none" w:sz="0" w:space="0" w:color="auto"/>
      </w:divBdr>
    </w:div>
    <w:div w:id="1769347533">
      <w:bodyDiv w:val="1"/>
      <w:marLeft w:val="0"/>
      <w:marRight w:val="0"/>
      <w:marTop w:val="0"/>
      <w:marBottom w:val="0"/>
      <w:divBdr>
        <w:top w:val="none" w:sz="0" w:space="0" w:color="auto"/>
        <w:left w:val="none" w:sz="0" w:space="0" w:color="auto"/>
        <w:bottom w:val="none" w:sz="0" w:space="0" w:color="auto"/>
        <w:right w:val="none" w:sz="0" w:space="0" w:color="auto"/>
      </w:divBdr>
    </w:div>
    <w:div w:id="1819491028">
      <w:bodyDiv w:val="1"/>
      <w:marLeft w:val="0"/>
      <w:marRight w:val="0"/>
      <w:marTop w:val="0"/>
      <w:marBottom w:val="0"/>
      <w:divBdr>
        <w:top w:val="none" w:sz="0" w:space="0" w:color="auto"/>
        <w:left w:val="none" w:sz="0" w:space="0" w:color="auto"/>
        <w:bottom w:val="none" w:sz="0" w:space="0" w:color="auto"/>
        <w:right w:val="none" w:sz="0" w:space="0" w:color="auto"/>
      </w:divBdr>
    </w:div>
    <w:div w:id="1829247302">
      <w:bodyDiv w:val="1"/>
      <w:marLeft w:val="0"/>
      <w:marRight w:val="0"/>
      <w:marTop w:val="0"/>
      <w:marBottom w:val="0"/>
      <w:divBdr>
        <w:top w:val="none" w:sz="0" w:space="0" w:color="auto"/>
        <w:left w:val="none" w:sz="0" w:space="0" w:color="auto"/>
        <w:bottom w:val="none" w:sz="0" w:space="0" w:color="auto"/>
        <w:right w:val="none" w:sz="0" w:space="0" w:color="auto"/>
      </w:divBdr>
    </w:div>
    <w:div w:id="1829785711">
      <w:bodyDiv w:val="1"/>
      <w:marLeft w:val="0"/>
      <w:marRight w:val="0"/>
      <w:marTop w:val="0"/>
      <w:marBottom w:val="0"/>
      <w:divBdr>
        <w:top w:val="none" w:sz="0" w:space="0" w:color="auto"/>
        <w:left w:val="none" w:sz="0" w:space="0" w:color="auto"/>
        <w:bottom w:val="none" w:sz="0" w:space="0" w:color="auto"/>
        <w:right w:val="none" w:sz="0" w:space="0" w:color="auto"/>
      </w:divBdr>
    </w:div>
    <w:div w:id="1843928806">
      <w:bodyDiv w:val="1"/>
      <w:marLeft w:val="0"/>
      <w:marRight w:val="0"/>
      <w:marTop w:val="0"/>
      <w:marBottom w:val="0"/>
      <w:divBdr>
        <w:top w:val="none" w:sz="0" w:space="0" w:color="auto"/>
        <w:left w:val="none" w:sz="0" w:space="0" w:color="auto"/>
        <w:bottom w:val="none" w:sz="0" w:space="0" w:color="auto"/>
        <w:right w:val="none" w:sz="0" w:space="0" w:color="auto"/>
      </w:divBdr>
    </w:div>
    <w:div w:id="1850563322">
      <w:bodyDiv w:val="1"/>
      <w:marLeft w:val="0"/>
      <w:marRight w:val="0"/>
      <w:marTop w:val="0"/>
      <w:marBottom w:val="0"/>
      <w:divBdr>
        <w:top w:val="none" w:sz="0" w:space="0" w:color="auto"/>
        <w:left w:val="none" w:sz="0" w:space="0" w:color="auto"/>
        <w:bottom w:val="none" w:sz="0" w:space="0" w:color="auto"/>
        <w:right w:val="none" w:sz="0" w:space="0" w:color="auto"/>
      </w:divBdr>
    </w:div>
    <w:div w:id="1911453957">
      <w:bodyDiv w:val="1"/>
      <w:marLeft w:val="0"/>
      <w:marRight w:val="0"/>
      <w:marTop w:val="0"/>
      <w:marBottom w:val="0"/>
      <w:divBdr>
        <w:top w:val="none" w:sz="0" w:space="0" w:color="auto"/>
        <w:left w:val="none" w:sz="0" w:space="0" w:color="auto"/>
        <w:bottom w:val="none" w:sz="0" w:space="0" w:color="auto"/>
        <w:right w:val="none" w:sz="0" w:space="0" w:color="auto"/>
      </w:divBdr>
    </w:div>
    <w:div w:id="1916933934">
      <w:bodyDiv w:val="1"/>
      <w:marLeft w:val="0"/>
      <w:marRight w:val="0"/>
      <w:marTop w:val="0"/>
      <w:marBottom w:val="0"/>
      <w:divBdr>
        <w:top w:val="none" w:sz="0" w:space="0" w:color="auto"/>
        <w:left w:val="none" w:sz="0" w:space="0" w:color="auto"/>
        <w:bottom w:val="none" w:sz="0" w:space="0" w:color="auto"/>
        <w:right w:val="none" w:sz="0" w:space="0" w:color="auto"/>
      </w:divBdr>
    </w:div>
    <w:div w:id="1988707999">
      <w:bodyDiv w:val="1"/>
      <w:marLeft w:val="0"/>
      <w:marRight w:val="0"/>
      <w:marTop w:val="0"/>
      <w:marBottom w:val="0"/>
      <w:divBdr>
        <w:top w:val="none" w:sz="0" w:space="0" w:color="auto"/>
        <w:left w:val="none" w:sz="0" w:space="0" w:color="auto"/>
        <w:bottom w:val="none" w:sz="0" w:space="0" w:color="auto"/>
        <w:right w:val="none" w:sz="0" w:space="0" w:color="auto"/>
      </w:divBdr>
    </w:div>
    <w:div w:id="1990865835">
      <w:bodyDiv w:val="1"/>
      <w:marLeft w:val="0"/>
      <w:marRight w:val="0"/>
      <w:marTop w:val="0"/>
      <w:marBottom w:val="0"/>
      <w:divBdr>
        <w:top w:val="none" w:sz="0" w:space="0" w:color="auto"/>
        <w:left w:val="none" w:sz="0" w:space="0" w:color="auto"/>
        <w:bottom w:val="none" w:sz="0" w:space="0" w:color="auto"/>
        <w:right w:val="none" w:sz="0" w:space="0" w:color="auto"/>
      </w:divBdr>
    </w:div>
    <w:div w:id="2032221940">
      <w:bodyDiv w:val="1"/>
      <w:marLeft w:val="0"/>
      <w:marRight w:val="0"/>
      <w:marTop w:val="0"/>
      <w:marBottom w:val="0"/>
      <w:divBdr>
        <w:top w:val="none" w:sz="0" w:space="0" w:color="auto"/>
        <w:left w:val="none" w:sz="0" w:space="0" w:color="auto"/>
        <w:bottom w:val="none" w:sz="0" w:space="0" w:color="auto"/>
        <w:right w:val="none" w:sz="0" w:space="0" w:color="auto"/>
      </w:divBdr>
    </w:div>
    <w:div w:id="2052606533">
      <w:bodyDiv w:val="1"/>
      <w:marLeft w:val="0"/>
      <w:marRight w:val="0"/>
      <w:marTop w:val="0"/>
      <w:marBottom w:val="0"/>
      <w:divBdr>
        <w:top w:val="none" w:sz="0" w:space="0" w:color="auto"/>
        <w:left w:val="none" w:sz="0" w:space="0" w:color="auto"/>
        <w:bottom w:val="none" w:sz="0" w:space="0" w:color="auto"/>
        <w:right w:val="none" w:sz="0" w:space="0" w:color="auto"/>
      </w:divBdr>
    </w:div>
    <w:div w:id="2071227909">
      <w:bodyDiv w:val="1"/>
      <w:marLeft w:val="0"/>
      <w:marRight w:val="0"/>
      <w:marTop w:val="0"/>
      <w:marBottom w:val="0"/>
      <w:divBdr>
        <w:top w:val="none" w:sz="0" w:space="0" w:color="auto"/>
        <w:left w:val="none" w:sz="0" w:space="0" w:color="auto"/>
        <w:bottom w:val="none" w:sz="0" w:space="0" w:color="auto"/>
        <w:right w:val="none" w:sz="0" w:space="0" w:color="auto"/>
      </w:divBdr>
    </w:div>
    <w:div w:id="2092698441">
      <w:bodyDiv w:val="1"/>
      <w:marLeft w:val="0"/>
      <w:marRight w:val="0"/>
      <w:marTop w:val="0"/>
      <w:marBottom w:val="0"/>
      <w:divBdr>
        <w:top w:val="none" w:sz="0" w:space="0" w:color="auto"/>
        <w:left w:val="none" w:sz="0" w:space="0" w:color="auto"/>
        <w:bottom w:val="none" w:sz="0" w:space="0" w:color="auto"/>
        <w:right w:val="none" w:sz="0" w:space="0" w:color="auto"/>
      </w:divBdr>
    </w:div>
    <w:div w:id="2098821251">
      <w:bodyDiv w:val="1"/>
      <w:marLeft w:val="0"/>
      <w:marRight w:val="0"/>
      <w:marTop w:val="0"/>
      <w:marBottom w:val="0"/>
      <w:divBdr>
        <w:top w:val="none" w:sz="0" w:space="0" w:color="auto"/>
        <w:left w:val="none" w:sz="0" w:space="0" w:color="auto"/>
        <w:bottom w:val="none" w:sz="0" w:space="0" w:color="auto"/>
        <w:right w:val="none" w:sz="0" w:space="0" w:color="auto"/>
      </w:divBdr>
    </w:div>
    <w:div w:id="2109235253">
      <w:bodyDiv w:val="1"/>
      <w:marLeft w:val="0"/>
      <w:marRight w:val="0"/>
      <w:marTop w:val="0"/>
      <w:marBottom w:val="0"/>
      <w:divBdr>
        <w:top w:val="none" w:sz="0" w:space="0" w:color="auto"/>
        <w:left w:val="none" w:sz="0" w:space="0" w:color="auto"/>
        <w:bottom w:val="none" w:sz="0" w:space="0" w:color="auto"/>
        <w:right w:val="none" w:sz="0" w:space="0" w:color="auto"/>
      </w:divBdr>
    </w:div>
    <w:div w:id="2144810077">
      <w:bodyDiv w:val="1"/>
      <w:marLeft w:val="0"/>
      <w:marRight w:val="0"/>
      <w:marTop w:val="0"/>
      <w:marBottom w:val="0"/>
      <w:divBdr>
        <w:top w:val="none" w:sz="0" w:space="0" w:color="auto"/>
        <w:left w:val="none" w:sz="0" w:space="0" w:color="auto"/>
        <w:bottom w:val="none" w:sz="0" w:space="0" w:color="auto"/>
        <w:right w:val="none" w:sz="0" w:space="0" w:color="auto"/>
      </w:divBdr>
    </w:div>
    <w:div w:id="21452720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emf"/><Relationship Id="rId18" Type="http://schemas.openxmlformats.org/officeDocument/2006/relationships/image" Target="media/image10.emf"/><Relationship Id="rId26" Type="http://schemas.openxmlformats.org/officeDocument/2006/relationships/image" Target="media/image18.emf"/><Relationship Id="rId39" Type="http://schemas.openxmlformats.org/officeDocument/2006/relationships/theme" Target="theme/theme1.xml"/><Relationship Id="rId3" Type="http://schemas.openxmlformats.org/officeDocument/2006/relationships/styles" Target="styles.xml"/><Relationship Id="rId21" Type="http://schemas.openxmlformats.org/officeDocument/2006/relationships/image" Target="media/image13.emf"/><Relationship Id="rId34" Type="http://schemas.openxmlformats.org/officeDocument/2006/relationships/header" Target="header1.xml"/><Relationship Id="rId7" Type="http://schemas.openxmlformats.org/officeDocument/2006/relationships/footnotes" Target="footnotes.xml"/><Relationship Id="rId12" Type="http://schemas.openxmlformats.org/officeDocument/2006/relationships/image" Target="media/image4.emf"/><Relationship Id="rId17" Type="http://schemas.openxmlformats.org/officeDocument/2006/relationships/image" Target="media/image9.emf"/><Relationship Id="rId25" Type="http://schemas.openxmlformats.org/officeDocument/2006/relationships/image" Target="media/image17.emf"/><Relationship Id="rId33" Type="http://schemas.openxmlformats.org/officeDocument/2006/relationships/image" Target="media/image25.emf"/><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8.emf"/><Relationship Id="rId20" Type="http://schemas.openxmlformats.org/officeDocument/2006/relationships/image" Target="media/image12.emf"/><Relationship Id="rId29" Type="http://schemas.openxmlformats.org/officeDocument/2006/relationships/image" Target="media/image21.emf"/><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emf"/><Relationship Id="rId24" Type="http://schemas.openxmlformats.org/officeDocument/2006/relationships/image" Target="media/image16.emf"/><Relationship Id="rId32" Type="http://schemas.openxmlformats.org/officeDocument/2006/relationships/image" Target="media/image24.emf"/><Relationship Id="rId37"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image" Target="media/image7.emf"/><Relationship Id="rId23" Type="http://schemas.openxmlformats.org/officeDocument/2006/relationships/image" Target="media/image15.emf"/><Relationship Id="rId28" Type="http://schemas.openxmlformats.org/officeDocument/2006/relationships/image" Target="media/image20.emf"/><Relationship Id="rId36" Type="http://schemas.openxmlformats.org/officeDocument/2006/relationships/footer" Target="footer1.xml"/><Relationship Id="rId10" Type="http://schemas.openxmlformats.org/officeDocument/2006/relationships/image" Target="media/image2.emf"/><Relationship Id="rId19" Type="http://schemas.openxmlformats.org/officeDocument/2006/relationships/image" Target="media/image11.emf"/><Relationship Id="rId31" Type="http://schemas.openxmlformats.org/officeDocument/2006/relationships/image" Target="media/image23.emf"/><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image" Target="media/image6.emf"/><Relationship Id="rId22" Type="http://schemas.openxmlformats.org/officeDocument/2006/relationships/image" Target="media/image14.emf"/><Relationship Id="rId27" Type="http://schemas.openxmlformats.org/officeDocument/2006/relationships/image" Target="media/image19.emf"/><Relationship Id="rId30" Type="http://schemas.openxmlformats.org/officeDocument/2006/relationships/image" Target="media/image22.emf"/><Relationship Id="rId35"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chapter.dotm" TargetMode="External"/></Relationships>
</file>

<file path=word/theme/theme1.xml><?xml version="1.0" encoding="utf-8"?>
<a:theme xmlns:a="http://schemas.openxmlformats.org/drawingml/2006/main" name="ProdCommTheme">
  <a:themeElements>
    <a:clrScheme name="PC colour scheme">
      <a:dk1>
        <a:sysClr val="windowText" lastClr="000000"/>
      </a:dk1>
      <a:lt1>
        <a:sysClr val="window" lastClr="FFFFFF"/>
      </a:lt1>
      <a:dk2>
        <a:srgbClr val="000000"/>
      </a:dk2>
      <a:lt2>
        <a:srgbClr val="BFBFBF"/>
      </a:lt2>
      <a:accent1>
        <a:srgbClr val="78A22F"/>
      </a:accent1>
      <a:accent2>
        <a:srgbClr val="265A9A"/>
      </a:accent2>
      <a:accent3>
        <a:srgbClr val="B2D673"/>
      </a:accent3>
      <a:accent4>
        <a:srgbClr val="F2F2F2"/>
      </a:accent4>
      <a:accent5>
        <a:srgbClr val="387DD2"/>
      </a:accent5>
      <a:accent6>
        <a:srgbClr val="C00000"/>
      </a:accent6>
      <a:hlink>
        <a:srgbClr val="78A22F"/>
      </a:hlink>
      <a:folHlink>
        <a:srgbClr val="387DD2"/>
      </a:folHlink>
    </a:clrScheme>
    <a:fontScheme name="PC fo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417295-8387-44FD-92F5-215818A653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chapter.dotm</Template>
  <TotalTime>317</TotalTime>
  <Pages>78</Pages>
  <Words>24804</Words>
  <Characters>135718</Characters>
  <Application>Microsoft Office Word</Application>
  <DocSecurity>0</DocSecurity>
  <Lines>4241</Lines>
  <Paragraphs>2547</Paragraphs>
  <ScaleCrop>false</ScaleCrop>
  <HeadingPairs>
    <vt:vector size="2" baseType="variant">
      <vt:variant>
        <vt:lpstr>Title</vt:lpstr>
      </vt:variant>
      <vt:variant>
        <vt:i4>1</vt:i4>
      </vt:variant>
    </vt:vector>
  </HeadingPairs>
  <TitlesOfParts>
    <vt:vector size="1" baseType="lpstr">
      <vt:lpstr>Chapter 3 Early childhood education and care - Report on Government Services 2016</vt:lpstr>
    </vt:vector>
  </TitlesOfParts>
  <Company>Productivity Commission</Company>
  <LinksUpToDate>false</LinksUpToDate>
  <CharactersWithSpaces>157975</CharactersWithSpaces>
  <SharedDoc>false</SharedDoc>
  <HLinks>
    <vt:vector size="48" baseType="variant">
      <vt:variant>
        <vt:i4>1769526</vt:i4>
      </vt:variant>
      <vt:variant>
        <vt:i4>44</vt:i4>
      </vt:variant>
      <vt:variant>
        <vt:i4>0</vt:i4>
      </vt:variant>
      <vt:variant>
        <vt:i4>5</vt:i4>
      </vt:variant>
      <vt:variant>
        <vt:lpwstr/>
      </vt:variant>
      <vt:variant>
        <vt:lpwstr>_Toc313548206</vt:lpwstr>
      </vt:variant>
      <vt:variant>
        <vt:i4>1769526</vt:i4>
      </vt:variant>
      <vt:variant>
        <vt:i4>38</vt:i4>
      </vt:variant>
      <vt:variant>
        <vt:i4>0</vt:i4>
      </vt:variant>
      <vt:variant>
        <vt:i4>5</vt:i4>
      </vt:variant>
      <vt:variant>
        <vt:lpwstr/>
      </vt:variant>
      <vt:variant>
        <vt:lpwstr>_Toc313548205</vt:lpwstr>
      </vt:variant>
      <vt:variant>
        <vt:i4>1769526</vt:i4>
      </vt:variant>
      <vt:variant>
        <vt:i4>32</vt:i4>
      </vt:variant>
      <vt:variant>
        <vt:i4>0</vt:i4>
      </vt:variant>
      <vt:variant>
        <vt:i4>5</vt:i4>
      </vt:variant>
      <vt:variant>
        <vt:lpwstr/>
      </vt:variant>
      <vt:variant>
        <vt:lpwstr>_Toc313548204</vt:lpwstr>
      </vt:variant>
      <vt:variant>
        <vt:i4>1769526</vt:i4>
      </vt:variant>
      <vt:variant>
        <vt:i4>26</vt:i4>
      </vt:variant>
      <vt:variant>
        <vt:i4>0</vt:i4>
      </vt:variant>
      <vt:variant>
        <vt:i4>5</vt:i4>
      </vt:variant>
      <vt:variant>
        <vt:lpwstr/>
      </vt:variant>
      <vt:variant>
        <vt:lpwstr>_Toc313548203</vt:lpwstr>
      </vt:variant>
      <vt:variant>
        <vt:i4>1769526</vt:i4>
      </vt:variant>
      <vt:variant>
        <vt:i4>20</vt:i4>
      </vt:variant>
      <vt:variant>
        <vt:i4>0</vt:i4>
      </vt:variant>
      <vt:variant>
        <vt:i4>5</vt:i4>
      </vt:variant>
      <vt:variant>
        <vt:lpwstr/>
      </vt:variant>
      <vt:variant>
        <vt:lpwstr>_Toc313548202</vt:lpwstr>
      </vt:variant>
      <vt:variant>
        <vt:i4>1769526</vt:i4>
      </vt:variant>
      <vt:variant>
        <vt:i4>14</vt:i4>
      </vt:variant>
      <vt:variant>
        <vt:i4>0</vt:i4>
      </vt:variant>
      <vt:variant>
        <vt:i4>5</vt:i4>
      </vt:variant>
      <vt:variant>
        <vt:lpwstr/>
      </vt:variant>
      <vt:variant>
        <vt:lpwstr>_Toc313548201</vt:lpwstr>
      </vt:variant>
      <vt:variant>
        <vt:i4>1769526</vt:i4>
      </vt:variant>
      <vt:variant>
        <vt:i4>8</vt:i4>
      </vt:variant>
      <vt:variant>
        <vt:i4>0</vt:i4>
      </vt:variant>
      <vt:variant>
        <vt:i4>5</vt:i4>
      </vt:variant>
      <vt:variant>
        <vt:lpwstr/>
      </vt:variant>
      <vt:variant>
        <vt:lpwstr>_Toc313548200</vt:lpwstr>
      </vt:variant>
      <vt:variant>
        <vt:i4>1179701</vt:i4>
      </vt:variant>
      <vt:variant>
        <vt:i4>2</vt:i4>
      </vt:variant>
      <vt:variant>
        <vt:i4>0</vt:i4>
      </vt:variant>
      <vt:variant>
        <vt:i4>5</vt:i4>
      </vt:variant>
      <vt:variant>
        <vt:lpwstr/>
      </vt:variant>
      <vt:variant>
        <vt:lpwstr>_Toc313548199</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3 Early childhood education and care - Report on Government Services 2016</dc:title>
  <dc:subject/>
  <dc:creator>Steering Committee for the Review of Government Service Provision</dc:creator>
  <cp:lastModifiedBy>Frech, Tanya</cp:lastModifiedBy>
  <cp:revision>17</cp:revision>
  <cp:lastPrinted>2015-12-24T00:53:00Z</cp:lastPrinted>
  <dcterms:created xsi:type="dcterms:W3CDTF">2015-12-07T00:35:00Z</dcterms:created>
  <dcterms:modified xsi:type="dcterms:W3CDTF">2016-01-11T00:22:00Z</dcterms:modified>
</cp:coreProperties>
</file>