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CE" w:rsidRPr="00520EA5" w:rsidRDefault="00B70781" w:rsidP="00B70781">
      <w:pPr>
        <w:pStyle w:val="Heading1"/>
      </w:pPr>
      <w:bookmarkStart w:id="0" w:name="ChapterNumber"/>
      <w:bookmarkStart w:id="1" w:name="_Toc400552899"/>
      <w:bookmarkStart w:id="2" w:name="_Toc401910506"/>
      <w:bookmarkStart w:id="3" w:name="_Toc404802277"/>
      <w:bookmarkStart w:id="4" w:name="_Toc405974304"/>
      <w:bookmarkStart w:id="5" w:name="_Toc430533510"/>
      <w:bookmarkStart w:id="6" w:name="_Toc430538785"/>
      <w:bookmarkStart w:id="7" w:name="_Toc430546342"/>
      <w:bookmarkStart w:id="8" w:name="_Toc433099016"/>
      <w:bookmarkStart w:id="9" w:name="_Toc433195373"/>
      <w:bookmarkStart w:id="10" w:name="_Toc433295384"/>
      <w:bookmarkStart w:id="11" w:name="_Toc433298253"/>
      <w:bookmarkStart w:id="12" w:name="_GoBack"/>
      <w:bookmarkEnd w:id="12"/>
      <w:r>
        <w:t>4</w:t>
      </w:r>
      <w:bookmarkEnd w:id="0"/>
      <w:r>
        <w:tab/>
      </w:r>
      <w:bookmarkStart w:id="13" w:name="ChapterTitle"/>
      <w:r>
        <w:t>School education</w:t>
      </w:r>
      <w:bookmarkEnd w:id="1"/>
      <w:bookmarkEnd w:id="2"/>
      <w:bookmarkEnd w:id="3"/>
      <w:bookmarkEnd w:id="4"/>
      <w:bookmarkEnd w:id="5"/>
      <w:bookmarkEnd w:id="6"/>
      <w:bookmarkEnd w:id="7"/>
      <w:bookmarkEnd w:id="13"/>
      <w:bookmarkEnd w:id="8"/>
      <w:bookmarkEnd w:id="9"/>
      <w:bookmarkEnd w:id="10"/>
      <w:bookmarkEnd w:id="11"/>
    </w:p>
    <w:p w:rsidR="005B55D5" w:rsidRDefault="00666ECE" w:rsidP="003F29F7">
      <w:pPr>
        <w:pStyle w:val="Heading4"/>
        <w:rPr>
          <w:noProof/>
        </w:rPr>
      </w:pPr>
      <w:r w:rsidRPr="003F29F7">
        <w:t>CONTENTS</w:t>
      </w:r>
    </w:p>
    <w:p w:rsidR="005B55D5" w:rsidRDefault="005B55D5">
      <w:pPr>
        <w:pStyle w:val="TOC2"/>
        <w:tabs>
          <w:tab w:val="left" w:pos="1134"/>
        </w:tabs>
        <w:rPr>
          <w:rFonts w:asciiTheme="minorHAnsi" w:eastAsiaTheme="minorEastAsia" w:hAnsiTheme="minorHAnsi" w:cstheme="minorBidi"/>
          <w:noProof/>
          <w:sz w:val="22"/>
          <w:szCs w:val="22"/>
          <w:lang w:eastAsia="en-AU"/>
        </w:rPr>
      </w:pPr>
      <w:r w:rsidRPr="00981DEB">
        <w:rPr>
          <w:noProof/>
        </w:rPr>
        <w:t>4.1</w:t>
      </w:r>
      <w:r>
        <w:rPr>
          <w:rFonts w:asciiTheme="minorHAnsi" w:eastAsiaTheme="minorEastAsia" w:hAnsiTheme="minorHAnsi" w:cstheme="minorBidi"/>
          <w:noProof/>
          <w:sz w:val="22"/>
          <w:szCs w:val="22"/>
          <w:lang w:eastAsia="en-AU"/>
        </w:rPr>
        <w:tab/>
      </w:r>
      <w:r w:rsidRPr="00981DEB">
        <w:rPr>
          <w:noProof/>
        </w:rPr>
        <w:t>Profile of school education</w:t>
      </w:r>
      <w:r>
        <w:rPr>
          <w:noProof/>
          <w:webHidden/>
        </w:rPr>
        <w:tab/>
        <w:t>4.</w:t>
      </w:r>
      <w:r w:rsidR="00FF4FBD">
        <w:rPr>
          <w:noProof/>
          <w:webHidden/>
        </w:rPr>
        <w:t>2</w:t>
      </w:r>
    </w:p>
    <w:p w:rsidR="005B55D5" w:rsidRDefault="005B55D5">
      <w:pPr>
        <w:pStyle w:val="TOC2"/>
        <w:tabs>
          <w:tab w:val="left" w:pos="1134"/>
        </w:tabs>
        <w:rPr>
          <w:rFonts w:asciiTheme="minorHAnsi" w:eastAsiaTheme="minorEastAsia" w:hAnsiTheme="minorHAnsi" w:cstheme="minorBidi"/>
          <w:noProof/>
          <w:sz w:val="22"/>
          <w:szCs w:val="22"/>
          <w:lang w:eastAsia="en-AU"/>
        </w:rPr>
      </w:pPr>
      <w:r w:rsidRPr="00981DEB">
        <w:rPr>
          <w:noProof/>
        </w:rPr>
        <w:t>4.2</w:t>
      </w:r>
      <w:r>
        <w:rPr>
          <w:rFonts w:asciiTheme="minorHAnsi" w:eastAsiaTheme="minorEastAsia" w:hAnsiTheme="minorHAnsi" w:cstheme="minorBidi"/>
          <w:noProof/>
          <w:sz w:val="22"/>
          <w:szCs w:val="22"/>
          <w:lang w:eastAsia="en-AU"/>
        </w:rPr>
        <w:tab/>
      </w:r>
      <w:r w:rsidRPr="00981DEB">
        <w:rPr>
          <w:noProof/>
        </w:rPr>
        <w:t>Framework of performance indicators</w:t>
      </w:r>
      <w:r>
        <w:rPr>
          <w:noProof/>
          <w:webHidden/>
        </w:rPr>
        <w:tab/>
        <w:t>4.</w:t>
      </w:r>
      <w:r w:rsidR="00FF4FBD">
        <w:rPr>
          <w:noProof/>
          <w:webHidden/>
        </w:rPr>
        <w:t>11</w:t>
      </w:r>
    </w:p>
    <w:p w:rsidR="005B55D5" w:rsidRDefault="005B55D5">
      <w:pPr>
        <w:pStyle w:val="TOC2"/>
        <w:tabs>
          <w:tab w:val="left" w:pos="1134"/>
        </w:tabs>
        <w:rPr>
          <w:rFonts w:asciiTheme="minorHAnsi" w:eastAsiaTheme="minorEastAsia" w:hAnsiTheme="minorHAnsi" w:cstheme="minorBidi"/>
          <w:noProof/>
          <w:sz w:val="22"/>
          <w:szCs w:val="22"/>
          <w:lang w:eastAsia="en-AU"/>
        </w:rPr>
      </w:pPr>
      <w:r w:rsidRPr="00981DEB">
        <w:rPr>
          <w:noProof/>
        </w:rPr>
        <w:t>4.3</w:t>
      </w:r>
      <w:r>
        <w:rPr>
          <w:rFonts w:asciiTheme="minorHAnsi" w:eastAsiaTheme="minorEastAsia" w:hAnsiTheme="minorHAnsi" w:cstheme="minorBidi"/>
          <w:noProof/>
          <w:sz w:val="22"/>
          <w:szCs w:val="22"/>
          <w:lang w:eastAsia="en-AU"/>
        </w:rPr>
        <w:tab/>
      </w:r>
      <w:r w:rsidRPr="00981DEB">
        <w:rPr>
          <w:noProof/>
        </w:rPr>
        <w:t>Key performance indicator results</w:t>
      </w:r>
      <w:r>
        <w:rPr>
          <w:noProof/>
          <w:webHidden/>
        </w:rPr>
        <w:tab/>
        <w:t>4.</w:t>
      </w:r>
      <w:r w:rsidR="00FF4FBD">
        <w:rPr>
          <w:noProof/>
          <w:webHidden/>
        </w:rPr>
        <w:t>12</w:t>
      </w:r>
    </w:p>
    <w:p w:rsidR="005B55D5" w:rsidRDefault="005B55D5">
      <w:pPr>
        <w:pStyle w:val="TOC2"/>
        <w:tabs>
          <w:tab w:val="left" w:pos="1134"/>
        </w:tabs>
        <w:rPr>
          <w:rFonts w:asciiTheme="minorHAnsi" w:eastAsiaTheme="minorEastAsia" w:hAnsiTheme="minorHAnsi" w:cstheme="minorBidi"/>
          <w:noProof/>
          <w:sz w:val="22"/>
          <w:szCs w:val="22"/>
          <w:lang w:eastAsia="en-AU"/>
        </w:rPr>
      </w:pPr>
      <w:r w:rsidRPr="00981DEB">
        <w:rPr>
          <w:noProof/>
        </w:rPr>
        <w:t>4.4</w:t>
      </w:r>
      <w:r>
        <w:rPr>
          <w:rFonts w:asciiTheme="minorHAnsi" w:eastAsiaTheme="minorEastAsia" w:hAnsiTheme="minorHAnsi" w:cstheme="minorBidi"/>
          <w:noProof/>
          <w:sz w:val="22"/>
          <w:szCs w:val="22"/>
          <w:lang w:eastAsia="en-AU"/>
        </w:rPr>
        <w:tab/>
      </w:r>
      <w:r w:rsidRPr="00981DEB">
        <w:rPr>
          <w:noProof/>
        </w:rPr>
        <w:t>Future directions in performance reporting</w:t>
      </w:r>
      <w:r>
        <w:rPr>
          <w:noProof/>
          <w:webHidden/>
        </w:rPr>
        <w:tab/>
        <w:t>4.</w:t>
      </w:r>
      <w:r w:rsidR="00FF4FBD">
        <w:rPr>
          <w:noProof/>
          <w:webHidden/>
        </w:rPr>
        <w:t>74</w:t>
      </w:r>
    </w:p>
    <w:p w:rsidR="005B55D5" w:rsidRDefault="005B55D5">
      <w:pPr>
        <w:pStyle w:val="TOC2"/>
        <w:tabs>
          <w:tab w:val="left" w:pos="1134"/>
        </w:tabs>
        <w:rPr>
          <w:rFonts w:asciiTheme="minorHAnsi" w:eastAsiaTheme="minorEastAsia" w:hAnsiTheme="minorHAnsi" w:cstheme="minorBidi"/>
          <w:noProof/>
          <w:sz w:val="22"/>
          <w:szCs w:val="22"/>
          <w:lang w:eastAsia="en-AU"/>
        </w:rPr>
      </w:pPr>
      <w:r w:rsidRPr="00981DEB">
        <w:rPr>
          <w:noProof/>
        </w:rPr>
        <w:t>4.5</w:t>
      </w:r>
      <w:r>
        <w:rPr>
          <w:rFonts w:asciiTheme="minorHAnsi" w:eastAsiaTheme="minorEastAsia" w:hAnsiTheme="minorHAnsi" w:cstheme="minorBidi"/>
          <w:noProof/>
          <w:sz w:val="22"/>
          <w:szCs w:val="22"/>
          <w:lang w:eastAsia="en-AU"/>
        </w:rPr>
        <w:tab/>
      </w:r>
      <w:r w:rsidRPr="00981DEB">
        <w:rPr>
          <w:noProof/>
        </w:rPr>
        <w:t>Definitions of key terms</w:t>
      </w:r>
      <w:r>
        <w:rPr>
          <w:noProof/>
          <w:webHidden/>
        </w:rPr>
        <w:tab/>
        <w:t>4.</w:t>
      </w:r>
      <w:r w:rsidR="00FF4FBD">
        <w:rPr>
          <w:noProof/>
          <w:webHidden/>
        </w:rPr>
        <w:t>75</w:t>
      </w:r>
    </w:p>
    <w:p w:rsidR="005B55D5" w:rsidRDefault="005B55D5">
      <w:pPr>
        <w:pStyle w:val="TOC2"/>
        <w:tabs>
          <w:tab w:val="left" w:pos="1134"/>
        </w:tabs>
        <w:rPr>
          <w:rFonts w:asciiTheme="minorHAnsi" w:eastAsiaTheme="minorEastAsia" w:hAnsiTheme="minorHAnsi" w:cstheme="minorBidi"/>
          <w:noProof/>
          <w:sz w:val="22"/>
          <w:szCs w:val="22"/>
          <w:lang w:eastAsia="en-AU"/>
        </w:rPr>
      </w:pPr>
      <w:r w:rsidRPr="00981DEB">
        <w:rPr>
          <w:noProof/>
        </w:rPr>
        <w:t>4.6</w:t>
      </w:r>
      <w:r>
        <w:rPr>
          <w:rFonts w:asciiTheme="minorHAnsi" w:eastAsiaTheme="minorEastAsia" w:hAnsiTheme="minorHAnsi" w:cstheme="minorBidi"/>
          <w:noProof/>
          <w:sz w:val="22"/>
          <w:szCs w:val="22"/>
          <w:lang w:eastAsia="en-AU"/>
        </w:rPr>
        <w:tab/>
      </w:r>
      <w:r w:rsidRPr="00981DEB">
        <w:rPr>
          <w:noProof/>
        </w:rPr>
        <w:t>List of attachment tables</w:t>
      </w:r>
      <w:r>
        <w:rPr>
          <w:noProof/>
          <w:webHidden/>
        </w:rPr>
        <w:tab/>
        <w:t>4.</w:t>
      </w:r>
      <w:r w:rsidR="00FF4FBD">
        <w:rPr>
          <w:noProof/>
          <w:webHidden/>
        </w:rPr>
        <w:t>78</w:t>
      </w:r>
    </w:p>
    <w:p w:rsidR="005B55D5" w:rsidRDefault="005B55D5">
      <w:pPr>
        <w:pStyle w:val="TOC2"/>
        <w:tabs>
          <w:tab w:val="left" w:pos="1134"/>
        </w:tabs>
        <w:rPr>
          <w:rFonts w:asciiTheme="minorHAnsi" w:eastAsiaTheme="minorEastAsia" w:hAnsiTheme="minorHAnsi" w:cstheme="minorBidi"/>
          <w:noProof/>
          <w:sz w:val="22"/>
          <w:szCs w:val="22"/>
          <w:lang w:eastAsia="en-AU"/>
        </w:rPr>
      </w:pPr>
      <w:r w:rsidRPr="00981DEB">
        <w:rPr>
          <w:noProof/>
        </w:rPr>
        <w:t>4.7</w:t>
      </w:r>
      <w:r>
        <w:rPr>
          <w:rFonts w:asciiTheme="minorHAnsi" w:eastAsiaTheme="minorEastAsia" w:hAnsiTheme="minorHAnsi" w:cstheme="minorBidi"/>
          <w:noProof/>
          <w:sz w:val="22"/>
          <w:szCs w:val="22"/>
          <w:lang w:eastAsia="en-AU"/>
        </w:rPr>
        <w:tab/>
      </w:r>
      <w:r w:rsidRPr="00981DEB">
        <w:rPr>
          <w:noProof/>
        </w:rPr>
        <w:t>References</w:t>
      </w:r>
      <w:r>
        <w:rPr>
          <w:noProof/>
          <w:webHidden/>
        </w:rPr>
        <w:tab/>
        <w:t>4.</w:t>
      </w:r>
      <w:r w:rsidR="00FF4FBD">
        <w:rPr>
          <w:noProof/>
          <w:webHidden/>
        </w:rPr>
        <w:t>85</w:t>
      </w:r>
    </w:p>
    <w:p w:rsidR="00A2357B" w:rsidRDefault="00A2357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2357B" w:rsidTr="00B45495">
        <w:tc>
          <w:tcPr>
            <w:tcW w:w="8771" w:type="dxa"/>
            <w:tcBorders>
              <w:top w:val="single" w:sz="6" w:space="0" w:color="78A22F"/>
              <w:left w:val="nil"/>
              <w:bottom w:val="nil"/>
              <w:right w:val="nil"/>
            </w:tcBorders>
            <w:shd w:val="clear" w:color="auto" w:fill="F2F2F2"/>
          </w:tcPr>
          <w:p w:rsidR="00A2357B" w:rsidRDefault="00A2357B">
            <w:pPr>
              <w:pStyle w:val="BoxTitle"/>
            </w:pPr>
            <w:r>
              <w:t xml:space="preserve">Attachment tables </w:t>
            </w:r>
          </w:p>
        </w:tc>
      </w:tr>
      <w:tr w:rsidR="00A2357B" w:rsidTr="00B45495">
        <w:trPr>
          <w:cantSplit/>
        </w:trPr>
        <w:tc>
          <w:tcPr>
            <w:tcW w:w="8771" w:type="dxa"/>
            <w:tcBorders>
              <w:top w:val="nil"/>
              <w:left w:val="nil"/>
              <w:bottom w:val="nil"/>
              <w:right w:val="nil"/>
            </w:tcBorders>
            <w:shd w:val="clear" w:color="auto" w:fill="F2F2F2"/>
          </w:tcPr>
          <w:p w:rsidR="00A2357B" w:rsidRDefault="00A2357B" w:rsidP="00302B1B">
            <w:pPr>
              <w:pStyle w:val="Box"/>
            </w:pPr>
            <w:r w:rsidRPr="00A2357B">
              <w:t xml:space="preserve">Attachment tables are identified in references throughout this chapter by a ‘4A’ prefix (for example, table 4A.1). A full list of attachment tables is provided at the end of this chapter, and the attachment tables are available </w:t>
            </w:r>
            <w:r w:rsidR="00302B1B">
              <w:t>on</w:t>
            </w:r>
            <w:r w:rsidR="00302B1B" w:rsidRPr="00A2357B">
              <w:t xml:space="preserve"> </w:t>
            </w:r>
            <w:r w:rsidRPr="00A2357B">
              <w:t>the website at www.pc.gov.au/</w:t>
            </w:r>
            <w:r w:rsidR="00ED3E9F">
              <w:t>rogs/2016.</w:t>
            </w:r>
          </w:p>
        </w:tc>
      </w:tr>
      <w:tr w:rsidR="006D545B" w:rsidTr="00B45495">
        <w:trPr>
          <w:cantSplit/>
        </w:trPr>
        <w:tc>
          <w:tcPr>
            <w:tcW w:w="8771" w:type="dxa"/>
            <w:tcBorders>
              <w:top w:val="nil"/>
              <w:left w:val="nil"/>
              <w:bottom w:val="nil"/>
              <w:right w:val="nil"/>
            </w:tcBorders>
            <w:shd w:val="clear" w:color="auto" w:fill="F2F2F2"/>
          </w:tcPr>
          <w:p w:rsidR="006D545B" w:rsidRPr="00A2357B" w:rsidRDefault="006D545B" w:rsidP="006D545B">
            <w:pPr>
              <w:pStyle w:val="Box"/>
              <w:spacing w:before="0" w:line="120" w:lineRule="exact"/>
            </w:pPr>
          </w:p>
        </w:tc>
      </w:tr>
      <w:tr w:rsidR="00A2357B" w:rsidRPr="000863A5" w:rsidTr="00B45495">
        <w:tc>
          <w:tcPr>
            <w:tcW w:w="8771" w:type="dxa"/>
            <w:tcBorders>
              <w:top w:val="single" w:sz="6" w:space="0" w:color="78A22F"/>
              <w:left w:val="nil"/>
              <w:bottom w:val="nil"/>
              <w:right w:val="nil"/>
            </w:tcBorders>
          </w:tcPr>
          <w:p w:rsidR="00A2357B" w:rsidRPr="00626D32" w:rsidRDefault="00A2357B" w:rsidP="00B45495">
            <w:pPr>
              <w:pStyle w:val="BoxSpaceBelow"/>
            </w:pPr>
          </w:p>
        </w:tc>
      </w:tr>
    </w:tbl>
    <w:p w:rsidR="00666ECE" w:rsidRPr="00666ECE" w:rsidRDefault="00666ECE" w:rsidP="00602CDA">
      <w:pPr>
        <w:pStyle w:val="BodyText"/>
      </w:pPr>
      <w:r w:rsidRPr="00666ECE">
        <w:t>This chapter focuses on performance information for government funded school education in Australia. Reporting relates to government funding only, not to the full cost to the community of providing school education. Descriptive information and performance indicators are variously reported for:</w:t>
      </w:r>
    </w:p>
    <w:p w:rsidR="00666ECE" w:rsidRPr="00602CDA" w:rsidRDefault="00666ECE" w:rsidP="00602CDA">
      <w:pPr>
        <w:pStyle w:val="ListBullet"/>
      </w:pPr>
      <w:r w:rsidRPr="00602CDA">
        <w:t>government primary and secondary schools</w:t>
      </w:r>
    </w:p>
    <w:p w:rsidR="00666ECE" w:rsidRPr="00602CDA" w:rsidRDefault="00666ECE" w:rsidP="00602CDA">
      <w:pPr>
        <w:pStyle w:val="ListBullet"/>
      </w:pPr>
      <w:r w:rsidRPr="00602CDA">
        <w:t>non-government primary and secondary schools</w:t>
      </w:r>
    </w:p>
    <w:p w:rsidR="00666ECE" w:rsidRPr="00602CDA" w:rsidRDefault="00666ECE" w:rsidP="00602CDA">
      <w:pPr>
        <w:pStyle w:val="ListBullet"/>
      </w:pPr>
      <w:r w:rsidRPr="00602CDA">
        <w:t>school education as a whole (government plus non-government schools).</w:t>
      </w:r>
    </w:p>
    <w:p w:rsidR="00666ECE" w:rsidRPr="00C006D3" w:rsidRDefault="009F6CF4" w:rsidP="0080263C">
      <w:pPr>
        <w:spacing w:before="240" w:line="320" w:lineRule="atLeast"/>
        <w:jc w:val="both"/>
      </w:pPr>
      <w:r>
        <w:t>Most of the d</w:t>
      </w:r>
      <w:r w:rsidR="00666ECE" w:rsidRPr="00666ECE">
        <w:t xml:space="preserve">ata in this chapter relate to </w:t>
      </w:r>
      <w:r w:rsidR="00CA4833">
        <w:t xml:space="preserve">the </w:t>
      </w:r>
      <w:r w:rsidR="00666ECE" w:rsidRPr="004F2DCF">
        <w:t>201</w:t>
      </w:r>
      <w:r w:rsidR="008D60E8">
        <w:t>4</w:t>
      </w:r>
      <w:r w:rsidR="00666ECE" w:rsidRPr="00666ECE">
        <w:t xml:space="preserve"> </w:t>
      </w:r>
      <w:r w:rsidR="00CA4833">
        <w:t xml:space="preserve">calendar year </w:t>
      </w:r>
      <w:r w:rsidR="00666ECE" w:rsidRPr="00666ECE">
        <w:t xml:space="preserve">and the </w:t>
      </w:r>
      <w:r w:rsidR="00666ECE" w:rsidRPr="004F2DCF">
        <w:t>201</w:t>
      </w:r>
      <w:r w:rsidR="008D60E8">
        <w:t>3</w:t>
      </w:r>
      <w:r w:rsidR="00666ECE" w:rsidRPr="004F2DCF">
        <w:t>-1</w:t>
      </w:r>
      <w:r w:rsidR="008D60E8">
        <w:t>4</w:t>
      </w:r>
      <w:r w:rsidR="00666ECE" w:rsidRPr="00666ECE">
        <w:t xml:space="preserve"> financial year.</w:t>
      </w:r>
      <w:r w:rsidR="00F3314B">
        <w:t xml:space="preserve"> </w:t>
      </w:r>
      <w:r w:rsidR="007E4F60" w:rsidRPr="0089766B">
        <w:t xml:space="preserve">National Assessment Program – Literacy and Numeracy </w:t>
      </w:r>
      <w:r w:rsidR="007E4F60">
        <w:t>(</w:t>
      </w:r>
      <w:r w:rsidR="00F3314B">
        <w:t>NAPLAN</w:t>
      </w:r>
      <w:r w:rsidR="007E4F60">
        <w:t>)</w:t>
      </w:r>
      <w:r w:rsidR="00F3314B">
        <w:t xml:space="preserve"> data </w:t>
      </w:r>
      <w:r w:rsidR="008D60E8">
        <w:t xml:space="preserve">and attendance data </w:t>
      </w:r>
      <w:r w:rsidR="00F3314B">
        <w:t>are included for 201</w:t>
      </w:r>
      <w:r w:rsidR="008D60E8">
        <w:t>5</w:t>
      </w:r>
      <w:r w:rsidR="00F3314B">
        <w:t>.</w:t>
      </w:r>
      <w:r w:rsidR="00F2021A">
        <w:t xml:space="preserve"> </w:t>
      </w:r>
      <w:r w:rsidR="00666ECE" w:rsidRPr="00602CDA">
        <w:rPr>
          <w:rStyle w:val="BodyTextChar"/>
        </w:rPr>
        <w:t>Major improvements in reporting on school education this year include</w:t>
      </w:r>
      <w:r w:rsidR="00380F44" w:rsidRPr="00602CDA">
        <w:rPr>
          <w:rStyle w:val="BodyTextChar"/>
        </w:rPr>
        <w:t>:</w:t>
      </w:r>
    </w:p>
    <w:p w:rsidR="008D60E8" w:rsidRDefault="00380F44" w:rsidP="00602CDA">
      <w:pPr>
        <w:pStyle w:val="ListBullet"/>
      </w:pPr>
      <w:r w:rsidRPr="00602CDA">
        <w:t xml:space="preserve">inclusion of </w:t>
      </w:r>
      <w:r w:rsidR="008D60E8">
        <w:t xml:space="preserve">fully comparable data for two new measures of school attendance in the output indicator ‘attendance and participation’ </w:t>
      </w:r>
    </w:p>
    <w:p w:rsidR="00A90BEF" w:rsidRDefault="008D60E8" w:rsidP="00A90BEF">
      <w:pPr>
        <w:pStyle w:val="ListBullet"/>
      </w:pPr>
      <w:r>
        <w:t>inclusion of a new output indicator of ‘student engagement’</w:t>
      </w:r>
      <w:r w:rsidR="00A90BEF" w:rsidRPr="00A90BEF">
        <w:t xml:space="preserve"> </w:t>
      </w:r>
    </w:p>
    <w:p w:rsidR="00A90BEF" w:rsidRDefault="00A90BEF" w:rsidP="00A90BEF">
      <w:pPr>
        <w:pStyle w:val="ListBullet"/>
      </w:pPr>
      <w:r>
        <w:t>inclusion of a mini-case study on the SA Middle Years Development Initiative</w:t>
      </w:r>
      <w:r w:rsidR="00302B1B">
        <w:t>.</w:t>
      </w:r>
    </w:p>
    <w:p w:rsidR="007F2B04" w:rsidRDefault="007F2B04" w:rsidP="007F2B04">
      <w:pPr>
        <w:pStyle w:val="BodyText"/>
      </w:pPr>
      <w:r w:rsidRPr="00ED3E9F">
        <w:lastRenderedPageBreak/>
        <w:t>All abbreviations used in this Report are available in a complete list in volume A: Approach to performance reporting.</w:t>
      </w:r>
    </w:p>
    <w:p w:rsidR="00666ECE" w:rsidRPr="00666ECE" w:rsidRDefault="007B0AE2" w:rsidP="007B0AE2">
      <w:pPr>
        <w:pStyle w:val="Heading2"/>
      </w:pPr>
      <w:bookmarkStart w:id="14" w:name="_Toc433298254"/>
      <w:r>
        <w:t>4.1</w:t>
      </w:r>
      <w:r>
        <w:tab/>
      </w:r>
      <w:r w:rsidR="00666ECE" w:rsidRPr="00666ECE">
        <w:t>Profile of school education</w:t>
      </w:r>
      <w:bookmarkEnd w:id="14"/>
    </w:p>
    <w:p w:rsidR="00666ECE" w:rsidRPr="00666ECE" w:rsidRDefault="00666ECE" w:rsidP="007B0AE2">
      <w:pPr>
        <w:pStyle w:val="Heading3"/>
      </w:pPr>
      <w:r w:rsidRPr="00666ECE">
        <w:t>Service overview</w:t>
      </w:r>
    </w:p>
    <w:p w:rsidR="00BD3A56" w:rsidRPr="00666ECE" w:rsidRDefault="00BD3A56" w:rsidP="00BD3A56">
      <w:pPr>
        <w:spacing w:before="240" w:line="320" w:lineRule="atLeast"/>
        <w:jc w:val="both"/>
        <w:rPr>
          <w:szCs w:val="20"/>
        </w:rPr>
      </w:pPr>
      <w:r w:rsidRPr="00666ECE">
        <w:rPr>
          <w:szCs w:val="20"/>
        </w:rPr>
        <w:t>Schooling aims to provide education for all young people. The main purposes of school education are to assist students in:</w:t>
      </w:r>
    </w:p>
    <w:p w:rsidR="00BD3A56" w:rsidRPr="00602CDA" w:rsidRDefault="00BD3A56" w:rsidP="00BD3A56">
      <w:pPr>
        <w:pStyle w:val="ListBullet"/>
      </w:pPr>
      <w:r w:rsidRPr="00602CDA">
        <w:t>attaining knowledge, skills and understanding in key learning areas</w:t>
      </w:r>
    </w:p>
    <w:p w:rsidR="00BD3A56" w:rsidRPr="00602CDA" w:rsidRDefault="00BD3A56" w:rsidP="00BD3A56">
      <w:pPr>
        <w:pStyle w:val="ListBullet"/>
      </w:pPr>
      <w:r w:rsidRPr="00602CDA">
        <w:t>developing their talents, capacities, self-confidence, self-esteem and respect for others</w:t>
      </w:r>
    </w:p>
    <w:p w:rsidR="00BD3A56" w:rsidRDefault="00BD3A56" w:rsidP="007F19E7">
      <w:pPr>
        <w:pStyle w:val="ListBullet"/>
      </w:pPr>
      <w:r w:rsidRPr="00602CDA">
        <w:t>developing their capacity to contribute to Australia’s social, cultural and economic development.</w:t>
      </w:r>
    </w:p>
    <w:p w:rsidR="00666ECE" w:rsidRPr="00666ECE" w:rsidRDefault="00666ECE" w:rsidP="004145D6">
      <w:pPr>
        <w:pStyle w:val="BodyText"/>
      </w:pPr>
      <w:r w:rsidRPr="00666ECE">
        <w:t xml:space="preserve">Schools are the institutions within which organised school education takes place. They are differentiated by the type and level of education </w:t>
      </w:r>
      <w:r w:rsidRPr="00E87EFD">
        <w:t>they provide, their ownership and management, and the characteristics of their student body. The formal statistical definition of s</w:t>
      </w:r>
      <w:r w:rsidR="004145D6">
        <w:t xml:space="preserve">chools used for this chapter is </w:t>
      </w:r>
      <w:r w:rsidRPr="00666ECE">
        <w:t xml:space="preserve">an establishment </w:t>
      </w:r>
      <w:r w:rsidR="00CC2C02">
        <w:t>which</w:t>
      </w:r>
      <w:r w:rsidRPr="00666ECE">
        <w:t xml:space="preserve"> satisfies all of the following criteria:</w:t>
      </w:r>
    </w:p>
    <w:p w:rsidR="00666ECE" w:rsidRPr="00666ECE" w:rsidRDefault="00666ECE" w:rsidP="004145D6">
      <w:pPr>
        <w:pStyle w:val="ListBullet"/>
      </w:pPr>
      <w:r w:rsidRPr="00666ECE">
        <w:t xml:space="preserve">its major activity is the provision of full time day primary or secondary education or the provision of primary or secondary distance education </w:t>
      </w:r>
    </w:p>
    <w:p w:rsidR="00666ECE" w:rsidRPr="00666ECE" w:rsidRDefault="00666ECE" w:rsidP="004145D6">
      <w:pPr>
        <w:pStyle w:val="ListBullet"/>
      </w:pPr>
      <w:r w:rsidRPr="00666ECE">
        <w:t>it is headed by a principal (or equivalent) responsible for its internal operation</w:t>
      </w:r>
    </w:p>
    <w:p w:rsidR="00666ECE" w:rsidRPr="00BA0589" w:rsidRDefault="00666ECE" w:rsidP="004145D6">
      <w:pPr>
        <w:pStyle w:val="ListBullet"/>
      </w:pPr>
      <w:r w:rsidRPr="00666ECE">
        <w:t xml:space="preserve">it is possible for students to enrol for a minimum of four continuous weeks, excluding breaks for school </w:t>
      </w:r>
      <w:r w:rsidRPr="00BA0589">
        <w:t>vacations (ABS 201</w:t>
      </w:r>
      <w:r w:rsidR="008D60E8">
        <w:t>5</w:t>
      </w:r>
      <w:r w:rsidRPr="00BA0589">
        <w:t xml:space="preserve">). </w:t>
      </w:r>
    </w:p>
    <w:p w:rsidR="00666ECE" w:rsidRDefault="00666ECE" w:rsidP="004145D6">
      <w:pPr>
        <w:pStyle w:val="BodyText"/>
      </w:pPr>
      <w:r w:rsidRPr="00666ECE">
        <w:t xml:space="preserve">Student performance can be affected by factors that may be partly or totally outside the influence of the school system, such as student commitment, family environment </w:t>
      </w:r>
      <w:r w:rsidR="00635573">
        <w:t>(including socio</w:t>
      </w:r>
      <w:r w:rsidR="009131A4">
        <w:t>-</w:t>
      </w:r>
      <w:r w:rsidR="00635573">
        <w:t>economic status and</w:t>
      </w:r>
      <w:r w:rsidRPr="00666ECE">
        <w:t xml:space="preserve"> parents’ educational attainment and support for the child) and the proximity of the school to other educational facilities. It is beyond the scope of this Report to consider the effect of all such factors, but this section provides some context for the performance information presented later in the chapter. Further contextual information about population and household characteristics in each State and Territory is provided in </w:t>
      </w:r>
      <w:r w:rsidR="002D7C16">
        <w:t>chapter 2 ‘</w:t>
      </w:r>
      <w:r w:rsidR="00031DF6">
        <w:t>S</w:t>
      </w:r>
      <w:r w:rsidR="002D7C16">
        <w:t>tatistical context’</w:t>
      </w:r>
      <w:r w:rsidRPr="00666ECE">
        <w:t>.</w:t>
      </w:r>
    </w:p>
    <w:p w:rsidR="00666ECE" w:rsidRPr="007B0AE2" w:rsidRDefault="00666ECE" w:rsidP="007B0AE2">
      <w:pPr>
        <w:pStyle w:val="Heading3"/>
      </w:pPr>
      <w:r w:rsidRPr="007B0AE2">
        <w:t>Roles and responsibilities</w:t>
      </w:r>
    </w:p>
    <w:p w:rsidR="00666ECE" w:rsidRPr="00666ECE" w:rsidRDefault="00666ECE" w:rsidP="004145D6">
      <w:pPr>
        <w:pStyle w:val="BodyText"/>
      </w:pPr>
      <w:r w:rsidRPr="00666ECE">
        <w:t xml:space="preserve">Under constitutional arrangements, State and Territory </w:t>
      </w:r>
      <w:r w:rsidR="00DA2525">
        <w:t xml:space="preserve">governments </w:t>
      </w:r>
      <w:r w:rsidR="00EC7696">
        <w:t xml:space="preserve">are responsible for ensuring </w:t>
      </w:r>
      <w:r w:rsidRPr="00666ECE">
        <w:t>the delivery of schooling to all children of school age</w:t>
      </w:r>
      <w:r w:rsidR="00EC7696">
        <w:t xml:space="preserve"> in their jurisdictions</w:t>
      </w:r>
      <w:r w:rsidRPr="00666ECE">
        <w:t xml:space="preserve">. They determine curricula, regulate school activities and provide most of the funding. State and Territory governments are directly responsible for the administration of government </w:t>
      </w:r>
      <w:r w:rsidRPr="00666ECE">
        <w:lastRenderedPageBreak/>
        <w:t>schools, for which they provide the majority of government funding. Non-government schools operate under conditions determined by State and Territory government registration authorities and also receive State and Territory government funding.</w:t>
      </w:r>
    </w:p>
    <w:p w:rsidR="00926CAF" w:rsidRPr="004145D6" w:rsidRDefault="00BD3A56" w:rsidP="00926CAF">
      <w:pPr>
        <w:spacing w:before="240" w:line="300" w:lineRule="atLeast"/>
        <w:jc w:val="both"/>
        <w:rPr>
          <w:rStyle w:val="BodyTextChar"/>
        </w:rPr>
      </w:pPr>
      <w:r>
        <w:rPr>
          <w:rStyle w:val="BodyTextChar"/>
        </w:rPr>
        <w:t xml:space="preserve">The Australian Government provides funding to states and territories for school education. </w:t>
      </w:r>
      <w:r w:rsidR="00666ECE" w:rsidRPr="004145D6">
        <w:rPr>
          <w:rStyle w:val="BodyTextChar"/>
        </w:rPr>
        <w:t>The major element</w:t>
      </w:r>
      <w:r w:rsidR="008D60E8">
        <w:rPr>
          <w:rStyle w:val="BodyTextChar"/>
        </w:rPr>
        <w:t>s</w:t>
      </w:r>
      <w:r w:rsidR="00666ECE" w:rsidRPr="004145D6">
        <w:rPr>
          <w:rStyle w:val="BodyTextChar"/>
        </w:rPr>
        <w:t xml:space="preserve"> of Australian Government funding </w:t>
      </w:r>
      <w:r w:rsidR="000674C4" w:rsidRPr="004145D6">
        <w:rPr>
          <w:rStyle w:val="BodyTextChar"/>
        </w:rPr>
        <w:t>in 201</w:t>
      </w:r>
      <w:r w:rsidR="008D60E8">
        <w:rPr>
          <w:rStyle w:val="BodyTextChar"/>
        </w:rPr>
        <w:t>3</w:t>
      </w:r>
      <w:r w:rsidR="000674C4" w:rsidRPr="004145D6">
        <w:rPr>
          <w:rStyle w:val="BodyTextChar"/>
        </w:rPr>
        <w:t>-1</w:t>
      </w:r>
      <w:r w:rsidR="008D60E8">
        <w:rPr>
          <w:rStyle w:val="BodyTextChar"/>
        </w:rPr>
        <w:t>4</w:t>
      </w:r>
      <w:r w:rsidR="000674C4" w:rsidRPr="004145D6">
        <w:rPr>
          <w:rStyle w:val="BodyTextChar"/>
        </w:rPr>
        <w:t xml:space="preserve"> </w:t>
      </w:r>
      <w:r w:rsidR="00761473" w:rsidRPr="004145D6">
        <w:rPr>
          <w:rStyle w:val="BodyTextChar"/>
        </w:rPr>
        <w:t>w</w:t>
      </w:r>
      <w:r>
        <w:rPr>
          <w:rStyle w:val="BodyTextChar"/>
        </w:rPr>
        <w:t>ere</w:t>
      </w:r>
      <w:r w:rsidR="00666ECE" w:rsidRPr="004145D6">
        <w:rPr>
          <w:rStyle w:val="BodyTextChar"/>
        </w:rPr>
        <w:t xml:space="preserve"> provided through the National Schools Specific Purpose Payment (SPP)</w:t>
      </w:r>
      <w:r w:rsidR="008D60E8">
        <w:rPr>
          <w:rStyle w:val="BodyTextChar"/>
        </w:rPr>
        <w:t xml:space="preserve"> (</w:t>
      </w:r>
      <w:r>
        <w:rPr>
          <w:rStyle w:val="BodyTextChar"/>
        </w:rPr>
        <w:t xml:space="preserve">until </w:t>
      </w:r>
      <w:r w:rsidR="008D60E8">
        <w:rPr>
          <w:rStyle w:val="BodyTextChar"/>
        </w:rPr>
        <w:t>31 December 2013)</w:t>
      </w:r>
      <w:r w:rsidR="00482120">
        <w:rPr>
          <w:rStyle w:val="BodyTextChar"/>
        </w:rPr>
        <w:t xml:space="preserve"> </w:t>
      </w:r>
      <w:r w:rsidR="008D60E8">
        <w:rPr>
          <w:rStyle w:val="BodyTextChar"/>
        </w:rPr>
        <w:t>and the Students First program (</w:t>
      </w:r>
      <w:r>
        <w:rPr>
          <w:rStyle w:val="BodyTextChar"/>
        </w:rPr>
        <w:t xml:space="preserve">from </w:t>
      </w:r>
      <w:r w:rsidR="008D60E8">
        <w:rPr>
          <w:rStyle w:val="BodyTextChar"/>
        </w:rPr>
        <w:t>1 January 2014)</w:t>
      </w:r>
      <w:r w:rsidR="00666ECE" w:rsidRPr="004145D6">
        <w:rPr>
          <w:rStyle w:val="BodyTextChar"/>
        </w:rPr>
        <w:t>.</w:t>
      </w:r>
      <w:r w:rsidR="00926CAF">
        <w:rPr>
          <w:rStyle w:val="FootnoteReference"/>
        </w:rPr>
        <w:footnoteReference w:id="1"/>
      </w:r>
      <w:r w:rsidR="00666ECE" w:rsidRPr="004145D6">
        <w:rPr>
          <w:rStyle w:val="BodyTextChar"/>
        </w:rPr>
        <w:t xml:space="preserve"> </w:t>
      </w:r>
      <w:r w:rsidR="00D37062">
        <w:rPr>
          <w:rStyle w:val="BodyTextChar"/>
        </w:rPr>
        <w:t>See box </w:t>
      </w:r>
      <w:r w:rsidR="003F004E">
        <w:rPr>
          <w:rStyle w:val="BodyTextChar"/>
        </w:rPr>
        <w:t>4.6</w:t>
      </w:r>
      <w:r w:rsidR="00D37062">
        <w:rPr>
          <w:rStyle w:val="BodyTextChar"/>
        </w:rPr>
        <w:t xml:space="preserve"> for further information.</w:t>
      </w:r>
    </w:p>
    <w:p w:rsidR="00666ECE" w:rsidRDefault="00666ECE" w:rsidP="00B56EE3">
      <w:pPr>
        <w:spacing w:before="240" w:line="300" w:lineRule="atLeast"/>
        <w:jc w:val="both"/>
      </w:pPr>
      <w:r w:rsidRPr="000E6F59">
        <w:t xml:space="preserve">The </w:t>
      </w:r>
      <w:r w:rsidR="008F46A2">
        <w:t>Education</w:t>
      </w:r>
      <w:r w:rsidRPr="000E6F59">
        <w:t xml:space="preserve"> Council</w:t>
      </w:r>
      <w:r w:rsidR="00926CAF" w:rsidRPr="000E6F59">
        <w:t xml:space="preserve"> </w:t>
      </w:r>
      <w:r w:rsidRPr="000E6F59">
        <w:t>— comprising Australian, State and Territory, and New Zealand education ministers</w:t>
      </w:r>
      <w:r w:rsidRPr="00666ECE">
        <w:t xml:space="preserve"> — is the principal forum for developing national priorities and strategies for schooling.</w:t>
      </w:r>
    </w:p>
    <w:p w:rsidR="00666ECE" w:rsidRPr="007B0AE2" w:rsidRDefault="00666ECE" w:rsidP="007B0AE2">
      <w:pPr>
        <w:pStyle w:val="Heading3"/>
      </w:pPr>
      <w:r w:rsidRPr="007B0AE2">
        <w:t>Funding</w:t>
      </w:r>
    </w:p>
    <w:p w:rsidR="00532BAB" w:rsidRDefault="00666ECE" w:rsidP="00953E9C">
      <w:pPr>
        <w:pStyle w:val="BodyText"/>
        <w:shd w:val="clear" w:color="auto" w:fill="FFFFFF" w:themeFill="background1"/>
        <w:rPr>
          <w:shd w:val="clear" w:color="auto" w:fill="FFFFFF" w:themeFill="background1"/>
        </w:rPr>
      </w:pPr>
      <w:r w:rsidRPr="008D60E8">
        <w:t xml:space="preserve">Australian, State and Territory government recurrent expenditure on school </w:t>
      </w:r>
      <w:r w:rsidRPr="008D60E8">
        <w:rPr>
          <w:shd w:val="clear" w:color="auto" w:fill="FFFFFF" w:themeFill="background1"/>
        </w:rPr>
        <w:t>education was $</w:t>
      </w:r>
      <w:r w:rsidR="00C92ED0">
        <w:rPr>
          <w:shd w:val="clear" w:color="auto" w:fill="FFFFFF" w:themeFill="background1"/>
        </w:rPr>
        <w:t>50.4</w:t>
      </w:r>
      <w:r w:rsidRPr="008D60E8">
        <w:rPr>
          <w:shd w:val="clear" w:color="auto" w:fill="FFFFFF" w:themeFill="background1"/>
        </w:rPr>
        <w:t xml:space="preserve"> billion in 201</w:t>
      </w:r>
      <w:r w:rsidR="008D60E8" w:rsidRPr="008D60E8">
        <w:rPr>
          <w:shd w:val="clear" w:color="auto" w:fill="FFFFFF" w:themeFill="background1"/>
        </w:rPr>
        <w:t>3</w:t>
      </w:r>
      <w:r w:rsidRPr="008D60E8">
        <w:rPr>
          <w:shd w:val="clear" w:color="auto" w:fill="FFFFFF" w:themeFill="background1"/>
        </w:rPr>
        <w:t>-1</w:t>
      </w:r>
      <w:r w:rsidR="008D60E8" w:rsidRPr="008D60E8">
        <w:rPr>
          <w:shd w:val="clear" w:color="auto" w:fill="FFFFFF" w:themeFill="background1"/>
        </w:rPr>
        <w:t>4</w:t>
      </w:r>
      <w:r w:rsidRPr="008D60E8">
        <w:rPr>
          <w:shd w:val="clear" w:color="auto" w:fill="FFFFFF" w:themeFill="background1"/>
        </w:rPr>
        <w:t xml:space="preserve"> (table 4.1)</w:t>
      </w:r>
      <w:r w:rsidR="00532BAB">
        <w:rPr>
          <w:shd w:val="clear" w:color="auto" w:fill="FFFFFF" w:themeFill="background1"/>
        </w:rPr>
        <w:t xml:space="preserve">, with </w:t>
      </w:r>
      <w:r w:rsidR="00B56EE3" w:rsidRPr="007F3B2E">
        <w:rPr>
          <w:shd w:val="clear" w:color="auto" w:fill="FFFFFF" w:themeFill="background1"/>
        </w:rPr>
        <w:t>76.</w:t>
      </w:r>
      <w:r w:rsidR="00A76A43" w:rsidRPr="007F3B2E">
        <w:rPr>
          <w:shd w:val="clear" w:color="auto" w:fill="FFFFFF" w:themeFill="background1"/>
        </w:rPr>
        <w:t>3</w:t>
      </w:r>
      <w:r w:rsidR="00532BAB" w:rsidRPr="007F3B2E">
        <w:rPr>
          <w:shd w:val="clear" w:color="auto" w:fill="FFFFFF" w:themeFill="background1"/>
        </w:rPr>
        <w:t xml:space="preserve"> per cent on government schools and </w:t>
      </w:r>
      <w:r w:rsidR="00B56EE3" w:rsidRPr="007F3B2E">
        <w:rPr>
          <w:shd w:val="clear" w:color="auto" w:fill="FFFFFF" w:themeFill="background1"/>
        </w:rPr>
        <w:t>23.</w:t>
      </w:r>
      <w:r w:rsidR="004969A8" w:rsidRPr="007F3B2E">
        <w:rPr>
          <w:shd w:val="clear" w:color="auto" w:fill="FFFFFF" w:themeFill="background1"/>
        </w:rPr>
        <w:t>7</w:t>
      </w:r>
      <w:r w:rsidR="00B56EE3" w:rsidRPr="007F3B2E">
        <w:rPr>
          <w:shd w:val="clear" w:color="auto" w:fill="FFFFFF" w:themeFill="background1"/>
        </w:rPr>
        <w:t> </w:t>
      </w:r>
      <w:r w:rsidR="00532BAB" w:rsidRPr="007F3B2E">
        <w:rPr>
          <w:shd w:val="clear" w:color="auto" w:fill="FFFFFF" w:themeFill="background1"/>
        </w:rPr>
        <w:t>per</w:t>
      </w:r>
      <w:r w:rsidR="00B56EE3" w:rsidRPr="007F3B2E">
        <w:rPr>
          <w:shd w:val="clear" w:color="auto" w:fill="FFFFFF" w:themeFill="background1"/>
        </w:rPr>
        <w:t> </w:t>
      </w:r>
      <w:r w:rsidR="00532BAB" w:rsidRPr="007F3B2E">
        <w:rPr>
          <w:shd w:val="clear" w:color="auto" w:fill="FFFFFF" w:themeFill="background1"/>
        </w:rPr>
        <w:t>cent on non-government scho</w:t>
      </w:r>
      <w:r w:rsidR="00532BAB">
        <w:rPr>
          <w:shd w:val="clear" w:color="auto" w:fill="FFFFFF" w:themeFill="background1"/>
        </w:rPr>
        <w:t>ols</w:t>
      </w:r>
      <w:r w:rsidRPr="008D60E8">
        <w:rPr>
          <w:shd w:val="clear" w:color="auto" w:fill="FFFFFF" w:themeFill="background1"/>
        </w:rPr>
        <w:t xml:space="preserve">. </w:t>
      </w:r>
    </w:p>
    <w:p w:rsidR="00666ECE" w:rsidRPr="008D60E8" w:rsidRDefault="00532BAB" w:rsidP="00953E9C">
      <w:pPr>
        <w:pStyle w:val="BodyText"/>
        <w:shd w:val="clear" w:color="auto" w:fill="FFFFFF" w:themeFill="background1"/>
      </w:pPr>
      <w:r>
        <w:rPr>
          <w:shd w:val="clear" w:color="auto" w:fill="FFFFFF" w:themeFill="background1"/>
        </w:rPr>
        <w:t>In 2013-14, e</w:t>
      </w:r>
      <w:r w:rsidR="00666ECE" w:rsidRPr="008D60E8">
        <w:rPr>
          <w:shd w:val="clear" w:color="auto" w:fill="FFFFFF" w:themeFill="background1"/>
        </w:rPr>
        <w:t xml:space="preserve">xpenditure on </w:t>
      </w:r>
      <w:r w:rsidR="00666ECE" w:rsidRPr="007F3B2E">
        <w:rPr>
          <w:shd w:val="clear" w:color="auto" w:fill="FFFFFF" w:themeFill="background1"/>
        </w:rPr>
        <w:t>government schools was $</w:t>
      </w:r>
      <w:r w:rsidR="00B56EE3" w:rsidRPr="007F3B2E">
        <w:rPr>
          <w:shd w:val="clear" w:color="auto" w:fill="FFFFFF" w:themeFill="background1"/>
        </w:rPr>
        <w:t>38.5</w:t>
      </w:r>
      <w:r w:rsidR="00613CE6" w:rsidRPr="007F3B2E">
        <w:rPr>
          <w:shd w:val="clear" w:color="auto" w:fill="FFFFFF" w:themeFill="background1"/>
        </w:rPr>
        <w:t xml:space="preserve"> </w:t>
      </w:r>
      <w:r w:rsidR="00666ECE" w:rsidRPr="007F3B2E">
        <w:rPr>
          <w:shd w:val="clear" w:color="auto" w:fill="FFFFFF" w:themeFill="background1"/>
        </w:rPr>
        <w:t>billion. State and Territory governments</w:t>
      </w:r>
      <w:r w:rsidRPr="007F3B2E">
        <w:rPr>
          <w:shd w:val="clear" w:color="auto" w:fill="FFFFFF" w:themeFill="background1"/>
        </w:rPr>
        <w:t xml:space="preserve"> </w:t>
      </w:r>
      <w:r w:rsidR="00A76A43" w:rsidRPr="007F3B2E">
        <w:rPr>
          <w:shd w:val="clear" w:color="auto" w:fill="FFFFFF" w:themeFill="background1"/>
        </w:rPr>
        <w:t xml:space="preserve">provide </w:t>
      </w:r>
      <w:r w:rsidR="00B56EE3" w:rsidRPr="007F3B2E">
        <w:rPr>
          <w:shd w:val="clear" w:color="auto" w:fill="FFFFFF" w:themeFill="background1"/>
        </w:rPr>
        <w:t>87.3</w:t>
      </w:r>
      <w:r w:rsidRPr="007F3B2E">
        <w:rPr>
          <w:shd w:val="clear" w:color="auto" w:fill="FFFFFF" w:themeFill="background1"/>
        </w:rPr>
        <w:t xml:space="preserve"> per cent</w:t>
      </w:r>
      <w:r w:rsidR="00A76A43" w:rsidRPr="007F3B2E">
        <w:rPr>
          <w:shd w:val="clear" w:color="auto" w:fill="FFFFFF" w:themeFill="background1"/>
        </w:rPr>
        <w:t xml:space="preserve"> of this funding</w:t>
      </w:r>
      <w:r w:rsidR="00D51826" w:rsidRPr="007F3B2E">
        <w:rPr>
          <w:shd w:val="clear" w:color="auto" w:fill="FFFFFF" w:themeFill="background1"/>
        </w:rPr>
        <w:t>, although t</w:t>
      </w:r>
      <w:r w:rsidR="00666ECE" w:rsidRPr="007F3B2E">
        <w:rPr>
          <w:shd w:val="clear" w:color="auto" w:fill="FFFFFF" w:themeFill="background1"/>
        </w:rPr>
        <w:t>hese governments also contribute to the funding of non-government</w:t>
      </w:r>
      <w:r w:rsidR="00666ECE" w:rsidRPr="008D60E8">
        <w:t xml:space="preserve"> schools and provide services used by both government and non-government schools. </w:t>
      </w:r>
    </w:p>
    <w:p w:rsidR="00666ECE" w:rsidRPr="008D60E8" w:rsidRDefault="00532BAB" w:rsidP="00953E9C">
      <w:pPr>
        <w:pStyle w:val="BodyText"/>
        <w:shd w:val="clear" w:color="auto" w:fill="FFFFFF" w:themeFill="background1"/>
      </w:pPr>
      <w:r>
        <w:rPr>
          <w:shd w:val="clear" w:color="auto" w:fill="FFFFFF" w:themeFill="background1"/>
        </w:rPr>
        <w:t>G</w:t>
      </w:r>
      <w:r w:rsidR="00666ECE" w:rsidRPr="008D60E8">
        <w:rPr>
          <w:shd w:val="clear" w:color="auto" w:fill="FFFFFF" w:themeFill="background1"/>
        </w:rPr>
        <w:t xml:space="preserve">overnment </w:t>
      </w:r>
      <w:r w:rsidR="00666ECE" w:rsidRPr="007F3B2E">
        <w:rPr>
          <w:shd w:val="clear" w:color="auto" w:fill="FFFFFF" w:themeFill="background1"/>
        </w:rPr>
        <w:t xml:space="preserve">expenditure on non-government schools in </w:t>
      </w:r>
      <w:r w:rsidRPr="007F3B2E">
        <w:rPr>
          <w:shd w:val="clear" w:color="auto" w:fill="FFFFFF" w:themeFill="background1"/>
        </w:rPr>
        <w:t>2013-14</w:t>
      </w:r>
      <w:r w:rsidR="00666ECE" w:rsidRPr="007F3B2E">
        <w:rPr>
          <w:shd w:val="clear" w:color="auto" w:fill="FFFFFF" w:themeFill="background1"/>
        </w:rPr>
        <w:t xml:space="preserve"> was mainly provided by the Australian Government (</w:t>
      </w:r>
      <w:r w:rsidR="0037014B" w:rsidRPr="007F3B2E">
        <w:rPr>
          <w:shd w:val="clear" w:color="auto" w:fill="FFFFFF" w:themeFill="background1"/>
        </w:rPr>
        <w:t>74.0</w:t>
      </w:r>
      <w:r w:rsidR="00666ECE" w:rsidRPr="007F3B2E">
        <w:rPr>
          <w:shd w:val="clear" w:color="auto" w:fill="FFFFFF" w:themeFill="background1"/>
        </w:rPr>
        <w:t xml:space="preserve"> per cent), with State and Territory governments providing </w:t>
      </w:r>
      <w:r w:rsidR="00B56EE3" w:rsidRPr="007F3B2E">
        <w:rPr>
          <w:shd w:val="clear" w:color="auto" w:fill="FFFFFF" w:themeFill="background1"/>
        </w:rPr>
        <w:t>26.</w:t>
      </w:r>
      <w:r w:rsidR="0037014B" w:rsidRPr="007F3B2E">
        <w:rPr>
          <w:shd w:val="clear" w:color="auto" w:fill="FFFFFF" w:themeFill="background1"/>
        </w:rPr>
        <w:t>0</w:t>
      </w:r>
      <w:r w:rsidR="00B56EE3" w:rsidRPr="007F3B2E">
        <w:rPr>
          <w:shd w:val="clear" w:color="auto" w:fill="FFFFFF" w:themeFill="background1"/>
        </w:rPr>
        <w:t xml:space="preserve"> </w:t>
      </w:r>
      <w:r w:rsidR="00666ECE" w:rsidRPr="007F3B2E">
        <w:rPr>
          <w:shd w:val="clear" w:color="auto" w:fill="FFFFFF" w:themeFill="background1"/>
        </w:rPr>
        <w:t>per cent</w:t>
      </w:r>
      <w:r w:rsidR="00666ECE" w:rsidRPr="008D60E8">
        <w:rPr>
          <w:shd w:val="clear" w:color="auto" w:fill="FFFFFF" w:themeFill="background1"/>
        </w:rPr>
        <w:t xml:space="preserve"> (table 4.1).</w:t>
      </w:r>
    </w:p>
    <w:p w:rsidR="009807CA" w:rsidRPr="008D60E8" w:rsidRDefault="0035340F" w:rsidP="00953E9C">
      <w:pPr>
        <w:pStyle w:val="BodyText"/>
        <w:shd w:val="clear" w:color="auto" w:fill="FFFFFF" w:themeFill="background1"/>
      </w:pPr>
      <w:r>
        <w:t xml:space="preserve">Historical data are available in </w:t>
      </w:r>
      <w:r w:rsidR="00666ECE" w:rsidRPr="008D60E8">
        <w:t>tables 4A.7</w:t>
      </w:r>
      <w:r w:rsidR="009807CA" w:rsidRPr="008D60E8">
        <w:t>–</w:t>
      </w:r>
      <w:r>
        <w:t>8, and disaggregation of Australian Government payments for 2013-14 are available in table 4A.9</w:t>
      </w:r>
      <w:r w:rsidR="009807CA" w:rsidRPr="008D60E8">
        <w:t>.</w:t>
      </w:r>
    </w:p>
    <w:p w:rsidR="00271DC3" w:rsidRPr="008D60E8" w:rsidRDefault="00271DC3" w:rsidP="00953E9C">
      <w:pPr>
        <w:pStyle w:val="BoxSpaceAbove"/>
        <w:shd w:val="clear" w:color="auto" w:fill="FFFFFF" w:themeFill="background1"/>
        <w:spacing w:before="280"/>
      </w:pPr>
      <w:bookmarkStart w:id="15" w:name="OLE_LINK76"/>
      <w:bookmarkStart w:id="16" w:name="OLE_LINK77"/>
      <w:bookmarkStart w:id="17" w:name="OLE_LINK30"/>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271DC3" w:rsidRPr="008D60E8" w:rsidTr="008D60E8">
        <w:tc>
          <w:tcPr>
            <w:tcW w:w="8767" w:type="dxa"/>
            <w:tcBorders>
              <w:top w:val="single" w:sz="6" w:space="0" w:color="78A22F"/>
              <w:left w:val="nil"/>
              <w:bottom w:val="nil"/>
              <w:right w:val="nil"/>
            </w:tcBorders>
            <w:shd w:val="clear" w:color="auto" w:fill="FFFFFF" w:themeFill="background1"/>
          </w:tcPr>
          <w:p w:rsidR="00271DC3" w:rsidRPr="008D60E8" w:rsidRDefault="00271DC3" w:rsidP="00742D58">
            <w:pPr>
              <w:pStyle w:val="TableTitle"/>
              <w:shd w:val="clear" w:color="auto" w:fill="FFFFFF" w:themeFill="background1"/>
            </w:pPr>
            <w:r w:rsidRPr="00953E9C">
              <w:rPr>
                <w:b w:val="0"/>
                <w:shd w:val="clear" w:color="auto" w:fill="FFFFFF" w:themeFill="background1"/>
              </w:rPr>
              <w:t xml:space="preserve">Table </w:t>
            </w:r>
            <w:r w:rsidR="00B70781" w:rsidRPr="00953E9C">
              <w:rPr>
                <w:b w:val="0"/>
                <w:shd w:val="clear" w:color="auto" w:fill="FFFFFF" w:themeFill="background1"/>
              </w:rPr>
              <w:t>4.</w:t>
            </w:r>
            <w:r w:rsidR="00FF4FBD">
              <w:rPr>
                <w:b w:val="0"/>
                <w:noProof/>
                <w:shd w:val="clear" w:color="auto" w:fill="FFFFFF" w:themeFill="background1"/>
              </w:rPr>
              <w:t>1</w:t>
            </w:r>
            <w:r w:rsidRPr="00953E9C">
              <w:rPr>
                <w:shd w:val="clear" w:color="auto" w:fill="FFFFFF" w:themeFill="background1"/>
              </w:rPr>
              <w:tab/>
              <w:t xml:space="preserve">Government recurrent expenditure on school education, </w:t>
            </w:r>
            <w:r w:rsidRPr="00953E9C">
              <w:rPr>
                <w:shd w:val="clear" w:color="auto" w:fill="FFFFFF" w:themeFill="background1"/>
              </w:rPr>
              <w:br/>
              <w:t>201</w:t>
            </w:r>
            <w:r w:rsidR="00275141" w:rsidRPr="00953E9C">
              <w:rPr>
                <w:shd w:val="clear" w:color="auto" w:fill="FFFFFF" w:themeFill="background1"/>
              </w:rPr>
              <w:t>3</w:t>
            </w:r>
            <w:r w:rsidRPr="00953E9C">
              <w:rPr>
                <w:shd w:val="clear" w:color="auto" w:fill="FFFFFF" w:themeFill="background1"/>
              </w:rPr>
              <w:t>-1</w:t>
            </w:r>
            <w:r w:rsidR="00275141" w:rsidRPr="00953E9C">
              <w:rPr>
                <w:shd w:val="clear" w:color="auto" w:fill="FFFFFF" w:themeFill="background1"/>
              </w:rPr>
              <w:t>4</w:t>
            </w:r>
            <w:r w:rsidRPr="00953E9C">
              <w:rPr>
                <w:shd w:val="clear" w:color="auto" w:fill="FFFFFF" w:themeFill="background1"/>
              </w:rPr>
              <w:t xml:space="preserve"> ($ million)</w:t>
            </w:r>
            <w:r w:rsidRPr="00953E9C">
              <w:rPr>
                <w:rStyle w:val="NoteLabel"/>
                <w:b/>
                <w:shd w:val="clear" w:color="auto" w:fill="FFFFFF" w:themeFill="background1"/>
              </w:rPr>
              <w:t>a</w:t>
            </w:r>
            <w:r w:rsidR="004B55B1">
              <w:rPr>
                <w:rStyle w:val="NoteLabel"/>
                <w:b/>
                <w:shd w:val="clear" w:color="auto" w:fill="FFFFFF" w:themeFill="background1"/>
              </w:rPr>
              <w:t xml:space="preserve"> </w:t>
            </w:r>
          </w:p>
        </w:tc>
      </w:tr>
      <w:tr w:rsidR="00271DC3" w:rsidRPr="008D60E8" w:rsidTr="008D60E8">
        <w:trPr>
          <w:cantSplit/>
        </w:trPr>
        <w:tc>
          <w:tcPr>
            <w:tcW w:w="8767" w:type="dxa"/>
            <w:tcBorders>
              <w:top w:val="nil"/>
              <w:left w:val="nil"/>
              <w:bottom w:val="nil"/>
              <w:right w:val="nil"/>
            </w:tcBorders>
            <w:shd w:val="clear" w:color="auto" w:fill="FFFFFF" w:themeFill="background1"/>
          </w:tcPr>
          <w:tbl>
            <w:tblPr>
              <w:tblW w:w="8483" w:type="dxa"/>
              <w:tblCellMar>
                <w:left w:w="0" w:type="dxa"/>
                <w:right w:w="0" w:type="dxa"/>
              </w:tblCellMar>
              <w:tblLook w:val="0000" w:firstRow="0" w:lastRow="0" w:firstColumn="0" w:lastColumn="0" w:noHBand="0" w:noVBand="0"/>
            </w:tblPr>
            <w:tblGrid>
              <w:gridCol w:w="2265"/>
              <w:gridCol w:w="686"/>
              <w:gridCol w:w="848"/>
              <w:gridCol w:w="708"/>
              <w:gridCol w:w="708"/>
              <w:gridCol w:w="708"/>
              <w:gridCol w:w="707"/>
              <w:gridCol w:w="577"/>
              <w:gridCol w:w="568"/>
              <w:gridCol w:w="708"/>
            </w:tblGrid>
            <w:tr w:rsidR="00742D58" w:rsidRPr="008D60E8" w:rsidTr="009B1E55">
              <w:tc>
                <w:tcPr>
                  <w:tcW w:w="2265" w:type="dxa"/>
                  <w:tcBorders>
                    <w:top w:val="single" w:sz="6" w:space="0" w:color="BFBFBF" w:themeColor="background2"/>
                    <w:bottom w:val="single" w:sz="6" w:space="0" w:color="BFBFBF" w:themeColor="background2"/>
                  </w:tcBorders>
                  <w:shd w:val="clear" w:color="auto" w:fill="auto"/>
                </w:tcPr>
                <w:p w:rsidR="00271DC3" w:rsidRPr="008D60E8" w:rsidRDefault="00271DC3" w:rsidP="00953E9C">
                  <w:pPr>
                    <w:keepNext/>
                    <w:keepLines/>
                    <w:shd w:val="clear" w:color="auto" w:fill="FFFFFF" w:themeFill="background1"/>
                    <w:spacing w:before="80" w:after="80" w:line="220" w:lineRule="atLeast"/>
                    <w:ind w:left="6" w:right="113"/>
                    <w:rPr>
                      <w:rFonts w:ascii="Arial" w:hAnsi="Arial"/>
                      <w:i/>
                      <w:sz w:val="20"/>
                      <w:szCs w:val="20"/>
                    </w:rPr>
                  </w:pPr>
                </w:p>
              </w:tc>
              <w:tc>
                <w:tcPr>
                  <w:tcW w:w="686" w:type="dxa"/>
                  <w:tcBorders>
                    <w:top w:val="single" w:sz="6" w:space="0" w:color="BFBFBF" w:themeColor="background2"/>
                    <w:bottom w:val="single" w:sz="6" w:space="0" w:color="BFBFBF" w:themeColor="background2"/>
                  </w:tcBorders>
                  <w:shd w:val="clear" w:color="auto" w:fill="auto"/>
                </w:tcPr>
                <w:p w:rsidR="00271DC3" w:rsidRPr="008D60E8" w:rsidRDefault="00271DC3" w:rsidP="00953E9C">
                  <w:pPr>
                    <w:pStyle w:val="TableColumnHeading"/>
                    <w:shd w:val="clear" w:color="auto" w:fill="FFFFFF" w:themeFill="background1"/>
                    <w:ind w:left="0" w:right="28"/>
                  </w:pPr>
                  <w:r w:rsidRPr="008D60E8">
                    <w:t>NSW</w:t>
                  </w:r>
                </w:p>
              </w:tc>
              <w:tc>
                <w:tcPr>
                  <w:tcW w:w="848" w:type="dxa"/>
                  <w:tcBorders>
                    <w:top w:val="single" w:sz="6" w:space="0" w:color="BFBFBF" w:themeColor="background2"/>
                    <w:bottom w:val="single" w:sz="6" w:space="0" w:color="BFBFBF" w:themeColor="background2"/>
                  </w:tcBorders>
                  <w:shd w:val="clear" w:color="auto" w:fill="auto"/>
                </w:tcPr>
                <w:p w:rsidR="00271DC3" w:rsidRPr="008D60E8" w:rsidRDefault="00271DC3" w:rsidP="00953E9C">
                  <w:pPr>
                    <w:pStyle w:val="TableColumnHeading"/>
                    <w:shd w:val="clear" w:color="auto" w:fill="FFFFFF" w:themeFill="background1"/>
                    <w:ind w:left="0" w:right="28"/>
                  </w:pPr>
                  <w:r w:rsidRPr="008D60E8">
                    <w:t>Vic</w:t>
                  </w:r>
                </w:p>
              </w:tc>
              <w:tc>
                <w:tcPr>
                  <w:tcW w:w="708" w:type="dxa"/>
                  <w:tcBorders>
                    <w:top w:val="single" w:sz="6" w:space="0" w:color="BFBFBF" w:themeColor="background2"/>
                    <w:bottom w:val="single" w:sz="6" w:space="0" w:color="BFBFBF" w:themeColor="background2"/>
                  </w:tcBorders>
                  <w:shd w:val="clear" w:color="auto" w:fill="auto"/>
                </w:tcPr>
                <w:p w:rsidR="00271DC3" w:rsidRPr="008D60E8" w:rsidRDefault="00271DC3" w:rsidP="00953E9C">
                  <w:pPr>
                    <w:pStyle w:val="TableColumnHeading"/>
                    <w:shd w:val="clear" w:color="auto" w:fill="FFFFFF" w:themeFill="background1"/>
                    <w:ind w:left="0" w:right="28"/>
                  </w:pPr>
                  <w:r w:rsidRPr="008D60E8">
                    <w:t>Qld</w:t>
                  </w:r>
                </w:p>
              </w:tc>
              <w:tc>
                <w:tcPr>
                  <w:tcW w:w="708" w:type="dxa"/>
                  <w:tcBorders>
                    <w:top w:val="single" w:sz="6" w:space="0" w:color="BFBFBF" w:themeColor="background2"/>
                    <w:bottom w:val="single" w:sz="6" w:space="0" w:color="BFBFBF" w:themeColor="background2"/>
                  </w:tcBorders>
                  <w:shd w:val="clear" w:color="auto" w:fill="auto"/>
                </w:tcPr>
                <w:p w:rsidR="00271DC3" w:rsidRPr="008D60E8" w:rsidRDefault="00271DC3" w:rsidP="00953E9C">
                  <w:pPr>
                    <w:pStyle w:val="TableColumnHeading"/>
                    <w:shd w:val="clear" w:color="auto" w:fill="FFFFFF" w:themeFill="background1"/>
                    <w:ind w:left="0" w:right="28"/>
                  </w:pPr>
                  <w:r w:rsidRPr="008D60E8">
                    <w:t>WA</w:t>
                  </w:r>
                </w:p>
              </w:tc>
              <w:tc>
                <w:tcPr>
                  <w:tcW w:w="708" w:type="dxa"/>
                  <w:tcBorders>
                    <w:top w:val="single" w:sz="6" w:space="0" w:color="BFBFBF" w:themeColor="background2"/>
                    <w:bottom w:val="single" w:sz="6" w:space="0" w:color="BFBFBF" w:themeColor="background2"/>
                  </w:tcBorders>
                  <w:shd w:val="clear" w:color="auto" w:fill="auto"/>
                </w:tcPr>
                <w:p w:rsidR="00271DC3" w:rsidRPr="008D60E8" w:rsidRDefault="00271DC3" w:rsidP="00953E9C">
                  <w:pPr>
                    <w:pStyle w:val="TableColumnHeading"/>
                    <w:shd w:val="clear" w:color="auto" w:fill="FFFFFF" w:themeFill="background1"/>
                    <w:ind w:left="0" w:right="28"/>
                  </w:pPr>
                  <w:r w:rsidRPr="008D60E8">
                    <w:t>SA</w:t>
                  </w:r>
                </w:p>
              </w:tc>
              <w:tc>
                <w:tcPr>
                  <w:tcW w:w="707" w:type="dxa"/>
                  <w:tcBorders>
                    <w:top w:val="single" w:sz="6" w:space="0" w:color="BFBFBF" w:themeColor="background2"/>
                    <w:bottom w:val="single" w:sz="6" w:space="0" w:color="BFBFBF" w:themeColor="background2"/>
                  </w:tcBorders>
                  <w:shd w:val="clear" w:color="auto" w:fill="auto"/>
                </w:tcPr>
                <w:p w:rsidR="00271DC3" w:rsidRPr="008D60E8" w:rsidRDefault="00271DC3" w:rsidP="00953E9C">
                  <w:pPr>
                    <w:pStyle w:val="TableColumnHeading"/>
                    <w:shd w:val="clear" w:color="auto" w:fill="FFFFFF" w:themeFill="background1"/>
                    <w:ind w:left="0" w:right="28"/>
                  </w:pPr>
                  <w:r w:rsidRPr="008D60E8">
                    <w:t>Tas</w:t>
                  </w:r>
                </w:p>
              </w:tc>
              <w:tc>
                <w:tcPr>
                  <w:tcW w:w="577" w:type="dxa"/>
                  <w:tcBorders>
                    <w:top w:val="single" w:sz="6" w:space="0" w:color="BFBFBF" w:themeColor="background2"/>
                    <w:bottom w:val="single" w:sz="6" w:space="0" w:color="BFBFBF" w:themeColor="background2"/>
                  </w:tcBorders>
                  <w:shd w:val="clear" w:color="auto" w:fill="auto"/>
                </w:tcPr>
                <w:p w:rsidR="00271DC3" w:rsidRPr="008D60E8" w:rsidRDefault="00271DC3" w:rsidP="00953E9C">
                  <w:pPr>
                    <w:pStyle w:val="TableColumnHeading"/>
                    <w:shd w:val="clear" w:color="auto" w:fill="FFFFFF" w:themeFill="background1"/>
                    <w:ind w:left="0" w:right="28"/>
                  </w:pPr>
                  <w:r w:rsidRPr="008D60E8">
                    <w:t>ACT</w:t>
                  </w:r>
                </w:p>
              </w:tc>
              <w:tc>
                <w:tcPr>
                  <w:tcW w:w="568" w:type="dxa"/>
                  <w:tcBorders>
                    <w:top w:val="single" w:sz="6" w:space="0" w:color="BFBFBF" w:themeColor="background2"/>
                    <w:bottom w:val="single" w:sz="6" w:space="0" w:color="BFBFBF" w:themeColor="background2"/>
                  </w:tcBorders>
                  <w:shd w:val="clear" w:color="auto" w:fill="auto"/>
                </w:tcPr>
                <w:p w:rsidR="00271DC3" w:rsidRPr="008D60E8" w:rsidRDefault="00271DC3" w:rsidP="00953E9C">
                  <w:pPr>
                    <w:pStyle w:val="TableColumnHeading"/>
                    <w:shd w:val="clear" w:color="auto" w:fill="FFFFFF" w:themeFill="background1"/>
                    <w:ind w:left="0" w:right="28"/>
                  </w:pPr>
                  <w:r w:rsidRPr="008D60E8">
                    <w:t>NT</w:t>
                  </w:r>
                </w:p>
              </w:tc>
              <w:tc>
                <w:tcPr>
                  <w:tcW w:w="708" w:type="dxa"/>
                  <w:tcBorders>
                    <w:top w:val="single" w:sz="6" w:space="0" w:color="BFBFBF" w:themeColor="background2"/>
                    <w:bottom w:val="single" w:sz="6" w:space="0" w:color="BFBFBF" w:themeColor="background2"/>
                  </w:tcBorders>
                  <w:shd w:val="clear" w:color="auto" w:fill="auto"/>
                </w:tcPr>
                <w:p w:rsidR="00271DC3" w:rsidRPr="008D60E8" w:rsidRDefault="00271DC3" w:rsidP="00953E9C">
                  <w:pPr>
                    <w:pStyle w:val="TableColumnHeading"/>
                    <w:shd w:val="clear" w:color="auto" w:fill="FFFFFF" w:themeFill="background1"/>
                    <w:ind w:left="0" w:right="28"/>
                  </w:pPr>
                  <w:r w:rsidRPr="008D60E8">
                    <w:t>Aust</w:t>
                  </w:r>
                </w:p>
              </w:tc>
            </w:tr>
            <w:tr w:rsidR="00742D58" w:rsidRPr="008D60E8" w:rsidTr="009B1E55">
              <w:tc>
                <w:tcPr>
                  <w:tcW w:w="2265" w:type="dxa"/>
                  <w:tcBorders>
                    <w:top w:val="single" w:sz="6" w:space="0" w:color="BFBFBF" w:themeColor="background2"/>
                  </w:tcBorders>
                </w:tcPr>
                <w:p w:rsidR="00271DC3" w:rsidRPr="008D60E8" w:rsidRDefault="00271DC3" w:rsidP="00953E9C">
                  <w:pPr>
                    <w:pStyle w:val="TableUnitsRow"/>
                    <w:shd w:val="clear" w:color="auto" w:fill="FFFFFF" w:themeFill="background1"/>
                    <w:jc w:val="left"/>
                    <w:rPr>
                      <w:b/>
                    </w:rPr>
                  </w:pPr>
                  <w:r w:rsidRPr="008D60E8">
                    <w:rPr>
                      <w:b/>
                    </w:rPr>
                    <w:t>Government schools</w:t>
                  </w:r>
                </w:p>
              </w:tc>
              <w:tc>
                <w:tcPr>
                  <w:tcW w:w="686" w:type="dxa"/>
                  <w:tcBorders>
                    <w:top w:val="single" w:sz="6" w:space="0" w:color="BFBFBF" w:themeColor="background2"/>
                  </w:tcBorders>
                </w:tcPr>
                <w:p w:rsidR="00271DC3" w:rsidRPr="008D60E8" w:rsidRDefault="00271DC3" w:rsidP="00953E9C">
                  <w:pPr>
                    <w:keepNext/>
                    <w:keepLines/>
                    <w:shd w:val="clear" w:color="auto" w:fill="FFFFFF" w:themeFill="background1"/>
                    <w:spacing w:before="40" w:after="40" w:line="220" w:lineRule="atLeast"/>
                    <w:ind w:left="6" w:right="113"/>
                    <w:jc w:val="right"/>
                    <w:rPr>
                      <w:rFonts w:ascii="Arial" w:hAnsi="Arial"/>
                      <w:sz w:val="20"/>
                      <w:szCs w:val="20"/>
                    </w:rPr>
                  </w:pPr>
                </w:p>
              </w:tc>
              <w:tc>
                <w:tcPr>
                  <w:tcW w:w="848" w:type="dxa"/>
                  <w:tcBorders>
                    <w:top w:val="single" w:sz="6" w:space="0" w:color="BFBFBF" w:themeColor="background2"/>
                  </w:tcBorders>
                </w:tcPr>
                <w:p w:rsidR="00271DC3" w:rsidRPr="008D60E8" w:rsidRDefault="00271DC3" w:rsidP="00953E9C">
                  <w:pPr>
                    <w:keepNext/>
                    <w:keepLines/>
                    <w:shd w:val="clear" w:color="auto" w:fill="FFFFFF" w:themeFill="background1"/>
                    <w:spacing w:before="40" w:after="40" w:line="220" w:lineRule="atLeast"/>
                    <w:ind w:left="6" w:right="113"/>
                    <w:jc w:val="right"/>
                    <w:rPr>
                      <w:rFonts w:ascii="Arial" w:hAnsi="Arial"/>
                      <w:sz w:val="20"/>
                      <w:szCs w:val="20"/>
                    </w:rPr>
                  </w:pPr>
                </w:p>
              </w:tc>
              <w:tc>
                <w:tcPr>
                  <w:tcW w:w="708" w:type="dxa"/>
                  <w:tcBorders>
                    <w:top w:val="single" w:sz="6" w:space="0" w:color="BFBFBF" w:themeColor="background2"/>
                  </w:tcBorders>
                </w:tcPr>
                <w:p w:rsidR="00271DC3" w:rsidRPr="008D60E8" w:rsidRDefault="00271DC3" w:rsidP="00953E9C">
                  <w:pPr>
                    <w:keepNext/>
                    <w:keepLines/>
                    <w:shd w:val="clear" w:color="auto" w:fill="FFFFFF" w:themeFill="background1"/>
                    <w:spacing w:before="40" w:after="40" w:line="220" w:lineRule="atLeast"/>
                    <w:ind w:left="6" w:right="113"/>
                    <w:jc w:val="right"/>
                    <w:rPr>
                      <w:rFonts w:ascii="Arial" w:hAnsi="Arial"/>
                      <w:sz w:val="20"/>
                      <w:szCs w:val="20"/>
                    </w:rPr>
                  </w:pPr>
                </w:p>
              </w:tc>
              <w:tc>
                <w:tcPr>
                  <w:tcW w:w="708" w:type="dxa"/>
                  <w:tcBorders>
                    <w:top w:val="single" w:sz="6" w:space="0" w:color="BFBFBF" w:themeColor="background2"/>
                  </w:tcBorders>
                </w:tcPr>
                <w:p w:rsidR="00271DC3" w:rsidRPr="008D60E8" w:rsidRDefault="00271DC3" w:rsidP="00953E9C">
                  <w:pPr>
                    <w:keepNext/>
                    <w:keepLines/>
                    <w:shd w:val="clear" w:color="auto" w:fill="FFFFFF" w:themeFill="background1"/>
                    <w:spacing w:before="40" w:after="40" w:line="220" w:lineRule="atLeast"/>
                    <w:ind w:left="6" w:right="113"/>
                    <w:jc w:val="right"/>
                    <w:rPr>
                      <w:rFonts w:ascii="Arial" w:hAnsi="Arial"/>
                      <w:sz w:val="20"/>
                      <w:szCs w:val="20"/>
                    </w:rPr>
                  </w:pPr>
                </w:p>
              </w:tc>
              <w:tc>
                <w:tcPr>
                  <w:tcW w:w="708" w:type="dxa"/>
                  <w:tcBorders>
                    <w:top w:val="single" w:sz="6" w:space="0" w:color="BFBFBF" w:themeColor="background2"/>
                  </w:tcBorders>
                </w:tcPr>
                <w:p w:rsidR="00271DC3" w:rsidRPr="008D60E8" w:rsidRDefault="00271DC3" w:rsidP="00953E9C">
                  <w:pPr>
                    <w:keepNext/>
                    <w:keepLines/>
                    <w:shd w:val="clear" w:color="auto" w:fill="FFFFFF" w:themeFill="background1"/>
                    <w:spacing w:before="40" w:after="40" w:line="220" w:lineRule="atLeast"/>
                    <w:ind w:left="6" w:right="113"/>
                    <w:jc w:val="right"/>
                    <w:rPr>
                      <w:rFonts w:ascii="Arial" w:hAnsi="Arial"/>
                      <w:sz w:val="20"/>
                      <w:szCs w:val="20"/>
                    </w:rPr>
                  </w:pPr>
                </w:p>
              </w:tc>
              <w:tc>
                <w:tcPr>
                  <w:tcW w:w="707" w:type="dxa"/>
                  <w:tcBorders>
                    <w:top w:val="single" w:sz="6" w:space="0" w:color="BFBFBF" w:themeColor="background2"/>
                  </w:tcBorders>
                </w:tcPr>
                <w:p w:rsidR="00271DC3" w:rsidRPr="008D60E8" w:rsidRDefault="00271DC3" w:rsidP="00953E9C">
                  <w:pPr>
                    <w:keepNext/>
                    <w:keepLines/>
                    <w:shd w:val="clear" w:color="auto" w:fill="FFFFFF" w:themeFill="background1"/>
                    <w:spacing w:before="40" w:after="40" w:line="220" w:lineRule="atLeast"/>
                    <w:ind w:left="6" w:right="113"/>
                    <w:jc w:val="right"/>
                    <w:rPr>
                      <w:rFonts w:ascii="Arial" w:hAnsi="Arial"/>
                      <w:sz w:val="20"/>
                      <w:szCs w:val="20"/>
                    </w:rPr>
                  </w:pPr>
                </w:p>
              </w:tc>
              <w:tc>
                <w:tcPr>
                  <w:tcW w:w="577" w:type="dxa"/>
                  <w:tcBorders>
                    <w:top w:val="single" w:sz="6" w:space="0" w:color="BFBFBF" w:themeColor="background2"/>
                  </w:tcBorders>
                </w:tcPr>
                <w:p w:rsidR="00271DC3" w:rsidRPr="008D60E8" w:rsidRDefault="00271DC3" w:rsidP="00953E9C">
                  <w:pPr>
                    <w:keepNext/>
                    <w:keepLines/>
                    <w:shd w:val="clear" w:color="auto" w:fill="FFFFFF" w:themeFill="background1"/>
                    <w:spacing w:before="40" w:after="40" w:line="220" w:lineRule="atLeast"/>
                    <w:ind w:left="6" w:right="113"/>
                    <w:jc w:val="right"/>
                    <w:rPr>
                      <w:rFonts w:ascii="Arial" w:hAnsi="Arial"/>
                      <w:sz w:val="20"/>
                      <w:szCs w:val="20"/>
                    </w:rPr>
                  </w:pPr>
                </w:p>
              </w:tc>
              <w:tc>
                <w:tcPr>
                  <w:tcW w:w="568" w:type="dxa"/>
                  <w:tcBorders>
                    <w:top w:val="single" w:sz="6" w:space="0" w:color="BFBFBF" w:themeColor="background2"/>
                  </w:tcBorders>
                </w:tcPr>
                <w:p w:rsidR="00271DC3" w:rsidRPr="008D60E8" w:rsidRDefault="00271DC3" w:rsidP="00953E9C">
                  <w:pPr>
                    <w:keepNext/>
                    <w:keepLines/>
                    <w:shd w:val="clear" w:color="auto" w:fill="FFFFFF" w:themeFill="background1"/>
                    <w:spacing w:before="40" w:after="40" w:line="220" w:lineRule="atLeast"/>
                    <w:ind w:left="6" w:right="113"/>
                    <w:jc w:val="right"/>
                    <w:rPr>
                      <w:rFonts w:ascii="Arial" w:hAnsi="Arial"/>
                      <w:sz w:val="20"/>
                      <w:szCs w:val="20"/>
                    </w:rPr>
                  </w:pPr>
                </w:p>
              </w:tc>
              <w:tc>
                <w:tcPr>
                  <w:tcW w:w="708" w:type="dxa"/>
                  <w:tcBorders>
                    <w:top w:val="single" w:sz="6" w:space="0" w:color="BFBFBF" w:themeColor="background2"/>
                  </w:tcBorders>
                </w:tcPr>
                <w:p w:rsidR="00271DC3" w:rsidRPr="008D60E8" w:rsidRDefault="00271DC3" w:rsidP="00953E9C">
                  <w:pPr>
                    <w:keepNext/>
                    <w:keepLines/>
                    <w:shd w:val="clear" w:color="auto" w:fill="FFFFFF" w:themeFill="background1"/>
                    <w:spacing w:before="40" w:after="40" w:line="220" w:lineRule="atLeast"/>
                    <w:ind w:left="6" w:right="113"/>
                    <w:jc w:val="right"/>
                    <w:rPr>
                      <w:rFonts w:ascii="Arial" w:hAnsi="Arial"/>
                      <w:sz w:val="20"/>
                      <w:szCs w:val="20"/>
                    </w:rPr>
                  </w:pPr>
                </w:p>
              </w:tc>
            </w:tr>
            <w:tr w:rsidR="00742D58" w:rsidRPr="008D60E8" w:rsidTr="009B1E55">
              <w:tc>
                <w:tcPr>
                  <w:tcW w:w="2265" w:type="dxa"/>
                  <w:shd w:val="clear" w:color="auto" w:fill="FFFFFF" w:themeFill="background1"/>
                </w:tcPr>
                <w:p w:rsidR="00B56EE3" w:rsidRPr="008D60E8" w:rsidRDefault="00B56EE3" w:rsidP="00953E9C">
                  <w:pPr>
                    <w:pStyle w:val="TableUnitsRow"/>
                    <w:shd w:val="clear" w:color="auto" w:fill="FFFFFF" w:themeFill="background1"/>
                    <w:spacing w:before="0"/>
                    <w:jc w:val="left"/>
                  </w:pPr>
                  <w:r w:rsidRPr="008D60E8">
                    <w:t>Australian Government</w:t>
                  </w:r>
                </w:p>
              </w:tc>
              <w:tc>
                <w:tcPr>
                  <w:tcW w:w="686" w:type="dxa"/>
                  <w:shd w:val="clear" w:color="auto" w:fill="FFFFFF" w:themeFill="background1"/>
                  <w:vAlign w:val="center"/>
                </w:tcPr>
                <w:p w:rsidR="00B56EE3" w:rsidRDefault="00B56EE3" w:rsidP="00B56EE3">
                  <w:pPr>
                    <w:pStyle w:val="TableBodyText"/>
                  </w:pPr>
                  <w:r>
                    <w:t>1 537</w:t>
                  </w:r>
                </w:p>
              </w:tc>
              <w:tc>
                <w:tcPr>
                  <w:tcW w:w="848" w:type="dxa"/>
                  <w:shd w:val="clear" w:color="auto" w:fill="FFFFFF" w:themeFill="background1"/>
                  <w:vAlign w:val="center"/>
                </w:tcPr>
                <w:p w:rsidR="00B56EE3" w:rsidRDefault="00B56EE3" w:rsidP="00742D58">
                  <w:pPr>
                    <w:pStyle w:val="TableBodyText"/>
                  </w:pPr>
                  <w:r>
                    <w:t>1 118</w:t>
                  </w:r>
                </w:p>
              </w:tc>
              <w:tc>
                <w:tcPr>
                  <w:tcW w:w="708" w:type="dxa"/>
                  <w:shd w:val="clear" w:color="auto" w:fill="FFFFFF" w:themeFill="background1"/>
                  <w:vAlign w:val="center"/>
                </w:tcPr>
                <w:p w:rsidR="00B56EE3" w:rsidRDefault="00B56EE3" w:rsidP="00742D58">
                  <w:pPr>
                    <w:pStyle w:val="TableBodyText"/>
                  </w:pPr>
                  <w:r>
                    <w:t>1 034</w:t>
                  </w:r>
                </w:p>
              </w:tc>
              <w:tc>
                <w:tcPr>
                  <w:tcW w:w="708" w:type="dxa"/>
                  <w:shd w:val="clear" w:color="auto" w:fill="FFFFFF" w:themeFill="background1"/>
                  <w:vAlign w:val="center"/>
                </w:tcPr>
                <w:p w:rsidR="00B56EE3" w:rsidRDefault="00B56EE3" w:rsidP="00742D58">
                  <w:pPr>
                    <w:pStyle w:val="TableBodyText"/>
                  </w:pPr>
                  <w:r>
                    <w:t xml:space="preserve"> 496</w:t>
                  </w:r>
                </w:p>
              </w:tc>
              <w:tc>
                <w:tcPr>
                  <w:tcW w:w="708" w:type="dxa"/>
                  <w:shd w:val="clear" w:color="auto" w:fill="FFFFFF" w:themeFill="background1"/>
                  <w:vAlign w:val="center"/>
                </w:tcPr>
                <w:p w:rsidR="00B56EE3" w:rsidRDefault="00B56EE3" w:rsidP="00B56EE3">
                  <w:pPr>
                    <w:pStyle w:val="TableBodyText"/>
                  </w:pPr>
                  <w:r>
                    <w:t xml:space="preserve"> 370</w:t>
                  </w:r>
                </w:p>
              </w:tc>
              <w:tc>
                <w:tcPr>
                  <w:tcW w:w="707" w:type="dxa"/>
                  <w:shd w:val="clear" w:color="auto" w:fill="FFFFFF" w:themeFill="background1"/>
                  <w:vAlign w:val="center"/>
                </w:tcPr>
                <w:p w:rsidR="00B56EE3" w:rsidRDefault="00B56EE3" w:rsidP="00742D58">
                  <w:pPr>
                    <w:pStyle w:val="TableBodyText"/>
                  </w:pPr>
                  <w:r>
                    <w:t xml:space="preserve"> 134</w:t>
                  </w:r>
                </w:p>
              </w:tc>
              <w:tc>
                <w:tcPr>
                  <w:tcW w:w="577" w:type="dxa"/>
                  <w:shd w:val="clear" w:color="auto" w:fill="FFFFFF" w:themeFill="background1"/>
                  <w:vAlign w:val="center"/>
                </w:tcPr>
                <w:p w:rsidR="00B56EE3" w:rsidRDefault="00B56EE3" w:rsidP="00B56EE3">
                  <w:pPr>
                    <w:pStyle w:val="TableBodyText"/>
                  </w:pPr>
                  <w:r>
                    <w:t xml:space="preserve"> 72</w:t>
                  </w:r>
                </w:p>
              </w:tc>
              <w:tc>
                <w:tcPr>
                  <w:tcW w:w="568" w:type="dxa"/>
                  <w:shd w:val="clear" w:color="auto" w:fill="FFFFFF" w:themeFill="background1"/>
                  <w:vAlign w:val="center"/>
                </w:tcPr>
                <w:p w:rsidR="00B56EE3" w:rsidRDefault="00B56EE3" w:rsidP="00742D58">
                  <w:pPr>
                    <w:pStyle w:val="TableBodyText"/>
                  </w:pPr>
                  <w:r>
                    <w:t xml:space="preserve"> 138</w:t>
                  </w:r>
                </w:p>
              </w:tc>
              <w:tc>
                <w:tcPr>
                  <w:tcW w:w="708" w:type="dxa"/>
                  <w:shd w:val="clear" w:color="auto" w:fill="FFFFFF" w:themeFill="background1"/>
                  <w:vAlign w:val="center"/>
                </w:tcPr>
                <w:p w:rsidR="00B56EE3" w:rsidRDefault="00B56EE3" w:rsidP="00B56EE3">
                  <w:pPr>
                    <w:pStyle w:val="TableBodyText"/>
                  </w:pPr>
                  <w:r>
                    <w:t>4 900</w:t>
                  </w:r>
                </w:p>
              </w:tc>
            </w:tr>
            <w:tr w:rsidR="00742D58" w:rsidRPr="008D60E8" w:rsidTr="009B1E55">
              <w:tc>
                <w:tcPr>
                  <w:tcW w:w="2265" w:type="dxa"/>
                  <w:shd w:val="clear" w:color="auto" w:fill="FFFFFF" w:themeFill="background1"/>
                </w:tcPr>
                <w:p w:rsidR="00B56EE3" w:rsidRPr="008D60E8" w:rsidRDefault="00B56EE3" w:rsidP="00953E9C">
                  <w:pPr>
                    <w:pStyle w:val="TableUnitsRow"/>
                    <w:shd w:val="clear" w:color="auto" w:fill="FFFFFF" w:themeFill="background1"/>
                    <w:spacing w:before="0"/>
                    <w:ind w:left="0" w:right="28"/>
                    <w:jc w:val="left"/>
                  </w:pPr>
                  <w:r w:rsidRPr="008D60E8">
                    <w:t>State and Territory governments</w:t>
                  </w:r>
                </w:p>
              </w:tc>
              <w:tc>
                <w:tcPr>
                  <w:tcW w:w="686" w:type="dxa"/>
                  <w:shd w:val="clear" w:color="auto" w:fill="FFFFFF" w:themeFill="background1"/>
                  <w:vAlign w:val="center"/>
                </w:tcPr>
                <w:p w:rsidR="00B56EE3" w:rsidRDefault="00B56EE3" w:rsidP="00B56EE3">
                  <w:pPr>
                    <w:pStyle w:val="TableBodyText"/>
                  </w:pPr>
                  <w:r>
                    <w:t>10 957</w:t>
                  </w:r>
                </w:p>
              </w:tc>
              <w:tc>
                <w:tcPr>
                  <w:tcW w:w="848" w:type="dxa"/>
                  <w:shd w:val="clear" w:color="auto" w:fill="FFFFFF" w:themeFill="background1"/>
                  <w:vAlign w:val="center"/>
                </w:tcPr>
                <w:p w:rsidR="00B56EE3" w:rsidRDefault="00B56EE3" w:rsidP="00742D58">
                  <w:pPr>
                    <w:pStyle w:val="TableBodyText"/>
                  </w:pPr>
                  <w:r>
                    <w:t>6 676</w:t>
                  </w:r>
                </w:p>
              </w:tc>
              <w:tc>
                <w:tcPr>
                  <w:tcW w:w="708" w:type="dxa"/>
                  <w:shd w:val="clear" w:color="auto" w:fill="FFFFFF" w:themeFill="background1"/>
                  <w:vAlign w:val="center"/>
                </w:tcPr>
                <w:p w:rsidR="00B56EE3" w:rsidRDefault="00B56EE3" w:rsidP="00742D58">
                  <w:pPr>
                    <w:pStyle w:val="TableBodyText"/>
                  </w:pPr>
                  <w:r>
                    <w:t>6 963</w:t>
                  </w:r>
                </w:p>
              </w:tc>
              <w:tc>
                <w:tcPr>
                  <w:tcW w:w="708" w:type="dxa"/>
                  <w:shd w:val="clear" w:color="auto" w:fill="FFFFFF" w:themeFill="background1"/>
                  <w:vAlign w:val="center"/>
                </w:tcPr>
                <w:p w:rsidR="00B56EE3" w:rsidRDefault="00B56EE3" w:rsidP="00742D58">
                  <w:pPr>
                    <w:pStyle w:val="TableBodyText"/>
                  </w:pPr>
                  <w:r>
                    <w:t>4 497</w:t>
                  </w:r>
                </w:p>
              </w:tc>
              <w:tc>
                <w:tcPr>
                  <w:tcW w:w="708" w:type="dxa"/>
                  <w:shd w:val="clear" w:color="auto" w:fill="FFFFFF" w:themeFill="background1"/>
                  <w:vAlign w:val="center"/>
                </w:tcPr>
                <w:p w:rsidR="00B56EE3" w:rsidRDefault="00B56EE3" w:rsidP="00B56EE3">
                  <w:pPr>
                    <w:pStyle w:val="TableBodyText"/>
                  </w:pPr>
                  <w:r>
                    <w:t>2 426</w:t>
                  </w:r>
                </w:p>
              </w:tc>
              <w:tc>
                <w:tcPr>
                  <w:tcW w:w="707" w:type="dxa"/>
                  <w:shd w:val="clear" w:color="auto" w:fill="FFFFFF" w:themeFill="background1"/>
                  <w:vAlign w:val="center"/>
                </w:tcPr>
                <w:p w:rsidR="00B56EE3" w:rsidRDefault="00B56EE3" w:rsidP="00B56EE3">
                  <w:pPr>
                    <w:pStyle w:val="TableBodyText"/>
                  </w:pPr>
                  <w:r>
                    <w:t xml:space="preserve"> 812</w:t>
                  </w:r>
                </w:p>
              </w:tc>
              <w:tc>
                <w:tcPr>
                  <w:tcW w:w="577" w:type="dxa"/>
                  <w:shd w:val="clear" w:color="auto" w:fill="FFFFFF" w:themeFill="background1"/>
                  <w:vAlign w:val="center"/>
                </w:tcPr>
                <w:p w:rsidR="00B56EE3" w:rsidRDefault="00B56EE3" w:rsidP="00742D58">
                  <w:pPr>
                    <w:pStyle w:val="TableBodyText"/>
                  </w:pPr>
                  <w:r>
                    <w:t xml:space="preserve"> 706</w:t>
                  </w:r>
                </w:p>
              </w:tc>
              <w:tc>
                <w:tcPr>
                  <w:tcW w:w="568" w:type="dxa"/>
                  <w:shd w:val="clear" w:color="auto" w:fill="FFFFFF" w:themeFill="background1"/>
                  <w:vAlign w:val="center"/>
                </w:tcPr>
                <w:p w:rsidR="00B56EE3" w:rsidRDefault="00B56EE3" w:rsidP="00B56EE3">
                  <w:pPr>
                    <w:pStyle w:val="TableBodyText"/>
                  </w:pPr>
                  <w:r>
                    <w:t xml:space="preserve"> 557</w:t>
                  </w:r>
                </w:p>
              </w:tc>
              <w:tc>
                <w:tcPr>
                  <w:tcW w:w="708" w:type="dxa"/>
                  <w:shd w:val="clear" w:color="auto" w:fill="FFFFFF" w:themeFill="background1"/>
                  <w:vAlign w:val="center"/>
                </w:tcPr>
                <w:p w:rsidR="00B56EE3" w:rsidRDefault="00B56EE3" w:rsidP="00742D58">
                  <w:pPr>
                    <w:pStyle w:val="TableBodyText"/>
                  </w:pPr>
                  <w:r>
                    <w:t>33 593</w:t>
                  </w:r>
                </w:p>
              </w:tc>
            </w:tr>
            <w:tr w:rsidR="00742D58" w:rsidRPr="008D60E8" w:rsidTr="009B1E55">
              <w:tc>
                <w:tcPr>
                  <w:tcW w:w="2265" w:type="dxa"/>
                  <w:shd w:val="clear" w:color="auto" w:fill="FFFFFF" w:themeFill="background1"/>
                </w:tcPr>
                <w:p w:rsidR="00B56EE3" w:rsidRPr="008D60E8" w:rsidRDefault="00B56EE3" w:rsidP="00953E9C">
                  <w:pPr>
                    <w:pStyle w:val="TableUnitsRow"/>
                    <w:shd w:val="clear" w:color="auto" w:fill="FFFFFF" w:themeFill="background1"/>
                    <w:ind w:left="0" w:right="28"/>
                    <w:jc w:val="left"/>
                    <w:rPr>
                      <w:b/>
                    </w:rPr>
                  </w:pPr>
                  <w:r w:rsidRPr="008D60E8">
                    <w:rPr>
                      <w:b/>
                    </w:rPr>
                    <w:t>Total</w:t>
                  </w:r>
                </w:p>
              </w:tc>
              <w:tc>
                <w:tcPr>
                  <w:tcW w:w="686" w:type="dxa"/>
                  <w:shd w:val="clear" w:color="auto" w:fill="FFFFFF" w:themeFill="background1"/>
                  <w:vAlign w:val="center"/>
                </w:tcPr>
                <w:p w:rsidR="00B56EE3" w:rsidRDefault="00B56EE3" w:rsidP="00742D58">
                  <w:pPr>
                    <w:pStyle w:val="TableBodyText"/>
                    <w:rPr>
                      <w:b/>
                      <w:bCs/>
                    </w:rPr>
                  </w:pPr>
                  <w:r>
                    <w:rPr>
                      <w:b/>
                      <w:bCs/>
                    </w:rPr>
                    <w:t>12 493</w:t>
                  </w:r>
                </w:p>
              </w:tc>
              <w:tc>
                <w:tcPr>
                  <w:tcW w:w="848" w:type="dxa"/>
                  <w:shd w:val="clear" w:color="auto" w:fill="FFFFFF" w:themeFill="background1"/>
                  <w:vAlign w:val="center"/>
                </w:tcPr>
                <w:p w:rsidR="00B56EE3" w:rsidRDefault="00B56EE3" w:rsidP="00742D58">
                  <w:pPr>
                    <w:pStyle w:val="TableBodyText"/>
                    <w:rPr>
                      <w:b/>
                      <w:bCs/>
                    </w:rPr>
                  </w:pPr>
                  <w:r>
                    <w:rPr>
                      <w:b/>
                      <w:bCs/>
                    </w:rPr>
                    <w:t>7 79</w:t>
                  </w:r>
                  <w:r w:rsidR="00742D58">
                    <w:rPr>
                      <w:b/>
                      <w:bCs/>
                    </w:rPr>
                    <w:t>5</w:t>
                  </w:r>
                </w:p>
              </w:tc>
              <w:tc>
                <w:tcPr>
                  <w:tcW w:w="708" w:type="dxa"/>
                  <w:tcBorders>
                    <w:left w:val="nil"/>
                  </w:tcBorders>
                  <w:shd w:val="clear" w:color="auto" w:fill="FFFFFF" w:themeFill="background1"/>
                  <w:vAlign w:val="center"/>
                </w:tcPr>
                <w:p w:rsidR="00B56EE3" w:rsidRDefault="00B56EE3" w:rsidP="00742D58">
                  <w:pPr>
                    <w:pStyle w:val="TableBodyText"/>
                    <w:rPr>
                      <w:b/>
                      <w:bCs/>
                    </w:rPr>
                  </w:pPr>
                  <w:r>
                    <w:rPr>
                      <w:b/>
                      <w:bCs/>
                    </w:rPr>
                    <w:t>7 99</w:t>
                  </w:r>
                  <w:r w:rsidR="00742D58">
                    <w:rPr>
                      <w:b/>
                      <w:bCs/>
                    </w:rPr>
                    <w:t>8</w:t>
                  </w:r>
                </w:p>
              </w:tc>
              <w:tc>
                <w:tcPr>
                  <w:tcW w:w="708" w:type="dxa"/>
                  <w:shd w:val="clear" w:color="auto" w:fill="FFFFFF" w:themeFill="background1"/>
                  <w:vAlign w:val="center"/>
                </w:tcPr>
                <w:p w:rsidR="00B56EE3" w:rsidRDefault="00B56EE3" w:rsidP="00742D58">
                  <w:pPr>
                    <w:pStyle w:val="TableBodyText"/>
                    <w:rPr>
                      <w:b/>
                      <w:bCs/>
                    </w:rPr>
                  </w:pPr>
                  <w:r>
                    <w:rPr>
                      <w:b/>
                      <w:bCs/>
                    </w:rPr>
                    <w:t>4 993</w:t>
                  </w:r>
                </w:p>
              </w:tc>
              <w:tc>
                <w:tcPr>
                  <w:tcW w:w="708" w:type="dxa"/>
                  <w:shd w:val="clear" w:color="auto" w:fill="FFFFFF" w:themeFill="background1"/>
                  <w:vAlign w:val="center"/>
                </w:tcPr>
                <w:p w:rsidR="00B56EE3" w:rsidRDefault="00B56EE3" w:rsidP="00742D58">
                  <w:pPr>
                    <w:pStyle w:val="TableBodyText"/>
                    <w:rPr>
                      <w:b/>
                      <w:bCs/>
                    </w:rPr>
                  </w:pPr>
                  <w:r>
                    <w:rPr>
                      <w:b/>
                      <w:bCs/>
                    </w:rPr>
                    <w:t>2 795</w:t>
                  </w:r>
                </w:p>
              </w:tc>
              <w:tc>
                <w:tcPr>
                  <w:tcW w:w="707" w:type="dxa"/>
                  <w:shd w:val="clear" w:color="auto" w:fill="FFFFFF" w:themeFill="background1"/>
                  <w:vAlign w:val="center"/>
                </w:tcPr>
                <w:p w:rsidR="00B56EE3" w:rsidRDefault="00B56EE3" w:rsidP="00742D58">
                  <w:pPr>
                    <w:pStyle w:val="TableBodyText"/>
                    <w:rPr>
                      <w:b/>
                      <w:bCs/>
                    </w:rPr>
                  </w:pPr>
                  <w:r>
                    <w:rPr>
                      <w:b/>
                      <w:bCs/>
                    </w:rPr>
                    <w:t xml:space="preserve"> 94</w:t>
                  </w:r>
                  <w:r w:rsidR="00742D58">
                    <w:rPr>
                      <w:b/>
                      <w:bCs/>
                    </w:rPr>
                    <w:t>6</w:t>
                  </w:r>
                </w:p>
              </w:tc>
              <w:tc>
                <w:tcPr>
                  <w:tcW w:w="577" w:type="dxa"/>
                  <w:shd w:val="clear" w:color="auto" w:fill="FFFFFF" w:themeFill="background1"/>
                  <w:vAlign w:val="center"/>
                </w:tcPr>
                <w:p w:rsidR="00B56EE3" w:rsidRDefault="00B56EE3" w:rsidP="00742D58">
                  <w:pPr>
                    <w:pStyle w:val="TableBodyText"/>
                    <w:rPr>
                      <w:b/>
                      <w:bCs/>
                    </w:rPr>
                  </w:pPr>
                  <w:r>
                    <w:rPr>
                      <w:b/>
                      <w:bCs/>
                    </w:rPr>
                    <w:t xml:space="preserve"> 77</w:t>
                  </w:r>
                  <w:r w:rsidR="00742D58">
                    <w:rPr>
                      <w:b/>
                      <w:bCs/>
                    </w:rPr>
                    <w:t>8</w:t>
                  </w:r>
                </w:p>
              </w:tc>
              <w:tc>
                <w:tcPr>
                  <w:tcW w:w="568" w:type="dxa"/>
                  <w:shd w:val="clear" w:color="auto" w:fill="FFFFFF" w:themeFill="background1"/>
                  <w:vAlign w:val="center"/>
                </w:tcPr>
                <w:p w:rsidR="00B56EE3" w:rsidRDefault="00B56EE3" w:rsidP="00742D58">
                  <w:pPr>
                    <w:pStyle w:val="TableBodyText"/>
                    <w:rPr>
                      <w:b/>
                      <w:bCs/>
                    </w:rPr>
                  </w:pPr>
                  <w:r>
                    <w:rPr>
                      <w:b/>
                      <w:bCs/>
                    </w:rPr>
                    <w:t xml:space="preserve"> 69</w:t>
                  </w:r>
                  <w:r w:rsidR="00742D58">
                    <w:rPr>
                      <w:b/>
                      <w:bCs/>
                    </w:rPr>
                    <w:t>5</w:t>
                  </w:r>
                </w:p>
              </w:tc>
              <w:tc>
                <w:tcPr>
                  <w:tcW w:w="708" w:type="dxa"/>
                  <w:shd w:val="clear" w:color="auto" w:fill="FFFFFF" w:themeFill="background1"/>
                  <w:vAlign w:val="center"/>
                </w:tcPr>
                <w:p w:rsidR="00B56EE3" w:rsidRDefault="00B56EE3" w:rsidP="00742D58">
                  <w:pPr>
                    <w:pStyle w:val="TableBodyText"/>
                    <w:rPr>
                      <w:b/>
                      <w:bCs/>
                    </w:rPr>
                  </w:pPr>
                  <w:r>
                    <w:rPr>
                      <w:b/>
                      <w:bCs/>
                    </w:rPr>
                    <w:t xml:space="preserve">38 493 </w:t>
                  </w:r>
                </w:p>
              </w:tc>
            </w:tr>
            <w:tr w:rsidR="00742D58" w:rsidRPr="008D60E8" w:rsidTr="007F3B2E">
              <w:trPr>
                <w:trHeight w:val="195"/>
              </w:trPr>
              <w:tc>
                <w:tcPr>
                  <w:tcW w:w="2951" w:type="dxa"/>
                  <w:gridSpan w:val="2"/>
                  <w:shd w:val="clear" w:color="auto" w:fill="FFFFFF" w:themeFill="background1"/>
                </w:tcPr>
                <w:p w:rsidR="00271DC3" w:rsidRPr="00B56EE3" w:rsidRDefault="00271DC3" w:rsidP="00B56EE3">
                  <w:pPr>
                    <w:pStyle w:val="TableUnitsRow"/>
                    <w:jc w:val="left"/>
                    <w:rPr>
                      <w:b/>
                    </w:rPr>
                  </w:pPr>
                  <w:r w:rsidRPr="00B56EE3">
                    <w:rPr>
                      <w:b/>
                    </w:rPr>
                    <w:t>Non-government schools</w:t>
                  </w:r>
                </w:p>
              </w:tc>
              <w:tc>
                <w:tcPr>
                  <w:tcW w:w="848" w:type="dxa"/>
                  <w:shd w:val="clear" w:color="auto" w:fill="FFFFFF" w:themeFill="background1"/>
                </w:tcPr>
                <w:p w:rsidR="00271DC3" w:rsidRPr="008D60E8" w:rsidRDefault="00271DC3" w:rsidP="00B56EE3">
                  <w:pPr>
                    <w:pStyle w:val="TableBodyText"/>
                  </w:pPr>
                </w:p>
              </w:tc>
              <w:tc>
                <w:tcPr>
                  <w:tcW w:w="708" w:type="dxa"/>
                  <w:shd w:val="clear" w:color="auto" w:fill="FFFFFF" w:themeFill="background1"/>
                </w:tcPr>
                <w:p w:rsidR="00271DC3" w:rsidRPr="008D60E8" w:rsidRDefault="00271DC3" w:rsidP="00B56EE3">
                  <w:pPr>
                    <w:pStyle w:val="TableBodyText"/>
                  </w:pPr>
                </w:p>
              </w:tc>
              <w:tc>
                <w:tcPr>
                  <w:tcW w:w="708" w:type="dxa"/>
                  <w:shd w:val="clear" w:color="auto" w:fill="FFFFFF" w:themeFill="background1"/>
                </w:tcPr>
                <w:p w:rsidR="00271DC3" w:rsidRPr="008D60E8" w:rsidRDefault="00271DC3" w:rsidP="00B56EE3">
                  <w:pPr>
                    <w:pStyle w:val="TableBodyText"/>
                  </w:pPr>
                </w:p>
              </w:tc>
              <w:tc>
                <w:tcPr>
                  <w:tcW w:w="708" w:type="dxa"/>
                  <w:shd w:val="clear" w:color="auto" w:fill="FFFFFF" w:themeFill="background1"/>
                </w:tcPr>
                <w:p w:rsidR="00271DC3" w:rsidRPr="008D60E8" w:rsidRDefault="00271DC3" w:rsidP="00B56EE3">
                  <w:pPr>
                    <w:pStyle w:val="TableBodyText"/>
                  </w:pPr>
                </w:p>
              </w:tc>
              <w:tc>
                <w:tcPr>
                  <w:tcW w:w="707" w:type="dxa"/>
                  <w:shd w:val="clear" w:color="auto" w:fill="FFFFFF" w:themeFill="background1"/>
                </w:tcPr>
                <w:p w:rsidR="00271DC3" w:rsidRPr="008D60E8" w:rsidRDefault="00271DC3" w:rsidP="00B56EE3">
                  <w:pPr>
                    <w:pStyle w:val="TableBodyText"/>
                  </w:pPr>
                </w:p>
              </w:tc>
              <w:tc>
                <w:tcPr>
                  <w:tcW w:w="577" w:type="dxa"/>
                  <w:shd w:val="clear" w:color="auto" w:fill="FFFFFF" w:themeFill="background1"/>
                </w:tcPr>
                <w:p w:rsidR="00271DC3" w:rsidRPr="008D60E8" w:rsidRDefault="00271DC3" w:rsidP="00B56EE3">
                  <w:pPr>
                    <w:pStyle w:val="TableBodyText"/>
                  </w:pPr>
                </w:p>
              </w:tc>
              <w:tc>
                <w:tcPr>
                  <w:tcW w:w="568" w:type="dxa"/>
                  <w:shd w:val="clear" w:color="auto" w:fill="FFFFFF" w:themeFill="background1"/>
                </w:tcPr>
                <w:p w:rsidR="00271DC3" w:rsidRPr="008D60E8" w:rsidRDefault="00271DC3" w:rsidP="00B56EE3">
                  <w:pPr>
                    <w:pStyle w:val="TableBodyText"/>
                  </w:pPr>
                </w:p>
              </w:tc>
              <w:tc>
                <w:tcPr>
                  <w:tcW w:w="708" w:type="dxa"/>
                  <w:shd w:val="clear" w:color="auto" w:fill="FFFFFF" w:themeFill="background1"/>
                </w:tcPr>
                <w:p w:rsidR="00271DC3" w:rsidRPr="008D60E8" w:rsidRDefault="00271DC3" w:rsidP="00B56EE3">
                  <w:pPr>
                    <w:pStyle w:val="TableBodyText"/>
                  </w:pPr>
                </w:p>
              </w:tc>
            </w:tr>
            <w:tr w:rsidR="00742D58" w:rsidRPr="008D60E8" w:rsidTr="000F4F43">
              <w:tc>
                <w:tcPr>
                  <w:tcW w:w="2265" w:type="dxa"/>
                  <w:shd w:val="clear" w:color="auto" w:fill="FFFFFF" w:themeFill="background1"/>
                </w:tcPr>
                <w:p w:rsidR="00B56EE3" w:rsidRPr="008D60E8" w:rsidRDefault="00B56EE3" w:rsidP="00953E9C">
                  <w:pPr>
                    <w:pStyle w:val="TableUnitsRow"/>
                    <w:shd w:val="clear" w:color="auto" w:fill="FFFFFF" w:themeFill="background1"/>
                    <w:spacing w:before="0"/>
                    <w:ind w:left="0" w:right="28"/>
                    <w:jc w:val="left"/>
                  </w:pPr>
                  <w:r w:rsidRPr="008D60E8">
                    <w:t>Australian Government</w:t>
                  </w:r>
                </w:p>
              </w:tc>
              <w:tc>
                <w:tcPr>
                  <w:tcW w:w="686" w:type="dxa"/>
                  <w:shd w:val="clear" w:color="auto" w:fill="FFFFFF" w:themeFill="background1"/>
                  <w:vAlign w:val="center"/>
                </w:tcPr>
                <w:p w:rsidR="00B56EE3" w:rsidRDefault="00742D58" w:rsidP="0037014B">
                  <w:pPr>
                    <w:pStyle w:val="TableBodyText"/>
                  </w:pPr>
                  <w:r>
                    <w:t>2 7</w:t>
                  </w:r>
                  <w:r w:rsidR="0037014B">
                    <w:t>48</w:t>
                  </w:r>
                </w:p>
              </w:tc>
              <w:tc>
                <w:tcPr>
                  <w:tcW w:w="848" w:type="dxa"/>
                  <w:shd w:val="clear" w:color="auto" w:fill="FFFFFF" w:themeFill="background1"/>
                  <w:vAlign w:val="center"/>
                </w:tcPr>
                <w:p w:rsidR="00B56EE3" w:rsidRDefault="00B56EE3" w:rsidP="0037014B">
                  <w:pPr>
                    <w:pStyle w:val="TableBodyText"/>
                  </w:pPr>
                  <w:r>
                    <w:t xml:space="preserve">2 </w:t>
                  </w:r>
                  <w:r w:rsidR="0037014B">
                    <w:t>233</w:t>
                  </w:r>
                </w:p>
              </w:tc>
              <w:tc>
                <w:tcPr>
                  <w:tcW w:w="708" w:type="dxa"/>
                  <w:shd w:val="clear" w:color="auto" w:fill="FFFFFF" w:themeFill="background1"/>
                  <w:vAlign w:val="center"/>
                </w:tcPr>
                <w:p w:rsidR="00B56EE3" w:rsidRDefault="00B56EE3" w:rsidP="0037014B">
                  <w:pPr>
                    <w:pStyle w:val="TableBodyText"/>
                  </w:pPr>
                  <w:r>
                    <w:t xml:space="preserve">1 </w:t>
                  </w:r>
                  <w:r w:rsidR="0037014B">
                    <w:t>801</w:t>
                  </w:r>
                </w:p>
              </w:tc>
              <w:tc>
                <w:tcPr>
                  <w:tcW w:w="708" w:type="dxa"/>
                  <w:shd w:val="clear" w:color="auto" w:fill="FFFFFF" w:themeFill="background1"/>
                  <w:vAlign w:val="center"/>
                </w:tcPr>
                <w:p w:rsidR="00B56EE3" w:rsidRDefault="00B56EE3" w:rsidP="0037014B">
                  <w:pPr>
                    <w:pStyle w:val="TableBodyText"/>
                  </w:pPr>
                  <w:r>
                    <w:t xml:space="preserve"> </w:t>
                  </w:r>
                  <w:r w:rsidRPr="007F3B2E">
                    <w:rPr>
                      <w:shd w:val="clear" w:color="auto" w:fill="FFFFFF" w:themeFill="background1"/>
                    </w:rPr>
                    <w:t>8</w:t>
                  </w:r>
                  <w:r w:rsidR="0037014B" w:rsidRPr="007F3B2E">
                    <w:rPr>
                      <w:shd w:val="clear" w:color="auto" w:fill="FFFFFF" w:themeFill="background1"/>
                    </w:rPr>
                    <w:t>93</w:t>
                  </w:r>
                </w:p>
              </w:tc>
              <w:tc>
                <w:tcPr>
                  <w:tcW w:w="708" w:type="dxa"/>
                  <w:shd w:val="clear" w:color="auto" w:fill="FFFFFF" w:themeFill="background1"/>
                  <w:vAlign w:val="center"/>
                </w:tcPr>
                <w:p w:rsidR="00B56EE3" w:rsidRDefault="00B56EE3" w:rsidP="0037014B">
                  <w:pPr>
                    <w:pStyle w:val="TableBodyText"/>
                  </w:pPr>
                  <w:r>
                    <w:t xml:space="preserve"> </w:t>
                  </w:r>
                  <w:r w:rsidRPr="000F4F43">
                    <w:rPr>
                      <w:shd w:val="clear" w:color="auto" w:fill="FFFFFF" w:themeFill="background1"/>
                    </w:rPr>
                    <w:t>6</w:t>
                  </w:r>
                  <w:r w:rsidR="0037014B" w:rsidRPr="000F4F43">
                    <w:rPr>
                      <w:shd w:val="clear" w:color="auto" w:fill="FFFFFF" w:themeFill="background1"/>
                    </w:rPr>
                    <w:t>82</w:t>
                  </w:r>
                </w:p>
              </w:tc>
              <w:tc>
                <w:tcPr>
                  <w:tcW w:w="707" w:type="dxa"/>
                  <w:shd w:val="clear" w:color="auto" w:fill="FFFFFF" w:themeFill="background1"/>
                  <w:vAlign w:val="center"/>
                </w:tcPr>
                <w:p w:rsidR="00B56EE3" w:rsidRDefault="00B56EE3" w:rsidP="00742D58">
                  <w:pPr>
                    <w:pStyle w:val="TableBodyText"/>
                  </w:pPr>
                  <w:r>
                    <w:t xml:space="preserve"> 178</w:t>
                  </w:r>
                </w:p>
              </w:tc>
              <w:tc>
                <w:tcPr>
                  <w:tcW w:w="577" w:type="dxa"/>
                  <w:shd w:val="clear" w:color="auto" w:fill="FFFFFF" w:themeFill="background1"/>
                  <w:vAlign w:val="center"/>
                </w:tcPr>
                <w:p w:rsidR="00B56EE3" w:rsidRDefault="00B56EE3" w:rsidP="00742D58">
                  <w:pPr>
                    <w:pStyle w:val="TableBodyText"/>
                  </w:pPr>
                  <w:r>
                    <w:t xml:space="preserve"> 16</w:t>
                  </w:r>
                  <w:r w:rsidR="00742D58">
                    <w:t>4</w:t>
                  </w:r>
                </w:p>
              </w:tc>
              <w:tc>
                <w:tcPr>
                  <w:tcW w:w="568" w:type="dxa"/>
                  <w:shd w:val="clear" w:color="auto" w:fill="FFFFFF" w:themeFill="background1"/>
                  <w:vAlign w:val="center"/>
                </w:tcPr>
                <w:p w:rsidR="00B56EE3" w:rsidRDefault="00B56EE3" w:rsidP="00742D58">
                  <w:pPr>
                    <w:pStyle w:val="TableBodyText"/>
                  </w:pPr>
                  <w:r>
                    <w:t xml:space="preserve"> 1</w:t>
                  </w:r>
                  <w:r w:rsidR="00742D58">
                    <w:t>20</w:t>
                  </w:r>
                </w:p>
              </w:tc>
              <w:tc>
                <w:tcPr>
                  <w:tcW w:w="708" w:type="dxa"/>
                  <w:shd w:val="clear" w:color="auto" w:fill="FFFFFF" w:themeFill="background1"/>
                  <w:vAlign w:val="center"/>
                </w:tcPr>
                <w:p w:rsidR="00B56EE3" w:rsidRDefault="00B56EE3" w:rsidP="0037014B">
                  <w:pPr>
                    <w:pStyle w:val="TableBodyText"/>
                  </w:pPr>
                  <w:r w:rsidRPr="000F4F43">
                    <w:rPr>
                      <w:shd w:val="clear" w:color="auto" w:fill="FFFFFF" w:themeFill="background1"/>
                    </w:rPr>
                    <w:t xml:space="preserve">8 </w:t>
                  </w:r>
                  <w:r w:rsidR="0037014B" w:rsidRPr="000F4F43">
                    <w:rPr>
                      <w:shd w:val="clear" w:color="auto" w:fill="FFFFFF" w:themeFill="background1"/>
                    </w:rPr>
                    <w:t>818</w:t>
                  </w:r>
                </w:p>
              </w:tc>
            </w:tr>
            <w:tr w:rsidR="00742D58" w:rsidRPr="008D60E8" w:rsidTr="009B1E55">
              <w:tc>
                <w:tcPr>
                  <w:tcW w:w="2265" w:type="dxa"/>
                  <w:shd w:val="clear" w:color="auto" w:fill="FFFFFF" w:themeFill="background1"/>
                </w:tcPr>
                <w:p w:rsidR="00B56EE3" w:rsidRPr="008D60E8" w:rsidRDefault="00B56EE3" w:rsidP="00953E9C">
                  <w:pPr>
                    <w:pStyle w:val="TableUnitsRow"/>
                    <w:shd w:val="clear" w:color="auto" w:fill="FFFFFF" w:themeFill="background1"/>
                    <w:spacing w:before="0"/>
                    <w:ind w:left="0" w:right="28"/>
                    <w:jc w:val="left"/>
                    <w:rPr>
                      <w:rFonts w:cs="Arial"/>
                    </w:rPr>
                  </w:pPr>
                  <w:r w:rsidRPr="008D60E8">
                    <w:t>State and Territory governments</w:t>
                  </w:r>
                </w:p>
              </w:tc>
              <w:tc>
                <w:tcPr>
                  <w:tcW w:w="686" w:type="dxa"/>
                  <w:shd w:val="clear" w:color="auto" w:fill="FFFFFF" w:themeFill="background1"/>
                  <w:vAlign w:val="center"/>
                </w:tcPr>
                <w:p w:rsidR="00B56EE3" w:rsidRDefault="00B56EE3" w:rsidP="00742D58">
                  <w:pPr>
                    <w:pStyle w:val="TableBodyText"/>
                  </w:pPr>
                  <w:r>
                    <w:t xml:space="preserve"> 978</w:t>
                  </w:r>
                </w:p>
              </w:tc>
              <w:tc>
                <w:tcPr>
                  <w:tcW w:w="848" w:type="dxa"/>
                  <w:shd w:val="clear" w:color="auto" w:fill="FFFFFF" w:themeFill="background1"/>
                  <w:vAlign w:val="center"/>
                </w:tcPr>
                <w:p w:rsidR="00B56EE3" w:rsidRDefault="00B56EE3" w:rsidP="00742D58">
                  <w:pPr>
                    <w:pStyle w:val="TableBodyText"/>
                  </w:pPr>
                  <w:r>
                    <w:t xml:space="preserve"> 643</w:t>
                  </w:r>
                </w:p>
              </w:tc>
              <w:tc>
                <w:tcPr>
                  <w:tcW w:w="708" w:type="dxa"/>
                  <w:shd w:val="clear" w:color="auto" w:fill="FFFFFF" w:themeFill="background1"/>
                  <w:vAlign w:val="center"/>
                </w:tcPr>
                <w:p w:rsidR="00B56EE3" w:rsidRDefault="00B56EE3" w:rsidP="00742D58">
                  <w:pPr>
                    <w:pStyle w:val="TableBodyText"/>
                  </w:pPr>
                  <w:r>
                    <w:t xml:space="preserve"> 70</w:t>
                  </w:r>
                  <w:r w:rsidR="00742D58">
                    <w:t>9</w:t>
                  </w:r>
                </w:p>
              </w:tc>
              <w:tc>
                <w:tcPr>
                  <w:tcW w:w="708" w:type="dxa"/>
                  <w:shd w:val="clear" w:color="auto" w:fill="FFFFFF" w:themeFill="background1"/>
                  <w:vAlign w:val="center"/>
                </w:tcPr>
                <w:p w:rsidR="00B56EE3" w:rsidRDefault="00B56EE3" w:rsidP="00742D58">
                  <w:pPr>
                    <w:pStyle w:val="TableBodyText"/>
                  </w:pPr>
                  <w:r>
                    <w:t xml:space="preserve"> 424</w:t>
                  </w:r>
                </w:p>
              </w:tc>
              <w:tc>
                <w:tcPr>
                  <w:tcW w:w="708" w:type="dxa"/>
                  <w:shd w:val="clear" w:color="auto" w:fill="FFFFFF" w:themeFill="background1"/>
                  <w:vAlign w:val="center"/>
                </w:tcPr>
                <w:p w:rsidR="00B56EE3" w:rsidRDefault="00B56EE3" w:rsidP="00742D58">
                  <w:pPr>
                    <w:pStyle w:val="TableBodyText"/>
                  </w:pPr>
                  <w:r>
                    <w:t xml:space="preserve"> 17</w:t>
                  </w:r>
                  <w:r w:rsidR="00742D58">
                    <w:t>5</w:t>
                  </w:r>
                </w:p>
              </w:tc>
              <w:tc>
                <w:tcPr>
                  <w:tcW w:w="707" w:type="dxa"/>
                  <w:shd w:val="clear" w:color="auto" w:fill="FFFFFF" w:themeFill="background1"/>
                  <w:vAlign w:val="center"/>
                </w:tcPr>
                <w:p w:rsidR="00B56EE3" w:rsidRDefault="00B56EE3" w:rsidP="00742D58">
                  <w:pPr>
                    <w:pStyle w:val="TableBodyText"/>
                  </w:pPr>
                  <w:r>
                    <w:t xml:space="preserve"> 5</w:t>
                  </w:r>
                  <w:r w:rsidR="00742D58">
                    <w:t>9</w:t>
                  </w:r>
                </w:p>
              </w:tc>
              <w:tc>
                <w:tcPr>
                  <w:tcW w:w="577" w:type="dxa"/>
                  <w:shd w:val="clear" w:color="auto" w:fill="FFFFFF" w:themeFill="background1"/>
                  <w:vAlign w:val="center"/>
                </w:tcPr>
                <w:p w:rsidR="00B56EE3" w:rsidRDefault="00B56EE3" w:rsidP="00742D58">
                  <w:pPr>
                    <w:pStyle w:val="TableBodyText"/>
                  </w:pPr>
                  <w:r>
                    <w:t xml:space="preserve"> 57</w:t>
                  </w:r>
                </w:p>
              </w:tc>
              <w:tc>
                <w:tcPr>
                  <w:tcW w:w="568" w:type="dxa"/>
                  <w:shd w:val="clear" w:color="auto" w:fill="FFFFFF" w:themeFill="background1"/>
                  <w:vAlign w:val="center"/>
                </w:tcPr>
                <w:p w:rsidR="00B56EE3" w:rsidRDefault="00B56EE3" w:rsidP="00742D58">
                  <w:pPr>
                    <w:pStyle w:val="TableBodyText"/>
                  </w:pPr>
                  <w:r>
                    <w:t xml:space="preserve"> 6</w:t>
                  </w:r>
                  <w:r w:rsidR="00742D58">
                    <w:t>1</w:t>
                  </w:r>
                </w:p>
              </w:tc>
              <w:tc>
                <w:tcPr>
                  <w:tcW w:w="708" w:type="dxa"/>
                  <w:shd w:val="clear" w:color="auto" w:fill="FFFFFF" w:themeFill="background1"/>
                  <w:vAlign w:val="center"/>
                </w:tcPr>
                <w:p w:rsidR="00B56EE3" w:rsidRDefault="00B56EE3" w:rsidP="00742D58">
                  <w:pPr>
                    <w:pStyle w:val="TableBodyText"/>
                  </w:pPr>
                  <w:r>
                    <w:t>3 10</w:t>
                  </w:r>
                  <w:r w:rsidR="00742D58">
                    <w:t>6</w:t>
                  </w:r>
                </w:p>
              </w:tc>
            </w:tr>
            <w:tr w:rsidR="00742D58" w:rsidRPr="008D60E8" w:rsidTr="009B1E55">
              <w:tc>
                <w:tcPr>
                  <w:tcW w:w="2265" w:type="dxa"/>
                  <w:shd w:val="clear" w:color="auto" w:fill="FFFFFF" w:themeFill="background1"/>
                </w:tcPr>
                <w:p w:rsidR="00B56EE3" w:rsidRPr="008D60E8" w:rsidRDefault="00B56EE3" w:rsidP="00953E9C">
                  <w:pPr>
                    <w:pStyle w:val="TableUnitsRow"/>
                    <w:shd w:val="clear" w:color="auto" w:fill="FFFFFF" w:themeFill="background1"/>
                    <w:ind w:left="0" w:right="28"/>
                    <w:jc w:val="left"/>
                    <w:rPr>
                      <w:b/>
                    </w:rPr>
                  </w:pPr>
                  <w:r w:rsidRPr="008D60E8">
                    <w:rPr>
                      <w:b/>
                    </w:rPr>
                    <w:t>Total</w:t>
                  </w:r>
                </w:p>
              </w:tc>
              <w:tc>
                <w:tcPr>
                  <w:tcW w:w="686" w:type="dxa"/>
                  <w:shd w:val="clear" w:color="auto" w:fill="FFFFFF" w:themeFill="background1"/>
                  <w:vAlign w:val="center"/>
                </w:tcPr>
                <w:p w:rsidR="00B56EE3" w:rsidRDefault="00B56EE3" w:rsidP="0037014B">
                  <w:pPr>
                    <w:pStyle w:val="TableBodyText"/>
                    <w:rPr>
                      <w:b/>
                      <w:bCs/>
                    </w:rPr>
                  </w:pPr>
                  <w:r w:rsidRPr="000F4F43">
                    <w:rPr>
                      <w:b/>
                      <w:bCs/>
                      <w:shd w:val="clear" w:color="auto" w:fill="FFFFFF" w:themeFill="background1"/>
                    </w:rPr>
                    <w:t>3 7</w:t>
                  </w:r>
                  <w:r w:rsidR="0037014B" w:rsidRPr="000F4F43">
                    <w:rPr>
                      <w:b/>
                      <w:bCs/>
                      <w:shd w:val="clear" w:color="auto" w:fill="FFFFFF" w:themeFill="background1"/>
                    </w:rPr>
                    <w:t>26</w:t>
                  </w:r>
                </w:p>
              </w:tc>
              <w:tc>
                <w:tcPr>
                  <w:tcW w:w="848" w:type="dxa"/>
                  <w:shd w:val="clear" w:color="auto" w:fill="FFFFFF" w:themeFill="background1"/>
                  <w:vAlign w:val="center"/>
                </w:tcPr>
                <w:p w:rsidR="00B56EE3" w:rsidRDefault="00B56EE3" w:rsidP="0037014B">
                  <w:pPr>
                    <w:pStyle w:val="TableBodyText"/>
                    <w:rPr>
                      <w:b/>
                      <w:bCs/>
                    </w:rPr>
                  </w:pPr>
                  <w:r w:rsidRPr="000F4F43">
                    <w:rPr>
                      <w:b/>
                      <w:bCs/>
                      <w:shd w:val="clear" w:color="auto" w:fill="FFFFFF" w:themeFill="background1"/>
                    </w:rPr>
                    <w:t>2 8</w:t>
                  </w:r>
                  <w:r w:rsidR="0037014B" w:rsidRPr="000F4F43">
                    <w:rPr>
                      <w:b/>
                      <w:bCs/>
                      <w:shd w:val="clear" w:color="auto" w:fill="FFFFFF" w:themeFill="background1"/>
                    </w:rPr>
                    <w:t>77</w:t>
                  </w:r>
                </w:p>
              </w:tc>
              <w:tc>
                <w:tcPr>
                  <w:tcW w:w="708" w:type="dxa"/>
                  <w:shd w:val="clear" w:color="auto" w:fill="FFFFFF" w:themeFill="background1"/>
                  <w:vAlign w:val="center"/>
                </w:tcPr>
                <w:p w:rsidR="00B56EE3" w:rsidRDefault="00B56EE3" w:rsidP="0037014B">
                  <w:pPr>
                    <w:pStyle w:val="TableBodyText"/>
                    <w:rPr>
                      <w:b/>
                      <w:bCs/>
                    </w:rPr>
                  </w:pPr>
                  <w:r w:rsidRPr="000F4F43">
                    <w:rPr>
                      <w:b/>
                      <w:bCs/>
                      <w:shd w:val="clear" w:color="auto" w:fill="FFFFFF" w:themeFill="background1"/>
                    </w:rPr>
                    <w:t>2 50</w:t>
                  </w:r>
                  <w:r w:rsidR="0037014B" w:rsidRPr="000F4F43">
                    <w:rPr>
                      <w:b/>
                      <w:bCs/>
                      <w:shd w:val="clear" w:color="auto" w:fill="FFFFFF" w:themeFill="background1"/>
                    </w:rPr>
                    <w:t>9</w:t>
                  </w:r>
                </w:p>
              </w:tc>
              <w:tc>
                <w:tcPr>
                  <w:tcW w:w="708" w:type="dxa"/>
                  <w:shd w:val="clear" w:color="auto" w:fill="FFFFFF" w:themeFill="background1"/>
                  <w:vAlign w:val="center"/>
                </w:tcPr>
                <w:p w:rsidR="00B56EE3" w:rsidRDefault="00B56EE3" w:rsidP="0037014B">
                  <w:pPr>
                    <w:pStyle w:val="TableBodyText"/>
                    <w:rPr>
                      <w:b/>
                      <w:bCs/>
                    </w:rPr>
                  </w:pPr>
                  <w:r w:rsidRPr="000F4F43">
                    <w:rPr>
                      <w:b/>
                      <w:bCs/>
                      <w:shd w:val="clear" w:color="auto" w:fill="FFFFFF" w:themeFill="background1"/>
                    </w:rPr>
                    <w:t>1 31</w:t>
                  </w:r>
                  <w:r w:rsidR="0037014B" w:rsidRPr="000F4F43">
                    <w:rPr>
                      <w:b/>
                      <w:bCs/>
                      <w:shd w:val="clear" w:color="auto" w:fill="FFFFFF" w:themeFill="background1"/>
                    </w:rPr>
                    <w:t>7</w:t>
                  </w:r>
                </w:p>
              </w:tc>
              <w:tc>
                <w:tcPr>
                  <w:tcW w:w="708" w:type="dxa"/>
                  <w:shd w:val="clear" w:color="auto" w:fill="FFFFFF" w:themeFill="background1"/>
                  <w:vAlign w:val="center"/>
                </w:tcPr>
                <w:p w:rsidR="00B56EE3" w:rsidRDefault="00B56EE3" w:rsidP="00C3749C">
                  <w:pPr>
                    <w:pStyle w:val="TableBodyText"/>
                    <w:rPr>
                      <w:b/>
                      <w:bCs/>
                    </w:rPr>
                  </w:pPr>
                  <w:r>
                    <w:rPr>
                      <w:b/>
                      <w:bCs/>
                    </w:rPr>
                    <w:t xml:space="preserve"> </w:t>
                  </w:r>
                  <w:r w:rsidRPr="000F4F43">
                    <w:rPr>
                      <w:b/>
                      <w:bCs/>
                      <w:shd w:val="clear" w:color="auto" w:fill="FFFFFF" w:themeFill="background1"/>
                    </w:rPr>
                    <w:t>85</w:t>
                  </w:r>
                  <w:r w:rsidR="00C3749C">
                    <w:rPr>
                      <w:b/>
                      <w:bCs/>
                      <w:shd w:val="clear" w:color="auto" w:fill="FFFFFF" w:themeFill="background1"/>
                    </w:rPr>
                    <w:t>6</w:t>
                  </w:r>
                </w:p>
              </w:tc>
              <w:tc>
                <w:tcPr>
                  <w:tcW w:w="707" w:type="dxa"/>
                  <w:shd w:val="clear" w:color="auto" w:fill="FFFFFF" w:themeFill="background1"/>
                  <w:vAlign w:val="center"/>
                </w:tcPr>
                <w:p w:rsidR="00B56EE3" w:rsidRDefault="00B56EE3" w:rsidP="00742D58">
                  <w:pPr>
                    <w:pStyle w:val="TableBodyText"/>
                    <w:rPr>
                      <w:b/>
                      <w:bCs/>
                    </w:rPr>
                  </w:pPr>
                  <w:r>
                    <w:rPr>
                      <w:b/>
                      <w:bCs/>
                    </w:rPr>
                    <w:t xml:space="preserve"> 23</w:t>
                  </w:r>
                  <w:r w:rsidR="00742D58">
                    <w:rPr>
                      <w:b/>
                      <w:bCs/>
                    </w:rPr>
                    <w:t>7</w:t>
                  </w:r>
                </w:p>
              </w:tc>
              <w:tc>
                <w:tcPr>
                  <w:tcW w:w="577" w:type="dxa"/>
                  <w:shd w:val="clear" w:color="auto" w:fill="FFFFFF" w:themeFill="background1"/>
                  <w:vAlign w:val="center"/>
                </w:tcPr>
                <w:p w:rsidR="00B56EE3" w:rsidRDefault="00B56EE3" w:rsidP="00742D58">
                  <w:pPr>
                    <w:pStyle w:val="TableBodyText"/>
                    <w:rPr>
                      <w:b/>
                      <w:bCs/>
                    </w:rPr>
                  </w:pPr>
                  <w:r>
                    <w:rPr>
                      <w:b/>
                      <w:bCs/>
                    </w:rPr>
                    <w:t xml:space="preserve"> 221</w:t>
                  </w:r>
                </w:p>
              </w:tc>
              <w:tc>
                <w:tcPr>
                  <w:tcW w:w="568" w:type="dxa"/>
                  <w:shd w:val="clear" w:color="auto" w:fill="FFFFFF" w:themeFill="background1"/>
                  <w:vAlign w:val="center"/>
                </w:tcPr>
                <w:p w:rsidR="00B56EE3" w:rsidRDefault="00B56EE3" w:rsidP="00742D58">
                  <w:pPr>
                    <w:pStyle w:val="TableBodyText"/>
                    <w:rPr>
                      <w:b/>
                      <w:bCs/>
                    </w:rPr>
                  </w:pPr>
                  <w:r>
                    <w:rPr>
                      <w:b/>
                      <w:bCs/>
                    </w:rPr>
                    <w:t xml:space="preserve"> 18</w:t>
                  </w:r>
                  <w:r w:rsidR="00742D58">
                    <w:rPr>
                      <w:b/>
                      <w:bCs/>
                    </w:rPr>
                    <w:t>1</w:t>
                  </w:r>
                </w:p>
              </w:tc>
              <w:tc>
                <w:tcPr>
                  <w:tcW w:w="708" w:type="dxa"/>
                  <w:shd w:val="clear" w:color="auto" w:fill="FFFFFF" w:themeFill="background1"/>
                  <w:vAlign w:val="center"/>
                </w:tcPr>
                <w:p w:rsidR="00B56EE3" w:rsidRDefault="00B56EE3" w:rsidP="0037014B">
                  <w:pPr>
                    <w:pStyle w:val="TableBodyText"/>
                    <w:rPr>
                      <w:b/>
                      <w:bCs/>
                    </w:rPr>
                  </w:pPr>
                  <w:r w:rsidRPr="000F4F43">
                    <w:rPr>
                      <w:b/>
                      <w:bCs/>
                      <w:shd w:val="clear" w:color="auto" w:fill="FFFFFF" w:themeFill="background1"/>
                    </w:rPr>
                    <w:t xml:space="preserve">11 </w:t>
                  </w:r>
                  <w:r w:rsidR="0037014B" w:rsidRPr="000F4F43">
                    <w:rPr>
                      <w:b/>
                      <w:bCs/>
                      <w:shd w:val="clear" w:color="auto" w:fill="FFFFFF" w:themeFill="background1"/>
                    </w:rPr>
                    <w:t>924</w:t>
                  </w:r>
                </w:p>
              </w:tc>
            </w:tr>
            <w:tr w:rsidR="00742D58" w:rsidRPr="008D60E8" w:rsidTr="009B1E55">
              <w:tc>
                <w:tcPr>
                  <w:tcW w:w="2265" w:type="dxa"/>
                  <w:shd w:val="clear" w:color="auto" w:fill="FFFFFF" w:themeFill="background1"/>
                </w:tcPr>
                <w:p w:rsidR="00271DC3" w:rsidRPr="008D60E8" w:rsidRDefault="00271DC3" w:rsidP="00953E9C">
                  <w:pPr>
                    <w:pStyle w:val="TableUnitsRow"/>
                    <w:shd w:val="clear" w:color="auto" w:fill="FFFFFF" w:themeFill="background1"/>
                    <w:spacing w:before="80"/>
                    <w:ind w:left="0" w:right="28"/>
                    <w:jc w:val="left"/>
                    <w:rPr>
                      <w:b/>
                    </w:rPr>
                  </w:pPr>
                  <w:r w:rsidRPr="008D60E8">
                    <w:rPr>
                      <w:b/>
                    </w:rPr>
                    <w:t>All schools</w:t>
                  </w:r>
                </w:p>
              </w:tc>
              <w:tc>
                <w:tcPr>
                  <w:tcW w:w="686" w:type="dxa"/>
                  <w:shd w:val="clear" w:color="auto" w:fill="FFFFFF" w:themeFill="background1"/>
                </w:tcPr>
                <w:p w:rsidR="00271DC3" w:rsidRPr="008D60E8" w:rsidRDefault="00271DC3" w:rsidP="00B56EE3">
                  <w:pPr>
                    <w:pStyle w:val="TableBodyText"/>
                  </w:pPr>
                </w:p>
              </w:tc>
              <w:tc>
                <w:tcPr>
                  <w:tcW w:w="848" w:type="dxa"/>
                  <w:shd w:val="clear" w:color="auto" w:fill="FFFFFF" w:themeFill="background1"/>
                </w:tcPr>
                <w:p w:rsidR="00271DC3" w:rsidRPr="008D60E8" w:rsidRDefault="00271DC3" w:rsidP="00B56EE3">
                  <w:pPr>
                    <w:pStyle w:val="TableBodyText"/>
                  </w:pPr>
                </w:p>
              </w:tc>
              <w:tc>
                <w:tcPr>
                  <w:tcW w:w="708" w:type="dxa"/>
                  <w:shd w:val="clear" w:color="auto" w:fill="FFFFFF" w:themeFill="background1"/>
                </w:tcPr>
                <w:p w:rsidR="00271DC3" w:rsidRPr="008D60E8" w:rsidRDefault="00271DC3" w:rsidP="00B56EE3">
                  <w:pPr>
                    <w:pStyle w:val="TableBodyText"/>
                  </w:pPr>
                </w:p>
              </w:tc>
              <w:tc>
                <w:tcPr>
                  <w:tcW w:w="708" w:type="dxa"/>
                  <w:shd w:val="clear" w:color="auto" w:fill="FFFFFF" w:themeFill="background1"/>
                </w:tcPr>
                <w:p w:rsidR="00271DC3" w:rsidRPr="008D60E8" w:rsidRDefault="00271DC3" w:rsidP="00B56EE3">
                  <w:pPr>
                    <w:pStyle w:val="TableBodyText"/>
                  </w:pPr>
                </w:p>
              </w:tc>
              <w:tc>
                <w:tcPr>
                  <w:tcW w:w="708" w:type="dxa"/>
                  <w:shd w:val="clear" w:color="auto" w:fill="FFFFFF" w:themeFill="background1"/>
                </w:tcPr>
                <w:p w:rsidR="00271DC3" w:rsidRPr="008D60E8" w:rsidRDefault="00271DC3" w:rsidP="00B56EE3">
                  <w:pPr>
                    <w:pStyle w:val="TableBodyText"/>
                  </w:pPr>
                </w:p>
              </w:tc>
              <w:tc>
                <w:tcPr>
                  <w:tcW w:w="707" w:type="dxa"/>
                  <w:shd w:val="clear" w:color="auto" w:fill="FFFFFF" w:themeFill="background1"/>
                </w:tcPr>
                <w:p w:rsidR="00271DC3" w:rsidRPr="008D60E8" w:rsidRDefault="00271DC3" w:rsidP="00B56EE3">
                  <w:pPr>
                    <w:pStyle w:val="TableBodyText"/>
                  </w:pPr>
                </w:p>
              </w:tc>
              <w:tc>
                <w:tcPr>
                  <w:tcW w:w="577" w:type="dxa"/>
                  <w:shd w:val="clear" w:color="auto" w:fill="FFFFFF" w:themeFill="background1"/>
                </w:tcPr>
                <w:p w:rsidR="00271DC3" w:rsidRPr="008D60E8" w:rsidRDefault="00271DC3" w:rsidP="00B56EE3">
                  <w:pPr>
                    <w:pStyle w:val="TableBodyText"/>
                  </w:pPr>
                </w:p>
              </w:tc>
              <w:tc>
                <w:tcPr>
                  <w:tcW w:w="568" w:type="dxa"/>
                  <w:shd w:val="clear" w:color="auto" w:fill="FFFFFF" w:themeFill="background1"/>
                </w:tcPr>
                <w:p w:rsidR="00271DC3" w:rsidRPr="008D60E8" w:rsidRDefault="00271DC3" w:rsidP="00B56EE3">
                  <w:pPr>
                    <w:pStyle w:val="TableBodyText"/>
                  </w:pPr>
                </w:p>
              </w:tc>
              <w:tc>
                <w:tcPr>
                  <w:tcW w:w="708" w:type="dxa"/>
                  <w:shd w:val="clear" w:color="auto" w:fill="FFFFFF" w:themeFill="background1"/>
                </w:tcPr>
                <w:p w:rsidR="00271DC3" w:rsidRPr="008D60E8" w:rsidRDefault="00271DC3" w:rsidP="00B56EE3">
                  <w:pPr>
                    <w:pStyle w:val="TableBodyText"/>
                  </w:pPr>
                </w:p>
              </w:tc>
            </w:tr>
            <w:tr w:rsidR="00742D58" w:rsidRPr="008D60E8" w:rsidTr="007F3B2E">
              <w:tc>
                <w:tcPr>
                  <w:tcW w:w="2265" w:type="dxa"/>
                  <w:shd w:val="clear" w:color="auto" w:fill="FFFFFF" w:themeFill="background1"/>
                </w:tcPr>
                <w:p w:rsidR="00B56EE3" w:rsidRPr="008D60E8" w:rsidRDefault="00B56EE3" w:rsidP="00953E9C">
                  <w:pPr>
                    <w:pStyle w:val="TableUnitsRow"/>
                    <w:shd w:val="clear" w:color="auto" w:fill="FFFFFF" w:themeFill="background1"/>
                    <w:spacing w:before="0"/>
                    <w:ind w:left="0" w:right="28"/>
                    <w:jc w:val="left"/>
                  </w:pPr>
                  <w:r w:rsidRPr="008D60E8">
                    <w:t>Australian Government</w:t>
                  </w:r>
                </w:p>
              </w:tc>
              <w:tc>
                <w:tcPr>
                  <w:tcW w:w="686" w:type="dxa"/>
                  <w:shd w:val="clear" w:color="auto" w:fill="FFFFFF" w:themeFill="background1"/>
                  <w:vAlign w:val="center"/>
                </w:tcPr>
                <w:p w:rsidR="00B56EE3" w:rsidRDefault="00B56EE3" w:rsidP="00A76A43">
                  <w:pPr>
                    <w:pStyle w:val="TableBodyText"/>
                  </w:pPr>
                  <w:r>
                    <w:t>4 2</w:t>
                  </w:r>
                  <w:r w:rsidR="00A76A43">
                    <w:t>85</w:t>
                  </w:r>
                </w:p>
              </w:tc>
              <w:tc>
                <w:tcPr>
                  <w:tcW w:w="848" w:type="dxa"/>
                  <w:shd w:val="clear" w:color="auto" w:fill="FFFFFF" w:themeFill="background1"/>
                  <w:vAlign w:val="center"/>
                </w:tcPr>
                <w:p w:rsidR="00B56EE3" w:rsidRDefault="00B56EE3" w:rsidP="00A76A43">
                  <w:pPr>
                    <w:pStyle w:val="TableBodyText"/>
                  </w:pPr>
                  <w:r>
                    <w:t>3 3</w:t>
                  </w:r>
                  <w:r w:rsidR="00A76A43">
                    <w:t>52</w:t>
                  </w:r>
                </w:p>
              </w:tc>
              <w:tc>
                <w:tcPr>
                  <w:tcW w:w="708" w:type="dxa"/>
                  <w:shd w:val="clear" w:color="auto" w:fill="FFFFFF" w:themeFill="background1"/>
                  <w:vAlign w:val="center"/>
                </w:tcPr>
                <w:p w:rsidR="00B56EE3" w:rsidRDefault="00B56EE3" w:rsidP="00A76A43">
                  <w:pPr>
                    <w:pStyle w:val="TableBodyText"/>
                  </w:pPr>
                  <w:r>
                    <w:t>2 8</w:t>
                  </w:r>
                  <w:r w:rsidR="00A76A43">
                    <w:t>35</w:t>
                  </w:r>
                </w:p>
              </w:tc>
              <w:tc>
                <w:tcPr>
                  <w:tcW w:w="708" w:type="dxa"/>
                  <w:shd w:val="clear" w:color="auto" w:fill="FFFFFF" w:themeFill="background1"/>
                  <w:vAlign w:val="center"/>
                </w:tcPr>
                <w:p w:rsidR="00B56EE3" w:rsidRDefault="00B56EE3" w:rsidP="00A76A43">
                  <w:pPr>
                    <w:pStyle w:val="TableBodyText"/>
                  </w:pPr>
                  <w:r>
                    <w:t>1 38</w:t>
                  </w:r>
                  <w:r w:rsidR="00A76A43">
                    <w:t>9</w:t>
                  </w:r>
                </w:p>
              </w:tc>
              <w:tc>
                <w:tcPr>
                  <w:tcW w:w="708" w:type="dxa"/>
                  <w:shd w:val="clear" w:color="auto" w:fill="FFFFFF" w:themeFill="background1"/>
                  <w:vAlign w:val="center"/>
                </w:tcPr>
                <w:p w:rsidR="00B56EE3" w:rsidRDefault="00742D58" w:rsidP="00A76A43">
                  <w:pPr>
                    <w:pStyle w:val="TableBodyText"/>
                  </w:pPr>
                  <w:r>
                    <w:t>1 0</w:t>
                  </w:r>
                  <w:r w:rsidR="00A76A43">
                    <w:t>51</w:t>
                  </w:r>
                </w:p>
              </w:tc>
              <w:tc>
                <w:tcPr>
                  <w:tcW w:w="707" w:type="dxa"/>
                  <w:shd w:val="clear" w:color="auto" w:fill="FFFFFF" w:themeFill="background1"/>
                  <w:vAlign w:val="center"/>
                </w:tcPr>
                <w:p w:rsidR="00B56EE3" w:rsidRDefault="00B56EE3" w:rsidP="00742D58">
                  <w:pPr>
                    <w:pStyle w:val="TableBodyText"/>
                  </w:pPr>
                  <w:r>
                    <w:t xml:space="preserve"> 312</w:t>
                  </w:r>
                </w:p>
              </w:tc>
              <w:tc>
                <w:tcPr>
                  <w:tcW w:w="577" w:type="dxa"/>
                  <w:shd w:val="clear" w:color="auto" w:fill="FFFFFF" w:themeFill="background1"/>
                  <w:vAlign w:val="center"/>
                </w:tcPr>
                <w:p w:rsidR="00B56EE3" w:rsidRDefault="00B56EE3" w:rsidP="00742D58">
                  <w:pPr>
                    <w:pStyle w:val="TableBodyText"/>
                  </w:pPr>
                  <w:r>
                    <w:t xml:space="preserve"> 23</w:t>
                  </w:r>
                  <w:r w:rsidR="00742D58">
                    <w:t>6</w:t>
                  </w:r>
                </w:p>
              </w:tc>
              <w:tc>
                <w:tcPr>
                  <w:tcW w:w="568" w:type="dxa"/>
                  <w:shd w:val="clear" w:color="auto" w:fill="FFFFFF" w:themeFill="background1"/>
                  <w:vAlign w:val="center"/>
                </w:tcPr>
                <w:p w:rsidR="00B56EE3" w:rsidRDefault="00B56EE3" w:rsidP="00742D58">
                  <w:pPr>
                    <w:pStyle w:val="TableBodyText"/>
                  </w:pPr>
                  <w:r>
                    <w:t xml:space="preserve"> 258</w:t>
                  </w:r>
                </w:p>
              </w:tc>
              <w:tc>
                <w:tcPr>
                  <w:tcW w:w="708" w:type="dxa"/>
                  <w:shd w:val="clear" w:color="auto" w:fill="FFFFFF" w:themeFill="background1"/>
                  <w:vAlign w:val="center"/>
                </w:tcPr>
                <w:p w:rsidR="00B56EE3" w:rsidRDefault="00B56EE3" w:rsidP="00A76A43">
                  <w:pPr>
                    <w:pStyle w:val="TableBodyText"/>
                  </w:pPr>
                  <w:r>
                    <w:t xml:space="preserve">13 </w:t>
                  </w:r>
                  <w:r w:rsidR="00A76A43">
                    <w:t>717</w:t>
                  </w:r>
                </w:p>
              </w:tc>
            </w:tr>
            <w:tr w:rsidR="00742D58" w:rsidRPr="008D60E8" w:rsidTr="009B1E55">
              <w:tc>
                <w:tcPr>
                  <w:tcW w:w="2265" w:type="dxa"/>
                  <w:shd w:val="clear" w:color="auto" w:fill="FFFFFF" w:themeFill="background1"/>
                </w:tcPr>
                <w:p w:rsidR="00B56EE3" w:rsidRPr="008D60E8" w:rsidRDefault="00B56EE3" w:rsidP="00953E9C">
                  <w:pPr>
                    <w:pStyle w:val="TableUnitsRow"/>
                    <w:shd w:val="clear" w:color="auto" w:fill="FFFFFF" w:themeFill="background1"/>
                    <w:spacing w:before="0"/>
                    <w:ind w:left="0" w:right="28"/>
                    <w:jc w:val="left"/>
                  </w:pPr>
                  <w:r w:rsidRPr="008D60E8">
                    <w:t>State and Territory governments</w:t>
                  </w:r>
                </w:p>
              </w:tc>
              <w:tc>
                <w:tcPr>
                  <w:tcW w:w="686" w:type="dxa"/>
                  <w:shd w:val="clear" w:color="auto" w:fill="FFFFFF" w:themeFill="background1"/>
                  <w:vAlign w:val="center"/>
                </w:tcPr>
                <w:p w:rsidR="00B56EE3" w:rsidRDefault="00B56EE3" w:rsidP="00742D58">
                  <w:pPr>
                    <w:pStyle w:val="TableBodyText"/>
                  </w:pPr>
                  <w:r>
                    <w:t>11 93</w:t>
                  </w:r>
                  <w:r w:rsidR="00742D58">
                    <w:t>5</w:t>
                  </w:r>
                </w:p>
              </w:tc>
              <w:tc>
                <w:tcPr>
                  <w:tcW w:w="848" w:type="dxa"/>
                  <w:shd w:val="clear" w:color="auto" w:fill="FFFFFF" w:themeFill="background1"/>
                  <w:vAlign w:val="center"/>
                </w:tcPr>
                <w:p w:rsidR="00B56EE3" w:rsidRDefault="00B56EE3" w:rsidP="00742D58">
                  <w:pPr>
                    <w:pStyle w:val="TableBodyText"/>
                  </w:pPr>
                  <w:r>
                    <w:t>7 3</w:t>
                  </w:r>
                  <w:r w:rsidR="00742D58">
                    <w:t>20</w:t>
                  </w:r>
                </w:p>
              </w:tc>
              <w:tc>
                <w:tcPr>
                  <w:tcW w:w="708" w:type="dxa"/>
                  <w:shd w:val="clear" w:color="auto" w:fill="FFFFFF" w:themeFill="background1"/>
                  <w:vAlign w:val="center"/>
                </w:tcPr>
                <w:p w:rsidR="00B56EE3" w:rsidRDefault="00B56EE3" w:rsidP="00742D58">
                  <w:pPr>
                    <w:pStyle w:val="TableBodyText"/>
                  </w:pPr>
                  <w:r>
                    <w:t>7 67</w:t>
                  </w:r>
                  <w:r w:rsidR="00742D58">
                    <w:t>2</w:t>
                  </w:r>
                </w:p>
              </w:tc>
              <w:tc>
                <w:tcPr>
                  <w:tcW w:w="708" w:type="dxa"/>
                  <w:shd w:val="clear" w:color="auto" w:fill="FFFFFF" w:themeFill="background1"/>
                  <w:vAlign w:val="center"/>
                </w:tcPr>
                <w:p w:rsidR="00B56EE3" w:rsidRDefault="00B56EE3" w:rsidP="00742D58">
                  <w:pPr>
                    <w:pStyle w:val="TableBodyText"/>
                  </w:pPr>
                  <w:r>
                    <w:t>4 921</w:t>
                  </w:r>
                </w:p>
              </w:tc>
              <w:tc>
                <w:tcPr>
                  <w:tcW w:w="708" w:type="dxa"/>
                  <w:shd w:val="clear" w:color="auto" w:fill="FFFFFF" w:themeFill="background1"/>
                  <w:vAlign w:val="center"/>
                </w:tcPr>
                <w:p w:rsidR="00B56EE3" w:rsidRDefault="00B56EE3" w:rsidP="00742D58">
                  <w:pPr>
                    <w:pStyle w:val="TableBodyText"/>
                  </w:pPr>
                  <w:r>
                    <w:t>2 600</w:t>
                  </w:r>
                </w:p>
              </w:tc>
              <w:tc>
                <w:tcPr>
                  <w:tcW w:w="707" w:type="dxa"/>
                  <w:shd w:val="clear" w:color="auto" w:fill="FFFFFF" w:themeFill="background1"/>
                  <w:vAlign w:val="center"/>
                </w:tcPr>
                <w:p w:rsidR="00B56EE3" w:rsidRDefault="00B56EE3" w:rsidP="00742D58">
                  <w:pPr>
                    <w:pStyle w:val="TableBodyText"/>
                  </w:pPr>
                  <w:r>
                    <w:t xml:space="preserve"> 870</w:t>
                  </w:r>
                </w:p>
              </w:tc>
              <w:tc>
                <w:tcPr>
                  <w:tcW w:w="577" w:type="dxa"/>
                  <w:shd w:val="clear" w:color="auto" w:fill="FFFFFF" w:themeFill="background1"/>
                  <w:vAlign w:val="center"/>
                </w:tcPr>
                <w:p w:rsidR="00B56EE3" w:rsidRDefault="00B56EE3" w:rsidP="00742D58">
                  <w:pPr>
                    <w:pStyle w:val="TableBodyText"/>
                  </w:pPr>
                  <w:r>
                    <w:t xml:space="preserve"> 763</w:t>
                  </w:r>
                </w:p>
              </w:tc>
              <w:tc>
                <w:tcPr>
                  <w:tcW w:w="568" w:type="dxa"/>
                  <w:shd w:val="clear" w:color="auto" w:fill="FFFFFF" w:themeFill="background1"/>
                  <w:vAlign w:val="center"/>
                </w:tcPr>
                <w:p w:rsidR="00B56EE3" w:rsidRDefault="00B56EE3" w:rsidP="00742D58">
                  <w:pPr>
                    <w:pStyle w:val="TableBodyText"/>
                  </w:pPr>
                  <w:r>
                    <w:t xml:space="preserve"> 617</w:t>
                  </w:r>
                </w:p>
              </w:tc>
              <w:tc>
                <w:tcPr>
                  <w:tcW w:w="708" w:type="dxa"/>
                  <w:shd w:val="clear" w:color="auto" w:fill="FFFFFF" w:themeFill="background1"/>
                  <w:vAlign w:val="center"/>
                </w:tcPr>
                <w:p w:rsidR="00B56EE3" w:rsidRDefault="00B56EE3" w:rsidP="00742D58">
                  <w:pPr>
                    <w:pStyle w:val="TableBodyText"/>
                  </w:pPr>
                  <w:r>
                    <w:t>36 699</w:t>
                  </w:r>
                </w:p>
              </w:tc>
            </w:tr>
            <w:tr w:rsidR="00742D58" w:rsidRPr="008D60E8" w:rsidTr="007F3B2E">
              <w:tc>
                <w:tcPr>
                  <w:tcW w:w="2265" w:type="dxa"/>
                  <w:tcBorders>
                    <w:bottom w:val="single" w:sz="6" w:space="0" w:color="BFBFBF" w:themeColor="background2"/>
                  </w:tcBorders>
                  <w:shd w:val="clear" w:color="auto" w:fill="FFFFFF" w:themeFill="background1"/>
                </w:tcPr>
                <w:p w:rsidR="00B56EE3" w:rsidRPr="008D60E8" w:rsidRDefault="00B56EE3" w:rsidP="00953E9C">
                  <w:pPr>
                    <w:pStyle w:val="TableUnitsRow"/>
                    <w:shd w:val="clear" w:color="auto" w:fill="FFFFFF" w:themeFill="background1"/>
                    <w:ind w:left="0" w:right="28"/>
                    <w:jc w:val="left"/>
                    <w:rPr>
                      <w:b/>
                    </w:rPr>
                  </w:pPr>
                  <w:r w:rsidRPr="008D60E8">
                    <w:rPr>
                      <w:b/>
                    </w:rPr>
                    <w:t>Total</w:t>
                  </w:r>
                </w:p>
              </w:tc>
              <w:tc>
                <w:tcPr>
                  <w:tcW w:w="686" w:type="dxa"/>
                  <w:tcBorders>
                    <w:bottom w:val="single" w:sz="6" w:space="0" w:color="BFBFBF" w:themeColor="background2"/>
                  </w:tcBorders>
                  <w:shd w:val="clear" w:color="auto" w:fill="FFFFFF" w:themeFill="background1"/>
                  <w:vAlign w:val="center"/>
                </w:tcPr>
                <w:p w:rsidR="00B56EE3" w:rsidRDefault="00B56EE3" w:rsidP="00A76A43">
                  <w:pPr>
                    <w:pStyle w:val="TableBodyText"/>
                    <w:rPr>
                      <w:b/>
                      <w:bCs/>
                    </w:rPr>
                  </w:pPr>
                  <w:r>
                    <w:rPr>
                      <w:b/>
                      <w:bCs/>
                    </w:rPr>
                    <w:t>16 2</w:t>
                  </w:r>
                  <w:r w:rsidR="00A76A43">
                    <w:rPr>
                      <w:b/>
                      <w:bCs/>
                    </w:rPr>
                    <w:t>19</w:t>
                  </w:r>
                </w:p>
              </w:tc>
              <w:tc>
                <w:tcPr>
                  <w:tcW w:w="848" w:type="dxa"/>
                  <w:tcBorders>
                    <w:bottom w:val="single" w:sz="6" w:space="0" w:color="BFBFBF" w:themeColor="background2"/>
                  </w:tcBorders>
                  <w:shd w:val="clear" w:color="auto" w:fill="FFFFFF" w:themeFill="background1"/>
                  <w:vAlign w:val="center"/>
                </w:tcPr>
                <w:p w:rsidR="00B56EE3" w:rsidRDefault="00B56EE3" w:rsidP="00A76A43">
                  <w:pPr>
                    <w:pStyle w:val="TableBodyText"/>
                    <w:rPr>
                      <w:b/>
                      <w:bCs/>
                    </w:rPr>
                  </w:pPr>
                  <w:r>
                    <w:rPr>
                      <w:b/>
                      <w:bCs/>
                    </w:rPr>
                    <w:t>10 6</w:t>
                  </w:r>
                  <w:r w:rsidR="00A76A43">
                    <w:rPr>
                      <w:b/>
                      <w:bCs/>
                    </w:rPr>
                    <w:t>72</w:t>
                  </w:r>
                </w:p>
              </w:tc>
              <w:tc>
                <w:tcPr>
                  <w:tcW w:w="708" w:type="dxa"/>
                  <w:tcBorders>
                    <w:bottom w:val="single" w:sz="6" w:space="0" w:color="BFBFBF" w:themeColor="background2"/>
                  </w:tcBorders>
                  <w:shd w:val="clear" w:color="auto" w:fill="FFFFFF" w:themeFill="background1"/>
                  <w:vAlign w:val="center"/>
                </w:tcPr>
                <w:p w:rsidR="00B56EE3" w:rsidRDefault="00742D58" w:rsidP="00A76A43">
                  <w:pPr>
                    <w:pStyle w:val="TableBodyText"/>
                    <w:rPr>
                      <w:b/>
                      <w:bCs/>
                    </w:rPr>
                  </w:pPr>
                  <w:r>
                    <w:rPr>
                      <w:b/>
                      <w:bCs/>
                    </w:rPr>
                    <w:t xml:space="preserve">10 </w:t>
                  </w:r>
                  <w:r w:rsidR="00A76A43">
                    <w:rPr>
                      <w:b/>
                      <w:bCs/>
                    </w:rPr>
                    <w:t>507</w:t>
                  </w:r>
                </w:p>
              </w:tc>
              <w:tc>
                <w:tcPr>
                  <w:tcW w:w="708" w:type="dxa"/>
                  <w:tcBorders>
                    <w:bottom w:val="single" w:sz="6" w:space="0" w:color="BFBFBF" w:themeColor="background2"/>
                  </w:tcBorders>
                  <w:shd w:val="clear" w:color="auto" w:fill="FFFFFF" w:themeFill="background1"/>
                  <w:vAlign w:val="center"/>
                </w:tcPr>
                <w:p w:rsidR="00B56EE3" w:rsidRDefault="00B56EE3" w:rsidP="00A76A43">
                  <w:pPr>
                    <w:pStyle w:val="TableBodyText"/>
                    <w:rPr>
                      <w:b/>
                      <w:bCs/>
                    </w:rPr>
                  </w:pPr>
                  <w:r>
                    <w:rPr>
                      <w:b/>
                      <w:bCs/>
                    </w:rPr>
                    <w:t>6 3</w:t>
                  </w:r>
                  <w:r w:rsidR="00A76A43">
                    <w:rPr>
                      <w:b/>
                      <w:bCs/>
                    </w:rPr>
                    <w:t>10</w:t>
                  </w:r>
                </w:p>
              </w:tc>
              <w:tc>
                <w:tcPr>
                  <w:tcW w:w="708" w:type="dxa"/>
                  <w:tcBorders>
                    <w:bottom w:val="single" w:sz="6" w:space="0" w:color="BFBFBF" w:themeColor="background2"/>
                  </w:tcBorders>
                  <w:shd w:val="clear" w:color="auto" w:fill="FFFFFF" w:themeFill="background1"/>
                  <w:vAlign w:val="center"/>
                </w:tcPr>
                <w:p w:rsidR="00B56EE3" w:rsidRDefault="00B56EE3" w:rsidP="00A76A43">
                  <w:pPr>
                    <w:pStyle w:val="TableBodyText"/>
                    <w:rPr>
                      <w:b/>
                      <w:bCs/>
                    </w:rPr>
                  </w:pPr>
                  <w:r>
                    <w:rPr>
                      <w:b/>
                      <w:bCs/>
                    </w:rPr>
                    <w:t>3 6</w:t>
                  </w:r>
                  <w:r w:rsidR="00A76A43">
                    <w:rPr>
                      <w:b/>
                      <w:bCs/>
                    </w:rPr>
                    <w:t>52</w:t>
                  </w:r>
                </w:p>
              </w:tc>
              <w:tc>
                <w:tcPr>
                  <w:tcW w:w="707" w:type="dxa"/>
                  <w:tcBorders>
                    <w:bottom w:val="single" w:sz="6" w:space="0" w:color="BFBFBF" w:themeColor="background2"/>
                  </w:tcBorders>
                  <w:shd w:val="clear" w:color="auto" w:fill="FFFFFF" w:themeFill="background1"/>
                  <w:vAlign w:val="center"/>
                </w:tcPr>
                <w:p w:rsidR="00B56EE3" w:rsidRDefault="00B56EE3" w:rsidP="00742D58">
                  <w:pPr>
                    <w:pStyle w:val="TableBodyText"/>
                    <w:rPr>
                      <w:b/>
                      <w:bCs/>
                    </w:rPr>
                  </w:pPr>
                  <w:r>
                    <w:rPr>
                      <w:b/>
                      <w:bCs/>
                    </w:rPr>
                    <w:t>1 18</w:t>
                  </w:r>
                  <w:r w:rsidR="00742D58">
                    <w:rPr>
                      <w:b/>
                      <w:bCs/>
                    </w:rPr>
                    <w:t>3</w:t>
                  </w:r>
                </w:p>
              </w:tc>
              <w:tc>
                <w:tcPr>
                  <w:tcW w:w="577" w:type="dxa"/>
                  <w:tcBorders>
                    <w:bottom w:val="single" w:sz="6" w:space="0" w:color="BFBFBF" w:themeColor="background2"/>
                  </w:tcBorders>
                  <w:shd w:val="clear" w:color="auto" w:fill="FFFFFF" w:themeFill="background1"/>
                  <w:vAlign w:val="center"/>
                </w:tcPr>
                <w:p w:rsidR="00B56EE3" w:rsidRDefault="00B56EE3" w:rsidP="00742D58">
                  <w:pPr>
                    <w:pStyle w:val="TableBodyText"/>
                    <w:rPr>
                      <w:b/>
                      <w:bCs/>
                    </w:rPr>
                  </w:pPr>
                  <w:r>
                    <w:rPr>
                      <w:b/>
                      <w:bCs/>
                    </w:rPr>
                    <w:t xml:space="preserve"> 99</w:t>
                  </w:r>
                  <w:r w:rsidR="00742D58">
                    <w:rPr>
                      <w:b/>
                      <w:bCs/>
                    </w:rPr>
                    <w:t>9</w:t>
                  </w:r>
                </w:p>
              </w:tc>
              <w:tc>
                <w:tcPr>
                  <w:tcW w:w="568" w:type="dxa"/>
                  <w:tcBorders>
                    <w:bottom w:val="single" w:sz="6" w:space="0" w:color="BFBFBF" w:themeColor="background2"/>
                  </w:tcBorders>
                  <w:shd w:val="clear" w:color="auto" w:fill="FFFFFF" w:themeFill="background1"/>
                  <w:vAlign w:val="center"/>
                </w:tcPr>
                <w:p w:rsidR="00B56EE3" w:rsidRDefault="00B56EE3" w:rsidP="00742D58">
                  <w:pPr>
                    <w:pStyle w:val="TableBodyText"/>
                    <w:rPr>
                      <w:b/>
                      <w:bCs/>
                    </w:rPr>
                  </w:pPr>
                  <w:r>
                    <w:rPr>
                      <w:b/>
                      <w:bCs/>
                    </w:rPr>
                    <w:t xml:space="preserve"> 875</w:t>
                  </w:r>
                </w:p>
              </w:tc>
              <w:tc>
                <w:tcPr>
                  <w:tcW w:w="708" w:type="dxa"/>
                  <w:tcBorders>
                    <w:bottom w:val="single" w:sz="6" w:space="0" w:color="BFBFBF" w:themeColor="background2"/>
                  </w:tcBorders>
                  <w:shd w:val="clear" w:color="auto" w:fill="FFFFFF" w:themeFill="background1"/>
                  <w:vAlign w:val="center"/>
                </w:tcPr>
                <w:p w:rsidR="00B56EE3" w:rsidRDefault="00B56EE3" w:rsidP="00A76A43">
                  <w:pPr>
                    <w:pStyle w:val="TableBodyText"/>
                    <w:rPr>
                      <w:b/>
                      <w:bCs/>
                    </w:rPr>
                  </w:pPr>
                  <w:r>
                    <w:rPr>
                      <w:b/>
                      <w:bCs/>
                    </w:rPr>
                    <w:t xml:space="preserve">50 </w:t>
                  </w:r>
                  <w:r w:rsidR="00A76A43">
                    <w:rPr>
                      <w:b/>
                      <w:bCs/>
                    </w:rPr>
                    <w:t>417</w:t>
                  </w:r>
                </w:p>
              </w:tc>
            </w:tr>
          </w:tbl>
          <w:p w:rsidR="00271DC3" w:rsidRPr="008D60E8" w:rsidRDefault="00271DC3" w:rsidP="00953E9C">
            <w:pPr>
              <w:pStyle w:val="Box"/>
              <w:shd w:val="clear" w:color="auto" w:fill="FFFFFF" w:themeFill="background1"/>
            </w:pPr>
          </w:p>
        </w:tc>
      </w:tr>
      <w:tr w:rsidR="00271DC3" w:rsidRPr="008D60E8" w:rsidTr="008D60E8">
        <w:trPr>
          <w:cantSplit/>
        </w:trPr>
        <w:tc>
          <w:tcPr>
            <w:tcW w:w="8767" w:type="dxa"/>
            <w:tcBorders>
              <w:top w:val="nil"/>
              <w:left w:val="nil"/>
              <w:bottom w:val="nil"/>
              <w:right w:val="nil"/>
            </w:tcBorders>
            <w:shd w:val="clear" w:color="auto" w:fill="FFFFFF" w:themeFill="background1"/>
          </w:tcPr>
          <w:p w:rsidR="00271DC3" w:rsidRPr="008D60E8" w:rsidRDefault="00271DC3" w:rsidP="007C767F">
            <w:pPr>
              <w:pStyle w:val="Note"/>
              <w:shd w:val="clear" w:color="auto" w:fill="FFFFFF" w:themeFill="background1"/>
              <w:rPr>
                <w:i/>
              </w:rPr>
            </w:pPr>
            <w:r w:rsidRPr="00953E9C">
              <w:rPr>
                <w:rStyle w:val="NoteLabel"/>
              </w:rPr>
              <w:t>a</w:t>
            </w:r>
            <w:r w:rsidRPr="00953E9C">
              <w:t xml:space="preserve"> </w:t>
            </w:r>
            <w:r w:rsidR="007C767F" w:rsidRPr="007C767F">
              <w:t xml:space="preserve">See table </w:t>
            </w:r>
            <w:r w:rsidR="007C767F">
              <w:t>4A.7</w:t>
            </w:r>
            <w:r w:rsidR="007C767F" w:rsidRPr="007C767F">
              <w:t xml:space="preserve"> for detailed footnotes and caveats.</w:t>
            </w:r>
          </w:p>
        </w:tc>
      </w:tr>
      <w:tr w:rsidR="00271DC3" w:rsidRPr="008D60E8" w:rsidTr="008D60E8">
        <w:trPr>
          <w:cantSplit/>
        </w:trPr>
        <w:tc>
          <w:tcPr>
            <w:tcW w:w="8767" w:type="dxa"/>
            <w:tcBorders>
              <w:top w:val="nil"/>
              <w:left w:val="nil"/>
              <w:bottom w:val="nil"/>
              <w:right w:val="nil"/>
            </w:tcBorders>
            <w:shd w:val="clear" w:color="auto" w:fill="FFFFFF" w:themeFill="background1"/>
          </w:tcPr>
          <w:p w:rsidR="00271DC3" w:rsidRPr="008D60E8" w:rsidRDefault="00271DC3" w:rsidP="00302B1B">
            <w:pPr>
              <w:pStyle w:val="Source"/>
              <w:shd w:val="clear" w:color="auto" w:fill="FFFFFF" w:themeFill="background1"/>
            </w:pPr>
            <w:r w:rsidRPr="008D60E8">
              <w:rPr>
                <w:i/>
              </w:rPr>
              <w:t>Source</w:t>
            </w:r>
            <w:r w:rsidRPr="008D60E8">
              <w:t xml:space="preserve">: </w:t>
            </w:r>
            <w:r w:rsidR="00EF378C" w:rsidRPr="008D60E8">
              <w:t xml:space="preserve">Education Council (unpublished) </w:t>
            </w:r>
            <w:r w:rsidR="00EF378C" w:rsidRPr="008D60E8">
              <w:rPr>
                <w:i/>
              </w:rPr>
              <w:t>National Schools Statistics Collection</w:t>
            </w:r>
            <w:r w:rsidR="00EF378C" w:rsidRPr="008D60E8">
              <w:t xml:space="preserve"> (NSSC); Australian Government Department of Education</w:t>
            </w:r>
            <w:r w:rsidR="00A74B5F">
              <w:t xml:space="preserve"> and Training</w:t>
            </w:r>
            <w:r w:rsidR="00EF378C" w:rsidRPr="008D60E8">
              <w:t xml:space="preserve"> (unpublished); Australian, State and Territory governments (unpublished); table 4A.7.</w:t>
            </w:r>
          </w:p>
        </w:tc>
      </w:tr>
      <w:tr w:rsidR="00271DC3" w:rsidRPr="008D60E8" w:rsidTr="008D60E8">
        <w:trPr>
          <w:cantSplit/>
        </w:trPr>
        <w:tc>
          <w:tcPr>
            <w:tcW w:w="8767" w:type="dxa"/>
            <w:tcBorders>
              <w:top w:val="nil"/>
              <w:left w:val="nil"/>
              <w:bottom w:val="single" w:sz="6" w:space="0" w:color="78A22F"/>
              <w:right w:val="nil"/>
            </w:tcBorders>
            <w:shd w:val="clear" w:color="auto" w:fill="FFFFFF" w:themeFill="background1"/>
          </w:tcPr>
          <w:p w:rsidR="00271DC3" w:rsidRPr="008D60E8" w:rsidRDefault="00271DC3" w:rsidP="00953E9C">
            <w:pPr>
              <w:pStyle w:val="Box"/>
              <w:shd w:val="clear" w:color="auto" w:fill="FFFFFF" w:themeFill="background1"/>
              <w:spacing w:before="0" w:line="120" w:lineRule="exact"/>
            </w:pPr>
          </w:p>
        </w:tc>
      </w:tr>
      <w:tr w:rsidR="00271DC3" w:rsidRPr="008D60E8" w:rsidTr="009B1E55">
        <w:tc>
          <w:tcPr>
            <w:tcW w:w="8767" w:type="dxa"/>
            <w:tcBorders>
              <w:top w:val="single" w:sz="6" w:space="0" w:color="78A22F"/>
              <w:left w:val="nil"/>
              <w:bottom w:val="nil"/>
              <w:right w:val="nil"/>
            </w:tcBorders>
          </w:tcPr>
          <w:p w:rsidR="00271DC3" w:rsidRPr="008D60E8" w:rsidRDefault="00271DC3" w:rsidP="00953E9C">
            <w:pPr>
              <w:pStyle w:val="BoxSpaceBelow"/>
              <w:shd w:val="clear" w:color="auto" w:fill="FFFFFF" w:themeFill="background1"/>
            </w:pPr>
          </w:p>
        </w:tc>
      </w:tr>
    </w:tbl>
    <w:p w:rsidR="00666ECE" w:rsidRPr="00607118" w:rsidRDefault="00666ECE" w:rsidP="00482120">
      <w:pPr>
        <w:pStyle w:val="BodyText"/>
      </w:pPr>
      <w:r w:rsidRPr="008D60E8">
        <w:rPr>
          <w:shd w:val="clear" w:color="auto" w:fill="FFFFFF" w:themeFill="background1"/>
        </w:rPr>
        <w:t>Caution</w:t>
      </w:r>
      <w:r w:rsidRPr="00F670A8">
        <w:rPr>
          <w:shd w:val="clear" w:color="auto" w:fill="FFFFFF" w:themeFill="background1"/>
        </w:rPr>
        <w:t xml:space="preserve"> </w:t>
      </w:r>
      <w:r w:rsidR="00635573" w:rsidRPr="00F670A8">
        <w:rPr>
          <w:shd w:val="clear" w:color="auto" w:fill="FFFFFF" w:themeFill="background1"/>
        </w:rPr>
        <w:t>should</w:t>
      </w:r>
      <w:r w:rsidRPr="00F670A8">
        <w:rPr>
          <w:shd w:val="clear" w:color="auto" w:fill="FFFFFF" w:themeFill="background1"/>
        </w:rPr>
        <w:t xml:space="preserve"> be taken when comparing </w:t>
      </w:r>
      <w:r w:rsidR="0035340F">
        <w:rPr>
          <w:shd w:val="clear" w:color="auto" w:fill="FFFFFF" w:themeFill="background1"/>
        </w:rPr>
        <w:t xml:space="preserve">expenditure </w:t>
      </w:r>
      <w:r w:rsidRPr="00F670A8">
        <w:rPr>
          <w:shd w:val="clear" w:color="auto" w:fill="FFFFFF" w:themeFill="background1"/>
        </w:rPr>
        <w:t xml:space="preserve">data </w:t>
      </w:r>
      <w:r w:rsidR="0035340F">
        <w:rPr>
          <w:shd w:val="clear" w:color="auto" w:fill="FFFFFF" w:themeFill="background1"/>
        </w:rPr>
        <w:t>for</w:t>
      </w:r>
      <w:r w:rsidRPr="00F670A8">
        <w:rPr>
          <w:shd w:val="clear" w:color="auto" w:fill="FFFFFF" w:themeFill="background1"/>
        </w:rPr>
        <w:t xml:space="preserve"> government and non</w:t>
      </w:r>
      <w:r w:rsidR="00490911">
        <w:rPr>
          <w:shd w:val="clear" w:color="auto" w:fill="FFFFFF" w:themeFill="background1"/>
        </w:rPr>
        <w:noBreakHyphen/>
      </w:r>
      <w:r w:rsidRPr="00F670A8">
        <w:rPr>
          <w:shd w:val="clear" w:color="auto" w:fill="FFFFFF" w:themeFill="background1"/>
        </w:rPr>
        <w:t xml:space="preserve">government schools, because governments </w:t>
      </w:r>
      <w:r w:rsidRPr="000F4F43">
        <w:rPr>
          <w:shd w:val="clear" w:color="auto" w:fill="FFFFFF" w:themeFill="background1"/>
        </w:rPr>
        <w:t>provide only part of the funding for non</w:t>
      </w:r>
      <w:r w:rsidR="00490911" w:rsidRPr="000F4F43">
        <w:rPr>
          <w:shd w:val="clear" w:color="auto" w:fill="FFFFFF" w:themeFill="background1"/>
        </w:rPr>
        <w:noBreakHyphen/>
      </w:r>
      <w:r w:rsidRPr="000F4F43">
        <w:rPr>
          <w:shd w:val="clear" w:color="auto" w:fill="FFFFFF" w:themeFill="background1"/>
        </w:rPr>
        <w:t xml:space="preserve">government schools. Governments provided </w:t>
      </w:r>
      <w:r w:rsidR="00A76A43" w:rsidRPr="000F4F43">
        <w:rPr>
          <w:shd w:val="clear" w:color="auto" w:fill="FFFFFF" w:themeFill="background1"/>
        </w:rPr>
        <w:t>57.2</w:t>
      </w:r>
      <w:r w:rsidRPr="000F4F43">
        <w:rPr>
          <w:shd w:val="clear" w:color="auto" w:fill="FFFFFF" w:themeFill="background1"/>
        </w:rPr>
        <w:t xml:space="preserve"> per cent of non-government school funding in 201</w:t>
      </w:r>
      <w:r w:rsidR="00BA3744" w:rsidRPr="000F4F43">
        <w:rPr>
          <w:shd w:val="clear" w:color="auto" w:fill="FFFFFF" w:themeFill="background1"/>
        </w:rPr>
        <w:t>4</w:t>
      </w:r>
      <w:r w:rsidRPr="000F4F43">
        <w:rPr>
          <w:shd w:val="clear" w:color="auto" w:fill="FFFFFF" w:themeFill="background1"/>
        </w:rPr>
        <w:t xml:space="preserve">, with the remaining </w:t>
      </w:r>
      <w:r w:rsidR="00BA3744" w:rsidRPr="000F4F43">
        <w:rPr>
          <w:shd w:val="clear" w:color="auto" w:fill="FFFFFF" w:themeFill="background1"/>
        </w:rPr>
        <w:t>42.8</w:t>
      </w:r>
      <w:r w:rsidRPr="000F4F43">
        <w:rPr>
          <w:shd w:val="clear" w:color="auto" w:fill="FFFFFF" w:themeFill="background1"/>
        </w:rPr>
        <w:t xml:space="preserve"> per cent sourced</w:t>
      </w:r>
      <w:r w:rsidRPr="00F670A8">
        <w:rPr>
          <w:shd w:val="clear" w:color="auto" w:fill="FFFFFF" w:themeFill="background1"/>
        </w:rPr>
        <w:t xml:space="preserve"> from private fees and fundraising (</w:t>
      </w:r>
      <w:r w:rsidR="001D6209" w:rsidRPr="001D6209">
        <w:rPr>
          <w:shd w:val="clear" w:color="auto" w:fill="FFFFFF" w:themeFill="background1"/>
        </w:rPr>
        <w:t xml:space="preserve">Australian </w:t>
      </w:r>
      <w:r w:rsidR="001D6209" w:rsidRPr="00482120">
        <w:t xml:space="preserve">Government </w:t>
      </w:r>
      <w:r w:rsidR="007D2D50" w:rsidRPr="00482120">
        <w:t>Department of Education</w:t>
      </w:r>
      <w:r w:rsidRPr="00482120">
        <w:t xml:space="preserve"> </w:t>
      </w:r>
      <w:r w:rsidR="006A6921">
        <w:t>and Training</w:t>
      </w:r>
      <w:r w:rsidR="00BA3744">
        <w:t>,</w:t>
      </w:r>
      <w:r w:rsidR="006A6921">
        <w:t xml:space="preserve"> </w:t>
      </w:r>
      <w:r w:rsidRPr="00482120">
        <w:t xml:space="preserve">unpublished). </w:t>
      </w:r>
      <w:bookmarkEnd w:id="15"/>
      <w:bookmarkEnd w:id="16"/>
      <w:bookmarkEnd w:id="17"/>
    </w:p>
    <w:p w:rsidR="00666ECE" w:rsidRPr="007B0AE2" w:rsidRDefault="00666ECE" w:rsidP="007B0AE2">
      <w:pPr>
        <w:pStyle w:val="Heading3"/>
      </w:pPr>
      <w:r w:rsidRPr="007B0AE2">
        <w:t>Size and scope</w:t>
      </w:r>
    </w:p>
    <w:p w:rsidR="00666ECE" w:rsidRPr="00666ECE" w:rsidRDefault="00666ECE" w:rsidP="004145D6">
      <w:pPr>
        <w:pStyle w:val="BodyText"/>
      </w:pPr>
      <w:r w:rsidRPr="00666ECE">
        <w:t>Descriptive information on the numbers of students, staff and schools can be found in tables 4A.1–6.</w:t>
      </w:r>
    </w:p>
    <w:p w:rsidR="00666ECE" w:rsidRPr="007B0AE2" w:rsidRDefault="00666ECE" w:rsidP="007B0AE2">
      <w:pPr>
        <w:pStyle w:val="Heading3"/>
      </w:pPr>
      <w:r w:rsidRPr="007B0AE2">
        <w:t>Structure</w:t>
      </w:r>
    </w:p>
    <w:p w:rsidR="00666ECE" w:rsidRPr="004145D6" w:rsidRDefault="00666ECE" w:rsidP="004145D6">
      <w:pPr>
        <w:pStyle w:val="BodyText"/>
      </w:pPr>
      <w:r w:rsidRPr="004145D6">
        <w:t>The structure of school education varies across states and territories. These differences can influence the comparability and interpretation of data presented under common classifications. Formal schooling consists of six to eight years of primary school education followed by five to six years of secondary school education, depending on the State or Territory. All states and territories divide school education into compulsory and non</w:t>
      </w:r>
      <w:r w:rsidR="0035340F">
        <w:noBreakHyphen/>
      </w:r>
      <w:r w:rsidRPr="004145D6">
        <w:t>compulsory components based primarily on age. Schooling is generally full time, although an increasing proportion of part time study occurs in more senior years.</w:t>
      </w:r>
      <w:r w:rsidR="00482120" w:rsidRPr="00482120">
        <w:t xml:space="preserve"> </w:t>
      </w:r>
      <w:r w:rsidR="00482120" w:rsidRPr="004145D6">
        <w:t xml:space="preserve">Most </w:t>
      </w:r>
      <w:r w:rsidR="00482120" w:rsidRPr="004145D6">
        <w:lastRenderedPageBreak/>
        <w:t>children commence full time schooling in the year preceding Year 1 (pre-year 1) (figure</w:t>
      </w:r>
      <w:r w:rsidR="00681DD0">
        <w:t> </w:t>
      </w:r>
      <w:r w:rsidR="00482120" w:rsidRPr="004145D6">
        <w:t>4.</w:t>
      </w:r>
      <w:r w:rsidR="0035340F">
        <w:t>1</w:t>
      </w:r>
      <w:r w:rsidR="00482120" w:rsidRPr="004145D6">
        <w:t>).</w:t>
      </w:r>
    </w:p>
    <w:p w:rsidR="00482120" w:rsidRDefault="00482120" w:rsidP="0048212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82120" w:rsidTr="005C24FE">
        <w:tc>
          <w:tcPr>
            <w:tcW w:w="8771" w:type="dxa"/>
            <w:tcBorders>
              <w:top w:val="single" w:sz="6" w:space="0" w:color="78A22F"/>
              <w:left w:val="nil"/>
              <w:bottom w:val="nil"/>
              <w:right w:val="nil"/>
            </w:tcBorders>
            <w:shd w:val="clear" w:color="auto" w:fill="auto"/>
          </w:tcPr>
          <w:p w:rsidR="00482120" w:rsidRPr="00737203" w:rsidRDefault="00482120" w:rsidP="003D42B3">
            <w:pPr>
              <w:pStyle w:val="FigureTitle"/>
              <w:rPr>
                <w:b w:val="0"/>
                <w:position w:val="6"/>
                <w:sz w:val="18"/>
              </w:rPr>
            </w:pPr>
            <w:r w:rsidRPr="00784A05">
              <w:rPr>
                <w:b w:val="0"/>
              </w:rPr>
              <w:t xml:space="preserve">Figure </w:t>
            </w:r>
            <w:r w:rsidRPr="00737203">
              <w:rPr>
                <w:b w:val="0"/>
              </w:rPr>
              <w:t>4.</w:t>
            </w:r>
            <w:r w:rsidR="00FF4FBD">
              <w:rPr>
                <w:b w:val="0"/>
                <w:noProof/>
              </w:rPr>
              <w:t>1</w:t>
            </w:r>
            <w:r>
              <w:tab/>
              <w:t>Structure of primary and secondary schooling, 2014</w:t>
            </w:r>
          </w:p>
        </w:tc>
      </w:tr>
      <w:tr w:rsidR="00482120" w:rsidTr="005C24F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82120" w:rsidTr="005C24FE">
              <w:trPr>
                <w:jc w:val="center"/>
              </w:trPr>
              <w:tc>
                <w:tcPr>
                  <w:tcW w:w="5000" w:type="pct"/>
                  <w:tcBorders>
                    <w:top w:val="nil"/>
                    <w:bottom w:val="nil"/>
                  </w:tcBorders>
                </w:tcPr>
                <w:p w:rsidR="00482120" w:rsidRDefault="00842BC2" w:rsidP="005C24FE">
                  <w:pPr>
                    <w:pStyle w:val="Figure"/>
                    <w:spacing w:before="60" w:after="60"/>
                  </w:pPr>
                  <w:r>
                    <w:rPr>
                      <w:noProof/>
                    </w:rPr>
                    <w:drawing>
                      <wp:inline distT="0" distB="0" distL="0" distR="0" wp14:anchorId="6E0F3CB4" wp14:editId="5998BFBF">
                        <wp:extent cx="5400675" cy="3676650"/>
                        <wp:effectExtent l="0" t="0" r="9525" b="0"/>
                        <wp:docPr id="1" name="Picture 1" descr="Figure 4.1 Structure of primary and secondary schooling,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675" cy="3676650"/>
                                </a:xfrm>
                                <a:prstGeom prst="rect">
                                  <a:avLst/>
                                </a:prstGeom>
                                <a:noFill/>
                                <a:ln>
                                  <a:noFill/>
                                </a:ln>
                              </pic:spPr>
                            </pic:pic>
                          </a:graphicData>
                        </a:graphic>
                      </wp:inline>
                    </w:drawing>
                  </w:r>
                </w:p>
              </w:tc>
            </w:tr>
          </w:tbl>
          <w:p w:rsidR="00482120" w:rsidRDefault="00482120" w:rsidP="005C24FE">
            <w:pPr>
              <w:pStyle w:val="Figure"/>
            </w:pPr>
          </w:p>
        </w:tc>
      </w:tr>
      <w:tr w:rsidR="00482120" w:rsidRPr="00176D3F" w:rsidTr="005C24FE">
        <w:tc>
          <w:tcPr>
            <w:tcW w:w="8771" w:type="dxa"/>
            <w:tcBorders>
              <w:top w:val="nil"/>
              <w:left w:val="nil"/>
              <w:bottom w:val="nil"/>
              <w:right w:val="nil"/>
            </w:tcBorders>
            <w:shd w:val="clear" w:color="auto" w:fill="auto"/>
          </w:tcPr>
          <w:p w:rsidR="00482120" w:rsidRPr="00737203" w:rsidRDefault="00482120" w:rsidP="00A37647">
            <w:pPr>
              <w:keepLines/>
              <w:spacing w:after="120" w:line="220" w:lineRule="exact"/>
              <w:jc w:val="both"/>
              <w:rPr>
                <w:rFonts w:ascii="Arial" w:hAnsi="Arial"/>
                <w:sz w:val="18"/>
                <w:szCs w:val="20"/>
              </w:rPr>
            </w:pPr>
            <w:r w:rsidRPr="000E6F59">
              <w:rPr>
                <w:rFonts w:ascii="Arial" w:hAnsi="Arial"/>
                <w:i/>
                <w:sz w:val="18"/>
                <w:szCs w:val="20"/>
              </w:rPr>
              <w:t>Source</w:t>
            </w:r>
            <w:r w:rsidRPr="000E6F59">
              <w:rPr>
                <w:rFonts w:ascii="Arial" w:hAnsi="Arial"/>
                <w:sz w:val="18"/>
                <w:szCs w:val="20"/>
              </w:rPr>
              <w:t>: Adapted from ABS (201</w:t>
            </w:r>
            <w:r>
              <w:rPr>
                <w:rFonts w:ascii="Arial" w:hAnsi="Arial"/>
                <w:sz w:val="18"/>
                <w:szCs w:val="20"/>
              </w:rPr>
              <w:t>5</w:t>
            </w:r>
            <w:r w:rsidRPr="000E6F59">
              <w:rPr>
                <w:rFonts w:ascii="Arial" w:hAnsi="Arial"/>
                <w:sz w:val="18"/>
                <w:szCs w:val="20"/>
              </w:rPr>
              <w:t xml:space="preserve">) </w:t>
            </w:r>
            <w:r w:rsidRPr="000E6F59">
              <w:rPr>
                <w:rFonts w:ascii="Arial" w:hAnsi="Arial"/>
                <w:i/>
                <w:sz w:val="18"/>
                <w:szCs w:val="20"/>
              </w:rPr>
              <w:t>Schools Australia 201</w:t>
            </w:r>
            <w:r>
              <w:rPr>
                <w:rFonts w:ascii="Arial" w:hAnsi="Arial"/>
                <w:i/>
                <w:sz w:val="18"/>
                <w:szCs w:val="20"/>
              </w:rPr>
              <w:t>4</w:t>
            </w:r>
            <w:r w:rsidRPr="000E6F59">
              <w:rPr>
                <w:rFonts w:ascii="Arial" w:hAnsi="Arial"/>
                <w:sz w:val="18"/>
                <w:szCs w:val="20"/>
              </w:rPr>
              <w:t>, Cat. no. 4221.0.</w:t>
            </w:r>
          </w:p>
        </w:tc>
      </w:tr>
      <w:tr w:rsidR="00482120" w:rsidTr="005C24FE">
        <w:tc>
          <w:tcPr>
            <w:tcW w:w="8771" w:type="dxa"/>
            <w:tcBorders>
              <w:top w:val="nil"/>
              <w:left w:val="nil"/>
              <w:bottom w:val="single" w:sz="6" w:space="0" w:color="78A22F"/>
              <w:right w:val="nil"/>
            </w:tcBorders>
            <w:shd w:val="clear" w:color="auto" w:fill="auto"/>
          </w:tcPr>
          <w:p w:rsidR="00482120" w:rsidRDefault="00482120" w:rsidP="005C24FE">
            <w:pPr>
              <w:pStyle w:val="Figurespace"/>
            </w:pPr>
          </w:p>
        </w:tc>
      </w:tr>
      <w:tr w:rsidR="00482120" w:rsidRPr="000863A5" w:rsidTr="005C24FE">
        <w:tc>
          <w:tcPr>
            <w:tcW w:w="8771" w:type="dxa"/>
            <w:tcBorders>
              <w:top w:val="single" w:sz="6" w:space="0" w:color="78A22F"/>
              <w:left w:val="nil"/>
              <w:bottom w:val="nil"/>
              <w:right w:val="nil"/>
            </w:tcBorders>
          </w:tcPr>
          <w:p w:rsidR="00482120" w:rsidRPr="00626D32" w:rsidRDefault="00482120" w:rsidP="005C24FE">
            <w:pPr>
              <w:pStyle w:val="BoxSpaceBelow"/>
            </w:pPr>
          </w:p>
        </w:tc>
      </w:tr>
    </w:tbl>
    <w:p w:rsidR="00482120" w:rsidRDefault="00482120" w:rsidP="00482120">
      <w:pPr>
        <w:pStyle w:val="BodyText"/>
      </w:pPr>
      <w:r w:rsidRPr="004145D6">
        <w:t>In 201</w:t>
      </w:r>
      <w:r>
        <w:t>4</w:t>
      </w:r>
      <w:r w:rsidRPr="004145D6">
        <w:t>, the age at which a child’s attendance in school education became compulsory was 5 years of age in Tasmania and 6 years of age in all other states and territories.</w:t>
      </w:r>
      <w:r>
        <w:t xml:space="preserve"> </w:t>
      </w:r>
      <w:r w:rsidRPr="004145D6">
        <w:t xml:space="preserve">Children may commence school at an age younger than the statutory age at which they are required to attend school. Generally, minimum starting ages restrict enrolment to children aged between four and a half and five years at the beginning of the pre-year 1 </w:t>
      </w:r>
      <w:r w:rsidR="00142033">
        <w:t>level</w:t>
      </w:r>
      <w:r>
        <w:t xml:space="preserve">. In </w:t>
      </w:r>
      <w:r w:rsidRPr="00DC4FA9">
        <w:t>S</w:t>
      </w:r>
      <w:r w:rsidR="00B04EA8">
        <w:t>A,</w:t>
      </w:r>
      <w:r w:rsidRPr="00DC4FA9">
        <w:t xml:space="preserve"> </w:t>
      </w:r>
      <w:r>
        <w:t xml:space="preserve">children </w:t>
      </w:r>
      <w:r w:rsidRPr="00DC4FA9">
        <w:t>commence school at the start of the year in which they turn five</w:t>
      </w:r>
      <w:r w:rsidR="00685D96" w:rsidRPr="000F4F43">
        <w:rPr>
          <w:shd w:val="clear" w:color="auto" w:fill="FFFFFF" w:themeFill="background1"/>
        </w:rPr>
        <w:t xml:space="preserve">. In Tasmania, children commence school at the start of the year in which they </w:t>
      </w:r>
      <w:r w:rsidR="00A65024">
        <w:rPr>
          <w:shd w:val="clear" w:color="auto" w:fill="FFFFFF" w:themeFill="background1"/>
        </w:rPr>
        <w:t>turn six</w:t>
      </w:r>
      <w:r w:rsidRPr="000F4F43">
        <w:rPr>
          <w:shd w:val="clear" w:color="auto" w:fill="FFFFFF" w:themeFill="background1"/>
        </w:rPr>
        <w:t xml:space="preserve"> (AB</w:t>
      </w:r>
      <w:r w:rsidRPr="004145D6">
        <w:t>S 201</w:t>
      </w:r>
      <w:r>
        <w:t>5</w:t>
      </w:r>
      <w:r w:rsidRPr="004145D6">
        <w:t xml:space="preserve">). </w:t>
      </w:r>
    </w:p>
    <w:p w:rsidR="00666ECE" w:rsidRPr="004145D6" w:rsidRDefault="00142033" w:rsidP="004145D6">
      <w:pPr>
        <w:pStyle w:val="BodyText"/>
      </w:pPr>
      <w:r>
        <w:t>The</w:t>
      </w:r>
      <w:r w:rsidR="00666ECE" w:rsidRPr="004145D6">
        <w:t xml:space="preserve"> National Youth Participation Requirement (NYPR)</w:t>
      </w:r>
      <w:r>
        <w:t xml:space="preserve">, </w:t>
      </w:r>
      <w:r w:rsidR="00666ECE" w:rsidRPr="004145D6">
        <w:t>which commenced 1</w:t>
      </w:r>
      <w:r w:rsidR="00527BDD">
        <w:t> </w:t>
      </w:r>
      <w:r w:rsidR="00666ECE" w:rsidRPr="004145D6">
        <w:t>January</w:t>
      </w:r>
      <w:r w:rsidR="00527BDD">
        <w:t> </w:t>
      </w:r>
      <w:r w:rsidR="00666ECE" w:rsidRPr="004145D6">
        <w:t>2010</w:t>
      </w:r>
      <w:r>
        <w:t xml:space="preserve">, </w:t>
      </w:r>
      <w:r w:rsidR="00666ECE" w:rsidRPr="004145D6">
        <w:t>includes:</w:t>
      </w:r>
    </w:p>
    <w:p w:rsidR="001B6514" w:rsidRPr="004145D6" w:rsidRDefault="00666ECE" w:rsidP="004145D6">
      <w:pPr>
        <w:pStyle w:val="ListBullet"/>
      </w:pPr>
      <w:r w:rsidRPr="00666ECE">
        <w:t xml:space="preserve">a mandatory requirement for all young people to participate in schooling (in </w:t>
      </w:r>
      <w:r w:rsidRPr="004145D6">
        <w:t>school or an approved equivalent) until they complete Year 10</w:t>
      </w:r>
    </w:p>
    <w:p w:rsidR="00666ECE" w:rsidRPr="004145D6" w:rsidRDefault="00666ECE" w:rsidP="00F47AB8">
      <w:pPr>
        <w:pStyle w:val="ListBullet"/>
      </w:pPr>
      <w:r w:rsidRPr="004145D6">
        <w:t xml:space="preserve">a mandatory requirement for all young people </w:t>
      </w:r>
      <w:r w:rsidR="00635573" w:rsidRPr="004145D6">
        <w:t>who</w:t>
      </w:r>
      <w:r w:rsidRPr="004145D6">
        <w:t xml:space="preserve"> have completed Year 10 to participate full</w:t>
      </w:r>
      <w:r w:rsidR="00CA4833" w:rsidRPr="004145D6">
        <w:t xml:space="preserve"> </w:t>
      </w:r>
      <w:r w:rsidRPr="004145D6">
        <w:t xml:space="preserve">time in education, training or employment, or a combination of these activities, until 17 </w:t>
      </w:r>
      <w:r w:rsidR="000B2CA3" w:rsidRPr="004145D6">
        <w:t xml:space="preserve">years of age </w:t>
      </w:r>
      <w:r w:rsidRPr="004145D6">
        <w:t>(</w:t>
      </w:r>
      <w:r w:rsidR="00FC2FA2" w:rsidRPr="004145D6">
        <w:t>ABS 201</w:t>
      </w:r>
      <w:r w:rsidR="00953E9C">
        <w:t>5</w:t>
      </w:r>
      <w:r w:rsidRPr="004145D6">
        <w:t>).</w:t>
      </w:r>
    </w:p>
    <w:p w:rsidR="00666ECE" w:rsidRPr="007B0AE2" w:rsidRDefault="00666ECE" w:rsidP="007B0AE2">
      <w:pPr>
        <w:pStyle w:val="Heading4"/>
      </w:pPr>
      <w:r w:rsidRPr="007B0AE2">
        <w:lastRenderedPageBreak/>
        <w:t>Schools</w:t>
      </w:r>
    </w:p>
    <w:p w:rsidR="00142033" w:rsidRDefault="00666ECE" w:rsidP="00BE59AB">
      <w:pPr>
        <w:pStyle w:val="BodyText"/>
      </w:pPr>
      <w:r w:rsidRPr="009613EF">
        <w:t>At the beginning of August 201</w:t>
      </w:r>
      <w:r w:rsidR="00DC4FA9">
        <w:t>4</w:t>
      </w:r>
      <w:r w:rsidRPr="009613EF">
        <w:t xml:space="preserve">, there </w:t>
      </w:r>
      <w:r w:rsidRPr="00761473">
        <w:rPr>
          <w:shd w:val="clear" w:color="auto" w:fill="FFFFFF" w:themeFill="background1"/>
        </w:rPr>
        <w:t xml:space="preserve">were </w:t>
      </w:r>
      <w:r w:rsidR="00BE59AB">
        <w:rPr>
          <w:shd w:val="clear" w:color="auto" w:fill="FFFFFF" w:themeFill="background1"/>
        </w:rPr>
        <w:t>9389</w:t>
      </w:r>
      <w:r w:rsidRPr="00761473">
        <w:rPr>
          <w:shd w:val="clear" w:color="auto" w:fill="FFFFFF" w:themeFill="background1"/>
        </w:rPr>
        <w:t xml:space="preserve"> schools in Australia (</w:t>
      </w:r>
      <w:r w:rsidR="00BE59AB">
        <w:rPr>
          <w:shd w:val="clear" w:color="auto" w:fill="FFFFFF" w:themeFill="background1"/>
        </w:rPr>
        <w:t>6250</w:t>
      </w:r>
      <w:r w:rsidR="00635573" w:rsidRPr="00761473">
        <w:rPr>
          <w:shd w:val="clear" w:color="auto" w:fill="FFFFFF" w:themeFill="background1"/>
        </w:rPr>
        <w:t> </w:t>
      </w:r>
      <w:r w:rsidRPr="00761473">
        <w:rPr>
          <w:shd w:val="clear" w:color="auto" w:fill="FFFFFF" w:themeFill="background1"/>
        </w:rPr>
        <w:t>primary</w:t>
      </w:r>
      <w:r w:rsidR="003B149C" w:rsidRPr="00761473">
        <w:rPr>
          <w:shd w:val="clear" w:color="auto" w:fill="FFFFFF" w:themeFill="background1"/>
        </w:rPr>
        <w:t xml:space="preserve"> </w:t>
      </w:r>
      <w:r w:rsidRPr="00761473">
        <w:rPr>
          <w:shd w:val="clear" w:color="auto" w:fill="FFFFFF" w:themeFill="background1"/>
        </w:rPr>
        <w:t xml:space="preserve">schools, </w:t>
      </w:r>
      <w:r w:rsidR="00BE59AB">
        <w:rPr>
          <w:shd w:val="clear" w:color="auto" w:fill="FFFFFF" w:themeFill="background1"/>
        </w:rPr>
        <w:t>1379</w:t>
      </w:r>
      <w:r w:rsidRPr="00761473">
        <w:rPr>
          <w:shd w:val="clear" w:color="auto" w:fill="FFFFFF" w:themeFill="background1"/>
        </w:rPr>
        <w:t xml:space="preserve"> secondary schools, </w:t>
      </w:r>
      <w:r w:rsidR="00BE59AB">
        <w:rPr>
          <w:shd w:val="clear" w:color="auto" w:fill="FFFFFF" w:themeFill="background1"/>
        </w:rPr>
        <w:t xml:space="preserve">1325 </w:t>
      </w:r>
      <w:r w:rsidRPr="00761473">
        <w:rPr>
          <w:shd w:val="clear" w:color="auto" w:fill="FFFFFF" w:themeFill="background1"/>
        </w:rPr>
        <w:t xml:space="preserve">combined schools and </w:t>
      </w:r>
      <w:r w:rsidR="00BE59AB">
        <w:rPr>
          <w:shd w:val="clear" w:color="auto" w:fill="FFFFFF" w:themeFill="background1"/>
        </w:rPr>
        <w:t>435</w:t>
      </w:r>
      <w:r w:rsidR="001B6514" w:rsidRPr="00761473">
        <w:rPr>
          <w:shd w:val="clear" w:color="auto" w:fill="FFFFFF" w:themeFill="background1"/>
        </w:rPr>
        <w:t> </w:t>
      </w:r>
      <w:r w:rsidRPr="00761473">
        <w:rPr>
          <w:shd w:val="clear" w:color="auto" w:fill="FFFFFF" w:themeFill="background1"/>
        </w:rPr>
        <w:t>specia</w:t>
      </w:r>
      <w:r w:rsidRPr="009613EF">
        <w:t xml:space="preserve">l schools). The </w:t>
      </w:r>
      <w:r w:rsidRPr="000E6F59">
        <w:t xml:space="preserve">majority of schools were government owned and managed </w:t>
      </w:r>
      <w:r w:rsidRPr="009613EF">
        <w:t>(</w:t>
      </w:r>
      <w:r w:rsidR="00BE59AB">
        <w:t>70.8</w:t>
      </w:r>
      <w:r w:rsidR="003B149C" w:rsidRPr="009613EF">
        <w:t> </w:t>
      </w:r>
      <w:r w:rsidRPr="009613EF">
        <w:t>per</w:t>
      </w:r>
      <w:r w:rsidR="003B149C" w:rsidRPr="009613EF">
        <w:t> </w:t>
      </w:r>
      <w:r w:rsidRPr="009613EF">
        <w:t>cent) (table 4.</w:t>
      </w:r>
      <w:r w:rsidR="00F649B3">
        <w:t>2</w:t>
      </w:r>
      <w:r w:rsidRPr="009613EF">
        <w:t xml:space="preserve">). </w:t>
      </w:r>
    </w:p>
    <w:p w:rsidR="003611D5" w:rsidRDefault="003611D5" w:rsidP="00BE59AB">
      <w:pPr>
        <w:pStyle w:val="BodyText"/>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3611D5" w:rsidTr="004C2933">
        <w:tc>
          <w:tcPr>
            <w:tcW w:w="8767" w:type="dxa"/>
            <w:tcBorders>
              <w:top w:val="single" w:sz="6" w:space="0" w:color="78A22F"/>
              <w:left w:val="nil"/>
              <w:bottom w:val="nil"/>
              <w:right w:val="nil"/>
            </w:tcBorders>
            <w:shd w:val="clear" w:color="auto" w:fill="auto"/>
          </w:tcPr>
          <w:p w:rsidR="003611D5" w:rsidRPr="00784A05" w:rsidRDefault="003611D5" w:rsidP="00BE59AB">
            <w:pPr>
              <w:pStyle w:val="TableTitle"/>
            </w:pPr>
            <w:r>
              <w:rPr>
                <w:b w:val="0"/>
              </w:rPr>
              <w:t xml:space="preserve">Table </w:t>
            </w:r>
            <w:r w:rsidR="00B70781">
              <w:rPr>
                <w:b w:val="0"/>
              </w:rPr>
              <w:t>4.</w:t>
            </w:r>
            <w:r w:rsidR="00FF4FBD">
              <w:rPr>
                <w:b w:val="0"/>
                <w:noProof/>
              </w:rPr>
              <w:t>2</w:t>
            </w:r>
            <w:r>
              <w:tab/>
            </w:r>
            <w:r w:rsidRPr="003611D5">
              <w:t>Summary of school characteristics, August 201</w:t>
            </w:r>
            <w:r w:rsidR="00DC4FA9">
              <w:t>4</w:t>
            </w:r>
            <w:r w:rsidR="00996CF4" w:rsidRPr="00BE59AB">
              <w:rPr>
                <w:rStyle w:val="NoteLabel"/>
                <w:b/>
              </w:rPr>
              <w:t>a</w:t>
            </w:r>
            <w:r w:rsidR="007F43FC" w:rsidRPr="004B55B1">
              <w:rPr>
                <w:rStyle w:val="DraftingNote"/>
                <w:rFonts w:ascii="Times New Roman" w:hAnsi="Times New Roman"/>
                <w:b/>
              </w:rPr>
              <w:t xml:space="preserve"> </w:t>
            </w:r>
          </w:p>
        </w:tc>
      </w:tr>
      <w:tr w:rsidR="003611D5" w:rsidTr="004C2933">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821"/>
              <w:gridCol w:w="425"/>
              <w:gridCol w:w="709"/>
              <w:gridCol w:w="709"/>
              <w:gridCol w:w="708"/>
              <w:gridCol w:w="709"/>
              <w:gridCol w:w="567"/>
              <w:gridCol w:w="709"/>
              <w:gridCol w:w="731"/>
              <w:gridCol w:w="709"/>
              <w:gridCol w:w="686"/>
            </w:tblGrid>
            <w:tr w:rsidR="003611D5" w:rsidRPr="00666ECE" w:rsidTr="004C2933">
              <w:tc>
                <w:tcPr>
                  <w:tcW w:w="1821" w:type="dxa"/>
                  <w:tcBorders>
                    <w:top w:val="single" w:sz="6" w:space="0" w:color="BFBFBF" w:themeColor="background2"/>
                    <w:bottom w:val="single" w:sz="6" w:space="0" w:color="BFBFBF" w:themeColor="background2"/>
                  </w:tcBorders>
                  <w:shd w:val="clear" w:color="auto" w:fill="auto"/>
                </w:tcPr>
                <w:p w:rsidR="003611D5" w:rsidRPr="00666ECE" w:rsidRDefault="003611D5" w:rsidP="00EA54E6">
                  <w:pPr>
                    <w:keepNext/>
                    <w:keepLines/>
                    <w:spacing w:before="80" w:after="80" w:line="220" w:lineRule="atLeast"/>
                    <w:ind w:left="6" w:right="113"/>
                    <w:rPr>
                      <w:rFonts w:ascii="Arial" w:hAnsi="Arial"/>
                      <w:i/>
                      <w:sz w:val="20"/>
                      <w:szCs w:val="20"/>
                    </w:rPr>
                  </w:pPr>
                </w:p>
              </w:tc>
              <w:tc>
                <w:tcPr>
                  <w:tcW w:w="425" w:type="dxa"/>
                  <w:tcBorders>
                    <w:top w:val="single" w:sz="6" w:space="0" w:color="BFBFBF" w:themeColor="background2"/>
                    <w:bottom w:val="single" w:sz="6" w:space="0" w:color="BFBFBF" w:themeColor="background2"/>
                  </w:tcBorders>
                </w:tcPr>
                <w:p w:rsidR="003611D5" w:rsidRPr="00666ECE" w:rsidRDefault="003611D5" w:rsidP="004C2933">
                  <w:pPr>
                    <w:pStyle w:val="TableColumnHeading"/>
                    <w:ind w:left="0" w:right="28"/>
                  </w:pPr>
                  <w:r>
                    <w:t>Unit</w:t>
                  </w:r>
                </w:p>
              </w:tc>
              <w:tc>
                <w:tcPr>
                  <w:tcW w:w="709" w:type="dxa"/>
                  <w:tcBorders>
                    <w:top w:val="single" w:sz="6" w:space="0" w:color="BFBFBF" w:themeColor="background2"/>
                    <w:bottom w:val="single" w:sz="6" w:space="0" w:color="BFBFBF" w:themeColor="background2"/>
                  </w:tcBorders>
                  <w:shd w:val="clear" w:color="auto" w:fill="auto"/>
                </w:tcPr>
                <w:p w:rsidR="003611D5" w:rsidRPr="00666ECE" w:rsidRDefault="003611D5" w:rsidP="004C2933">
                  <w:pPr>
                    <w:pStyle w:val="TableColumnHeading"/>
                    <w:ind w:left="0" w:right="28"/>
                  </w:pPr>
                  <w:r w:rsidRPr="00666ECE">
                    <w:t>NSW</w:t>
                  </w:r>
                </w:p>
              </w:tc>
              <w:tc>
                <w:tcPr>
                  <w:tcW w:w="709" w:type="dxa"/>
                  <w:tcBorders>
                    <w:top w:val="single" w:sz="6" w:space="0" w:color="BFBFBF" w:themeColor="background2"/>
                    <w:bottom w:val="single" w:sz="6" w:space="0" w:color="BFBFBF" w:themeColor="background2"/>
                  </w:tcBorders>
                  <w:shd w:val="clear" w:color="auto" w:fill="auto"/>
                </w:tcPr>
                <w:p w:rsidR="003611D5" w:rsidRPr="00666ECE" w:rsidRDefault="003611D5" w:rsidP="004C2933">
                  <w:pPr>
                    <w:pStyle w:val="TableColumnHeading"/>
                    <w:ind w:left="0" w:right="28"/>
                  </w:pPr>
                  <w:r w:rsidRPr="00666ECE">
                    <w:t>Vic</w:t>
                  </w:r>
                </w:p>
              </w:tc>
              <w:tc>
                <w:tcPr>
                  <w:tcW w:w="708" w:type="dxa"/>
                  <w:tcBorders>
                    <w:top w:val="single" w:sz="6" w:space="0" w:color="BFBFBF" w:themeColor="background2"/>
                    <w:bottom w:val="single" w:sz="6" w:space="0" w:color="BFBFBF" w:themeColor="background2"/>
                  </w:tcBorders>
                  <w:shd w:val="clear" w:color="auto" w:fill="auto"/>
                </w:tcPr>
                <w:p w:rsidR="003611D5" w:rsidRPr="00666ECE" w:rsidRDefault="003611D5" w:rsidP="004C2933">
                  <w:pPr>
                    <w:pStyle w:val="TableColumnHeading"/>
                    <w:ind w:left="0" w:right="28"/>
                  </w:pPr>
                  <w:r w:rsidRPr="00666ECE">
                    <w:t>Qld</w:t>
                  </w:r>
                </w:p>
              </w:tc>
              <w:tc>
                <w:tcPr>
                  <w:tcW w:w="709" w:type="dxa"/>
                  <w:tcBorders>
                    <w:top w:val="single" w:sz="6" w:space="0" w:color="BFBFBF" w:themeColor="background2"/>
                    <w:bottom w:val="single" w:sz="6" w:space="0" w:color="BFBFBF" w:themeColor="background2"/>
                  </w:tcBorders>
                  <w:shd w:val="clear" w:color="auto" w:fill="auto"/>
                </w:tcPr>
                <w:p w:rsidR="003611D5" w:rsidRPr="00666ECE" w:rsidRDefault="003611D5" w:rsidP="004C2933">
                  <w:pPr>
                    <w:pStyle w:val="TableColumnHeading"/>
                    <w:ind w:left="0" w:right="28"/>
                  </w:pPr>
                  <w:r w:rsidRPr="00666ECE">
                    <w:t>WA</w:t>
                  </w:r>
                </w:p>
              </w:tc>
              <w:tc>
                <w:tcPr>
                  <w:tcW w:w="567" w:type="dxa"/>
                  <w:tcBorders>
                    <w:top w:val="single" w:sz="6" w:space="0" w:color="BFBFBF" w:themeColor="background2"/>
                    <w:bottom w:val="single" w:sz="6" w:space="0" w:color="BFBFBF" w:themeColor="background2"/>
                  </w:tcBorders>
                  <w:shd w:val="clear" w:color="auto" w:fill="auto"/>
                </w:tcPr>
                <w:p w:rsidR="003611D5" w:rsidRPr="00666ECE" w:rsidRDefault="003611D5" w:rsidP="004C2933">
                  <w:pPr>
                    <w:pStyle w:val="TableColumnHeading"/>
                    <w:ind w:left="0" w:right="28"/>
                  </w:pPr>
                  <w:r w:rsidRPr="00666ECE">
                    <w:t>SA</w:t>
                  </w:r>
                </w:p>
              </w:tc>
              <w:tc>
                <w:tcPr>
                  <w:tcW w:w="709" w:type="dxa"/>
                  <w:tcBorders>
                    <w:top w:val="single" w:sz="6" w:space="0" w:color="BFBFBF" w:themeColor="background2"/>
                    <w:bottom w:val="single" w:sz="6" w:space="0" w:color="BFBFBF" w:themeColor="background2"/>
                  </w:tcBorders>
                  <w:shd w:val="clear" w:color="auto" w:fill="auto"/>
                </w:tcPr>
                <w:p w:rsidR="003611D5" w:rsidRPr="00666ECE" w:rsidRDefault="003611D5" w:rsidP="004C2933">
                  <w:pPr>
                    <w:pStyle w:val="TableColumnHeading"/>
                    <w:ind w:left="0" w:right="28"/>
                  </w:pPr>
                  <w:r w:rsidRPr="00666ECE">
                    <w:t>Tas</w:t>
                  </w:r>
                </w:p>
              </w:tc>
              <w:tc>
                <w:tcPr>
                  <w:tcW w:w="731" w:type="dxa"/>
                  <w:tcBorders>
                    <w:top w:val="single" w:sz="6" w:space="0" w:color="BFBFBF" w:themeColor="background2"/>
                    <w:bottom w:val="single" w:sz="6" w:space="0" w:color="BFBFBF" w:themeColor="background2"/>
                  </w:tcBorders>
                  <w:shd w:val="clear" w:color="auto" w:fill="auto"/>
                </w:tcPr>
                <w:p w:rsidR="003611D5" w:rsidRPr="00666ECE" w:rsidRDefault="003611D5" w:rsidP="004C2933">
                  <w:pPr>
                    <w:pStyle w:val="TableColumnHeading"/>
                    <w:ind w:left="0" w:right="28"/>
                  </w:pPr>
                  <w:r w:rsidRPr="00666ECE">
                    <w:t>ACT</w:t>
                  </w:r>
                </w:p>
              </w:tc>
              <w:tc>
                <w:tcPr>
                  <w:tcW w:w="709" w:type="dxa"/>
                  <w:tcBorders>
                    <w:top w:val="single" w:sz="6" w:space="0" w:color="BFBFBF" w:themeColor="background2"/>
                    <w:bottom w:val="single" w:sz="6" w:space="0" w:color="BFBFBF" w:themeColor="background2"/>
                  </w:tcBorders>
                  <w:shd w:val="clear" w:color="auto" w:fill="auto"/>
                </w:tcPr>
                <w:p w:rsidR="003611D5" w:rsidRPr="00666ECE" w:rsidRDefault="003611D5" w:rsidP="004C2933">
                  <w:pPr>
                    <w:pStyle w:val="TableColumnHeading"/>
                    <w:ind w:left="0" w:right="28"/>
                  </w:pPr>
                  <w:r w:rsidRPr="00666ECE">
                    <w:t>NT</w:t>
                  </w:r>
                </w:p>
              </w:tc>
              <w:tc>
                <w:tcPr>
                  <w:tcW w:w="686" w:type="dxa"/>
                  <w:tcBorders>
                    <w:top w:val="single" w:sz="6" w:space="0" w:color="BFBFBF" w:themeColor="background2"/>
                    <w:bottom w:val="single" w:sz="6" w:space="0" w:color="BFBFBF" w:themeColor="background2"/>
                  </w:tcBorders>
                  <w:shd w:val="clear" w:color="auto" w:fill="auto"/>
                </w:tcPr>
                <w:p w:rsidR="003611D5" w:rsidRPr="00666ECE" w:rsidRDefault="003611D5" w:rsidP="004C2933">
                  <w:pPr>
                    <w:pStyle w:val="TableColumnHeading"/>
                    <w:ind w:left="0" w:right="28"/>
                  </w:pPr>
                  <w:r w:rsidRPr="00666ECE">
                    <w:t>Aust</w:t>
                  </w:r>
                </w:p>
              </w:tc>
            </w:tr>
            <w:tr w:rsidR="004C2933" w:rsidRPr="00666ECE" w:rsidTr="004C2933">
              <w:tc>
                <w:tcPr>
                  <w:tcW w:w="8483" w:type="dxa"/>
                  <w:gridSpan w:val="11"/>
                  <w:tcBorders>
                    <w:top w:val="single" w:sz="6" w:space="0" w:color="BFBFBF" w:themeColor="background2"/>
                  </w:tcBorders>
                </w:tcPr>
                <w:p w:rsidR="004C2933" w:rsidRPr="004C2933" w:rsidRDefault="004C2933" w:rsidP="004C2933">
                  <w:pPr>
                    <w:keepNext/>
                    <w:keepLines/>
                    <w:spacing w:before="80" w:after="40" w:line="220" w:lineRule="atLeast"/>
                    <w:ind w:left="6" w:right="113"/>
                    <w:rPr>
                      <w:rFonts w:ascii="Arial" w:hAnsi="Arial" w:cs="Arial"/>
                      <w:sz w:val="18"/>
                      <w:szCs w:val="18"/>
                    </w:rPr>
                  </w:pPr>
                  <w:r w:rsidRPr="004C2933">
                    <w:rPr>
                      <w:rFonts w:ascii="Arial" w:hAnsi="Arial" w:cs="Arial"/>
                      <w:b/>
                      <w:sz w:val="18"/>
                      <w:szCs w:val="18"/>
                    </w:rPr>
                    <w:t xml:space="preserve">Government schools </w:t>
                  </w:r>
                </w:p>
              </w:tc>
            </w:tr>
            <w:tr w:rsidR="00BE59AB" w:rsidRPr="00666ECE" w:rsidTr="00A868EF">
              <w:tc>
                <w:tcPr>
                  <w:tcW w:w="1821" w:type="dxa"/>
                </w:tcPr>
                <w:p w:rsidR="00BE59AB" w:rsidRPr="00666ECE" w:rsidRDefault="00BE59AB" w:rsidP="004C2933">
                  <w:pPr>
                    <w:pStyle w:val="TableUnitsRow"/>
                    <w:spacing w:before="0"/>
                    <w:jc w:val="left"/>
                  </w:pPr>
                  <w:r w:rsidRPr="00666ECE">
                    <w:t>Primary</w:t>
                  </w:r>
                </w:p>
              </w:tc>
              <w:tc>
                <w:tcPr>
                  <w:tcW w:w="425" w:type="dxa"/>
                  <w:vAlign w:val="center"/>
                </w:tcPr>
                <w:p w:rsidR="00BE59AB" w:rsidRPr="007E4F60" w:rsidRDefault="00BE59AB" w:rsidP="004C2933">
                  <w:pPr>
                    <w:pStyle w:val="TableBodyText"/>
                    <w:ind w:left="0" w:right="28"/>
                  </w:pPr>
                  <w:r w:rsidRPr="007E4F60">
                    <w:t>no.</w:t>
                  </w:r>
                </w:p>
              </w:tc>
              <w:tc>
                <w:tcPr>
                  <w:tcW w:w="709" w:type="dxa"/>
                  <w:vAlign w:val="center"/>
                </w:tcPr>
                <w:p w:rsidR="00BE59AB" w:rsidRDefault="00BE59AB" w:rsidP="00BE59AB">
                  <w:pPr>
                    <w:pStyle w:val="TableBodyText"/>
                  </w:pPr>
                  <w:r>
                    <w:t xml:space="preserve"> 1 619</w:t>
                  </w:r>
                </w:p>
              </w:tc>
              <w:tc>
                <w:tcPr>
                  <w:tcW w:w="709" w:type="dxa"/>
                  <w:vAlign w:val="center"/>
                </w:tcPr>
                <w:p w:rsidR="00BE59AB" w:rsidRDefault="00BE59AB" w:rsidP="00BE59AB">
                  <w:pPr>
                    <w:pStyle w:val="TableBodyText"/>
                  </w:pPr>
                  <w:r>
                    <w:t xml:space="preserve"> 1 127</w:t>
                  </w:r>
                </w:p>
              </w:tc>
              <w:tc>
                <w:tcPr>
                  <w:tcW w:w="708" w:type="dxa"/>
                  <w:vAlign w:val="center"/>
                </w:tcPr>
                <w:p w:rsidR="00BE59AB" w:rsidRDefault="00BE59AB" w:rsidP="00BE59AB">
                  <w:pPr>
                    <w:pStyle w:val="TableBodyText"/>
                  </w:pPr>
                  <w:r>
                    <w:t xml:space="preserve">  915</w:t>
                  </w:r>
                </w:p>
              </w:tc>
              <w:tc>
                <w:tcPr>
                  <w:tcW w:w="709" w:type="dxa"/>
                  <w:vAlign w:val="center"/>
                </w:tcPr>
                <w:p w:rsidR="00BE59AB" w:rsidRDefault="00BE59AB" w:rsidP="00BE59AB">
                  <w:pPr>
                    <w:pStyle w:val="TableBodyText"/>
                  </w:pPr>
                  <w:r>
                    <w:t xml:space="preserve">  523</w:t>
                  </w:r>
                </w:p>
              </w:tc>
              <w:tc>
                <w:tcPr>
                  <w:tcW w:w="567" w:type="dxa"/>
                  <w:vAlign w:val="center"/>
                </w:tcPr>
                <w:p w:rsidR="00BE59AB" w:rsidRDefault="00BE59AB" w:rsidP="00BE59AB">
                  <w:pPr>
                    <w:pStyle w:val="TableBodyText"/>
                  </w:pPr>
                  <w:r>
                    <w:t xml:space="preserve">  365</w:t>
                  </w:r>
                </w:p>
              </w:tc>
              <w:tc>
                <w:tcPr>
                  <w:tcW w:w="709" w:type="dxa"/>
                  <w:vAlign w:val="center"/>
                </w:tcPr>
                <w:p w:rsidR="00BE59AB" w:rsidRDefault="00BE59AB" w:rsidP="00BE59AB">
                  <w:pPr>
                    <w:pStyle w:val="TableBodyText"/>
                  </w:pPr>
                  <w:r>
                    <w:t xml:space="preserve">  127</w:t>
                  </w:r>
                </w:p>
              </w:tc>
              <w:tc>
                <w:tcPr>
                  <w:tcW w:w="731" w:type="dxa"/>
                  <w:vAlign w:val="center"/>
                </w:tcPr>
                <w:p w:rsidR="00BE59AB" w:rsidRDefault="00BE59AB" w:rsidP="00BE59AB">
                  <w:pPr>
                    <w:pStyle w:val="TableBodyText"/>
                  </w:pPr>
                  <w:r>
                    <w:t xml:space="preserve">  55</w:t>
                  </w:r>
                </w:p>
              </w:tc>
              <w:tc>
                <w:tcPr>
                  <w:tcW w:w="709" w:type="dxa"/>
                  <w:vAlign w:val="center"/>
                </w:tcPr>
                <w:p w:rsidR="00BE59AB" w:rsidRDefault="00BE59AB" w:rsidP="00BE59AB">
                  <w:pPr>
                    <w:pStyle w:val="TableBodyText"/>
                  </w:pPr>
                  <w:r>
                    <w:t xml:space="preserve">  68</w:t>
                  </w:r>
                </w:p>
              </w:tc>
              <w:tc>
                <w:tcPr>
                  <w:tcW w:w="686" w:type="dxa"/>
                  <w:vAlign w:val="center"/>
                </w:tcPr>
                <w:p w:rsidR="00BE59AB" w:rsidRDefault="00BE59AB" w:rsidP="00BE59AB">
                  <w:pPr>
                    <w:pStyle w:val="TableBodyText"/>
                  </w:pPr>
                  <w:r>
                    <w:t xml:space="preserve"> 4 799</w:t>
                  </w:r>
                </w:p>
              </w:tc>
            </w:tr>
            <w:tr w:rsidR="00BE59AB" w:rsidRPr="00666ECE" w:rsidTr="00A868EF">
              <w:tc>
                <w:tcPr>
                  <w:tcW w:w="1821" w:type="dxa"/>
                </w:tcPr>
                <w:p w:rsidR="00BE59AB" w:rsidRPr="00666ECE" w:rsidRDefault="00BE59AB" w:rsidP="004C2933">
                  <w:pPr>
                    <w:pStyle w:val="TableUnitsRow"/>
                    <w:spacing w:before="0"/>
                    <w:jc w:val="left"/>
                  </w:pPr>
                  <w:r w:rsidRPr="00666ECE">
                    <w:t>Secondary</w:t>
                  </w:r>
                </w:p>
              </w:tc>
              <w:tc>
                <w:tcPr>
                  <w:tcW w:w="425" w:type="dxa"/>
                  <w:vAlign w:val="center"/>
                </w:tcPr>
                <w:p w:rsidR="00BE59AB" w:rsidRPr="007E4F60" w:rsidRDefault="00BE59AB" w:rsidP="004C2933">
                  <w:pPr>
                    <w:pStyle w:val="TableBodyText"/>
                    <w:ind w:left="0" w:right="28"/>
                  </w:pPr>
                  <w:r w:rsidRPr="007E4F60">
                    <w:t>no.</w:t>
                  </w:r>
                </w:p>
              </w:tc>
              <w:tc>
                <w:tcPr>
                  <w:tcW w:w="709" w:type="dxa"/>
                  <w:vAlign w:val="center"/>
                </w:tcPr>
                <w:p w:rsidR="00BE59AB" w:rsidRDefault="00BE59AB" w:rsidP="00BE59AB">
                  <w:pPr>
                    <w:pStyle w:val="TableBodyText"/>
                  </w:pPr>
                  <w:r>
                    <w:t xml:space="preserve">  370</w:t>
                  </w:r>
                </w:p>
              </w:tc>
              <w:tc>
                <w:tcPr>
                  <w:tcW w:w="709" w:type="dxa"/>
                  <w:vAlign w:val="center"/>
                </w:tcPr>
                <w:p w:rsidR="00BE59AB" w:rsidRDefault="00BE59AB" w:rsidP="00BE59AB">
                  <w:pPr>
                    <w:pStyle w:val="TableBodyText"/>
                  </w:pPr>
                  <w:r>
                    <w:t xml:space="preserve">  238</w:t>
                  </w:r>
                </w:p>
              </w:tc>
              <w:tc>
                <w:tcPr>
                  <w:tcW w:w="708" w:type="dxa"/>
                  <w:vAlign w:val="center"/>
                </w:tcPr>
                <w:p w:rsidR="00BE59AB" w:rsidRDefault="00BE59AB" w:rsidP="00BE59AB">
                  <w:pPr>
                    <w:pStyle w:val="TableBodyText"/>
                  </w:pPr>
                  <w:r>
                    <w:t xml:space="preserve">  182</w:t>
                  </w:r>
                </w:p>
              </w:tc>
              <w:tc>
                <w:tcPr>
                  <w:tcW w:w="709" w:type="dxa"/>
                  <w:vAlign w:val="center"/>
                </w:tcPr>
                <w:p w:rsidR="00BE59AB" w:rsidRDefault="00BE59AB" w:rsidP="00BE59AB">
                  <w:pPr>
                    <w:pStyle w:val="TableBodyText"/>
                  </w:pPr>
                  <w:r>
                    <w:t xml:space="preserve">  98</w:t>
                  </w:r>
                </w:p>
              </w:tc>
              <w:tc>
                <w:tcPr>
                  <w:tcW w:w="567" w:type="dxa"/>
                  <w:vAlign w:val="center"/>
                </w:tcPr>
                <w:p w:rsidR="00BE59AB" w:rsidRDefault="00BE59AB" w:rsidP="00BE59AB">
                  <w:pPr>
                    <w:pStyle w:val="TableBodyText"/>
                  </w:pPr>
                  <w:r>
                    <w:t xml:space="preserve">  65</w:t>
                  </w:r>
                </w:p>
              </w:tc>
              <w:tc>
                <w:tcPr>
                  <w:tcW w:w="709" w:type="dxa"/>
                  <w:vAlign w:val="center"/>
                </w:tcPr>
                <w:p w:rsidR="00BE59AB" w:rsidRDefault="00BE59AB" w:rsidP="00BE59AB">
                  <w:pPr>
                    <w:pStyle w:val="TableBodyText"/>
                  </w:pPr>
                  <w:r>
                    <w:t xml:space="preserve">  36</w:t>
                  </w:r>
                </w:p>
              </w:tc>
              <w:tc>
                <w:tcPr>
                  <w:tcW w:w="731" w:type="dxa"/>
                  <w:vAlign w:val="center"/>
                </w:tcPr>
                <w:p w:rsidR="00BE59AB" w:rsidRDefault="00BE59AB" w:rsidP="00BE59AB">
                  <w:pPr>
                    <w:pStyle w:val="TableBodyText"/>
                  </w:pPr>
                  <w:r>
                    <w:t xml:space="preserve">  19</w:t>
                  </w:r>
                </w:p>
              </w:tc>
              <w:tc>
                <w:tcPr>
                  <w:tcW w:w="709" w:type="dxa"/>
                  <w:vAlign w:val="center"/>
                </w:tcPr>
                <w:p w:rsidR="00BE59AB" w:rsidRDefault="00BE59AB" w:rsidP="00BE59AB">
                  <w:pPr>
                    <w:pStyle w:val="TableBodyText"/>
                  </w:pPr>
                  <w:r>
                    <w:t xml:space="preserve">  14</w:t>
                  </w:r>
                </w:p>
              </w:tc>
              <w:tc>
                <w:tcPr>
                  <w:tcW w:w="686" w:type="dxa"/>
                  <w:vAlign w:val="center"/>
                </w:tcPr>
                <w:p w:rsidR="00BE59AB" w:rsidRDefault="00BE59AB" w:rsidP="00BE59AB">
                  <w:pPr>
                    <w:pStyle w:val="TableBodyText"/>
                  </w:pPr>
                  <w:r>
                    <w:t xml:space="preserve"> 1 022</w:t>
                  </w:r>
                </w:p>
              </w:tc>
            </w:tr>
            <w:tr w:rsidR="00BE59AB" w:rsidRPr="00666ECE" w:rsidTr="00A868EF">
              <w:tc>
                <w:tcPr>
                  <w:tcW w:w="1821" w:type="dxa"/>
                </w:tcPr>
                <w:p w:rsidR="00BE59AB" w:rsidRPr="00666ECE" w:rsidRDefault="00BE59AB" w:rsidP="004C2933">
                  <w:pPr>
                    <w:pStyle w:val="TableUnitsRow"/>
                    <w:spacing w:before="0"/>
                    <w:jc w:val="left"/>
                  </w:pPr>
                  <w:r w:rsidRPr="00666ECE">
                    <w:t>Combined</w:t>
                  </w:r>
                </w:p>
              </w:tc>
              <w:tc>
                <w:tcPr>
                  <w:tcW w:w="425" w:type="dxa"/>
                  <w:vAlign w:val="center"/>
                </w:tcPr>
                <w:p w:rsidR="00BE59AB" w:rsidRPr="007E4F60" w:rsidRDefault="00BE59AB" w:rsidP="004C2933">
                  <w:pPr>
                    <w:pStyle w:val="TableBodyText"/>
                    <w:ind w:left="0" w:right="28"/>
                  </w:pPr>
                  <w:r w:rsidRPr="007E4F60">
                    <w:t>no.</w:t>
                  </w:r>
                </w:p>
              </w:tc>
              <w:tc>
                <w:tcPr>
                  <w:tcW w:w="709" w:type="dxa"/>
                  <w:vAlign w:val="center"/>
                </w:tcPr>
                <w:p w:rsidR="00BE59AB" w:rsidRDefault="00BE59AB" w:rsidP="00BE59AB">
                  <w:pPr>
                    <w:pStyle w:val="TableBodyText"/>
                  </w:pPr>
                  <w:r>
                    <w:t xml:space="preserve">  65</w:t>
                  </w:r>
                </w:p>
              </w:tc>
              <w:tc>
                <w:tcPr>
                  <w:tcW w:w="709" w:type="dxa"/>
                  <w:vAlign w:val="center"/>
                </w:tcPr>
                <w:p w:rsidR="00BE59AB" w:rsidRDefault="00BE59AB" w:rsidP="00BE59AB">
                  <w:pPr>
                    <w:pStyle w:val="TableBodyText"/>
                  </w:pPr>
                  <w:r>
                    <w:t xml:space="preserve">  80</w:t>
                  </w:r>
                </w:p>
              </w:tc>
              <w:tc>
                <w:tcPr>
                  <w:tcW w:w="708" w:type="dxa"/>
                  <w:vAlign w:val="center"/>
                </w:tcPr>
                <w:p w:rsidR="00BE59AB" w:rsidRDefault="00BE59AB" w:rsidP="00BE59AB">
                  <w:pPr>
                    <w:pStyle w:val="TableBodyText"/>
                  </w:pPr>
                  <w:r>
                    <w:t xml:space="preserve">  89</w:t>
                  </w:r>
                </w:p>
              </w:tc>
              <w:tc>
                <w:tcPr>
                  <w:tcW w:w="709" w:type="dxa"/>
                  <w:vAlign w:val="center"/>
                </w:tcPr>
                <w:p w:rsidR="00BE59AB" w:rsidRDefault="00BE59AB" w:rsidP="00BE59AB">
                  <w:pPr>
                    <w:pStyle w:val="TableBodyText"/>
                  </w:pPr>
                  <w:r>
                    <w:t xml:space="preserve">  90</w:t>
                  </w:r>
                </w:p>
              </w:tc>
              <w:tc>
                <w:tcPr>
                  <w:tcW w:w="567" w:type="dxa"/>
                  <w:vAlign w:val="center"/>
                </w:tcPr>
                <w:p w:rsidR="00BE59AB" w:rsidRDefault="00BE59AB" w:rsidP="00BE59AB">
                  <w:pPr>
                    <w:pStyle w:val="TableBodyText"/>
                  </w:pPr>
                  <w:r>
                    <w:t xml:space="preserve">  77</w:t>
                  </w:r>
                </w:p>
              </w:tc>
              <w:tc>
                <w:tcPr>
                  <w:tcW w:w="709" w:type="dxa"/>
                  <w:vAlign w:val="center"/>
                </w:tcPr>
                <w:p w:rsidR="00BE59AB" w:rsidRDefault="00BE59AB" w:rsidP="00BE59AB">
                  <w:pPr>
                    <w:pStyle w:val="TableBodyText"/>
                  </w:pPr>
                  <w:r>
                    <w:t xml:space="preserve">  25</w:t>
                  </w:r>
                </w:p>
              </w:tc>
              <w:tc>
                <w:tcPr>
                  <w:tcW w:w="731" w:type="dxa"/>
                  <w:vAlign w:val="center"/>
                </w:tcPr>
                <w:p w:rsidR="00BE59AB" w:rsidRDefault="00BE59AB" w:rsidP="00BE59AB">
                  <w:pPr>
                    <w:pStyle w:val="TableBodyText"/>
                  </w:pPr>
                  <w:r>
                    <w:t xml:space="preserve">  8</w:t>
                  </w:r>
                </w:p>
              </w:tc>
              <w:tc>
                <w:tcPr>
                  <w:tcW w:w="709" w:type="dxa"/>
                  <w:vAlign w:val="center"/>
                </w:tcPr>
                <w:p w:rsidR="00BE59AB" w:rsidRDefault="00BE59AB" w:rsidP="00BE59AB">
                  <w:pPr>
                    <w:pStyle w:val="TableBodyText"/>
                  </w:pPr>
                  <w:r>
                    <w:t xml:space="preserve">  66</w:t>
                  </w:r>
                </w:p>
              </w:tc>
              <w:tc>
                <w:tcPr>
                  <w:tcW w:w="686" w:type="dxa"/>
                  <w:vAlign w:val="center"/>
                </w:tcPr>
                <w:p w:rsidR="00BE59AB" w:rsidRDefault="00BE59AB" w:rsidP="00BE59AB">
                  <w:pPr>
                    <w:pStyle w:val="TableBodyText"/>
                  </w:pPr>
                  <w:r>
                    <w:t xml:space="preserve">  500</w:t>
                  </w:r>
                </w:p>
              </w:tc>
            </w:tr>
            <w:tr w:rsidR="00BE59AB" w:rsidRPr="00666ECE" w:rsidTr="00A868EF">
              <w:tc>
                <w:tcPr>
                  <w:tcW w:w="1821" w:type="dxa"/>
                </w:tcPr>
                <w:p w:rsidR="00BE59AB" w:rsidRPr="00666ECE" w:rsidRDefault="00BE59AB" w:rsidP="004C2933">
                  <w:pPr>
                    <w:pStyle w:val="TableUnitsRow"/>
                    <w:spacing w:before="0"/>
                    <w:jc w:val="left"/>
                  </w:pPr>
                  <w:r w:rsidRPr="00666ECE">
                    <w:t>Special schools</w:t>
                  </w:r>
                </w:p>
              </w:tc>
              <w:tc>
                <w:tcPr>
                  <w:tcW w:w="425" w:type="dxa"/>
                  <w:vAlign w:val="center"/>
                </w:tcPr>
                <w:p w:rsidR="00BE59AB" w:rsidRPr="007E4F60" w:rsidRDefault="00BE59AB" w:rsidP="004C2933">
                  <w:pPr>
                    <w:pStyle w:val="TableBodyText"/>
                    <w:ind w:left="0" w:right="28"/>
                  </w:pPr>
                  <w:r w:rsidRPr="007E4F60">
                    <w:t>no.</w:t>
                  </w:r>
                </w:p>
              </w:tc>
              <w:tc>
                <w:tcPr>
                  <w:tcW w:w="709" w:type="dxa"/>
                  <w:vAlign w:val="center"/>
                </w:tcPr>
                <w:p w:rsidR="00BE59AB" w:rsidRDefault="00BE59AB" w:rsidP="00BE59AB">
                  <w:pPr>
                    <w:pStyle w:val="TableBodyText"/>
                  </w:pPr>
                  <w:r>
                    <w:t xml:space="preserve">  111</w:t>
                  </w:r>
                </w:p>
              </w:tc>
              <w:tc>
                <w:tcPr>
                  <w:tcW w:w="709" w:type="dxa"/>
                  <w:vAlign w:val="center"/>
                </w:tcPr>
                <w:p w:rsidR="00BE59AB" w:rsidRDefault="00BE59AB" w:rsidP="00BE59AB">
                  <w:pPr>
                    <w:pStyle w:val="TableBodyText"/>
                  </w:pPr>
                  <w:r>
                    <w:t xml:space="preserve">  79</w:t>
                  </w:r>
                </w:p>
              </w:tc>
              <w:tc>
                <w:tcPr>
                  <w:tcW w:w="708" w:type="dxa"/>
                  <w:vAlign w:val="center"/>
                </w:tcPr>
                <w:p w:rsidR="00BE59AB" w:rsidRDefault="00BE59AB" w:rsidP="00BE59AB">
                  <w:pPr>
                    <w:pStyle w:val="TableBodyText"/>
                  </w:pPr>
                  <w:r>
                    <w:t xml:space="preserve">  46</w:t>
                  </w:r>
                </w:p>
              </w:tc>
              <w:tc>
                <w:tcPr>
                  <w:tcW w:w="709" w:type="dxa"/>
                  <w:vAlign w:val="center"/>
                </w:tcPr>
                <w:p w:rsidR="00BE59AB" w:rsidRDefault="00BE59AB" w:rsidP="00BE59AB">
                  <w:pPr>
                    <w:pStyle w:val="TableBodyText"/>
                  </w:pPr>
                  <w:r>
                    <w:t xml:space="preserve">  64</w:t>
                  </w:r>
                </w:p>
              </w:tc>
              <w:tc>
                <w:tcPr>
                  <w:tcW w:w="567" w:type="dxa"/>
                  <w:vAlign w:val="center"/>
                </w:tcPr>
                <w:p w:rsidR="00BE59AB" w:rsidRDefault="00BE59AB" w:rsidP="00BE59AB">
                  <w:pPr>
                    <w:pStyle w:val="TableBodyText"/>
                  </w:pPr>
                  <w:r>
                    <w:t xml:space="preserve">  18</w:t>
                  </w:r>
                </w:p>
              </w:tc>
              <w:tc>
                <w:tcPr>
                  <w:tcW w:w="709" w:type="dxa"/>
                  <w:vAlign w:val="center"/>
                </w:tcPr>
                <w:p w:rsidR="00BE59AB" w:rsidRDefault="00BE59AB" w:rsidP="00BE59AB">
                  <w:pPr>
                    <w:pStyle w:val="TableBodyText"/>
                  </w:pPr>
                  <w:r>
                    <w:t xml:space="preserve">  4</w:t>
                  </w:r>
                </w:p>
              </w:tc>
              <w:tc>
                <w:tcPr>
                  <w:tcW w:w="731" w:type="dxa"/>
                  <w:vAlign w:val="center"/>
                </w:tcPr>
                <w:p w:rsidR="00BE59AB" w:rsidRDefault="00BE59AB" w:rsidP="00BE59AB">
                  <w:pPr>
                    <w:pStyle w:val="TableBodyText"/>
                  </w:pPr>
                  <w:r>
                    <w:t xml:space="preserve">  4</w:t>
                  </w:r>
                </w:p>
              </w:tc>
              <w:tc>
                <w:tcPr>
                  <w:tcW w:w="709" w:type="dxa"/>
                  <w:vAlign w:val="center"/>
                </w:tcPr>
                <w:p w:rsidR="00BE59AB" w:rsidRDefault="00BE59AB" w:rsidP="00BE59AB">
                  <w:pPr>
                    <w:pStyle w:val="TableBodyText"/>
                  </w:pPr>
                  <w:r>
                    <w:t xml:space="preserve">  4</w:t>
                  </w:r>
                </w:p>
              </w:tc>
              <w:tc>
                <w:tcPr>
                  <w:tcW w:w="686" w:type="dxa"/>
                  <w:vAlign w:val="center"/>
                </w:tcPr>
                <w:p w:rsidR="00BE59AB" w:rsidRDefault="00BE59AB" w:rsidP="00BE59AB">
                  <w:pPr>
                    <w:pStyle w:val="TableBodyText"/>
                  </w:pPr>
                  <w:r>
                    <w:t xml:space="preserve">  330</w:t>
                  </w:r>
                </w:p>
              </w:tc>
            </w:tr>
            <w:tr w:rsidR="00BE59AB" w:rsidRPr="00666ECE" w:rsidTr="00A868EF">
              <w:tc>
                <w:tcPr>
                  <w:tcW w:w="1821" w:type="dxa"/>
                </w:tcPr>
                <w:p w:rsidR="00BE59AB" w:rsidRPr="00666ECE" w:rsidRDefault="00BE59AB" w:rsidP="003611D5">
                  <w:pPr>
                    <w:pStyle w:val="TableUnitsRow"/>
                    <w:jc w:val="left"/>
                    <w:rPr>
                      <w:b/>
                    </w:rPr>
                  </w:pPr>
                  <w:r w:rsidRPr="00666ECE">
                    <w:rPr>
                      <w:b/>
                    </w:rPr>
                    <w:t>Total</w:t>
                  </w:r>
                </w:p>
              </w:tc>
              <w:tc>
                <w:tcPr>
                  <w:tcW w:w="425" w:type="dxa"/>
                  <w:vAlign w:val="center"/>
                </w:tcPr>
                <w:p w:rsidR="00BE59AB" w:rsidRPr="007E4F60" w:rsidRDefault="00BE59AB" w:rsidP="004C2933">
                  <w:pPr>
                    <w:pStyle w:val="TableBodyText"/>
                    <w:ind w:left="0" w:right="28"/>
                    <w:rPr>
                      <w:b/>
                    </w:rPr>
                  </w:pPr>
                  <w:r w:rsidRPr="007E4F60">
                    <w:rPr>
                      <w:b/>
                    </w:rPr>
                    <w:t>no.</w:t>
                  </w:r>
                </w:p>
              </w:tc>
              <w:tc>
                <w:tcPr>
                  <w:tcW w:w="709" w:type="dxa"/>
                  <w:vAlign w:val="center"/>
                </w:tcPr>
                <w:p w:rsidR="00BE59AB" w:rsidRDefault="00BE59AB" w:rsidP="00BE59AB">
                  <w:pPr>
                    <w:pStyle w:val="TableBodyText"/>
                    <w:rPr>
                      <w:b/>
                      <w:bCs/>
                    </w:rPr>
                  </w:pPr>
                  <w:r>
                    <w:rPr>
                      <w:b/>
                      <w:bCs/>
                    </w:rPr>
                    <w:t xml:space="preserve"> 2 165</w:t>
                  </w:r>
                </w:p>
              </w:tc>
              <w:tc>
                <w:tcPr>
                  <w:tcW w:w="709" w:type="dxa"/>
                  <w:vAlign w:val="center"/>
                </w:tcPr>
                <w:p w:rsidR="00BE59AB" w:rsidRDefault="00BE59AB" w:rsidP="00BE59AB">
                  <w:pPr>
                    <w:pStyle w:val="TableBodyText"/>
                    <w:rPr>
                      <w:b/>
                      <w:bCs/>
                    </w:rPr>
                  </w:pPr>
                  <w:r>
                    <w:rPr>
                      <w:b/>
                      <w:bCs/>
                    </w:rPr>
                    <w:t xml:space="preserve"> 1 524</w:t>
                  </w:r>
                </w:p>
              </w:tc>
              <w:tc>
                <w:tcPr>
                  <w:tcW w:w="708" w:type="dxa"/>
                  <w:vAlign w:val="center"/>
                </w:tcPr>
                <w:p w:rsidR="00BE59AB" w:rsidRDefault="00BE59AB" w:rsidP="00BE59AB">
                  <w:pPr>
                    <w:pStyle w:val="TableBodyText"/>
                    <w:rPr>
                      <w:b/>
                      <w:bCs/>
                    </w:rPr>
                  </w:pPr>
                  <w:r>
                    <w:rPr>
                      <w:b/>
                      <w:bCs/>
                    </w:rPr>
                    <w:t xml:space="preserve"> 1 232</w:t>
                  </w:r>
                </w:p>
              </w:tc>
              <w:tc>
                <w:tcPr>
                  <w:tcW w:w="709" w:type="dxa"/>
                  <w:vAlign w:val="center"/>
                </w:tcPr>
                <w:p w:rsidR="00BE59AB" w:rsidRDefault="00BE59AB" w:rsidP="00BE59AB">
                  <w:pPr>
                    <w:pStyle w:val="TableBodyText"/>
                    <w:rPr>
                      <w:b/>
                      <w:bCs/>
                    </w:rPr>
                  </w:pPr>
                  <w:r>
                    <w:rPr>
                      <w:b/>
                      <w:bCs/>
                    </w:rPr>
                    <w:t xml:space="preserve">  775</w:t>
                  </w:r>
                </w:p>
              </w:tc>
              <w:tc>
                <w:tcPr>
                  <w:tcW w:w="567" w:type="dxa"/>
                  <w:vAlign w:val="center"/>
                </w:tcPr>
                <w:p w:rsidR="00BE59AB" w:rsidRDefault="00BE59AB" w:rsidP="00BE59AB">
                  <w:pPr>
                    <w:pStyle w:val="TableBodyText"/>
                    <w:rPr>
                      <w:b/>
                      <w:bCs/>
                    </w:rPr>
                  </w:pPr>
                  <w:r>
                    <w:rPr>
                      <w:b/>
                      <w:bCs/>
                    </w:rPr>
                    <w:t xml:space="preserve">  525</w:t>
                  </w:r>
                </w:p>
              </w:tc>
              <w:tc>
                <w:tcPr>
                  <w:tcW w:w="709" w:type="dxa"/>
                  <w:vAlign w:val="center"/>
                </w:tcPr>
                <w:p w:rsidR="00BE59AB" w:rsidRDefault="00BE59AB" w:rsidP="00BE59AB">
                  <w:pPr>
                    <w:pStyle w:val="TableBodyText"/>
                    <w:rPr>
                      <w:b/>
                      <w:bCs/>
                    </w:rPr>
                  </w:pPr>
                  <w:r>
                    <w:rPr>
                      <w:b/>
                      <w:bCs/>
                    </w:rPr>
                    <w:t xml:space="preserve">  192</w:t>
                  </w:r>
                </w:p>
              </w:tc>
              <w:tc>
                <w:tcPr>
                  <w:tcW w:w="731" w:type="dxa"/>
                  <w:vAlign w:val="center"/>
                </w:tcPr>
                <w:p w:rsidR="00BE59AB" w:rsidRDefault="00BE59AB" w:rsidP="00BE59AB">
                  <w:pPr>
                    <w:pStyle w:val="TableBodyText"/>
                    <w:rPr>
                      <w:b/>
                      <w:bCs/>
                    </w:rPr>
                  </w:pPr>
                  <w:r>
                    <w:rPr>
                      <w:b/>
                      <w:bCs/>
                    </w:rPr>
                    <w:t xml:space="preserve">  86</w:t>
                  </w:r>
                </w:p>
              </w:tc>
              <w:tc>
                <w:tcPr>
                  <w:tcW w:w="709" w:type="dxa"/>
                  <w:vAlign w:val="center"/>
                </w:tcPr>
                <w:p w:rsidR="00BE59AB" w:rsidRDefault="00BE59AB" w:rsidP="00BE59AB">
                  <w:pPr>
                    <w:pStyle w:val="TableBodyText"/>
                    <w:rPr>
                      <w:b/>
                      <w:bCs/>
                    </w:rPr>
                  </w:pPr>
                  <w:r>
                    <w:rPr>
                      <w:b/>
                      <w:bCs/>
                    </w:rPr>
                    <w:t xml:space="preserve">  152</w:t>
                  </w:r>
                </w:p>
              </w:tc>
              <w:tc>
                <w:tcPr>
                  <w:tcW w:w="686" w:type="dxa"/>
                  <w:vAlign w:val="center"/>
                </w:tcPr>
                <w:p w:rsidR="00BE59AB" w:rsidRDefault="00BE59AB" w:rsidP="00BE59AB">
                  <w:pPr>
                    <w:pStyle w:val="TableBodyText"/>
                    <w:rPr>
                      <w:b/>
                      <w:bCs/>
                    </w:rPr>
                  </w:pPr>
                  <w:r>
                    <w:rPr>
                      <w:b/>
                      <w:bCs/>
                    </w:rPr>
                    <w:t xml:space="preserve"> 6 651</w:t>
                  </w:r>
                </w:p>
              </w:tc>
            </w:tr>
            <w:tr w:rsidR="008F5666" w:rsidRPr="00D31D27" w:rsidTr="004C2933">
              <w:tc>
                <w:tcPr>
                  <w:tcW w:w="8483" w:type="dxa"/>
                  <w:gridSpan w:val="11"/>
                  <w:vAlign w:val="bottom"/>
                </w:tcPr>
                <w:p w:rsidR="008F5666" w:rsidRPr="008F5666" w:rsidRDefault="008F5666" w:rsidP="00D90D4B">
                  <w:pPr>
                    <w:pStyle w:val="TableBodyText"/>
                    <w:spacing w:before="120" w:line="220" w:lineRule="atLeast"/>
                    <w:jc w:val="left"/>
                    <w:rPr>
                      <w:b/>
                    </w:rPr>
                  </w:pPr>
                  <w:r w:rsidRPr="008F5666">
                    <w:rPr>
                      <w:b/>
                    </w:rPr>
                    <w:t>Non-government schools</w:t>
                  </w:r>
                </w:p>
              </w:tc>
            </w:tr>
            <w:tr w:rsidR="00BE59AB" w:rsidRPr="00666ECE" w:rsidTr="00A868EF">
              <w:tc>
                <w:tcPr>
                  <w:tcW w:w="1821" w:type="dxa"/>
                </w:tcPr>
                <w:p w:rsidR="00BE59AB" w:rsidRPr="00666ECE" w:rsidRDefault="00BE59AB" w:rsidP="004C2933">
                  <w:pPr>
                    <w:pStyle w:val="TableUnitsRow"/>
                    <w:spacing w:before="0"/>
                    <w:jc w:val="left"/>
                  </w:pPr>
                  <w:r w:rsidRPr="00666ECE">
                    <w:t>Primary</w:t>
                  </w:r>
                </w:p>
              </w:tc>
              <w:tc>
                <w:tcPr>
                  <w:tcW w:w="425" w:type="dxa"/>
                  <w:vAlign w:val="center"/>
                </w:tcPr>
                <w:p w:rsidR="00BE59AB" w:rsidRDefault="00BE59AB" w:rsidP="004C2933">
                  <w:pPr>
                    <w:pStyle w:val="TableBodyText"/>
                    <w:ind w:left="0" w:right="28"/>
                  </w:pPr>
                  <w:r w:rsidRPr="00253A4F">
                    <w:t>no.</w:t>
                  </w:r>
                </w:p>
              </w:tc>
              <w:tc>
                <w:tcPr>
                  <w:tcW w:w="709" w:type="dxa"/>
                  <w:vAlign w:val="center"/>
                </w:tcPr>
                <w:p w:rsidR="00BE59AB" w:rsidRDefault="00BE59AB" w:rsidP="00BE59AB">
                  <w:pPr>
                    <w:pStyle w:val="TableBodyText"/>
                  </w:pPr>
                  <w:r>
                    <w:t xml:space="preserve">  491</w:t>
                  </w:r>
                </w:p>
              </w:tc>
              <w:tc>
                <w:tcPr>
                  <w:tcW w:w="709" w:type="dxa"/>
                  <w:vAlign w:val="center"/>
                </w:tcPr>
                <w:p w:rsidR="00BE59AB" w:rsidRDefault="00BE59AB" w:rsidP="00BE59AB">
                  <w:pPr>
                    <w:pStyle w:val="TableBodyText"/>
                  </w:pPr>
                  <w:r>
                    <w:t xml:space="preserve">  422</w:t>
                  </w:r>
                </w:p>
              </w:tc>
              <w:tc>
                <w:tcPr>
                  <w:tcW w:w="708" w:type="dxa"/>
                  <w:vAlign w:val="center"/>
                </w:tcPr>
                <w:p w:rsidR="00BE59AB" w:rsidRDefault="00BE59AB" w:rsidP="00BE59AB">
                  <w:pPr>
                    <w:pStyle w:val="TableBodyText"/>
                  </w:pPr>
                  <w:r>
                    <w:t xml:space="preserve">  225</w:t>
                  </w:r>
                </w:p>
              </w:tc>
              <w:tc>
                <w:tcPr>
                  <w:tcW w:w="709" w:type="dxa"/>
                  <w:vAlign w:val="center"/>
                </w:tcPr>
                <w:p w:rsidR="00BE59AB" w:rsidRDefault="00BE59AB" w:rsidP="00BE59AB">
                  <w:pPr>
                    <w:pStyle w:val="TableBodyText"/>
                  </w:pPr>
                  <w:r>
                    <w:t xml:space="preserve">  150</w:t>
                  </w:r>
                </w:p>
              </w:tc>
              <w:tc>
                <w:tcPr>
                  <w:tcW w:w="567" w:type="dxa"/>
                  <w:vAlign w:val="center"/>
                </w:tcPr>
                <w:p w:rsidR="00BE59AB" w:rsidRDefault="00BE59AB" w:rsidP="00BE59AB">
                  <w:pPr>
                    <w:pStyle w:val="TableBodyText"/>
                  </w:pPr>
                  <w:r>
                    <w:t xml:space="preserve">  99</w:t>
                  </w:r>
                </w:p>
              </w:tc>
              <w:tc>
                <w:tcPr>
                  <w:tcW w:w="709" w:type="dxa"/>
                  <w:vAlign w:val="center"/>
                </w:tcPr>
                <w:p w:rsidR="00BE59AB" w:rsidRDefault="00BE59AB" w:rsidP="00BE59AB">
                  <w:pPr>
                    <w:pStyle w:val="TableBodyText"/>
                  </w:pPr>
                  <w:r>
                    <w:t xml:space="preserve">  29</w:t>
                  </w:r>
                </w:p>
              </w:tc>
              <w:tc>
                <w:tcPr>
                  <w:tcW w:w="731" w:type="dxa"/>
                  <w:vAlign w:val="center"/>
                </w:tcPr>
                <w:p w:rsidR="00BE59AB" w:rsidRDefault="00BE59AB" w:rsidP="00BE59AB">
                  <w:pPr>
                    <w:pStyle w:val="TableBodyText"/>
                  </w:pPr>
                  <w:r>
                    <w:t xml:space="preserve">  24</w:t>
                  </w:r>
                </w:p>
              </w:tc>
              <w:tc>
                <w:tcPr>
                  <w:tcW w:w="709" w:type="dxa"/>
                  <w:vAlign w:val="center"/>
                </w:tcPr>
                <w:p w:rsidR="00BE59AB" w:rsidRDefault="00BE59AB" w:rsidP="00BE59AB">
                  <w:pPr>
                    <w:pStyle w:val="TableBodyText"/>
                  </w:pPr>
                  <w:r>
                    <w:t xml:space="preserve">  11</w:t>
                  </w:r>
                </w:p>
              </w:tc>
              <w:tc>
                <w:tcPr>
                  <w:tcW w:w="686" w:type="dxa"/>
                  <w:vAlign w:val="center"/>
                </w:tcPr>
                <w:p w:rsidR="00BE59AB" w:rsidRDefault="00BE59AB" w:rsidP="00BE59AB">
                  <w:pPr>
                    <w:pStyle w:val="TableBodyText"/>
                  </w:pPr>
                  <w:r>
                    <w:t xml:space="preserve"> 1 451</w:t>
                  </w:r>
                </w:p>
              </w:tc>
            </w:tr>
            <w:tr w:rsidR="00BE59AB" w:rsidRPr="00666ECE" w:rsidTr="00A868EF">
              <w:tc>
                <w:tcPr>
                  <w:tcW w:w="1821" w:type="dxa"/>
                </w:tcPr>
                <w:p w:rsidR="00BE59AB" w:rsidRPr="00666ECE" w:rsidRDefault="00BE59AB" w:rsidP="004C2933">
                  <w:pPr>
                    <w:pStyle w:val="TableUnitsRow"/>
                    <w:spacing w:before="0"/>
                    <w:jc w:val="left"/>
                  </w:pPr>
                  <w:r w:rsidRPr="00666ECE">
                    <w:t>Secondary</w:t>
                  </w:r>
                </w:p>
              </w:tc>
              <w:tc>
                <w:tcPr>
                  <w:tcW w:w="425" w:type="dxa"/>
                  <w:vAlign w:val="center"/>
                </w:tcPr>
                <w:p w:rsidR="00BE59AB" w:rsidRDefault="00BE59AB" w:rsidP="004C2933">
                  <w:pPr>
                    <w:pStyle w:val="TableBodyText"/>
                    <w:ind w:left="0" w:right="28"/>
                  </w:pPr>
                  <w:r w:rsidRPr="00253A4F">
                    <w:t>no.</w:t>
                  </w:r>
                </w:p>
              </w:tc>
              <w:tc>
                <w:tcPr>
                  <w:tcW w:w="709" w:type="dxa"/>
                  <w:vAlign w:val="center"/>
                </w:tcPr>
                <w:p w:rsidR="00BE59AB" w:rsidRDefault="00BE59AB" w:rsidP="00BE59AB">
                  <w:pPr>
                    <w:pStyle w:val="TableBodyText"/>
                  </w:pPr>
                  <w:r>
                    <w:t xml:space="preserve">  144</w:t>
                  </w:r>
                </w:p>
              </w:tc>
              <w:tc>
                <w:tcPr>
                  <w:tcW w:w="709" w:type="dxa"/>
                  <w:vAlign w:val="center"/>
                </w:tcPr>
                <w:p w:rsidR="00BE59AB" w:rsidRDefault="00BE59AB" w:rsidP="00BE59AB">
                  <w:pPr>
                    <w:pStyle w:val="TableBodyText"/>
                  </w:pPr>
                  <w:r>
                    <w:t xml:space="preserve">  97</w:t>
                  </w:r>
                </w:p>
              </w:tc>
              <w:tc>
                <w:tcPr>
                  <w:tcW w:w="708" w:type="dxa"/>
                  <w:vAlign w:val="center"/>
                </w:tcPr>
                <w:p w:rsidR="00BE59AB" w:rsidRDefault="00BE59AB" w:rsidP="00BE59AB">
                  <w:pPr>
                    <w:pStyle w:val="TableBodyText"/>
                  </w:pPr>
                  <w:r>
                    <w:t xml:space="preserve">  72</w:t>
                  </w:r>
                </w:p>
              </w:tc>
              <w:tc>
                <w:tcPr>
                  <w:tcW w:w="709" w:type="dxa"/>
                  <w:vAlign w:val="center"/>
                </w:tcPr>
                <w:p w:rsidR="00BE59AB" w:rsidRDefault="00BE59AB" w:rsidP="00BE59AB">
                  <w:pPr>
                    <w:pStyle w:val="TableBodyText"/>
                  </w:pPr>
                  <w:r>
                    <w:t xml:space="preserve">  7</w:t>
                  </w:r>
                </w:p>
              </w:tc>
              <w:tc>
                <w:tcPr>
                  <w:tcW w:w="567" w:type="dxa"/>
                  <w:vAlign w:val="center"/>
                </w:tcPr>
                <w:p w:rsidR="00BE59AB" w:rsidRDefault="00BE59AB" w:rsidP="00BE59AB">
                  <w:pPr>
                    <w:pStyle w:val="TableBodyText"/>
                  </w:pPr>
                  <w:r>
                    <w:t xml:space="preserve">  18</w:t>
                  </w:r>
                </w:p>
              </w:tc>
              <w:tc>
                <w:tcPr>
                  <w:tcW w:w="709" w:type="dxa"/>
                  <w:vAlign w:val="center"/>
                </w:tcPr>
                <w:p w:rsidR="00BE59AB" w:rsidRDefault="00BE59AB" w:rsidP="00BE59AB">
                  <w:pPr>
                    <w:pStyle w:val="TableBodyText"/>
                  </w:pPr>
                  <w:r>
                    <w:t xml:space="preserve">  5</w:t>
                  </w:r>
                </w:p>
              </w:tc>
              <w:tc>
                <w:tcPr>
                  <w:tcW w:w="731" w:type="dxa"/>
                  <w:vAlign w:val="center"/>
                </w:tcPr>
                <w:p w:rsidR="00BE59AB" w:rsidRDefault="00BE59AB" w:rsidP="00BE59AB">
                  <w:pPr>
                    <w:pStyle w:val="TableBodyText"/>
                  </w:pPr>
                  <w:r>
                    <w:t xml:space="preserve">  5</w:t>
                  </w:r>
                </w:p>
              </w:tc>
              <w:tc>
                <w:tcPr>
                  <w:tcW w:w="709" w:type="dxa"/>
                  <w:vAlign w:val="center"/>
                </w:tcPr>
                <w:p w:rsidR="00BE59AB" w:rsidRDefault="00BE59AB" w:rsidP="00BE59AB">
                  <w:pPr>
                    <w:pStyle w:val="TableBodyText"/>
                  </w:pPr>
                  <w:r>
                    <w:t xml:space="preserve">  9</w:t>
                  </w:r>
                </w:p>
              </w:tc>
              <w:tc>
                <w:tcPr>
                  <w:tcW w:w="686" w:type="dxa"/>
                  <w:vAlign w:val="center"/>
                </w:tcPr>
                <w:p w:rsidR="00BE59AB" w:rsidRDefault="00BE59AB" w:rsidP="00BE59AB">
                  <w:pPr>
                    <w:pStyle w:val="TableBodyText"/>
                  </w:pPr>
                  <w:r>
                    <w:t xml:space="preserve">  357</w:t>
                  </w:r>
                </w:p>
              </w:tc>
            </w:tr>
            <w:tr w:rsidR="00BE59AB" w:rsidRPr="00666ECE" w:rsidTr="00A868EF">
              <w:tc>
                <w:tcPr>
                  <w:tcW w:w="1821" w:type="dxa"/>
                </w:tcPr>
                <w:p w:rsidR="00BE59AB" w:rsidRPr="00666ECE" w:rsidRDefault="00BE59AB" w:rsidP="004C2933">
                  <w:pPr>
                    <w:pStyle w:val="TableUnitsRow"/>
                    <w:spacing w:before="0"/>
                    <w:jc w:val="left"/>
                  </w:pPr>
                  <w:r w:rsidRPr="00666ECE">
                    <w:t>Combined</w:t>
                  </w:r>
                </w:p>
              </w:tc>
              <w:tc>
                <w:tcPr>
                  <w:tcW w:w="425" w:type="dxa"/>
                  <w:vAlign w:val="center"/>
                </w:tcPr>
                <w:p w:rsidR="00BE59AB" w:rsidRDefault="00BE59AB" w:rsidP="004C2933">
                  <w:pPr>
                    <w:pStyle w:val="TableBodyText"/>
                    <w:ind w:left="0" w:right="28"/>
                  </w:pPr>
                  <w:r w:rsidRPr="00253A4F">
                    <w:t>no.</w:t>
                  </w:r>
                </w:p>
              </w:tc>
              <w:tc>
                <w:tcPr>
                  <w:tcW w:w="709" w:type="dxa"/>
                  <w:vAlign w:val="center"/>
                </w:tcPr>
                <w:p w:rsidR="00BE59AB" w:rsidRDefault="00BE59AB" w:rsidP="00BE59AB">
                  <w:pPr>
                    <w:pStyle w:val="TableBodyText"/>
                  </w:pPr>
                  <w:r>
                    <w:t xml:space="preserve">  237</w:t>
                  </w:r>
                </w:p>
              </w:tc>
              <w:tc>
                <w:tcPr>
                  <w:tcW w:w="709" w:type="dxa"/>
                  <w:vAlign w:val="center"/>
                </w:tcPr>
                <w:p w:rsidR="00BE59AB" w:rsidRDefault="00BE59AB" w:rsidP="00BE59AB">
                  <w:pPr>
                    <w:pStyle w:val="TableBodyText"/>
                  </w:pPr>
                  <w:r>
                    <w:t xml:space="preserve">  154</w:t>
                  </w:r>
                </w:p>
              </w:tc>
              <w:tc>
                <w:tcPr>
                  <w:tcW w:w="708" w:type="dxa"/>
                  <w:vAlign w:val="center"/>
                </w:tcPr>
                <w:p w:rsidR="00BE59AB" w:rsidRDefault="00BE59AB" w:rsidP="00BE59AB">
                  <w:pPr>
                    <w:pStyle w:val="TableBodyText"/>
                  </w:pPr>
                  <w:r>
                    <w:t xml:space="preserve">  164</w:t>
                  </w:r>
                </w:p>
              </w:tc>
              <w:tc>
                <w:tcPr>
                  <w:tcW w:w="709" w:type="dxa"/>
                  <w:vAlign w:val="center"/>
                </w:tcPr>
                <w:p w:rsidR="00BE59AB" w:rsidRDefault="00BE59AB" w:rsidP="00BE59AB">
                  <w:pPr>
                    <w:pStyle w:val="TableBodyText"/>
                  </w:pPr>
                  <w:r>
                    <w:t xml:space="preserve">  133</w:t>
                  </w:r>
                </w:p>
              </w:tc>
              <w:tc>
                <w:tcPr>
                  <w:tcW w:w="567" w:type="dxa"/>
                  <w:vAlign w:val="center"/>
                </w:tcPr>
                <w:p w:rsidR="00BE59AB" w:rsidRDefault="00BE59AB" w:rsidP="00BE59AB">
                  <w:pPr>
                    <w:pStyle w:val="TableBodyText"/>
                  </w:pPr>
                  <w:r>
                    <w:t xml:space="preserve">  76</w:t>
                  </w:r>
                </w:p>
              </w:tc>
              <w:tc>
                <w:tcPr>
                  <w:tcW w:w="709" w:type="dxa"/>
                  <w:vAlign w:val="center"/>
                </w:tcPr>
                <w:p w:rsidR="00BE59AB" w:rsidRDefault="00BE59AB" w:rsidP="00BE59AB">
                  <w:pPr>
                    <w:pStyle w:val="TableBodyText"/>
                  </w:pPr>
                  <w:r>
                    <w:t xml:space="preserve">  30</w:t>
                  </w:r>
                </w:p>
              </w:tc>
              <w:tc>
                <w:tcPr>
                  <w:tcW w:w="731" w:type="dxa"/>
                  <w:vAlign w:val="center"/>
                </w:tcPr>
                <w:p w:rsidR="00BE59AB" w:rsidRDefault="00BE59AB" w:rsidP="00BE59AB">
                  <w:pPr>
                    <w:pStyle w:val="TableBodyText"/>
                  </w:pPr>
                  <w:r>
                    <w:t xml:space="preserve">  14</w:t>
                  </w:r>
                </w:p>
              </w:tc>
              <w:tc>
                <w:tcPr>
                  <w:tcW w:w="709" w:type="dxa"/>
                  <w:vAlign w:val="center"/>
                </w:tcPr>
                <w:p w:rsidR="00BE59AB" w:rsidRDefault="00BE59AB" w:rsidP="00BE59AB">
                  <w:pPr>
                    <w:pStyle w:val="TableBodyText"/>
                  </w:pPr>
                  <w:r>
                    <w:t xml:space="preserve">  17</w:t>
                  </w:r>
                </w:p>
              </w:tc>
              <w:tc>
                <w:tcPr>
                  <w:tcW w:w="686" w:type="dxa"/>
                  <w:vAlign w:val="center"/>
                </w:tcPr>
                <w:p w:rsidR="00BE59AB" w:rsidRDefault="00BE59AB" w:rsidP="00BE59AB">
                  <w:pPr>
                    <w:pStyle w:val="TableBodyText"/>
                  </w:pPr>
                  <w:r>
                    <w:t xml:space="preserve">  825</w:t>
                  </w:r>
                </w:p>
              </w:tc>
            </w:tr>
            <w:tr w:rsidR="00BE59AB" w:rsidRPr="00666ECE" w:rsidTr="00A868EF">
              <w:tc>
                <w:tcPr>
                  <w:tcW w:w="1821" w:type="dxa"/>
                </w:tcPr>
                <w:p w:rsidR="00BE59AB" w:rsidRPr="00666ECE" w:rsidRDefault="00BE59AB" w:rsidP="004C2933">
                  <w:pPr>
                    <w:pStyle w:val="TableUnitsRow"/>
                    <w:spacing w:before="0"/>
                    <w:jc w:val="left"/>
                  </w:pPr>
                  <w:r w:rsidRPr="00666ECE">
                    <w:t>Special schools</w:t>
                  </w:r>
                </w:p>
              </w:tc>
              <w:tc>
                <w:tcPr>
                  <w:tcW w:w="425" w:type="dxa"/>
                  <w:vAlign w:val="center"/>
                </w:tcPr>
                <w:p w:rsidR="00BE59AB" w:rsidRDefault="00BE59AB" w:rsidP="004C2933">
                  <w:pPr>
                    <w:pStyle w:val="TableBodyText"/>
                    <w:ind w:left="0" w:right="28"/>
                  </w:pPr>
                  <w:r w:rsidRPr="00253A4F">
                    <w:t>no.</w:t>
                  </w:r>
                </w:p>
              </w:tc>
              <w:tc>
                <w:tcPr>
                  <w:tcW w:w="709" w:type="dxa"/>
                  <w:vAlign w:val="center"/>
                </w:tcPr>
                <w:p w:rsidR="00BE59AB" w:rsidRDefault="00BE59AB" w:rsidP="00BE59AB">
                  <w:pPr>
                    <w:pStyle w:val="TableBodyText"/>
                  </w:pPr>
                  <w:r>
                    <w:t xml:space="preserve">  46</w:t>
                  </w:r>
                </w:p>
              </w:tc>
              <w:tc>
                <w:tcPr>
                  <w:tcW w:w="709" w:type="dxa"/>
                  <w:vAlign w:val="center"/>
                </w:tcPr>
                <w:p w:rsidR="00BE59AB" w:rsidRDefault="00BE59AB" w:rsidP="00BE59AB">
                  <w:pPr>
                    <w:pStyle w:val="TableBodyText"/>
                  </w:pPr>
                  <w:r>
                    <w:t xml:space="preserve">  20</w:t>
                  </w:r>
                </w:p>
              </w:tc>
              <w:tc>
                <w:tcPr>
                  <w:tcW w:w="708" w:type="dxa"/>
                  <w:vAlign w:val="center"/>
                </w:tcPr>
                <w:p w:rsidR="00BE59AB" w:rsidRDefault="00BE59AB" w:rsidP="00BE59AB">
                  <w:pPr>
                    <w:pStyle w:val="TableBodyText"/>
                  </w:pPr>
                  <w:r>
                    <w:t xml:space="preserve">  22</w:t>
                  </w:r>
                </w:p>
              </w:tc>
              <w:tc>
                <w:tcPr>
                  <w:tcW w:w="709" w:type="dxa"/>
                  <w:vAlign w:val="center"/>
                </w:tcPr>
                <w:p w:rsidR="00BE59AB" w:rsidRDefault="00BE59AB" w:rsidP="00BE59AB">
                  <w:pPr>
                    <w:pStyle w:val="TableBodyText"/>
                  </w:pPr>
                  <w:r>
                    <w:t xml:space="preserve">  11</w:t>
                  </w:r>
                </w:p>
              </w:tc>
              <w:tc>
                <w:tcPr>
                  <w:tcW w:w="567" w:type="dxa"/>
                  <w:vAlign w:val="center"/>
                </w:tcPr>
                <w:p w:rsidR="00BE59AB" w:rsidRDefault="00BE59AB" w:rsidP="00BE59AB">
                  <w:pPr>
                    <w:pStyle w:val="TableBodyText"/>
                  </w:pPr>
                  <w:r>
                    <w:t xml:space="preserve">  3</w:t>
                  </w:r>
                </w:p>
              </w:tc>
              <w:tc>
                <w:tcPr>
                  <w:tcW w:w="709" w:type="dxa"/>
                  <w:vAlign w:val="center"/>
                </w:tcPr>
                <w:p w:rsidR="00BE59AB" w:rsidRDefault="00BE59AB" w:rsidP="00BE59AB">
                  <w:pPr>
                    <w:pStyle w:val="TableBodyText"/>
                  </w:pPr>
                  <w:r>
                    <w:t xml:space="preserve">  1</w:t>
                  </w:r>
                </w:p>
              </w:tc>
              <w:tc>
                <w:tcPr>
                  <w:tcW w:w="731" w:type="dxa"/>
                  <w:vAlign w:val="center"/>
                </w:tcPr>
                <w:p w:rsidR="00BE59AB" w:rsidRDefault="00BE59AB" w:rsidP="00BE59AB">
                  <w:pPr>
                    <w:pStyle w:val="TableBodyText"/>
                  </w:pPr>
                  <w:r>
                    <w:t xml:space="preserve">  1</w:t>
                  </w:r>
                </w:p>
              </w:tc>
              <w:tc>
                <w:tcPr>
                  <w:tcW w:w="709" w:type="dxa"/>
                  <w:vAlign w:val="center"/>
                </w:tcPr>
                <w:p w:rsidR="00BE59AB" w:rsidRDefault="00BE59AB" w:rsidP="00BE59AB">
                  <w:pPr>
                    <w:pStyle w:val="TableBodyText"/>
                  </w:pPr>
                  <w:r>
                    <w:t xml:space="preserve">  1</w:t>
                  </w:r>
                </w:p>
              </w:tc>
              <w:tc>
                <w:tcPr>
                  <w:tcW w:w="686" w:type="dxa"/>
                  <w:vAlign w:val="center"/>
                </w:tcPr>
                <w:p w:rsidR="00BE59AB" w:rsidRDefault="00BE59AB" w:rsidP="00BE59AB">
                  <w:pPr>
                    <w:pStyle w:val="TableBodyText"/>
                  </w:pPr>
                  <w:r>
                    <w:t xml:space="preserve">  105</w:t>
                  </w:r>
                </w:p>
              </w:tc>
            </w:tr>
            <w:tr w:rsidR="00BE59AB" w:rsidRPr="00666ECE" w:rsidTr="00A868EF">
              <w:tc>
                <w:tcPr>
                  <w:tcW w:w="1821" w:type="dxa"/>
                </w:tcPr>
                <w:p w:rsidR="00BE59AB" w:rsidRPr="00666ECE" w:rsidRDefault="00BE59AB" w:rsidP="003611D5">
                  <w:pPr>
                    <w:pStyle w:val="TableUnitsRow"/>
                    <w:jc w:val="left"/>
                    <w:rPr>
                      <w:b/>
                    </w:rPr>
                  </w:pPr>
                  <w:r w:rsidRPr="00666ECE">
                    <w:rPr>
                      <w:b/>
                    </w:rPr>
                    <w:t>Total</w:t>
                  </w:r>
                </w:p>
              </w:tc>
              <w:tc>
                <w:tcPr>
                  <w:tcW w:w="425" w:type="dxa"/>
                  <w:vAlign w:val="center"/>
                </w:tcPr>
                <w:p w:rsidR="00BE59AB" w:rsidRPr="00EA54E6" w:rsidRDefault="00BE59AB" w:rsidP="004C2933">
                  <w:pPr>
                    <w:pStyle w:val="TableBodyText"/>
                    <w:ind w:left="0" w:right="28"/>
                    <w:rPr>
                      <w:b/>
                    </w:rPr>
                  </w:pPr>
                  <w:r w:rsidRPr="00EA54E6">
                    <w:rPr>
                      <w:b/>
                    </w:rPr>
                    <w:t>no.</w:t>
                  </w:r>
                </w:p>
              </w:tc>
              <w:tc>
                <w:tcPr>
                  <w:tcW w:w="709" w:type="dxa"/>
                  <w:vAlign w:val="center"/>
                </w:tcPr>
                <w:p w:rsidR="00BE59AB" w:rsidRDefault="00BE59AB" w:rsidP="00BE59AB">
                  <w:pPr>
                    <w:pStyle w:val="TableBodyText"/>
                    <w:rPr>
                      <w:b/>
                      <w:bCs/>
                    </w:rPr>
                  </w:pPr>
                  <w:r>
                    <w:rPr>
                      <w:b/>
                      <w:bCs/>
                    </w:rPr>
                    <w:t xml:space="preserve">  918</w:t>
                  </w:r>
                </w:p>
              </w:tc>
              <w:tc>
                <w:tcPr>
                  <w:tcW w:w="709" w:type="dxa"/>
                  <w:vAlign w:val="center"/>
                </w:tcPr>
                <w:p w:rsidR="00BE59AB" w:rsidRDefault="00BE59AB" w:rsidP="00BE59AB">
                  <w:pPr>
                    <w:pStyle w:val="TableBodyText"/>
                    <w:rPr>
                      <w:b/>
                      <w:bCs/>
                    </w:rPr>
                  </w:pPr>
                  <w:r>
                    <w:rPr>
                      <w:b/>
                      <w:bCs/>
                    </w:rPr>
                    <w:t xml:space="preserve">  693</w:t>
                  </w:r>
                </w:p>
              </w:tc>
              <w:tc>
                <w:tcPr>
                  <w:tcW w:w="708" w:type="dxa"/>
                  <w:vAlign w:val="center"/>
                </w:tcPr>
                <w:p w:rsidR="00BE59AB" w:rsidRDefault="00BE59AB" w:rsidP="00BE59AB">
                  <w:pPr>
                    <w:pStyle w:val="TableBodyText"/>
                    <w:rPr>
                      <w:b/>
                      <w:bCs/>
                    </w:rPr>
                  </w:pPr>
                  <w:r>
                    <w:rPr>
                      <w:b/>
                      <w:bCs/>
                    </w:rPr>
                    <w:t xml:space="preserve">  483</w:t>
                  </w:r>
                </w:p>
              </w:tc>
              <w:tc>
                <w:tcPr>
                  <w:tcW w:w="709" w:type="dxa"/>
                  <w:vAlign w:val="center"/>
                </w:tcPr>
                <w:p w:rsidR="00BE59AB" w:rsidRDefault="00BE59AB" w:rsidP="00BE59AB">
                  <w:pPr>
                    <w:pStyle w:val="TableBodyText"/>
                    <w:rPr>
                      <w:b/>
                      <w:bCs/>
                    </w:rPr>
                  </w:pPr>
                  <w:r>
                    <w:rPr>
                      <w:b/>
                      <w:bCs/>
                    </w:rPr>
                    <w:t xml:space="preserve">  301</w:t>
                  </w:r>
                </w:p>
              </w:tc>
              <w:tc>
                <w:tcPr>
                  <w:tcW w:w="567" w:type="dxa"/>
                  <w:vAlign w:val="center"/>
                </w:tcPr>
                <w:p w:rsidR="00BE59AB" w:rsidRDefault="00BE59AB" w:rsidP="00BE59AB">
                  <w:pPr>
                    <w:pStyle w:val="TableBodyText"/>
                    <w:rPr>
                      <w:b/>
                      <w:bCs/>
                    </w:rPr>
                  </w:pPr>
                  <w:r>
                    <w:rPr>
                      <w:b/>
                      <w:bCs/>
                    </w:rPr>
                    <w:t xml:space="preserve">  196</w:t>
                  </w:r>
                </w:p>
              </w:tc>
              <w:tc>
                <w:tcPr>
                  <w:tcW w:w="709" w:type="dxa"/>
                  <w:vAlign w:val="center"/>
                </w:tcPr>
                <w:p w:rsidR="00BE59AB" w:rsidRDefault="00BE59AB" w:rsidP="00BE59AB">
                  <w:pPr>
                    <w:pStyle w:val="TableBodyText"/>
                    <w:rPr>
                      <w:b/>
                      <w:bCs/>
                    </w:rPr>
                  </w:pPr>
                  <w:r>
                    <w:rPr>
                      <w:b/>
                      <w:bCs/>
                    </w:rPr>
                    <w:t xml:space="preserve">  65</w:t>
                  </w:r>
                </w:p>
              </w:tc>
              <w:tc>
                <w:tcPr>
                  <w:tcW w:w="731" w:type="dxa"/>
                  <w:vAlign w:val="center"/>
                </w:tcPr>
                <w:p w:rsidR="00BE59AB" w:rsidRDefault="00BE59AB" w:rsidP="00BE59AB">
                  <w:pPr>
                    <w:pStyle w:val="TableBodyText"/>
                    <w:rPr>
                      <w:b/>
                      <w:bCs/>
                    </w:rPr>
                  </w:pPr>
                  <w:r>
                    <w:rPr>
                      <w:b/>
                      <w:bCs/>
                    </w:rPr>
                    <w:t xml:space="preserve">  44</w:t>
                  </w:r>
                </w:p>
              </w:tc>
              <w:tc>
                <w:tcPr>
                  <w:tcW w:w="709" w:type="dxa"/>
                  <w:vAlign w:val="center"/>
                </w:tcPr>
                <w:p w:rsidR="00BE59AB" w:rsidRDefault="00BE59AB" w:rsidP="00BE59AB">
                  <w:pPr>
                    <w:pStyle w:val="TableBodyText"/>
                    <w:rPr>
                      <w:b/>
                      <w:bCs/>
                    </w:rPr>
                  </w:pPr>
                  <w:r>
                    <w:rPr>
                      <w:b/>
                      <w:bCs/>
                    </w:rPr>
                    <w:t xml:space="preserve">  38</w:t>
                  </w:r>
                </w:p>
              </w:tc>
              <w:tc>
                <w:tcPr>
                  <w:tcW w:w="686" w:type="dxa"/>
                  <w:vAlign w:val="center"/>
                </w:tcPr>
                <w:p w:rsidR="00BE59AB" w:rsidRDefault="00BE59AB" w:rsidP="00BE59AB">
                  <w:pPr>
                    <w:pStyle w:val="TableBodyText"/>
                    <w:rPr>
                      <w:b/>
                      <w:bCs/>
                    </w:rPr>
                  </w:pPr>
                  <w:r>
                    <w:rPr>
                      <w:b/>
                      <w:bCs/>
                    </w:rPr>
                    <w:t xml:space="preserve"> 2 738</w:t>
                  </w:r>
                </w:p>
              </w:tc>
            </w:tr>
            <w:tr w:rsidR="004C2933" w:rsidRPr="00666ECE" w:rsidTr="00D37CF1">
              <w:tc>
                <w:tcPr>
                  <w:tcW w:w="8483" w:type="dxa"/>
                  <w:gridSpan w:val="11"/>
                </w:tcPr>
                <w:p w:rsidR="004C2933" w:rsidRPr="00D31D27" w:rsidRDefault="004C2933" w:rsidP="00D90D4B">
                  <w:pPr>
                    <w:pStyle w:val="TableBodyText"/>
                    <w:spacing w:before="120" w:line="220" w:lineRule="atLeast"/>
                    <w:jc w:val="left"/>
                  </w:pPr>
                  <w:r w:rsidRPr="008F5666">
                    <w:rPr>
                      <w:b/>
                    </w:rPr>
                    <w:t>All schools</w:t>
                  </w:r>
                </w:p>
              </w:tc>
            </w:tr>
            <w:tr w:rsidR="00BE59AB" w:rsidRPr="00666ECE" w:rsidTr="00A868EF">
              <w:tc>
                <w:tcPr>
                  <w:tcW w:w="1821" w:type="dxa"/>
                </w:tcPr>
                <w:p w:rsidR="00BE59AB" w:rsidRPr="00666ECE" w:rsidRDefault="00BE59AB" w:rsidP="004C2933">
                  <w:pPr>
                    <w:pStyle w:val="TableUnitsRow"/>
                    <w:spacing w:before="0"/>
                    <w:jc w:val="left"/>
                  </w:pPr>
                  <w:r w:rsidRPr="00666ECE">
                    <w:t>Primary</w:t>
                  </w:r>
                </w:p>
              </w:tc>
              <w:tc>
                <w:tcPr>
                  <w:tcW w:w="425" w:type="dxa"/>
                  <w:vAlign w:val="center"/>
                </w:tcPr>
                <w:p w:rsidR="00BE59AB" w:rsidRDefault="00BE59AB" w:rsidP="004C2933">
                  <w:pPr>
                    <w:pStyle w:val="TableBodyText"/>
                    <w:ind w:left="0" w:right="28"/>
                  </w:pPr>
                  <w:r w:rsidRPr="00085423">
                    <w:t>no.</w:t>
                  </w:r>
                </w:p>
              </w:tc>
              <w:tc>
                <w:tcPr>
                  <w:tcW w:w="709" w:type="dxa"/>
                  <w:vAlign w:val="center"/>
                </w:tcPr>
                <w:p w:rsidR="00BE59AB" w:rsidRDefault="00BE59AB" w:rsidP="00BE59AB">
                  <w:pPr>
                    <w:pStyle w:val="TableBodyText"/>
                  </w:pPr>
                  <w:r>
                    <w:t xml:space="preserve"> 2 110</w:t>
                  </w:r>
                </w:p>
              </w:tc>
              <w:tc>
                <w:tcPr>
                  <w:tcW w:w="709" w:type="dxa"/>
                  <w:vAlign w:val="center"/>
                </w:tcPr>
                <w:p w:rsidR="00BE59AB" w:rsidRDefault="00BE59AB" w:rsidP="00BE59AB">
                  <w:pPr>
                    <w:pStyle w:val="TableBodyText"/>
                  </w:pPr>
                  <w:r>
                    <w:t xml:space="preserve"> 1 549</w:t>
                  </w:r>
                </w:p>
              </w:tc>
              <w:tc>
                <w:tcPr>
                  <w:tcW w:w="708" w:type="dxa"/>
                  <w:vAlign w:val="center"/>
                </w:tcPr>
                <w:p w:rsidR="00BE59AB" w:rsidRDefault="00BE59AB" w:rsidP="00BE59AB">
                  <w:pPr>
                    <w:pStyle w:val="TableBodyText"/>
                  </w:pPr>
                  <w:r>
                    <w:t xml:space="preserve"> 1 140</w:t>
                  </w:r>
                </w:p>
              </w:tc>
              <w:tc>
                <w:tcPr>
                  <w:tcW w:w="709" w:type="dxa"/>
                  <w:vAlign w:val="center"/>
                </w:tcPr>
                <w:p w:rsidR="00BE59AB" w:rsidRDefault="00BE59AB" w:rsidP="00BE59AB">
                  <w:pPr>
                    <w:pStyle w:val="TableBodyText"/>
                  </w:pPr>
                  <w:r>
                    <w:t xml:space="preserve">  673</w:t>
                  </w:r>
                </w:p>
              </w:tc>
              <w:tc>
                <w:tcPr>
                  <w:tcW w:w="567" w:type="dxa"/>
                  <w:vAlign w:val="center"/>
                </w:tcPr>
                <w:p w:rsidR="00BE59AB" w:rsidRDefault="00BE59AB" w:rsidP="00BE59AB">
                  <w:pPr>
                    <w:pStyle w:val="TableBodyText"/>
                  </w:pPr>
                  <w:r>
                    <w:t xml:space="preserve">  464</w:t>
                  </w:r>
                </w:p>
              </w:tc>
              <w:tc>
                <w:tcPr>
                  <w:tcW w:w="709" w:type="dxa"/>
                  <w:vAlign w:val="center"/>
                </w:tcPr>
                <w:p w:rsidR="00BE59AB" w:rsidRDefault="00BE59AB" w:rsidP="00BE59AB">
                  <w:pPr>
                    <w:pStyle w:val="TableBodyText"/>
                  </w:pPr>
                  <w:r>
                    <w:t xml:space="preserve">  156</w:t>
                  </w:r>
                </w:p>
              </w:tc>
              <w:tc>
                <w:tcPr>
                  <w:tcW w:w="731" w:type="dxa"/>
                  <w:vAlign w:val="center"/>
                </w:tcPr>
                <w:p w:rsidR="00BE59AB" w:rsidRDefault="00BE59AB" w:rsidP="00BE59AB">
                  <w:pPr>
                    <w:pStyle w:val="TableBodyText"/>
                  </w:pPr>
                  <w:r>
                    <w:t xml:space="preserve">  79</w:t>
                  </w:r>
                </w:p>
              </w:tc>
              <w:tc>
                <w:tcPr>
                  <w:tcW w:w="709" w:type="dxa"/>
                  <w:vAlign w:val="center"/>
                </w:tcPr>
                <w:p w:rsidR="00BE59AB" w:rsidRDefault="00BE59AB" w:rsidP="00BE59AB">
                  <w:pPr>
                    <w:pStyle w:val="TableBodyText"/>
                  </w:pPr>
                  <w:r>
                    <w:t xml:space="preserve">  79</w:t>
                  </w:r>
                </w:p>
              </w:tc>
              <w:tc>
                <w:tcPr>
                  <w:tcW w:w="686" w:type="dxa"/>
                  <w:vAlign w:val="center"/>
                </w:tcPr>
                <w:p w:rsidR="00BE59AB" w:rsidRDefault="00BE59AB" w:rsidP="00BE59AB">
                  <w:pPr>
                    <w:pStyle w:val="TableBodyText"/>
                  </w:pPr>
                  <w:r>
                    <w:t xml:space="preserve"> 6 250</w:t>
                  </w:r>
                </w:p>
              </w:tc>
            </w:tr>
            <w:tr w:rsidR="00BE59AB" w:rsidRPr="00666ECE" w:rsidTr="00A868EF">
              <w:tc>
                <w:tcPr>
                  <w:tcW w:w="1821" w:type="dxa"/>
                </w:tcPr>
                <w:p w:rsidR="00BE59AB" w:rsidRPr="00666ECE" w:rsidRDefault="00BE59AB" w:rsidP="004C2933">
                  <w:pPr>
                    <w:pStyle w:val="TableUnitsRow"/>
                    <w:spacing w:before="0"/>
                    <w:jc w:val="left"/>
                  </w:pPr>
                  <w:r w:rsidRPr="00666ECE">
                    <w:t>Secondary</w:t>
                  </w:r>
                </w:p>
              </w:tc>
              <w:tc>
                <w:tcPr>
                  <w:tcW w:w="425" w:type="dxa"/>
                  <w:vAlign w:val="center"/>
                </w:tcPr>
                <w:p w:rsidR="00BE59AB" w:rsidRDefault="00BE59AB" w:rsidP="004C2933">
                  <w:pPr>
                    <w:pStyle w:val="TableBodyText"/>
                    <w:ind w:left="0" w:right="28"/>
                  </w:pPr>
                  <w:r w:rsidRPr="00085423">
                    <w:t>no.</w:t>
                  </w:r>
                </w:p>
              </w:tc>
              <w:tc>
                <w:tcPr>
                  <w:tcW w:w="709" w:type="dxa"/>
                  <w:vAlign w:val="center"/>
                </w:tcPr>
                <w:p w:rsidR="00BE59AB" w:rsidRDefault="00BE59AB" w:rsidP="00BE59AB">
                  <w:pPr>
                    <w:pStyle w:val="TableBodyText"/>
                  </w:pPr>
                  <w:r>
                    <w:t xml:space="preserve">  514</w:t>
                  </w:r>
                </w:p>
              </w:tc>
              <w:tc>
                <w:tcPr>
                  <w:tcW w:w="709" w:type="dxa"/>
                  <w:vAlign w:val="center"/>
                </w:tcPr>
                <w:p w:rsidR="00BE59AB" w:rsidRDefault="00BE59AB" w:rsidP="00BE59AB">
                  <w:pPr>
                    <w:pStyle w:val="TableBodyText"/>
                  </w:pPr>
                  <w:r>
                    <w:t xml:space="preserve">  335</w:t>
                  </w:r>
                </w:p>
              </w:tc>
              <w:tc>
                <w:tcPr>
                  <w:tcW w:w="708" w:type="dxa"/>
                  <w:vAlign w:val="center"/>
                </w:tcPr>
                <w:p w:rsidR="00BE59AB" w:rsidRDefault="00BE59AB" w:rsidP="00BE59AB">
                  <w:pPr>
                    <w:pStyle w:val="TableBodyText"/>
                  </w:pPr>
                  <w:r>
                    <w:t xml:space="preserve">  254</w:t>
                  </w:r>
                </w:p>
              </w:tc>
              <w:tc>
                <w:tcPr>
                  <w:tcW w:w="709" w:type="dxa"/>
                  <w:vAlign w:val="center"/>
                </w:tcPr>
                <w:p w:rsidR="00BE59AB" w:rsidRDefault="00BE59AB" w:rsidP="00BE59AB">
                  <w:pPr>
                    <w:pStyle w:val="TableBodyText"/>
                  </w:pPr>
                  <w:r>
                    <w:t xml:space="preserve">  105</w:t>
                  </w:r>
                </w:p>
              </w:tc>
              <w:tc>
                <w:tcPr>
                  <w:tcW w:w="567" w:type="dxa"/>
                  <w:vAlign w:val="center"/>
                </w:tcPr>
                <w:p w:rsidR="00BE59AB" w:rsidRDefault="00BE59AB" w:rsidP="00BE59AB">
                  <w:pPr>
                    <w:pStyle w:val="TableBodyText"/>
                  </w:pPr>
                  <w:r>
                    <w:t xml:space="preserve">  83</w:t>
                  </w:r>
                </w:p>
              </w:tc>
              <w:tc>
                <w:tcPr>
                  <w:tcW w:w="709" w:type="dxa"/>
                  <w:vAlign w:val="center"/>
                </w:tcPr>
                <w:p w:rsidR="00BE59AB" w:rsidRDefault="00BE59AB" w:rsidP="00BE59AB">
                  <w:pPr>
                    <w:pStyle w:val="TableBodyText"/>
                  </w:pPr>
                  <w:r>
                    <w:t xml:space="preserve">  41</w:t>
                  </w:r>
                </w:p>
              </w:tc>
              <w:tc>
                <w:tcPr>
                  <w:tcW w:w="731" w:type="dxa"/>
                  <w:vAlign w:val="center"/>
                </w:tcPr>
                <w:p w:rsidR="00BE59AB" w:rsidRDefault="00BE59AB" w:rsidP="00BE59AB">
                  <w:pPr>
                    <w:pStyle w:val="TableBodyText"/>
                  </w:pPr>
                  <w:r>
                    <w:t xml:space="preserve">  24</w:t>
                  </w:r>
                </w:p>
              </w:tc>
              <w:tc>
                <w:tcPr>
                  <w:tcW w:w="709" w:type="dxa"/>
                  <w:vAlign w:val="center"/>
                </w:tcPr>
                <w:p w:rsidR="00BE59AB" w:rsidRDefault="00BE59AB" w:rsidP="00BE59AB">
                  <w:pPr>
                    <w:pStyle w:val="TableBodyText"/>
                  </w:pPr>
                  <w:r>
                    <w:t xml:space="preserve">  23</w:t>
                  </w:r>
                </w:p>
              </w:tc>
              <w:tc>
                <w:tcPr>
                  <w:tcW w:w="686" w:type="dxa"/>
                  <w:vAlign w:val="center"/>
                </w:tcPr>
                <w:p w:rsidR="00BE59AB" w:rsidRDefault="00BE59AB" w:rsidP="00BE59AB">
                  <w:pPr>
                    <w:pStyle w:val="TableBodyText"/>
                  </w:pPr>
                  <w:r>
                    <w:t xml:space="preserve"> 1 379</w:t>
                  </w:r>
                </w:p>
              </w:tc>
            </w:tr>
            <w:tr w:rsidR="00BE59AB" w:rsidRPr="00666ECE" w:rsidTr="00A868EF">
              <w:tc>
                <w:tcPr>
                  <w:tcW w:w="1821" w:type="dxa"/>
                </w:tcPr>
                <w:p w:rsidR="00BE59AB" w:rsidRPr="00666ECE" w:rsidRDefault="00BE59AB" w:rsidP="004C2933">
                  <w:pPr>
                    <w:pStyle w:val="TableUnitsRow"/>
                    <w:spacing w:before="0"/>
                    <w:jc w:val="left"/>
                  </w:pPr>
                  <w:r w:rsidRPr="00666ECE">
                    <w:t>Combined</w:t>
                  </w:r>
                </w:p>
              </w:tc>
              <w:tc>
                <w:tcPr>
                  <w:tcW w:w="425" w:type="dxa"/>
                  <w:vAlign w:val="center"/>
                </w:tcPr>
                <w:p w:rsidR="00BE59AB" w:rsidRDefault="00BE59AB" w:rsidP="004C2933">
                  <w:pPr>
                    <w:pStyle w:val="TableBodyText"/>
                    <w:ind w:left="0" w:right="28"/>
                  </w:pPr>
                  <w:r w:rsidRPr="00085423">
                    <w:t>no.</w:t>
                  </w:r>
                </w:p>
              </w:tc>
              <w:tc>
                <w:tcPr>
                  <w:tcW w:w="709" w:type="dxa"/>
                  <w:vAlign w:val="center"/>
                </w:tcPr>
                <w:p w:rsidR="00BE59AB" w:rsidRDefault="00BE59AB" w:rsidP="00BE59AB">
                  <w:pPr>
                    <w:pStyle w:val="TableBodyText"/>
                  </w:pPr>
                  <w:r>
                    <w:t xml:space="preserve">  302</w:t>
                  </w:r>
                </w:p>
              </w:tc>
              <w:tc>
                <w:tcPr>
                  <w:tcW w:w="709" w:type="dxa"/>
                  <w:vAlign w:val="center"/>
                </w:tcPr>
                <w:p w:rsidR="00BE59AB" w:rsidRDefault="00BE59AB" w:rsidP="00BE59AB">
                  <w:pPr>
                    <w:pStyle w:val="TableBodyText"/>
                  </w:pPr>
                  <w:r>
                    <w:t xml:space="preserve">  234</w:t>
                  </w:r>
                </w:p>
              </w:tc>
              <w:tc>
                <w:tcPr>
                  <w:tcW w:w="708" w:type="dxa"/>
                  <w:vAlign w:val="center"/>
                </w:tcPr>
                <w:p w:rsidR="00BE59AB" w:rsidRDefault="00BE59AB" w:rsidP="00BE59AB">
                  <w:pPr>
                    <w:pStyle w:val="TableBodyText"/>
                  </w:pPr>
                  <w:r>
                    <w:t xml:space="preserve">  253</w:t>
                  </w:r>
                </w:p>
              </w:tc>
              <w:tc>
                <w:tcPr>
                  <w:tcW w:w="709" w:type="dxa"/>
                  <w:vAlign w:val="center"/>
                </w:tcPr>
                <w:p w:rsidR="00BE59AB" w:rsidRDefault="00BE59AB" w:rsidP="00BE59AB">
                  <w:pPr>
                    <w:pStyle w:val="TableBodyText"/>
                  </w:pPr>
                  <w:r>
                    <w:t xml:space="preserve">  223</w:t>
                  </w:r>
                </w:p>
              </w:tc>
              <w:tc>
                <w:tcPr>
                  <w:tcW w:w="567" w:type="dxa"/>
                  <w:vAlign w:val="center"/>
                </w:tcPr>
                <w:p w:rsidR="00BE59AB" w:rsidRDefault="00BE59AB" w:rsidP="00BE59AB">
                  <w:pPr>
                    <w:pStyle w:val="TableBodyText"/>
                  </w:pPr>
                  <w:r>
                    <w:t xml:space="preserve">  153</w:t>
                  </w:r>
                </w:p>
              </w:tc>
              <w:tc>
                <w:tcPr>
                  <w:tcW w:w="709" w:type="dxa"/>
                  <w:vAlign w:val="center"/>
                </w:tcPr>
                <w:p w:rsidR="00BE59AB" w:rsidRDefault="00BE59AB" w:rsidP="00BE59AB">
                  <w:pPr>
                    <w:pStyle w:val="TableBodyText"/>
                  </w:pPr>
                  <w:r>
                    <w:t xml:space="preserve">  55</w:t>
                  </w:r>
                </w:p>
              </w:tc>
              <w:tc>
                <w:tcPr>
                  <w:tcW w:w="731" w:type="dxa"/>
                  <w:vAlign w:val="center"/>
                </w:tcPr>
                <w:p w:rsidR="00BE59AB" w:rsidRDefault="00BE59AB" w:rsidP="00BE59AB">
                  <w:pPr>
                    <w:pStyle w:val="TableBodyText"/>
                  </w:pPr>
                  <w:r>
                    <w:t xml:space="preserve">  22</w:t>
                  </w:r>
                </w:p>
              </w:tc>
              <w:tc>
                <w:tcPr>
                  <w:tcW w:w="709" w:type="dxa"/>
                  <w:vAlign w:val="center"/>
                </w:tcPr>
                <w:p w:rsidR="00BE59AB" w:rsidRDefault="00BE59AB" w:rsidP="00BE59AB">
                  <w:pPr>
                    <w:pStyle w:val="TableBodyText"/>
                  </w:pPr>
                  <w:r>
                    <w:t xml:space="preserve">  83</w:t>
                  </w:r>
                </w:p>
              </w:tc>
              <w:tc>
                <w:tcPr>
                  <w:tcW w:w="686" w:type="dxa"/>
                  <w:vAlign w:val="center"/>
                </w:tcPr>
                <w:p w:rsidR="00BE59AB" w:rsidRDefault="00BE59AB" w:rsidP="00BE59AB">
                  <w:pPr>
                    <w:pStyle w:val="TableBodyText"/>
                  </w:pPr>
                  <w:r>
                    <w:t xml:space="preserve"> 1 325</w:t>
                  </w:r>
                </w:p>
              </w:tc>
            </w:tr>
            <w:tr w:rsidR="00BE59AB" w:rsidRPr="00666ECE" w:rsidTr="00A868EF">
              <w:tc>
                <w:tcPr>
                  <w:tcW w:w="1821" w:type="dxa"/>
                </w:tcPr>
                <w:p w:rsidR="00BE59AB" w:rsidRPr="00666ECE" w:rsidRDefault="00BE59AB" w:rsidP="004C2933">
                  <w:pPr>
                    <w:pStyle w:val="TableUnitsRow"/>
                    <w:spacing w:before="0"/>
                    <w:jc w:val="left"/>
                  </w:pPr>
                  <w:r w:rsidRPr="00666ECE">
                    <w:t>Special schools</w:t>
                  </w:r>
                </w:p>
              </w:tc>
              <w:tc>
                <w:tcPr>
                  <w:tcW w:w="425" w:type="dxa"/>
                  <w:vAlign w:val="center"/>
                </w:tcPr>
                <w:p w:rsidR="00BE59AB" w:rsidRDefault="00BE59AB" w:rsidP="004C2933">
                  <w:pPr>
                    <w:pStyle w:val="TableBodyText"/>
                    <w:ind w:left="0" w:right="28"/>
                  </w:pPr>
                  <w:r w:rsidRPr="00085423">
                    <w:t>no.</w:t>
                  </w:r>
                </w:p>
              </w:tc>
              <w:tc>
                <w:tcPr>
                  <w:tcW w:w="709" w:type="dxa"/>
                  <w:vAlign w:val="center"/>
                </w:tcPr>
                <w:p w:rsidR="00BE59AB" w:rsidRDefault="00BE59AB" w:rsidP="00BE59AB">
                  <w:pPr>
                    <w:pStyle w:val="TableBodyText"/>
                  </w:pPr>
                  <w:r>
                    <w:t xml:space="preserve">  157</w:t>
                  </w:r>
                </w:p>
              </w:tc>
              <w:tc>
                <w:tcPr>
                  <w:tcW w:w="709" w:type="dxa"/>
                  <w:vAlign w:val="center"/>
                </w:tcPr>
                <w:p w:rsidR="00BE59AB" w:rsidRDefault="00BE59AB" w:rsidP="00BE59AB">
                  <w:pPr>
                    <w:pStyle w:val="TableBodyText"/>
                  </w:pPr>
                  <w:r>
                    <w:t xml:space="preserve">  99</w:t>
                  </w:r>
                </w:p>
              </w:tc>
              <w:tc>
                <w:tcPr>
                  <w:tcW w:w="708" w:type="dxa"/>
                  <w:vAlign w:val="center"/>
                </w:tcPr>
                <w:p w:rsidR="00BE59AB" w:rsidRDefault="00BE59AB" w:rsidP="00BE59AB">
                  <w:pPr>
                    <w:pStyle w:val="TableBodyText"/>
                  </w:pPr>
                  <w:r>
                    <w:t xml:space="preserve">  68</w:t>
                  </w:r>
                </w:p>
              </w:tc>
              <w:tc>
                <w:tcPr>
                  <w:tcW w:w="709" w:type="dxa"/>
                  <w:vAlign w:val="center"/>
                </w:tcPr>
                <w:p w:rsidR="00BE59AB" w:rsidRDefault="00BE59AB" w:rsidP="00BE59AB">
                  <w:pPr>
                    <w:pStyle w:val="TableBodyText"/>
                  </w:pPr>
                  <w:r>
                    <w:t xml:space="preserve">  75</w:t>
                  </w:r>
                </w:p>
              </w:tc>
              <w:tc>
                <w:tcPr>
                  <w:tcW w:w="567" w:type="dxa"/>
                  <w:vAlign w:val="center"/>
                </w:tcPr>
                <w:p w:rsidR="00BE59AB" w:rsidRDefault="00BE59AB" w:rsidP="00BE59AB">
                  <w:pPr>
                    <w:pStyle w:val="TableBodyText"/>
                  </w:pPr>
                  <w:r>
                    <w:t xml:space="preserve">  21</w:t>
                  </w:r>
                </w:p>
              </w:tc>
              <w:tc>
                <w:tcPr>
                  <w:tcW w:w="709" w:type="dxa"/>
                  <w:vAlign w:val="center"/>
                </w:tcPr>
                <w:p w:rsidR="00BE59AB" w:rsidRDefault="00BE59AB" w:rsidP="00BE59AB">
                  <w:pPr>
                    <w:pStyle w:val="TableBodyText"/>
                  </w:pPr>
                  <w:r>
                    <w:t xml:space="preserve">  5</w:t>
                  </w:r>
                </w:p>
              </w:tc>
              <w:tc>
                <w:tcPr>
                  <w:tcW w:w="731" w:type="dxa"/>
                  <w:vAlign w:val="center"/>
                </w:tcPr>
                <w:p w:rsidR="00BE59AB" w:rsidRDefault="00BE59AB" w:rsidP="00BE59AB">
                  <w:pPr>
                    <w:pStyle w:val="TableBodyText"/>
                  </w:pPr>
                  <w:r>
                    <w:t xml:space="preserve">  5</w:t>
                  </w:r>
                </w:p>
              </w:tc>
              <w:tc>
                <w:tcPr>
                  <w:tcW w:w="709" w:type="dxa"/>
                  <w:vAlign w:val="center"/>
                </w:tcPr>
                <w:p w:rsidR="00BE59AB" w:rsidRDefault="00BE59AB" w:rsidP="00BE59AB">
                  <w:pPr>
                    <w:pStyle w:val="TableBodyText"/>
                  </w:pPr>
                  <w:r>
                    <w:t xml:space="preserve">  5</w:t>
                  </w:r>
                </w:p>
              </w:tc>
              <w:tc>
                <w:tcPr>
                  <w:tcW w:w="686" w:type="dxa"/>
                  <w:vAlign w:val="center"/>
                </w:tcPr>
                <w:p w:rsidR="00BE59AB" w:rsidRDefault="00BE59AB" w:rsidP="00BE59AB">
                  <w:pPr>
                    <w:pStyle w:val="TableBodyText"/>
                  </w:pPr>
                  <w:r>
                    <w:t xml:space="preserve">  435</w:t>
                  </w:r>
                </w:p>
              </w:tc>
            </w:tr>
            <w:tr w:rsidR="00BE59AB" w:rsidRPr="00666ECE" w:rsidTr="00A868EF">
              <w:tc>
                <w:tcPr>
                  <w:tcW w:w="1821" w:type="dxa"/>
                </w:tcPr>
                <w:p w:rsidR="00BE59AB" w:rsidRPr="00666ECE" w:rsidRDefault="00BE59AB" w:rsidP="003611D5">
                  <w:pPr>
                    <w:pStyle w:val="TableUnitsRow"/>
                    <w:jc w:val="left"/>
                    <w:rPr>
                      <w:b/>
                    </w:rPr>
                  </w:pPr>
                  <w:r w:rsidRPr="00666ECE">
                    <w:rPr>
                      <w:b/>
                    </w:rPr>
                    <w:t>Total</w:t>
                  </w:r>
                </w:p>
              </w:tc>
              <w:tc>
                <w:tcPr>
                  <w:tcW w:w="425" w:type="dxa"/>
                  <w:vAlign w:val="center"/>
                </w:tcPr>
                <w:p w:rsidR="00BE59AB" w:rsidRPr="00EA54E6" w:rsidRDefault="00BE59AB" w:rsidP="004C2933">
                  <w:pPr>
                    <w:pStyle w:val="TableBodyText"/>
                    <w:ind w:left="0" w:right="28"/>
                    <w:rPr>
                      <w:b/>
                    </w:rPr>
                  </w:pPr>
                  <w:r w:rsidRPr="00EA54E6">
                    <w:rPr>
                      <w:b/>
                    </w:rPr>
                    <w:t>no.</w:t>
                  </w:r>
                </w:p>
              </w:tc>
              <w:tc>
                <w:tcPr>
                  <w:tcW w:w="709" w:type="dxa"/>
                  <w:vAlign w:val="center"/>
                </w:tcPr>
                <w:p w:rsidR="00BE59AB" w:rsidRDefault="00BE59AB" w:rsidP="00BE59AB">
                  <w:pPr>
                    <w:pStyle w:val="TableBodyText"/>
                    <w:rPr>
                      <w:b/>
                      <w:bCs/>
                    </w:rPr>
                  </w:pPr>
                  <w:r>
                    <w:rPr>
                      <w:b/>
                      <w:bCs/>
                    </w:rPr>
                    <w:t xml:space="preserve"> 3 083</w:t>
                  </w:r>
                </w:p>
              </w:tc>
              <w:tc>
                <w:tcPr>
                  <w:tcW w:w="709" w:type="dxa"/>
                  <w:vAlign w:val="center"/>
                </w:tcPr>
                <w:p w:rsidR="00BE59AB" w:rsidRDefault="00BE59AB" w:rsidP="00BE59AB">
                  <w:pPr>
                    <w:pStyle w:val="TableBodyText"/>
                    <w:rPr>
                      <w:b/>
                      <w:bCs/>
                    </w:rPr>
                  </w:pPr>
                  <w:r>
                    <w:rPr>
                      <w:b/>
                      <w:bCs/>
                    </w:rPr>
                    <w:t xml:space="preserve"> 2 217</w:t>
                  </w:r>
                </w:p>
              </w:tc>
              <w:tc>
                <w:tcPr>
                  <w:tcW w:w="708" w:type="dxa"/>
                  <w:vAlign w:val="center"/>
                </w:tcPr>
                <w:p w:rsidR="00BE59AB" w:rsidRDefault="00BE59AB" w:rsidP="00BE59AB">
                  <w:pPr>
                    <w:pStyle w:val="TableBodyText"/>
                    <w:rPr>
                      <w:b/>
                      <w:bCs/>
                    </w:rPr>
                  </w:pPr>
                  <w:r>
                    <w:rPr>
                      <w:b/>
                      <w:bCs/>
                    </w:rPr>
                    <w:t xml:space="preserve"> 1 715</w:t>
                  </w:r>
                </w:p>
              </w:tc>
              <w:tc>
                <w:tcPr>
                  <w:tcW w:w="709" w:type="dxa"/>
                  <w:vAlign w:val="center"/>
                </w:tcPr>
                <w:p w:rsidR="00BE59AB" w:rsidRDefault="00BE59AB" w:rsidP="00BE59AB">
                  <w:pPr>
                    <w:pStyle w:val="TableBodyText"/>
                    <w:rPr>
                      <w:b/>
                      <w:bCs/>
                    </w:rPr>
                  </w:pPr>
                  <w:r>
                    <w:rPr>
                      <w:b/>
                      <w:bCs/>
                    </w:rPr>
                    <w:t xml:space="preserve"> 1 076</w:t>
                  </w:r>
                </w:p>
              </w:tc>
              <w:tc>
                <w:tcPr>
                  <w:tcW w:w="567" w:type="dxa"/>
                  <w:vAlign w:val="center"/>
                </w:tcPr>
                <w:p w:rsidR="00BE59AB" w:rsidRDefault="00BE59AB" w:rsidP="00BE59AB">
                  <w:pPr>
                    <w:pStyle w:val="TableBodyText"/>
                    <w:rPr>
                      <w:b/>
                      <w:bCs/>
                    </w:rPr>
                  </w:pPr>
                  <w:r>
                    <w:rPr>
                      <w:b/>
                      <w:bCs/>
                    </w:rPr>
                    <w:t xml:space="preserve">  721</w:t>
                  </w:r>
                </w:p>
              </w:tc>
              <w:tc>
                <w:tcPr>
                  <w:tcW w:w="709" w:type="dxa"/>
                  <w:vAlign w:val="center"/>
                </w:tcPr>
                <w:p w:rsidR="00BE59AB" w:rsidRDefault="00BE59AB" w:rsidP="00BE59AB">
                  <w:pPr>
                    <w:pStyle w:val="TableBodyText"/>
                    <w:rPr>
                      <w:b/>
                      <w:bCs/>
                    </w:rPr>
                  </w:pPr>
                  <w:r>
                    <w:rPr>
                      <w:b/>
                      <w:bCs/>
                    </w:rPr>
                    <w:t xml:space="preserve">  257</w:t>
                  </w:r>
                </w:p>
              </w:tc>
              <w:tc>
                <w:tcPr>
                  <w:tcW w:w="731" w:type="dxa"/>
                  <w:vAlign w:val="center"/>
                </w:tcPr>
                <w:p w:rsidR="00BE59AB" w:rsidRDefault="00BE59AB" w:rsidP="00BE59AB">
                  <w:pPr>
                    <w:pStyle w:val="TableBodyText"/>
                    <w:rPr>
                      <w:b/>
                      <w:bCs/>
                    </w:rPr>
                  </w:pPr>
                  <w:r>
                    <w:rPr>
                      <w:b/>
                      <w:bCs/>
                    </w:rPr>
                    <w:t xml:space="preserve">  130</w:t>
                  </w:r>
                </w:p>
              </w:tc>
              <w:tc>
                <w:tcPr>
                  <w:tcW w:w="709" w:type="dxa"/>
                  <w:vAlign w:val="center"/>
                </w:tcPr>
                <w:p w:rsidR="00BE59AB" w:rsidRDefault="00BE59AB" w:rsidP="00BE59AB">
                  <w:pPr>
                    <w:pStyle w:val="TableBodyText"/>
                    <w:rPr>
                      <w:b/>
                      <w:bCs/>
                    </w:rPr>
                  </w:pPr>
                  <w:r>
                    <w:rPr>
                      <w:b/>
                      <w:bCs/>
                    </w:rPr>
                    <w:t xml:space="preserve">  190</w:t>
                  </w:r>
                </w:p>
              </w:tc>
              <w:tc>
                <w:tcPr>
                  <w:tcW w:w="686" w:type="dxa"/>
                  <w:vAlign w:val="center"/>
                </w:tcPr>
                <w:p w:rsidR="00BE59AB" w:rsidRDefault="00BE59AB" w:rsidP="00BE59AB">
                  <w:pPr>
                    <w:pStyle w:val="TableBodyText"/>
                    <w:rPr>
                      <w:b/>
                      <w:bCs/>
                    </w:rPr>
                  </w:pPr>
                  <w:r>
                    <w:rPr>
                      <w:b/>
                      <w:bCs/>
                    </w:rPr>
                    <w:t xml:space="preserve"> 9 389</w:t>
                  </w:r>
                </w:p>
              </w:tc>
            </w:tr>
            <w:tr w:rsidR="00BE59AB" w:rsidRPr="00666ECE" w:rsidTr="00D37CF1">
              <w:tc>
                <w:tcPr>
                  <w:tcW w:w="8483" w:type="dxa"/>
                  <w:gridSpan w:val="11"/>
                </w:tcPr>
                <w:p w:rsidR="00BE59AB" w:rsidRPr="00D31D27" w:rsidRDefault="00BE59AB" w:rsidP="00D90D4B">
                  <w:pPr>
                    <w:pStyle w:val="TableBodyText"/>
                    <w:spacing w:before="120" w:line="220" w:lineRule="atLeast"/>
                    <w:jc w:val="left"/>
                  </w:pPr>
                  <w:r w:rsidRPr="008F5666">
                    <w:rPr>
                      <w:b/>
                    </w:rPr>
                    <w:t>Proportion of schools that are government schools</w:t>
                  </w:r>
                </w:p>
              </w:tc>
            </w:tr>
            <w:tr w:rsidR="00BE59AB" w:rsidRPr="00666ECE" w:rsidTr="00A868EF">
              <w:tc>
                <w:tcPr>
                  <w:tcW w:w="1821" w:type="dxa"/>
                </w:tcPr>
                <w:p w:rsidR="00BE59AB" w:rsidRPr="00666ECE" w:rsidRDefault="00BE59AB" w:rsidP="004C2933">
                  <w:pPr>
                    <w:pStyle w:val="TableUnitsRow"/>
                    <w:spacing w:before="0"/>
                    <w:jc w:val="left"/>
                  </w:pPr>
                  <w:r w:rsidRPr="00666ECE">
                    <w:t>Primary</w:t>
                  </w:r>
                </w:p>
              </w:tc>
              <w:tc>
                <w:tcPr>
                  <w:tcW w:w="425" w:type="dxa"/>
                  <w:vAlign w:val="center"/>
                </w:tcPr>
                <w:p w:rsidR="00BE59AB" w:rsidRPr="00D31D27" w:rsidRDefault="00BE59AB" w:rsidP="004C2933">
                  <w:pPr>
                    <w:pStyle w:val="TableBodyText"/>
                    <w:ind w:left="0" w:right="28"/>
                  </w:pPr>
                  <w:r>
                    <w:t>%</w:t>
                  </w:r>
                </w:p>
              </w:tc>
              <w:tc>
                <w:tcPr>
                  <w:tcW w:w="709" w:type="dxa"/>
                </w:tcPr>
                <w:p w:rsidR="00BE59AB" w:rsidRDefault="00BE59AB" w:rsidP="00BE59AB">
                  <w:pPr>
                    <w:pStyle w:val="TableBodyText"/>
                  </w:pPr>
                  <w:r>
                    <w:t>76.7</w:t>
                  </w:r>
                </w:p>
              </w:tc>
              <w:tc>
                <w:tcPr>
                  <w:tcW w:w="709" w:type="dxa"/>
                </w:tcPr>
                <w:p w:rsidR="00BE59AB" w:rsidRDefault="00BE59AB" w:rsidP="00BE59AB">
                  <w:pPr>
                    <w:pStyle w:val="TableBodyText"/>
                  </w:pPr>
                  <w:r>
                    <w:t>72.8</w:t>
                  </w:r>
                </w:p>
              </w:tc>
              <w:tc>
                <w:tcPr>
                  <w:tcW w:w="708" w:type="dxa"/>
                </w:tcPr>
                <w:p w:rsidR="00BE59AB" w:rsidRDefault="00BE59AB" w:rsidP="00BE59AB">
                  <w:pPr>
                    <w:pStyle w:val="TableBodyText"/>
                  </w:pPr>
                  <w:r>
                    <w:t>80.3</w:t>
                  </w:r>
                </w:p>
              </w:tc>
              <w:tc>
                <w:tcPr>
                  <w:tcW w:w="709" w:type="dxa"/>
                </w:tcPr>
                <w:p w:rsidR="00BE59AB" w:rsidRDefault="00BE59AB" w:rsidP="00BE59AB">
                  <w:pPr>
                    <w:pStyle w:val="TableBodyText"/>
                  </w:pPr>
                  <w:r>
                    <w:t>77.7</w:t>
                  </w:r>
                </w:p>
              </w:tc>
              <w:tc>
                <w:tcPr>
                  <w:tcW w:w="567" w:type="dxa"/>
                </w:tcPr>
                <w:p w:rsidR="00BE59AB" w:rsidRDefault="00BE59AB" w:rsidP="00BE59AB">
                  <w:pPr>
                    <w:pStyle w:val="TableBodyText"/>
                  </w:pPr>
                  <w:r>
                    <w:t>78.7</w:t>
                  </w:r>
                </w:p>
              </w:tc>
              <w:tc>
                <w:tcPr>
                  <w:tcW w:w="709" w:type="dxa"/>
                </w:tcPr>
                <w:p w:rsidR="00BE59AB" w:rsidRDefault="00BE59AB" w:rsidP="00BE59AB">
                  <w:pPr>
                    <w:pStyle w:val="TableBodyText"/>
                  </w:pPr>
                  <w:r>
                    <w:t>81.4</w:t>
                  </w:r>
                </w:p>
              </w:tc>
              <w:tc>
                <w:tcPr>
                  <w:tcW w:w="731" w:type="dxa"/>
                </w:tcPr>
                <w:p w:rsidR="00BE59AB" w:rsidRDefault="00BE59AB" w:rsidP="00BE59AB">
                  <w:pPr>
                    <w:pStyle w:val="TableBodyText"/>
                  </w:pPr>
                  <w:r>
                    <w:t>69.6</w:t>
                  </w:r>
                </w:p>
              </w:tc>
              <w:tc>
                <w:tcPr>
                  <w:tcW w:w="709" w:type="dxa"/>
                </w:tcPr>
                <w:p w:rsidR="00BE59AB" w:rsidRDefault="00BE59AB" w:rsidP="00BE59AB">
                  <w:pPr>
                    <w:pStyle w:val="TableBodyText"/>
                  </w:pPr>
                  <w:r>
                    <w:t>86.1</w:t>
                  </w:r>
                </w:p>
              </w:tc>
              <w:tc>
                <w:tcPr>
                  <w:tcW w:w="686" w:type="dxa"/>
                </w:tcPr>
                <w:p w:rsidR="00BE59AB" w:rsidRDefault="00BE59AB" w:rsidP="00BE59AB">
                  <w:pPr>
                    <w:pStyle w:val="TableBodyText"/>
                  </w:pPr>
                  <w:r>
                    <w:t>76.8</w:t>
                  </w:r>
                </w:p>
              </w:tc>
            </w:tr>
            <w:tr w:rsidR="00BE59AB" w:rsidRPr="00666ECE" w:rsidTr="00A868EF">
              <w:tc>
                <w:tcPr>
                  <w:tcW w:w="1821" w:type="dxa"/>
                </w:tcPr>
                <w:p w:rsidR="00BE59AB" w:rsidRPr="00666ECE" w:rsidRDefault="00BE59AB" w:rsidP="004C2933">
                  <w:pPr>
                    <w:pStyle w:val="TableUnitsRow"/>
                    <w:spacing w:before="0"/>
                    <w:jc w:val="left"/>
                  </w:pPr>
                  <w:r w:rsidRPr="00666ECE">
                    <w:t>Secondary</w:t>
                  </w:r>
                </w:p>
              </w:tc>
              <w:tc>
                <w:tcPr>
                  <w:tcW w:w="425" w:type="dxa"/>
                  <w:vAlign w:val="center"/>
                </w:tcPr>
                <w:p w:rsidR="00BE59AB" w:rsidRDefault="00BE59AB" w:rsidP="004C2933">
                  <w:pPr>
                    <w:pStyle w:val="TableBodyText"/>
                    <w:ind w:left="0" w:right="28"/>
                  </w:pPr>
                  <w:r w:rsidRPr="00F03FF1">
                    <w:t>%</w:t>
                  </w:r>
                </w:p>
              </w:tc>
              <w:tc>
                <w:tcPr>
                  <w:tcW w:w="709" w:type="dxa"/>
                </w:tcPr>
                <w:p w:rsidR="00BE59AB" w:rsidRDefault="00BE59AB" w:rsidP="00BE59AB">
                  <w:pPr>
                    <w:pStyle w:val="TableBodyText"/>
                  </w:pPr>
                  <w:r>
                    <w:t>72.0</w:t>
                  </w:r>
                </w:p>
              </w:tc>
              <w:tc>
                <w:tcPr>
                  <w:tcW w:w="709" w:type="dxa"/>
                </w:tcPr>
                <w:p w:rsidR="00BE59AB" w:rsidRDefault="00BE59AB" w:rsidP="00BE59AB">
                  <w:pPr>
                    <w:pStyle w:val="TableBodyText"/>
                  </w:pPr>
                  <w:r>
                    <w:t>71.0</w:t>
                  </w:r>
                </w:p>
              </w:tc>
              <w:tc>
                <w:tcPr>
                  <w:tcW w:w="708" w:type="dxa"/>
                </w:tcPr>
                <w:p w:rsidR="00BE59AB" w:rsidRDefault="00BE59AB" w:rsidP="00BE59AB">
                  <w:pPr>
                    <w:pStyle w:val="TableBodyText"/>
                  </w:pPr>
                  <w:r>
                    <w:t>71.7</w:t>
                  </w:r>
                </w:p>
              </w:tc>
              <w:tc>
                <w:tcPr>
                  <w:tcW w:w="709" w:type="dxa"/>
                </w:tcPr>
                <w:p w:rsidR="00BE59AB" w:rsidRDefault="00BE59AB" w:rsidP="00BE59AB">
                  <w:pPr>
                    <w:pStyle w:val="TableBodyText"/>
                  </w:pPr>
                  <w:r>
                    <w:t>93.3</w:t>
                  </w:r>
                </w:p>
              </w:tc>
              <w:tc>
                <w:tcPr>
                  <w:tcW w:w="567" w:type="dxa"/>
                </w:tcPr>
                <w:p w:rsidR="00BE59AB" w:rsidRDefault="00BE59AB" w:rsidP="00BE59AB">
                  <w:pPr>
                    <w:pStyle w:val="TableBodyText"/>
                  </w:pPr>
                  <w:r>
                    <w:t>78.3</w:t>
                  </w:r>
                </w:p>
              </w:tc>
              <w:tc>
                <w:tcPr>
                  <w:tcW w:w="709" w:type="dxa"/>
                </w:tcPr>
                <w:p w:rsidR="00BE59AB" w:rsidRDefault="00BE59AB" w:rsidP="00BE59AB">
                  <w:pPr>
                    <w:pStyle w:val="TableBodyText"/>
                  </w:pPr>
                  <w:r>
                    <w:t>87.8</w:t>
                  </w:r>
                </w:p>
              </w:tc>
              <w:tc>
                <w:tcPr>
                  <w:tcW w:w="731" w:type="dxa"/>
                </w:tcPr>
                <w:p w:rsidR="00BE59AB" w:rsidRDefault="00BE59AB" w:rsidP="00BE59AB">
                  <w:pPr>
                    <w:pStyle w:val="TableBodyText"/>
                  </w:pPr>
                  <w:r>
                    <w:t>79.2</w:t>
                  </w:r>
                </w:p>
              </w:tc>
              <w:tc>
                <w:tcPr>
                  <w:tcW w:w="709" w:type="dxa"/>
                </w:tcPr>
                <w:p w:rsidR="00BE59AB" w:rsidRDefault="00BE59AB" w:rsidP="00BE59AB">
                  <w:pPr>
                    <w:pStyle w:val="TableBodyText"/>
                  </w:pPr>
                  <w:r>
                    <w:t>60.9</w:t>
                  </w:r>
                </w:p>
              </w:tc>
              <w:tc>
                <w:tcPr>
                  <w:tcW w:w="686" w:type="dxa"/>
                </w:tcPr>
                <w:p w:rsidR="00BE59AB" w:rsidRDefault="00BE59AB" w:rsidP="00BE59AB">
                  <w:pPr>
                    <w:pStyle w:val="TableBodyText"/>
                  </w:pPr>
                  <w:r>
                    <w:t>74.1</w:t>
                  </w:r>
                </w:p>
              </w:tc>
            </w:tr>
            <w:tr w:rsidR="00BE59AB" w:rsidRPr="00666ECE" w:rsidTr="00A868EF">
              <w:tc>
                <w:tcPr>
                  <w:tcW w:w="1821" w:type="dxa"/>
                </w:tcPr>
                <w:p w:rsidR="00BE59AB" w:rsidRPr="00666ECE" w:rsidRDefault="00BE59AB" w:rsidP="004C2933">
                  <w:pPr>
                    <w:pStyle w:val="TableUnitsRow"/>
                    <w:spacing w:before="0"/>
                    <w:jc w:val="left"/>
                  </w:pPr>
                  <w:r w:rsidRPr="00666ECE">
                    <w:t>Combined</w:t>
                  </w:r>
                </w:p>
              </w:tc>
              <w:tc>
                <w:tcPr>
                  <w:tcW w:w="425" w:type="dxa"/>
                  <w:vAlign w:val="center"/>
                </w:tcPr>
                <w:p w:rsidR="00BE59AB" w:rsidRDefault="00BE59AB" w:rsidP="004C2933">
                  <w:pPr>
                    <w:pStyle w:val="TableBodyText"/>
                    <w:ind w:left="0" w:right="28"/>
                  </w:pPr>
                  <w:r w:rsidRPr="00F03FF1">
                    <w:t>%</w:t>
                  </w:r>
                </w:p>
              </w:tc>
              <w:tc>
                <w:tcPr>
                  <w:tcW w:w="709" w:type="dxa"/>
                </w:tcPr>
                <w:p w:rsidR="00BE59AB" w:rsidRDefault="00BE59AB" w:rsidP="00BE59AB">
                  <w:pPr>
                    <w:pStyle w:val="TableBodyText"/>
                  </w:pPr>
                  <w:r>
                    <w:t>21.5</w:t>
                  </w:r>
                </w:p>
              </w:tc>
              <w:tc>
                <w:tcPr>
                  <w:tcW w:w="709" w:type="dxa"/>
                </w:tcPr>
                <w:p w:rsidR="00BE59AB" w:rsidRDefault="00BE59AB" w:rsidP="00BE59AB">
                  <w:pPr>
                    <w:pStyle w:val="TableBodyText"/>
                  </w:pPr>
                  <w:r>
                    <w:t>34.2</w:t>
                  </w:r>
                </w:p>
              </w:tc>
              <w:tc>
                <w:tcPr>
                  <w:tcW w:w="708" w:type="dxa"/>
                </w:tcPr>
                <w:p w:rsidR="00BE59AB" w:rsidRDefault="00BE59AB" w:rsidP="00BE59AB">
                  <w:pPr>
                    <w:pStyle w:val="TableBodyText"/>
                  </w:pPr>
                  <w:r>
                    <w:t>35.2</w:t>
                  </w:r>
                </w:p>
              </w:tc>
              <w:tc>
                <w:tcPr>
                  <w:tcW w:w="709" w:type="dxa"/>
                </w:tcPr>
                <w:p w:rsidR="00BE59AB" w:rsidRDefault="00BE59AB" w:rsidP="00BE59AB">
                  <w:pPr>
                    <w:pStyle w:val="TableBodyText"/>
                  </w:pPr>
                  <w:r>
                    <w:t>40.4</w:t>
                  </w:r>
                </w:p>
              </w:tc>
              <w:tc>
                <w:tcPr>
                  <w:tcW w:w="567" w:type="dxa"/>
                </w:tcPr>
                <w:p w:rsidR="00BE59AB" w:rsidRDefault="00BE59AB" w:rsidP="00BE59AB">
                  <w:pPr>
                    <w:pStyle w:val="TableBodyText"/>
                  </w:pPr>
                  <w:r>
                    <w:t>50.3</w:t>
                  </w:r>
                </w:p>
              </w:tc>
              <w:tc>
                <w:tcPr>
                  <w:tcW w:w="709" w:type="dxa"/>
                </w:tcPr>
                <w:p w:rsidR="00BE59AB" w:rsidRDefault="00BE59AB" w:rsidP="00BE59AB">
                  <w:pPr>
                    <w:pStyle w:val="TableBodyText"/>
                  </w:pPr>
                  <w:r>
                    <w:t>45.5</w:t>
                  </w:r>
                </w:p>
              </w:tc>
              <w:tc>
                <w:tcPr>
                  <w:tcW w:w="731" w:type="dxa"/>
                </w:tcPr>
                <w:p w:rsidR="00BE59AB" w:rsidRDefault="00BE59AB" w:rsidP="00BE59AB">
                  <w:pPr>
                    <w:pStyle w:val="TableBodyText"/>
                  </w:pPr>
                  <w:r>
                    <w:t>36.4</w:t>
                  </w:r>
                </w:p>
              </w:tc>
              <w:tc>
                <w:tcPr>
                  <w:tcW w:w="709" w:type="dxa"/>
                </w:tcPr>
                <w:p w:rsidR="00BE59AB" w:rsidRDefault="00BE59AB" w:rsidP="00BE59AB">
                  <w:pPr>
                    <w:pStyle w:val="TableBodyText"/>
                  </w:pPr>
                  <w:r>
                    <w:t>79.5</w:t>
                  </w:r>
                </w:p>
              </w:tc>
              <w:tc>
                <w:tcPr>
                  <w:tcW w:w="686" w:type="dxa"/>
                </w:tcPr>
                <w:p w:rsidR="00BE59AB" w:rsidRDefault="00BE59AB" w:rsidP="00BE59AB">
                  <w:pPr>
                    <w:pStyle w:val="TableBodyText"/>
                  </w:pPr>
                  <w:r>
                    <w:t>37.7</w:t>
                  </w:r>
                </w:p>
              </w:tc>
            </w:tr>
            <w:tr w:rsidR="00BE59AB" w:rsidRPr="00666ECE" w:rsidTr="00A868EF">
              <w:tc>
                <w:tcPr>
                  <w:tcW w:w="1821" w:type="dxa"/>
                </w:tcPr>
                <w:p w:rsidR="00BE59AB" w:rsidRPr="00666ECE" w:rsidRDefault="00BE59AB" w:rsidP="004C2933">
                  <w:pPr>
                    <w:pStyle w:val="TableUnitsRow"/>
                    <w:spacing w:before="0"/>
                    <w:jc w:val="left"/>
                  </w:pPr>
                  <w:r w:rsidRPr="00666ECE">
                    <w:t>Special schools</w:t>
                  </w:r>
                </w:p>
              </w:tc>
              <w:tc>
                <w:tcPr>
                  <w:tcW w:w="425" w:type="dxa"/>
                  <w:vAlign w:val="center"/>
                </w:tcPr>
                <w:p w:rsidR="00BE59AB" w:rsidRDefault="00BE59AB" w:rsidP="004C2933">
                  <w:pPr>
                    <w:pStyle w:val="TableBodyText"/>
                    <w:ind w:left="0" w:right="28"/>
                  </w:pPr>
                  <w:r w:rsidRPr="00F03FF1">
                    <w:t>%</w:t>
                  </w:r>
                </w:p>
              </w:tc>
              <w:tc>
                <w:tcPr>
                  <w:tcW w:w="709" w:type="dxa"/>
                </w:tcPr>
                <w:p w:rsidR="00BE59AB" w:rsidRDefault="00BE59AB" w:rsidP="00BE59AB">
                  <w:pPr>
                    <w:pStyle w:val="TableBodyText"/>
                  </w:pPr>
                  <w:r>
                    <w:t>70.7</w:t>
                  </w:r>
                </w:p>
              </w:tc>
              <w:tc>
                <w:tcPr>
                  <w:tcW w:w="709" w:type="dxa"/>
                </w:tcPr>
                <w:p w:rsidR="00BE59AB" w:rsidRDefault="00BE59AB" w:rsidP="00BE59AB">
                  <w:pPr>
                    <w:pStyle w:val="TableBodyText"/>
                  </w:pPr>
                  <w:r>
                    <w:t>79.8</w:t>
                  </w:r>
                </w:p>
              </w:tc>
              <w:tc>
                <w:tcPr>
                  <w:tcW w:w="708" w:type="dxa"/>
                </w:tcPr>
                <w:p w:rsidR="00BE59AB" w:rsidRDefault="00BE59AB" w:rsidP="00BE59AB">
                  <w:pPr>
                    <w:pStyle w:val="TableBodyText"/>
                  </w:pPr>
                  <w:r>
                    <w:t>67.6</w:t>
                  </w:r>
                </w:p>
              </w:tc>
              <w:tc>
                <w:tcPr>
                  <w:tcW w:w="709" w:type="dxa"/>
                </w:tcPr>
                <w:p w:rsidR="00BE59AB" w:rsidRDefault="00BE59AB" w:rsidP="00BE59AB">
                  <w:pPr>
                    <w:pStyle w:val="TableBodyText"/>
                  </w:pPr>
                  <w:r>
                    <w:t>85.3</w:t>
                  </w:r>
                </w:p>
              </w:tc>
              <w:tc>
                <w:tcPr>
                  <w:tcW w:w="567" w:type="dxa"/>
                </w:tcPr>
                <w:p w:rsidR="00BE59AB" w:rsidRDefault="00BE59AB" w:rsidP="00BE59AB">
                  <w:pPr>
                    <w:pStyle w:val="TableBodyText"/>
                  </w:pPr>
                  <w:r>
                    <w:t>85.7</w:t>
                  </w:r>
                </w:p>
              </w:tc>
              <w:tc>
                <w:tcPr>
                  <w:tcW w:w="709" w:type="dxa"/>
                </w:tcPr>
                <w:p w:rsidR="00BE59AB" w:rsidRDefault="00BE59AB" w:rsidP="00BE59AB">
                  <w:pPr>
                    <w:pStyle w:val="TableBodyText"/>
                  </w:pPr>
                  <w:r>
                    <w:t>80.0</w:t>
                  </w:r>
                </w:p>
              </w:tc>
              <w:tc>
                <w:tcPr>
                  <w:tcW w:w="731" w:type="dxa"/>
                </w:tcPr>
                <w:p w:rsidR="00BE59AB" w:rsidRDefault="00BE59AB" w:rsidP="00BE59AB">
                  <w:pPr>
                    <w:pStyle w:val="TableBodyText"/>
                  </w:pPr>
                  <w:r>
                    <w:t>80.0</w:t>
                  </w:r>
                </w:p>
              </w:tc>
              <w:tc>
                <w:tcPr>
                  <w:tcW w:w="709" w:type="dxa"/>
                </w:tcPr>
                <w:p w:rsidR="00BE59AB" w:rsidRDefault="00BE59AB" w:rsidP="00BE59AB">
                  <w:pPr>
                    <w:pStyle w:val="TableBodyText"/>
                  </w:pPr>
                  <w:r>
                    <w:t>80.0</w:t>
                  </w:r>
                </w:p>
              </w:tc>
              <w:tc>
                <w:tcPr>
                  <w:tcW w:w="686" w:type="dxa"/>
                </w:tcPr>
                <w:p w:rsidR="00BE59AB" w:rsidRDefault="00BE59AB" w:rsidP="00BE59AB">
                  <w:pPr>
                    <w:pStyle w:val="TableBodyText"/>
                  </w:pPr>
                  <w:r>
                    <w:t>75.9</w:t>
                  </w:r>
                </w:p>
              </w:tc>
            </w:tr>
            <w:tr w:rsidR="00BE59AB" w:rsidRPr="00666ECE" w:rsidTr="00A868EF">
              <w:tc>
                <w:tcPr>
                  <w:tcW w:w="1821" w:type="dxa"/>
                </w:tcPr>
                <w:p w:rsidR="00BE59AB" w:rsidRPr="00666ECE" w:rsidRDefault="00BE59AB" w:rsidP="003611D5">
                  <w:pPr>
                    <w:pStyle w:val="TableUnitsRow"/>
                    <w:jc w:val="left"/>
                    <w:rPr>
                      <w:b/>
                    </w:rPr>
                  </w:pPr>
                  <w:r w:rsidRPr="00666ECE">
                    <w:rPr>
                      <w:b/>
                    </w:rPr>
                    <w:t>All schools</w:t>
                  </w:r>
                </w:p>
              </w:tc>
              <w:tc>
                <w:tcPr>
                  <w:tcW w:w="425" w:type="dxa"/>
                  <w:vAlign w:val="center"/>
                </w:tcPr>
                <w:p w:rsidR="00BE59AB" w:rsidRPr="00BE59AB" w:rsidRDefault="00BE59AB" w:rsidP="004C2933">
                  <w:pPr>
                    <w:pStyle w:val="TableBodyText"/>
                    <w:ind w:left="0" w:right="28"/>
                    <w:rPr>
                      <w:b/>
                    </w:rPr>
                  </w:pPr>
                  <w:r w:rsidRPr="00BE59AB">
                    <w:rPr>
                      <w:b/>
                    </w:rPr>
                    <w:t>%</w:t>
                  </w:r>
                </w:p>
              </w:tc>
              <w:tc>
                <w:tcPr>
                  <w:tcW w:w="709" w:type="dxa"/>
                </w:tcPr>
                <w:p w:rsidR="00BE59AB" w:rsidRPr="00BE59AB" w:rsidRDefault="00BE59AB" w:rsidP="00BE59AB">
                  <w:pPr>
                    <w:pStyle w:val="TableBodyText"/>
                    <w:rPr>
                      <w:b/>
                    </w:rPr>
                  </w:pPr>
                  <w:r w:rsidRPr="00BE59AB">
                    <w:rPr>
                      <w:b/>
                    </w:rPr>
                    <w:t>70.2</w:t>
                  </w:r>
                </w:p>
              </w:tc>
              <w:tc>
                <w:tcPr>
                  <w:tcW w:w="709" w:type="dxa"/>
                </w:tcPr>
                <w:p w:rsidR="00BE59AB" w:rsidRPr="00BE59AB" w:rsidRDefault="00BE59AB" w:rsidP="00BE59AB">
                  <w:pPr>
                    <w:pStyle w:val="TableBodyText"/>
                    <w:rPr>
                      <w:b/>
                    </w:rPr>
                  </w:pPr>
                  <w:r w:rsidRPr="00BE59AB">
                    <w:rPr>
                      <w:b/>
                    </w:rPr>
                    <w:t>68.7</w:t>
                  </w:r>
                </w:p>
              </w:tc>
              <w:tc>
                <w:tcPr>
                  <w:tcW w:w="708" w:type="dxa"/>
                </w:tcPr>
                <w:p w:rsidR="00BE59AB" w:rsidRPr="00BE59AB" w:rsidRDefault="00BE59AB" w:rsidP="00BE59AB">
                  <w:pPr>
                    <w:pStyle w:val="TableBodyText"/>
                    <w:rPr>
                      <w:b/>
                    </w:rPr>
                  </w:pPr>
                  <w:r w:rsidRPr="00BE59AB">
                    <w:rPr>
                      <w:b/>
                    </w:rPr>
                    <w:t>71.8</w:t>
                  </w:r>
                </w:p>
              </w:tc>
              <w:tc>
                <w:tcPr>
                  <w:tcW w:w="709" w:type="dxa"/>
                </w:tcPr>
                <w:p w:rsidR="00BE59AB" w:rsidRPr="00BE59AB" w:rsidRDefault="00BE59AB" w:rsidP="00BE59AB">
                  <w:pPr>
                    <w:pStyle w:val="TableBodyText"/>
                    <w:rPr>
                      <w:b/>
                    </w:rPr>
                  </w:pPr>
                  <w:r w:rsidRPr="00BE59AB">
                    <w:rPr>
                      <w:b/>
                    </w:rPr>
                    <w:t>72.0</w:t>
                  </w:r>
                </w:p>
              </w:tc>
              <w:tc>
                <w:tcPr>
                  <w:tcW w:w="567" w:type="dxa"/>
                </w:tcPr>
                <w:p w:rsidR="00BE59AB" w:rsidRPr="00BE59AB" w:rsidRDefault="00BE59AB" w:rsidP="00BE59AB">
                  <w:pPr>
                    <w:pStyle w:val="TableBodyText"/>
                    <w:rPr>
                      <w:b/>
                    </w:rPr>
                  </w:pPr>
                  <w:r w:rsidRPr="00BE59AB">
                    <w:rPr>
                      <w:b/>
                    </w:rPr>
                    <w:t>72.8</w:t>
                  </w:r>
                </w:p>
              </w:tc>
              <w:tc>
                <w:tcPr>
                  <w:tcW w:w="709" w:type="dxa"/>
                </w:tcPr>
                <w:p w:rsidR="00BE59AB" w:rsidRPr="00BE59AB" w:rsidRDefault="00BE59AB" w:rsidP="00BE59AB">
                  <w:pPr>
                    <w:pStyle w:val="TableBodyText"/>
                    <w:rPr>
                      <w:b/>
                    </w:rPr>
                  </w:pPr>
                  <w:r w:rsidRPr="00BE59AB">
                    <w:rPr>
                      <w:b/>
                    </w:rPr>
                    <w:t>74.7</w:t>
                  </w:r>
                </w:p>
              </w:tc>
              <w:tc>
                <w:tcPr>
                  <w:tcW w:w="731" w:type="dxa"/>
                </w:tcPr>
                <w:p w:rsidR="00BE59AB" w:rsidRPr="00BE59AB" w:rsidRDefault="00BE59AB" w:rsidP="00BE59AB">
                  <w:pPr>
                    <w:pStyle w:val="TableBodyText"/>
                    <w:rPr>
                      <w:b/>
                    </w:rPr>
                  </w:pPr>
                  <w:r w:rsidRPr="00BE59AB">
                    <w:rPr>
                      <w:b/>
                    </w:rPr>
                    <w:t>66.2</w:t>
                  </w:r>
                </w:p>
              </w:tc>
              <w:tc>
                <w:tcPr>
                  <w:tcW w:w="709" w:type="dxa"/>
                </w:tcPr>
                <w:p w:rsidR="00BE59AB" w:rsidRPr="00BE59AB" w:rsidRDefault="00BE59AB" w:rsidP="00BE59AB">
                  <w:pPr>
                    <w:pStyle w:val="TableBodyText"/>
                    <w:rPr>
                      <w:b/>
                    </w:rPr>
                  </w:pPr>
                  <w:r w:rsidRPr="00BE59AB">
                    <w:rPr>
                      <w:b/>
                    </w:rPr>
                    <w:t>80.0</w:t>
                  </w:r>
                </w:p>
              </w:tc>
              <w:tc>
                <w:tcPr>
                  <w:tcW w:w="686" w:type="dxa"/>
                </w:tcPr>
                <w:p w:rsidR="00BE59AB" w:rsidRPr="00BE59AB" w:rsidRDefault="00BE59AB" w:rsidP="00BE59AB">
                  <w:pPr>
                    <w:pStyle w:val="TableBodyText"/>
                    <w:rPr>
                      <w:b/>
                    </w:rPr>
                  </w:pPr>
                  <w:r w:rsidRPr="00BE59AB">
                    <w:rPr>
                      <w:b/>
                    </w:rPr>
                    <w:t>70.8</w:t>
                  </w:r>
                </w:p>
              </w:tc>
            </w:tr>
            <w:tr w:rsidR="00BE59AB" w:rsidRPr="00666ECE" w:rsidTr="004C2933">
              <w:tc>
                <w:tcPr>
                  <w:tcW w:w="8483" w:type="dxa"/>
                  <w:gridSpan w:val="11"/>
                </w:tcPr>
                <w:p w:rsidR="00BE59AB" w:rsidRPr="008F5666" w:rsidRDefault="00BE59AB" w:rsidP="00D90D4B">
                  <w:pPr>
                    <w:pStyle w:val="TableUnitsRow"/>
                    <w:spacing w:before="120" w:line="220" w:lineRule="atLeast"/>
                    <w:jc w:val="left"/>
                    <w:rPr>
                      <w:b/>
                    </w:rPr>
                  </w:pPr>
                  <w:r w:rsidRPr="008F5666">
                    <w:rPr>
                      <w:b/>
                    </w:rPr>
                    <w:t>Proportion of schools that are primary schools</w:t>
                  </w:r>
                </w:p>
              </w:tc>
            </w:tr>
            <w:tr w:rsidR="00BE59AB" w:rsidRPr="00666ECE" w:rsidTr="00A868EF">
              <w:tc>
                <w:tcPr>
                  <w:tcW w:w="1821" w:type="dxa"/>
                </w:tcPr>
                <w:p w:rsidR="00BE59AB" w:rsidRPr="00BE59AB" w:rsidRDefault="00BE59AB" w:rsidP="00BE59AB">
                  <w:pPr>
                    <w:pStyle w:val="TableUnitsRow"/>
                    <w:jc w:val="left"/>
                  </w:pPr>
                  <w:r w:rsidRPr="00BE59AB">
                    <w:t>Government</w:t>
                  </w:r>
                </w:p>
              </w:tc>
              <w:tc>
                <w:tcPr>
                  <w:tcW w:w="425" w:type="dxa"/>
                  <w:vAlign w:val="center"/>
                </w:tcPr>
                <w:p w:rsidR="00BE59AB" w:rsidRPr="007E4F60" w:rsidRDefault="00BE59AB" w:rsidP="00C92ED0">
                  <w:pPr>
                    <w:pStyle w:val="TableBodyText"/>
                    <w:ind w:left="0" w:right="28"/>
                  </w:pPr>
                  <w:r w:rsidRPr="007E4F60">
                    <w:t>%</w:t>
                  </w:r>
                </w:p>
              </w:tc>
              <w:tc>
                <w:tcPr>
                  <w:tcW w:w="709" w:type="dxa"/>
                </w:tcPr>
                <w:p w:rsidR="00BE59AB" w:rsidRDefault="00BE59AB" w:rsidP="00BE59AB">
                  <w:pPr>
                    <w:pStyle w:val="TableBodyText"/>
                  </w:pPr>
                  <w:r>
                    <w:t>74.8</w:t>
                  </w:r>
                </w:p>
              </w:tc>
              <w:tc>
                <w:tcPr>
                  <w:tcW w:w="709" w:type="dxa"/>
                </w:tcPr>
                <w:p w:rsidR="00BE59AB" w:rsidRDefault="00BE59AB" w:rsidP="00BE59AB">
                  <w:pPr>
                    <w:pStyle w:val="TableBodyText"/>
                  </w:pPr>
                  <w:r>
                    <w:t>74.0</w:t>
                  </w:r>
                </w:p>
              </w:tc>
              <w:tc>
                <w:tcPr>
                  <w:tcW w:w="708" w:type="dxa"/>
                </w:tcPr>
                <w:p w:rsidR="00BE59AB" w:rsidRDefault="00BE59AB" w:rsidP="00BE59AB">
                  <w:pPr>
                    <w:pStyle w:val="TableBodyText"/>
                  </w:pPr>
                  <w:r>
                    <w:t>74.3</w:t>
                  </w:r>
                </w:p>
              </w:tc>
              <w:tc>
                <w:tcPr>
                  <w:tcW w:w="709" w:type="dxa"/>
                </w:tcPr>
                <w:p w:rsidR="00BE59AB" w:rsidRDefault="00BE59AB" w:rsidP="00BE59AB">
                  <w:pPr>
                    <w:pStyle w:val="TableBodyText"/>
                  </w:pPr>
                  <w:r>
                    <w:t>67.5</w:t>
                  </w:r>
                </w:p>
              </w:tc>
              <w:tc>
                <w:tcPr>
                  <w:tcW w:w="567" w:type="dxa"/>
                </w:tcPr>
                <w:p w:rsidR="00BE59AB" w:rsidRDefault="00BE59AB" w:rsidP="00BE59AB">
                  <w:pPr>
                    <w:pStyle w:val="TableBodyText"/>
                  </w:pPr>
                  <w:r>
                    <w:t>69.5</w:t>
                  </w:r>
                </w:p>
              </w:tc>
              <w:tc>
                <w:tcPr>
                  <w:tcW w:w="709" w:type="dxa"/>
                </w:tcPr>
                <w:p w:rsidR="00BE59AB" w:rsidRDefault="00BE59AB" w:rsidP="00BE59AB">
                  <w:pPr>
                    <w:pStyle w:val="TableBodyText"/>
                  </w:pPr>
                  <w:r>
                    <w:t>66.1</w:t>
                  </w:r>
                </w:p>
              </w:tc>
              <w:tc>
                <w:tcPr>
                  <w:tcW w:w="731" w:type="dxa"/>
                </w:tcPr>
                <w:p w:rsidR="00BE59AB" w:rsidRDefault="00BE59AB" w:rsidP="00BE59AB">
                  <w:pPr>
                    <w:pStyle w:val="TableBodyText"/>
                  </w:pPr>
                  <w:r>
                    <w:t>64.0</w:t>
                  </w:r>
                </w:p>
              </w:tc>
              <w:tc>
                <w:tcPr>
                  <w:tcW w:w="709" w:type="dxa"/>
                </w:tcPr>
                <w:p w:rsidR="00BE59AB" w:rsidRDefault="00BE59AB" w:rsidP="00BE59AB">
                  <w:pPr>
                    <w:pStyle w:val="TableBodyText"/>
                  </w:pPr>
                  <w:r>
                    <w:t>44.7</w:t>
                  </w:r>
                </w:p>
              </w:tc>
              <w:tc>
                <w:tcPr>
                  <w:tcW w:w="686" w:type="dxa"/>
                </w:tcPr>
                <w:p w:rsidR="00BE59AB" w:rsidRDefault="00BE59AB" w:rsidP="00BE59AB">
                  <w:pPr>
                    <w:pStyle w:val="TableBodyText"/>
                  </w:pPr>
                  <w:r>
                    <w:t>72.2</w:t>
                  </w:r>
                </w:p>
              </w:tc>
            </w:tr>
            <w:tr w:rsidR="00BE59AB" w:rsidRPr="00666ECE" w:rsidTr="00A868EF">
              <w:tc>
                <w:tcPr>
                  <w:tcW w:w="1821" w:type="dxa"/>
                </w:tcPr>
                <w:p w:rsidR="00BE59AB" w:rsidRPr="00BE59AB" w:rsidRDefault="00BE59AB" w:rsidP="00BE59AB">
                  <w:pPr>
                    <w:pStyle w:val="TableUnitsRow"/>
                    <w:jc w:val="left"/>
                  </w:pPr>
                  <w:r w:rsidRPr="00BE59AB">
                    <w:t>Non-government</w:t>
                  </w:r>
                </w:p>
              </w:tc>
              <w:tc>
                <w:tcPr>
                  <w:tcW w:w="425" w:type="dxa"/>
                  <w:vAlign w:val="center"/>
                </w:tcPr>
                <w:p w:rsidR="00BE59AB" w:rsidRPr="007E4F60" w:rsidRDefault="00BE59AB" w:rsidP="00C92ED0">
                  <w:pPr>
                    <w:pStyle w:val="TableBodyText"/>
                    <w:ind w:left="0" w:right="28"/>
                  </w:pPr>
                  <w:r w:rsidRPr="007E4F60">
                    <w:t>%</w:t>
                  </w:r>
                </w:p>
              </w:tc>
              <w:tc>
                <w:tcPr>
                  <w:tcW w:w="709" w:type="dxa"/>
                </w:tcPr>
                <w:p w:rsidR="00BE59AB" w:rsidRDefault="00BE59AB" w:rsidP="00BE59AB">
                  <w:pPr>
                    <w:pStyle w:val="TableBodyText"/>
                  </w:pPr>
                  <w:r>
                    <w:t>53.5</w:t>
                  </w:r>
                </w:p>
              </w:tc>
              <w:tc>
                <w:tcPr>
                  <w:tcW w:w="709" w:type="dxa"/>
                </w:tcPr>
                <w:p w:rsidR="00BE59AB" w:rsidRDefault="00BE59AB" w:rsidP="00BE59AB">
                  <w:pPr>
                    <w:pStyle w:val="TableBodyText"/>
                  </w:pPr>
                  <w:r>
                    <w:t>60.9</w:t>
                  </w:r>
                </w:p>
              </w:tc>
              <w:tc>
                <w:tcPr>
                  <w:tcW w:w="708" w:type="dxa"/>
                </w:tcPr>
                <w:p w:rsidR="00BE59AB" w:rsidRDefault="00BE59AB" w:rsidP="00BE59AB">
                  <w:pPr>
                    <w:pStyle w:val="TableBodyText"/>
                  </w:pPr>
                  <w:r>
                    <w:t>46.6</w:t>
                  </w:r>
                </w:p>
              </w:tc>
              <w:tc>
                <w:tcPr>
                  <w:tcW w:w="709" w:type="dxa"/>
                </w:tcPr>
                <w:p w:rsidR="00BE59AB" w:rsidRDefault="00BE59AB" w:rsidP="00BE59AB">
                  <w:pPr>
                    <w:pStyle w:val="TableBodyText"/>
                  </w:pPr>
                  <w:r>
                    <w:t>49.8</w:t>
                  </w:r>
                </w:p>
              </w:tc>
              <w:tc>
                <w:tcPr>
                  <w:tcW w:w="567" w:type="dxa"/>
                </w:tcPr>
                <w:p w:rsidR="00BE59AB" w:rsidRDefault="00BE59AB" w:rsidP="00BE59AB">
                  <w:pPr>
                    <w:pStyle w:val="TableBodyText"/>
                  </w:pPr>
                  <w:r>
                    <w:t>50.5</w:t>
                  </w:r>
                </w:p>
              </w:tc>
              <w:tc>
                <w:tcPr>
                  <w:tcW w:w="709" w:type="dxa"/>
                </w:tcPr>
                <w:p w:rsidR="00BE59AB" w:rsidRDefault="00BE59AB" w:rsidP="00BE59AB">
                  <w:pPr>
                    <w:pStyle w:val="TableBodyText"/>
                  </w:pPr>
                  <w:r>
                    <w:t>44.6</w:t>
                  </w:r>
                </w:p>
              </w:tc>
              <w:tc>
                <w:tcPr>
                  <w:tcW w:w="731" w:type="dxa"/>
                </w:tcPr>
                <w:p w:rsidR="00BE59AB" w:rsidRDefault="00BE59AB" w:rsidP="00BE59AB">
                  <w:pPr>
                    <w:pStyle w:val="TableBodyText"/>
                  </w:pPr>
                  <w:r>
                    <w:t>54.5</w:t>
                  </w:r>
                </w:p>
              </w:tc>
              <w:tc>
                <w:tcPr>
                  <w:tcW w:w="709" w:type="dxa"/>
                </w:tcPr>
                <w:p w:rsidR="00BE59AB" w:rsidRDefault="00BE59AB" w:rsidP="00BE59AB">
                  <w:pPr>
                    <w:pStyle w:val="TableBodyText"/>
                  </w:pPr>
                  <w:r>
                    <w:t>28.9</w:t>
                  </w:r>
                </w:p>
              </w:tc>
              <w:tc>
                <w:tcPr>
                  <w:tcW w:w="686" w:type="dxa"/>
                </w:tcPr>
                <w:p w:rsidR="00BE59AB" w:rsidRDefault="00BE59AB" w:rsidP="00BE59AB">
                  <w:pPr>
                    <w:pStyle w:val="TableBodyText"/>
                  </w:pPr>
                  <w:r>
                    <w:t>53.0</w:t>
                  </w:r>
                </w:p>
              </w:tc>
            </w:tr>
            <w:tr w:rsidR="00BE59AB" w:rsidRPr="00666ECE" w:rsidTr="00A868EF">
              <w:tc>
                <w:tcPr>
                  <w:tcW w:w="1821" w:type="dxa"/>
                  <w:tcBorders>
                    <w:bottom w:val="single" w:sz="6" w:space="0" w:color="BFBFBF" w:themeColor="background2"/>
                  </w:tcBorders>
                  <w:shd w:val="clear" w:color="auto" w:fill="auto"/>
                </w:tcPr>
                <w:p w:rsidR="00BE59AB" w:rsidRPr="00BE59AB" w:rsidRDefault="00BE59AB" w:rsidP="00BE59AB">
                  <w:pPr>
                    <w:pStyle w:val="TableUnitsRow"/>
                    <w:jc w:val="left"/>
                    <w:rPr>
                      <w:b/>
                    </w:rPr>
                  </w:pPr>
                  <w:r w:rsidRPr="00BE59AB">
                    <w:rPr>
                      <w:b/>
                    </w:rPr>
                    <w:t>All schools</w:t>
                  </w:r>
                </w:p>
              </w:tc>
              <w:tc>
                <w:tcPr>
                  <w:tcW w:w="425" w:type="dxa"/>
                  <w:tcBorders>
                    <w:bottom w:val="single" w:sz="6" w:space="0" w:color="BFBFBF" w:themeColor="background2"/>
                  </w:tcBorders>
                  <w:vAlign w:val="center"/>
                </w:tcPr>
                <w:p w:rsidR="00BE59AB" w:rsidRPr="00BE59AB" w:rsidRDefault="00BE59AB" w:rsidP="004C2933">
                  <w:pPr>
                    <w:pStyle w:val="TableBodyText"/>
                    <w:ind w:left="0" w:right="28"/>
                    <w:rPr>
                      <w:b/>
                    </w:rPr>
                  </w:pPr>
                  <w:r w:rsidRPr="00BE59AB">
                    <w:rPr>
                      <w:b/>
                    </w:rPr>
                    <w:t>%</w:t>
                  </w:r>
                </w:p>
              </w:tc>
              <w:tc>
                <w:tcPr>
                  <w:tcW w:w="709" w:type="dxa"/>
                  <w:tcBorders>
                    <w:bottom w:val="single" w:sz="6" w:space="0" w:color="BFBFBF" w:themeColor="background2"/>
                  </w:tcBorders>
                  <w:shd w:val="clear" w:color="auto" w:fill="auto"/>
                </w:tcPr>
                <w:p w:rsidR="00BE59AB" w:rsidRPr="00BE59AB" w:rsidRDefault="00BE59AB" w:rsidP="00BE59AB">
                  <w:pPr>
                    <w:pStyle w:val="TableBodyText"/>
                    <w:rPr>
                      <w:b/>
                    </w:rPr>
                  </w:pPr>
                  <w:r w:rsidRPr="00BE59AB">
                    <w:rPr>
                      <w:b/>
                    </w:rPr>
                    <w:t>68.4</w:t>
                  </w:r>
                </w:p>
              </w:tc>
              <w:tc>
                <w:tcPr>
                  <w:tcW w:w="709" w:type="dxa"/>
                  <w:tcBorders>
                    <w:bottom w:val="single" w:sz="6" w:space="0" w:color="BFBFBF" w:themeColor="background2"/>
                  </w:tcBorders>
                  <w:shd w:val="clear" w:color="auto" w:fill="auto"/>
                </w:tcPr>
                <w:p w:rsidR="00BE59AB" w:rsidRPr="00BE59AB" w:rsidRDefault="00BE59AB" w:rsidP="00BE59AB">
                  <w:pPr>
                    <w:pStyle w:val="TableBodyText"/>
                    <w:rPr>
                      <w:b/>
                    </w:rPr>
                  </w:pPr>
                  <w:r w:rsidRPr="00BE59AB">
                    <w:rPr>
                      <w:b/>
                    </w:rPr>
                    <w:t>69.9</w:t>
                  </w:r>
                </w:p>
              </w:tc>
              <w:tc>
                <w:tcPr>
                  <w:tcW w:w="708" w:type="dxa"/>
                  <w:tcBorders>
                    <w:bottom w:val="single" w:sz="6" w:space="0" w:color="BFBFBF" w:themeColor="background2"/>
                  </w:tcBorders>
                  <w:shd w:val="clear" w:color="auto" w:fill="auto"/>
                </w:tcPr>
                <w:p w:rsidR="00BE59AB" w:rsidRPr="00BE59AB" w:rsidRDefault="00BE59AB" w:rsidP="00BE59AB">
                  <w:pPr>
                    <w:pStyle w:val="TableBodyText"/>
                    <w:rPr>
                      <w:b/>
                    </w:rPr>
                  </w:pPr>
                  <w:r w:rsidRPr="00BE59AB">
                    <w:rPr>
                      <w:b/>
                    </w:rPr>
                    <w:t>66.5</w:t>
                  </w:r>
                </w:p>
              </w:tc>
              <w:tc>
                <w:tcPr>
                  <w:tcW w:w="709" w:type="dxa"/>
                  <w:tcBorders>
                    <w:bottom w:val="single" w:sz="6" w:space="0" w:color="BFBFBF" w:themeColor="background2"/>
                  </w:tcBorders>
                  <w:shd w:val="clear" w:color="auto" w:fill="auto"/>
                </w:tcPr>
                <w:p w:rsidR="00BE59AB" w:rsidRPr="00BE59AB" w:rsidRDefault="00BE59AB" w:rsidP="00BE59AB">
                  <w:pPr>
                    <w:pStyle w:val="TableBodyText"/>
                    <w:rPr>
                      <w:b/>
                    </w:rPr>
                  </w:pPr>
                  <w:r w:rsidRPr="00BE59AB">
                    <w:rPr>
                      <w:b/>
                    </w:rPr>
                    <w:t>62.5</w:t>
                  </w:r>
                </w:p>
              </w:tc>
              <w:tc>
                <w:tcPr>
                  <w:tcW w:w="567" w:type="dxa"/>
                  <w:tcBorders>
                    <w:bottom w:val="single" w:sz="6" w:space="0" w:color="BFBFBF" w:themeColor="background2"/>
                  </w:tcBorders>
                  <w:shd w:val="clear" w:color="auto" w:fill="auto"/>
                </w:tcPr>
                <w:p w:rsidR="00BE59AB" w:rsidRPr="00BE59AB" w:rsidRDefault="00BE59AB" w:rsidP="00BE59AB">
                  <w:pPr>
                    <w:pStyle w:val="TableBodyText"/>
                    <w:rPr>
                      <w:b/>
                    </w:rPr>
                  </w:pPr>
                  <w:r w:rsidRPr="00BE59AB">
                    <w:rPr>
                      <w:b/>
                    </w:rPr>
                    <w:t>64.4</w:t>
                  </w:r>
                </w:p>
              </w:tc>
              <w:tc>
                <w:tcPr>
                  <w:tcW w:w="709" w:type="dxa"/>
                  <w:tcBorders>
                    <w:bottom w:val="single" w:sz="6" w:space="0" w:color="BFBFBF" w:themeColor="background2"/>
                  </w:tcBorders>
                  <w:shd w:val="clear" w:color="auto" w:fill="auto"/>
                </w:tcPr>
                <w:p w:rsidR="00BE59AB" w:rsidRPr="00BE59AB" w:rsidRDefault="00BE59AB" w:rsidP="00BE59AB">
                  <w:pPr>
                    <w:pStyle w:val="TableBodyText"/>
                    <w:rPr>
                      <w:b/>
                    </w:rPr>
                  </w:pPr>
                  <w:r w:rsidRPr="00BE59AB">
                    <w:rPr>
                      <w:b/>
                    </w:rPr>
                    <w:t>60.7</w:t>
                  </w:r>
                </w:p>
              </w:tc>
              <w:tc>
                <w:tcPr>
                  <w:tcW w:w="731" w:type="dxa"/>
                  <w:tcBorders>
                    <w:bottom w:val="single" w:sz="6" w:space="0" w:color="BFBFBF" w:themeColor="background2"/>
                  </w:tcBorders>
                  <w:shd w:val="clear" w:color="auto" w:fill="auto"/>
                </w:tcPr>
                <w:p w:rsidR="00BE59AB" w:rsidRPr="00BE59AB" w:rsidRDefault="00BE59AB" w:rsidP="00BE59AB">
                  <w:pPr>
                    <w:pStyle w:val="TableBodyText"/>
                    <w:rPr>
                      <w:b/>
                    </w:rPr>
                  </w:pPr>
                  <w:r w:rsidRPr="00BE59AB">
                    <w:rPr>
                      <w:b/>
                    </w:rPr>
                    <w:t>60.8</w:t>
                  </w:r>
                </w:p>
              </w:tc>
              <w:tc>
                <w:tcPr>
                  <w:tcW w:w="709" w:type="dxa"/>
                  <w:tcBorders>
                    <w:bottom w:val="single" w:sz="6" w:space="0" w:color="BFBFBF" w:themeColor="background2"/>
                  </w:tcBorders>
                  <w:shd w:val="clear" w:color="auto" w:fill="auto"/>
                </w:tcPr>
                <w:p w:rsidR="00BE59AB" w:rsidRPr="00BE59AB" w:rsidRDefault="00BE59AB" w:rsidP="00BE59AB">
                  <w:pPr>
                    <w:pStyle w:val="TableBodyText"/>
                    <w:rPr>
                      <w:b/>
                    </w:rPr>
                  </w:pPr>
                  <w:r w:rsidRPr="00BE59AB">
                    <w:rPr>
                      <w:b/>
                    </w:rPr>
                    <w:t>41.6</w:t>
                  </w:r>
                </w:p>
              </w:tc>
              <w:tc>
                <w:tcPr>
                  <w:tcW w:w="686" w:type="dxa"/>
                  <w:tcBorders>
                    <w:bottom w:val="single" w:sz="6" w:space="0" w:color="BFBFBF" w:themeColor="background2"/>
                  </w:tcBorders>
                  <w:shd w:val="clear" w:color="auto" w:fill="auto"/>
                </w:tcPr>
                <w:p w:rsidR="00BE59AB" w:rsidRPr="00BE59AB" w:rsidRDefault="00BE59AB" w:rsidP="00BE59AB">
                  <w:pPr>
                    <w:pStyle w:val="TableBodyText"/>
                    <w:rPr>
                      <w:b/>
                    </w:rPr>
                  </w:pPr>
                  <w:r w:rsidRPr="00BE59AB">
                    <w:rPr>
                      <w:b/>
                    </w:rPr>
                    <w:t>66.6</w:t>
                  </w:r>
                </w:p>
              </w:tc>
            </w:tr>
          </w:tbl>
          <w:p w:rsidR="003611D5" w:rsidRDefault="003611D5" w:rsidP="00EA54E6">
            <w:pPr>
              <w:pStyle w:val="Box"/>
            </w:pPr>
          </w:p>
        </w:tc>
      </w:tr>
      <w:tr w:rsidR="003611D5" w:rsidTr="004C2933">
        <w:trPr>
          <w:cantSplit/>
        </w:trPr>
        <w:tc>
          <w:tcPr>
            <w:tcW w:w="8767" w:type="dxa"/>
            <w:tcBorders>
              <w:top w:val="nil"/>
              <w:left w:val="nil"/>
              <w:bottom w:val="nil"/>
              <w:right w:val="nil"/>
            </w:tcBorders>
            <w:shd w:val="clear" w:color="auto" w:fill="auto"/>
          </w:tcPr>
          <w:p w:rsidR="003611D5" w:rsidRPr="003611D5" w:rsidRDefault="007C767F" w:rsidP="007C767F">
            <w:pPr>
              <w:pStyle w:val="Note"/>
            </w:pPr>
            <w:r w:rsidRPr="00953E9C">
              <w:rPr>
                <w:rStyle w:val="NoteLabel"/>
              </w:rPr>
              <w:t>a</w:t>
            </w:r>
            <w:r w:rsidRPr="00953E9C">
              <w:t xml:space="preserve"> </w:t>
            </w:r>
            <w:r w:rsidRPr="007C767F">
              <w:t>See table</w:t>
            </w:r>
            <w:r>
              <w:t>s</w:t>
            </w:r>
            <w:r w:rsidRPr="007C767F">
              <w:t xml:space="preserve"> </w:t>
            </w:r>
            <w:r>
              <w:t>4A.1–3</w:t>
            </w:r>
            <w:r w:rsidRPr="007C767F">
              <w:t xml:space="preserve"> for detailed footnotes and caveats.</w:t>
            </w:r>
            <w:r w:rsidR="003611D5" w:rsidRPr="003611D5">
              <w:t xml:space="preserve"> </w:t>
            </w:r>
          </w:p>
        </w:tc>
      </w:tr>
      <w:tr w:rsidR="003611D5" w:rsidTr="004C2933">
        <w:trPr>
          <w:cantSplit/>
        </w:trPr>
        <w:tc>
          <w:tcPr>
            <w:tcW w:w="8767" w:type="dxa"/>
            <w:tcBorders>
              <w:top w:val="nil"/>
              <w:left w:val="nil"/>
              <w:bottom w:val="nil"/>
              <w:right w:val="nil"/>
            </w:tcBorders>
            <w:shd w:val="clear" w:color="auto" w:fill="auto"/>
          </w:tcPr>
          <w:p w:rsidR="003611D5" w:rsidRDefault="003611D5" w:rsidP="00DC4FA9">
            <w:pPr>
              <w:pStyle w:val="Source"/>
            </w:pPr>
            <w:r>
              <w:rPr>
                <w:i/>
              </w:rPr>
              <w:t>Source</w:t>
            </w:r>
            <w:r w:rsidRPr="00167F06">
              <w:t xml:space="preserve">: </w:t>
            </w:r>
            <w:r w:rsidRPr="003611D5">
              <w:t>ABS (201</w:t>
            </w:r>
            <w:r w:rsidR="00DC4FA9">
              <w:t>5</w:t>
            </w:r>
            <w:r w:rsidRPr="003611D5">
              <w:t xml:space="preserve"> and unpublished) </w:t>
            </w:r>
            <w:r w:rsidRPr="003611D5">
              <w:rPr>
                <w:i/>
              </w:rPr>
              <w:t>Schools Australia 201</w:t>
            </w:r>
            <w:r w:rsidR="00DC4FA9">
              <w:rPr>
                <w:i/>
              </w:rPr>
              <w:t>4</w:t>
            </w:r>
            <w:r w:rsidRPr="003611D5">
              <w:rPr>
                <w:i/>
              </w:rPr>
              <w:t xml:space="preserve">, </w:t>
            </w:r>
            <w:r w:rsidRPr="003611D5">
              <w:t>Ca</w:t>
            </w:r>
            <w:r>
              <w:t>t. no. 4221.0; tables 4A.1–3.</w:t>
            </w:r>
          </w:p>
        </w:tc>
      </w:tr>
      <w:tr w:rsidR="003611D5" w:rsidTr="004C2933">
        <w:trPr>
          <w:cantSplit/>
        </w:trPr>
        <w:tc>
          <w:tcPr>
            <w:tcW w:w="8767" w:type="dxa"/>
            <w:tcBorders>
              <w:top w:val="nil"/>
              <w:left w:val="nil"/>
              <w:bottom w:val="single" w:sz="6" w:space="0" w:color="78A22F"/>
              <w:right w:val="nil"/>
            </w:tcBorders>
            <w:shd w:val="clear" w:color="auto" w:fill="auto"/>
          </w:tcPr>
          <w:p w:rsidR="003611D5" w:rsidRDefault="003611D5" w:rsidP="00EA54E6">
            <w:pPr>
              <w:pStyle w:val="Box"/>
              <w:spacing w:before="0" w:line="120" w:lineRule="exact"/>
            </w:pPr>
          </w:p>
        </w:tc>
      </w:tr>
      <w:tr w:rsidR="003611D5" w:rsidRPr="000863A5" w:rsidTr="004C2933">
        <w:tc>
          <w:tcPr>
            <w:tcW w:w="8767" w:type="dxa"/>
            <w:tcBorders>
              <w:top w:val="single" w:sz="6" w:space="0" w:color="78A22F"/>
              <w:left w:val="nil"/>
              <w:bottom w:val="nil"/>
              <w:right w:val="nil"/>
            </w:tcBorders>
          </w:tcPr>
          <w:p w:rsidR="003611D5" w:rsidRPr="00626D32" w:rsidRDefault="003611D5" w:rsidP="00EA54E6">
            <w:pPr>
              <w:pStyle w:val="BoxSpaceBelow"/>
            </w:pPr>
          </w:p>
        </w:tc>
      </w:tr>
    </w:tbl>
    <w:p w:rsidR="00142033" w:rsidRPr="00666ECE" w:rsidRDefault="00142033" w:rsidP="00142033">
      <w:pPr>
        <w:pStyle w:val="BodyText"/>
      </w:pPr>
      <w:r w:rsidRPr="009613EF">
        <w:t xml:space="preserve">Settlement patterns (population dispersion), the age </w:t>
      </w:r>
      <w:r>
        <w:t>distribution of the population</w:t>
      </w:r>
      <w:r w:rsidRPr="00666ECE">
        <w:t xml:space="preserve"> and educational policy influence the distribution of schools by size and level in different jurisdictions. </w:t>
      </w:r>
      <w:r w:rsidRPr="000F4F43">
        <w:rPr>
          <w:shd w:val="clear" w:color="auto" w:fill="FFFFFF" w:themeFill="background1"/>
        </w:rPr>
        <w:t xml:space="preserve">Nationally </w:t>
      </w:r>
      <w:r w:rsidR="00685D96" w:rsidRPr="000F4F43">
        <w:rPr>
          <w:shd w:val="clear" w:color="auto" w:fill="FFFFFF" w:themeFill="background1"/>
        </w:rPr>
        <w:t>in 2014</w:t>
      </w:r>
      <w:r w:rsidR="00302B1B" w:rsidRPr="000F4F43">
        <w:rPr>
          <w:shd w:val="clear" w:color="auto" w:fill="FFFFFF" w:themeFill="background1"/>
        </w:rPr>
        <w:t>,</w:t>
      </w:r>
      <w:r w:rsidR="00685D96" w:rsidRPr="000F4F43">
        <w:rPr>
          <w:shd w:val="clear" w:color="auto" w:fill="FFFFFF" w:themeFill="background1"/>
        </w:rPr>
        <w:t xml:space="preserve"> </w:t>
      </w:r>
      <w:r w:rsidR="00BE59AB" w:rsidRPr="000F4F43">
        <w:rPr>
          <w:shd w:val="clear" w:color="auto" w:fill="FFFFFF" w:themeFill="background1"/>
        </w:rPr>
        <w:t>63.6</w:t>
      </w:r>
      <w:r w:rsidRPr="000F4F43">
        <w:rPr>
          <w:shd w:val="clear" w:color="auto" w:fill="FFFFFF" w:themeFill="background1"/>
        </w:rPr>
        <w:t xml:space="preserve"> per cent of secondary schools </w:t>
      </w:r>
      <w:r w:rsidR="00685D96" w:rsidRPr="000F4F43">
        <w:rPr>
          <w:shd w:val="clear" w:color="auto" w:fill="FFFFFF" w:themeFill="background1"/>
        </w:rPr>
        <w:t xml:space="preserve">had </w:t>
      </w:r>
      <w:r w:rsidRPr="000F4F43">
        <w:rPr>
          <w:shd w:val="clear" w:color="auto" w:fill="FFFFFF" w:themeFill="background1"/>
        </w:rPr>
        <w:t>enrol</w:t>
      </w:r>
      <w:r w:rsidR="00685D96" w:rsidRPr="000F4F43">
        <w:rPr>
          <w:shd w:val="clear" w:color="auto" w:fill="FFFFFF" w:themeFill="background1"/>
        </w:rPr>
        <w:t>ments exceeding</w:t>
      </w:r>
      <w:r w:rsidRPr="000F4F43">
        <w:rPr>
          <w:shd w:val="clear" w:color="auto" w:fill="FFFFFF" w:themeFill="background1"/>
        </w:rPr>
        <w:t xml:space="preserve"> 600 students (table</w:t>
      </w:r>
      <w:r w:rsidRPr="00666ECE">
        <w:t xml:space="preserve"> 4A.</w:t>
      </w:r>
      <w:r w:rsidRPr="000E6F59">
        <w:t>2</w:t>
      </w:r>
      <w:r>
        <w:t>6</w:t>
      </w:r>
      <w:r w:rsidRPr="000E6F59">
        <w:t xml:space="preserve">). A breakdown of primary and secondary schools by </w:t>
      </w:r>
      <w:r w:rsidRPr="000E6F59">
        <w:lastRenderedPageBreak/>
        <w:t>size for government, non-government and all schools is reported in tables 4A.2</w:t>
      </w:r>
      <w:r>
        <w:t>4</w:t>
      </w:r>
      <w:r w:rsidRPr="000E6F59">
        <w:t>–2</w:t>
      </w:r>
      <w:r>
        <w:t>6</w:t>
      </w:r>
      <w:r w:rsidRPr="000E6F59">
        <w:t xml:space="preserve"> respectively.</w:t>
      </w:r>
    </w:p>
    <w:p w:rsidR="00666ECE" w:rsidRPr="000E6F59" w:rsidRDefault="00666ECE" w:rsidP="004145D6">
      <w:pPr>
        <w:pStyle w:val="Heading4"/>
      </w:pPr>
      <w:r w:rsidRPr="000E6F59">
        <w:t>Student body</w:t>
      </w:r>
    </w:p>
    <w:p w:rsidR="00666ECE" w:rsidRDefault="00666ECE" w:rsidP="004145D6">
      <w:pPr>
        <w:pStyle w:val="BodyText"/>
      </w:pPr>
      <w:r w:rsidRPr="000E6F59">
        <w:t xml:space="preserve">There </w:t>
      </w:r>
      <w:r w:rsidRPr="00FC28FD">
        <w:t xml:space="preserve">were </w:t>
      </w:r>
      <w:r w:rsidR="006F4899">
        <w:t>3.7</w:t>
      </w:r>
      <w:r w:rsidRPr="00FC28FD">
        <w:t xml:space="preserve"> million </w:t>
      </w:r>
      <w:r w:rsidRPr="000E6F59">
        <w:t>full time equivalent (FTE) student enrolments in primary and secondary schools in August 201</w:t>
      </w:r>
      <w:r w:rsidR="00DC4FA9">
        <w:t>4</w:t>
      </w:r>
      <w:r w:rsidR="005D5C8F">
        <w:t xml:space="preserve"> (see section 4.5</w:t>
      </w:r>
      <w:r w:rsidRPr="000E6F59">
        <w:t xml:space="preserve"> for a definition of FTE</w:t>
      </w:r>
      <w:r w:rsidRPr="00666ECE">
        <w:t xml:space="preserve"> student). </w:t>
      </w:r>
      <w:r w:rsidRPr="00C30F35">
        <w:t xml:space="preserve">Nationally, </w:t>
      </w:r>
      <w:r w:rsidR="006F4899">
        <w:t>48.8</w:t>
      </w:r>
      <w:r w:rsidRPr="00C30F35">
        <w:t xml:space="preserve"> per </w:t>
      </w:r>
      <w:r w:rsidRPr="00666ECE">
        <w:t>cent of FTE students in all schools were female (table 4.</w:t>
      </w:r>
      <w:r w:rsidR="005D5C8F">
        <w:t>3</w:t>
      </w:r>
      <w:r w:rsidRPr="00666ECE">
        <w:t>).</w:t>
      </w:r>
    </w:p>
    <w:p w:rsidR="00666ECE" w:rsidRPr="00666ECE" w:rsidRDefault="00666ECE" w:rsidP="004145D6">
      <w:pPr>
        <w:pStyle w:val="BodyText"/>
      </w:pPr>
      <w:r w:rsidRPr="00666ECE">
        <w:t xml:space="preserve">A higher proportion of FTE students was enrolled in primary </w:t>
      </w:r>
      <w:r w:rsidRPr="00547B02">
        <w:rPr>
          <w:shd w:val="clear" w:color="auto" w:fill="FFFFFF" w:themeFill="background1"/>
        </w:rPr>
        <w:t>schools (</w:t>
      </w:r>
      <w:r w:rsidR="006F4899">
        <w:rPr>
          <w:shd w:val="clear" w:color="auto" w:fill="FFFFFF" w:themeFill="background1"/>
        </w:rPr>
        <w:t>58.8</w:t>
      </w:r>
      <w:r w:rsidR="00587845" w:rsidRPr="00547B02">
        <w:rPr>
          <w:shd w:val="clear" w:color="auto" w:fill="FFFFFF" w:themeFill="background1"/>
        </w:rPr>
        <w:t xml:space="preserve"> </w:t>
      </w:r>
      <w:r w:rsidRPr="00547B02">
        <w:rPr>
          <w:shd w:val="clear" w:color="auto" w:fill="FFFFFF" w:themeFill="background1"/>
        </w:rPr>
        <w:t>per cent) than in secondary schools (</w:t>
      </w:r>
      <w:r w:rsidR="006F4899">
        <w:rPr>
          <w:shd w:val="clear" w:color="auto" w:fill="FFFFFF" w:themeFill="background1"/>
        </w:rPr>
        <w:t>41.2</w:t>
      </w:r>
      <w:r w:rsidRPr="00547B02">
        <w:rPr>
          <w:shd w:val="clear" w:color="auto" w:fill="FFFFFF" w:themeFill="background1"/>
        </w:rPr>
        <w:t xml:space="preserve"> per cent) (table 4.</w:t>
      </w:r>
      <w:r w:rsidR="003A273A">
        <w:rPr>
          <w:shd w:val="clear" w:color="auto" w:fill="FFFFFF" w:themeFill="background1"/>
        </w:rPr>
        <w:t>3</w:t>
      </w:r>
      <w:r w:rsidRPr="00547B02">
        <w:rPr>
          <w:shd w:val="clear" w:color="auto" w:fill="FFFFFF" w:themeFill="background1"/>
        </w:rPr>
        <w:t>). Differences</w:t>
      </w:r>
      <w:r w:rsidRPr="00666ECE">
        <w:t xml:space="preserve"> in schooling structures influence enrolment patterns</w:t>
      </w:r>
      <w:r w:rsidR="00D02C13">
        <w:t xml:space="preserve"> (see </w:t>
      </w:r>
      <w:r w:rsidRPr="00666ECE">
        <w:t>figure 4.</w:t>
      </w:r>
      <w:r w:rsidR="003A273A">
        <w:t>1</w:t>
      </w:r>
      <w:r w:rsidRPr="00666ECE">
        <w:t xml:space="preserve">). The proportion of students enrolled in primary school education </w:t>
      </w:r>
      <w:r w:rsidR="00EF142D">
        <w:t>can</w:t>
      </w:r>
      <w:r w:rsidRPr="00666ECE">
        <w:t xml:space="preserve"> be expected to be higher in jurisdictions that include year 7 in primary school (</w:t>
      </w:r>
      <w:r w:rsidR="00D02C13">
        <w:t>ie, Queensland, WA and SA</w:t>
      </w:r>
      <w:r w:rsidRPr="00666ECE">
        <w:t>).</w:t>
      </w:r>
    </w:p>
    <w:p w:rsidR="00666ECE" w:rsidRPr="00FC28FD" w:rsidRDefault="00666ECE" w:rsidP="004145D6">
      <w:pPr>
        <w:pStyle w:val="BodyText"/>
        <w:rPr>
          <w:b/>
          <w:u w:val="dotted"/>
        </w:rPr>
      </w:pPr>
      <w:r w:rsidRPr="00FC28FD">
        <w:t xml:space="preserve">Nationally, the proportion of FTE </w:t>
      </w:r>
      <w:r w:rsidRPr="00547B02">
        <w:rPr>
          <w:shd w:val="clear" w:color="auto" w:fill="FFFFFF" w:themeFill="background1"/>
        </w:rPr>
        <w:t xml:space="preserve">students enrolled in government schools was </w:t>
      </w:r>
      <w:r w:rsidR="006F4899">
        <w:rPr>
          <w:shd w:val="clear" w:color="auto" w:fill="FFFFFF" w:themeFill="background1"/>
        </w:rPr>
        <w:t>65.1</w:t>
      </w:r>
      <w:r w:rsidRPr="00547B02">
        <w:rPr>
          <w:shd w:val="clear" w:color="auto" w:fill="FFFFFF" w:themeFill="background1"/>
        </w:rPr>
        <w:t> per</w:t>
      </w:r>
      <w:r w:rsidR="008F5666">
        <w:rPr>
          <w:shd w:val="clear" w:color="auto" w:fill="FFFFFF" w:themeFill="background1"/>
        </w:rPr>
        <w:t> </w:t>
      </w:r>
      <w:r w:rsidRPr="00547B02">
        <w:rPr>
          <w:shd w:val="clear" w:color="auto" w:fill="FFFFFF" w:themeFill="background1"/>
        </w:rPr>
        <w:t>cent. A higher proportion of FTE students was enrolled in government schools at primary level (</w:t>
      </w:r>
      <w:r w:rsidR="006F4899">
        <w:rPr>
          <w:shd w:val="clear" w:color="auto" w:fill="FFFFFF" w:themeFill="background1"/>
        </w:rPr>
        <w:t>69.1</w:t>
      </w:r>
      <w:r w:rsidRPr="00547B02">
        <w:rPr>
          <w:shd w:val="clear" w:color="auto" w:fill="FFFFFF" w:themeFill="background1"/>
        </w:rPr>
        <w:t xml:space="preserve"> per cent) than at secondary level (</w:t>
      </w:r>
      <w:r w:rsidR="006F4899">
        <w:rPr>
          <w:shd w:val="clear" w:color="auto" w:fill="FFFFFF" w:themeFill="background1"/>
        </w:rPr>
        <w:t>59.3</w:t>
      </w:r>
      <w:r w:rsidRPr="00547B02">
        <w:rPr>
          <w:shd w:val="clear" w:color="auto" w:fill="FFFFFF" w:themeFill="background1"/>
        </w:rPr>
        <w:t xml:space="preserve"> per cent)</w:t>
      </w:r>
      <w:r w:rsidRPr="00FC28FD">
        <w:t xml:space="preserve"> (table 4.</w:t>
      </w:r>
      <w:r w:rsidR="003A273A">
        <w:t>3</w:t>
      </w:r>
      <w:r w:rsidRPr="00FC28FD">
        <w:t>).</w:t>
      </w:r>
    </w:p>
    <w:p w:rsidR="003611D5" w:rsidRDefault="003611D5" w:rsidP="00EA54E6">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3611D5" w:rsidTr="00BF66C5">
        <w:tc>
          <w:tcPr>
            <w:tcW w:w="8767" w:type="dxa"/>
            <w:tcBorders>
              <w:top w:val="single" w:sz="6" w:space="0" w:color="78A22F"/>
              <w:left w:val="nil"/>
              <w:bottom w:val="nil"/>
              <w:right w:val="nil"/>
            </w:tcBorders>
            <w:shd w:val="clear" w:color="auto" w:fill="auto"/>
          </w:tcPr>
          <w:p w:rsidR="003611D5" w:rsidRPr="00784A05" w:rsidRDefault="003611D5" w:rsidP="00A868EF">
            <w:pPr>
              <w:pStyle w:val="TableTitle"/>
            </w:pPr>
            <w:r>
              <w:rPr>
                <w:b w:val="0"/>
              </w:rPr>
              <w:t xml:space="preserve">Table </w:t>
            </w:r>
            <w:r w:rsidR="00B70781">
              <w:rPr>
                <w:b w:val="0"/>
              </w:rPr>
              <w:t>4.</w:t>
            </w:r>
            <w:r w:rsidR="00FF4FBD">
              <w:rPr>
                <w:b w:val="0"/>
                <w:noProof/>
              </w:rPr>
              <w:t>3</w:t>
            </w:r>
            <w:r>
              <w:tab/>
            </w:r>
            <w:r w:rsidRPr="003611D5">
              <w:t>FTE student enrolments, August 201</w:t>
            </w:r>
            <w:r w:rsidR="00DC4FA9">
              <w:t>4</w:t>
            </w:r>
            <w:r w:rsidRPr="003611D5">
              <w:rPr>
                <w:rStyle w:val="NoteLabel"/>
                <w:b/>
              </w:rPr>
              <w:t>a</w:t>
            </w:r>
            <w:r w:rsidR="007F43FC" w:rsidRPr="004B55B1">
              <w:rPr>
                <w:rStyle w:val="DraftingNote"/>
                <w:rFonts w:ascii="Times New Roman" w:hAnsi="Times New Roman"/>
                <w:b/>
              </w:rPr>
              <w:t xml:space="preserve"> </w:t>
            </w:r>
          </w:p>
        </w:tc>
      </w:tr>
      <w:tr w:rsidR="003611D5" w:rsidTr="00BF66C5">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813"/>
              <w:gridCol w:w="590"/>
              <w:gridCol w:w="835"/>
              <w:gridCol w:w="709"/>
              <w:gridCol w:w="709"/>
              <w:gridCol w:w="709"/>
              <w:gridCol w:w="708"/>
              <w:gridCol w:w="567"/>
              <w:gridCol w:w="567"/>
              <w:gridCol w:w="567"/>
              <w:gridCol w:w="709"/>
            </w:tblGrid>
            <w:tr w:rsidR="003611D5" w:rsidRPr="00666ECE" w:rsidTr="00BF66C5">
              <w:tc>
                <w:tcPr>
                  <w:tcW w:w="1813" w:type="dxa"/>
                  <w:tcBorders>
                    <w:top w:val="single" w:sz="6" w:space="0" w:color="BFBFBF" w:themeColor="background2"/>
                    <w:bottom w:val="single" w:sz="6" w:space="0" w:color="BFBFBF" w:themeColor="background2"/>
                  </w:tcBorders>
                  <w:shd w:val="clear" w:color="auto" w:fill="auto"/>
                </w:tcPr>
                <w:p w:rsidR="003611D5" w:rsidRPr="00666ECE" w:rsidRDefault="003611D5" w:rsidP="00EA54E6">
                  <w:pPr>
                    <w:keepNext/>
                    <w:keepLines/>
                    <w:spacing w:before="80" w:after="80" w:line="220" w:lineRule="atLeast"/>
                    <w:ind w:left="6" w:right="113"/>
                    <w:rPr>
                      <w:rFonts w:ascii="Arial" w:hAnsi="Arial"/>
                      <w:i/>
                      <w:sz w:val="20"/>
                      <w:szCs w:val="20"/>
                    </w:rPr>
                  </w:pPr>
                </w:p>
              </w:tc>
              <w:tc>
                <w:tcPr>
                  <w:tcW w:w="590" w:type="dxa"/>
                  <w:tcBorders>
                    <w:top w:val="single" w:sz="6" w:space="0" w:color="BFBFBF" w:themeColor="background2"/>
                    <w:bottom w:val="single" w:sz="6" w:space="0" w:color="BFBFBF" w:themeColor="background2"/>
                  </w:tcBorders>
                </w:tcPr>
                <w:p w:rsidR="003611D5" w:rsidRPr="00666ECE" w:rsidRDefault="003611D5" w:rsidP="00BF66C5">
                  <w:pPr>
                    <w:pStyle w:val="TableColumnHeading"/>
                    <w:ind w:left="0" w:right="28"/>
                  </w:pPr>
                  <w:r>
                    <w:t>Unit</w:t>
                  </w:r>
                </w:p>
              </w:tc>
              <w:tc>
                <w:tcPr>
                  <w:tcW w:w="835" w:type="dxa"/>
                  <w:tcBorders>
                    <w:top w:val="single" w:sz="6" w:space="0" w:color="BFBFBF" w:themeColor="background2"/>
                    <w:bottom w:val="single" w:sz="6" w:space="0" w:color="BFBFBF" w:themeColor="background2"/>
                  </w:tcBorders>
                  <w:shd w:val="clear" w:color="auto" w:fill="auto"/>
                </w:tcPr>
                <w:p w:rsidR="003611D5" w:rsidRPr="00666ECE" w:rsidRDefault="003611D5" w:rsidP="00BF66C5">
                  <w:pPr>
                    <w:pStyle w:val="TableColumnHeading"/>
                    <w:ind w:left="0" w:right="28"/>
                  </w:pPr>
                  <w:r w:rsidRPr="00666ECE">
                    <w:t>NSW</w:t>
                  </w:r>
                </w:p>
              </w:tc>
              <w:tc>
                <w:tcPr>
                  <w:tcW w:w="709" w:type="dxa"/>
                  <w:tcBorders>
                    <w:top w:val="single" w:sz="6" w:space="0" w:color="BFBFBF" w:themeColor="background2"/>
                    <w:bottom w:val="single" w:sz="6" w:space="0" w:color="BFBFBF" w:themeColor="background2"/>
                  </w:tcBorders>
                  <w:shd w:val="clear" w:color="auto" w:fill="auto"/>
                </w:tcPr>
                <w:p w:rsidR="003611D5" w:rsidRPr="00666ECE" w:rsidRDefault="003611D5" w:rsidP="00BF66C5">
                  <w:pPr>
                    <w:pStyle w:val="TableColumnHeading"/>
                    <w:ind w:left="0" w:right="28"/>
                  </w:pPr>
                  <w:r w:rsidRPr="00666ECE">
                    <w:t>Vic</w:t>
                  </w:r>
                </w:p>
              </w:tc>
              <w:tc>
                <w:tcPr>
                  <w:tcW w:w="709" w:type="dxa"/>
                  <w:tcBorders>
                    <w:top w:val="single" w:sz="6" w:space="0" w:color="BFBFBF" w:themeColor="background2"/>
                    <w:bottom w:val="single" w:sz="6" w:space="0" w:color="BFBFBF" w:themeColor="background2"/>
                  </w:tcBorders>
                  <w:shd w:val="clear" w:color="auto" w:fill="auto"/>
                </w:tcPr>
                <w:p w:rsidR="003611D5" w:rsidRPr="00666ECE" w:rsidRDefault="003611D5" w:rsidP="00BF66C5">
                  <w:pPr>
                    <w:pStyle w:val="TableColumnHeading"/>
                    <w:ind w:left="0" w:right="28"/>
                  </w:pPr>
                  <w:r w:rsidRPr="00666ECE">
                    <w:t>Qld</w:t>
                  </w:r>
                </w:p>
              </w:tc>
              <w:tc>
                <w:tcPr>
                  <w:tcW w:w="709" w:type="dxa"/>
                  <w:tcBorders>
                    <w:top w:val="single" w:sz="6" w:space="0" w:color="BFBFBF" w:themeColor="background2"/>
                    <w:bottom w:val="single" w:sz="6" w:space="0" w:color="BFBFBF" w:themeColor="background2"/>
                  </w:tcBorders>
                  <w:shd w:val="clear" w:color="auto" w:fill="auto"/>
                </w:tcPr>
                <w:p w:rsidR="003611D5" w:rsidRPr="00666ECE" w:rsidRDefault="003611D5" w:rsidP="00BF66C5">
                  <w:pPr>
                    <w:pStyle w:val="TableColumnHeading"/>
                    <w:ind w:left="0" w:right="28"/>
                  </w:pPr>
                  <w:r w:rsidRPr="00666ECE">
                    <w:t>WA</w:t>
                  </w:r>
                </w:p>
              </w:tc>
              <w:tc>
                <w:tcPr>
                  <w:tcW w:w="708" w:type="dxa"/>
                  <w:tcBorders>
                    <w:top w:val="single" w:sz="6" w:space="0" w:color="BFBFBF" w:themeColor="background2"/>
                    <w:bottom w:val="single" w:sz="6" w:space="0" w:color="BFBFBF" w:themeColor="background2"/>
                  </w:tcBorders>
                  <w:shd w:val="clear" w:color="auto" w:fill="auto"/>
                </w:tcPr>
                <w:p w:rsidR="003611D5" w:rsidRPr="00666ECE" w:rsidRDefault="003611D5" w:rsidP="00BF66C5">
                  <w:pPr>
                    <w:pStyle w:val="TableColumnHeading"/>
                    <w:ind w:left="0" w:right="28"/>
                  </w:pPr>
                  <w:r w:rsidRPr="00666ECE">
                    <w:t>SA</w:t>
                  </w:r>
                </w:p>
              </w:tc>
              <w:tc>
                <w:tcPr>
                  <w:tcW w:w="567" w:type="dxa"/>
                  <w:tcBorders>
                    <w:top w:val="single" w:sz="6" w:space="0" w:color="BFBFBF" w:themeColor="background2"/>
                    <w:bottom w:val="single" w:sz="6" w:space="0" w:color="BFBFBF" w:themeColor="background2"/>
                  </w:tcBorders>
                  <w:shd w:val="clear" w:color="auto" w:fill="auto"/>
                </w:tcPr>
                <w:p w:rsidR="003611D5" w:rsidRPr="00666ECE" w:rsidRDefault="003611D5" w:rsidP="00BF66C5">
                  <w:pPr>
                    <w:pStyle w:val="TableColumnHeading"/>
                    <w:ind w:left="0" w:right="28"/>
                  </w:pPr>
                  <w:r w:rsidRPr="00666ECE">
                    <w:t>Tas</w:t>
                  </w:r>
                </w:p>
              </w:tc>
              <w:tc>
                <w:tcPr>
                  <w:tcW w:w="567" w:type="dxa"/>
                  <w:tcBorders>
                    <w:top w:val="single" w:sz="6" w:space="0" w:color="BFBFBF" w:themeColor="background2"/>
                    <w:bottom w:val="single" w:sz="6" w:space="0" w:color="BFBFBF" w:themeColor="background2"/>
                  </w:tcBorders>
                  <w:shd w:val="clear" w:color="auto" w:fill="auto"/>
                </w:tcPr>
                <w:p w:rsidR="003611D5" w:rsidRPr="00666ECE" w:rsidRDefault="003611D5" w:rsidP="00BF66C5">
                  <w:pPr>
                    <w:pStyle w:val="TableColumnHeading"/>
                    <w:ind w:left="0" w:right="28"/>
                  </w:pPr>
                  <w:r w:rsidRPr="00666ECE">
                    <w:t>ACT</w:t>
                  </w:r>
                </w:p>
              </w:tc>
              <w:tc>
                <w:tcPr>
                  <w:tcW w:w="567" w:type="dxa"/>
                  <w:tcBorders>
                    <w:top w:val="single" w:sz="6" w:space="0" w:color="BFBFBF" w:themeColor="background2"/>
                    <w:bottom w:val="single" w:sz="6" w:space="0" w:color="BFBFBF" w:themeColor="background2"/>
                  </w:tcBorders>
                  <w:shd w:val="clear" w:color="auto" w:fill="auto"/>
                </w:tcPr>
                <w:p w:rsidR="003611D5" w:rsidRPr="00666ECE" w:rsidRDefault="003611D5" w:rsidP="00BF66C5">
                  <w:pPr>
                    <w:pStyle w:val="TableColumnHeading"/>
                    <w:ind w:left="0" w:right="28"/>
                  </w:pPr>
                  <w:r w:rsidRPr="00666ECE">
                    <w:t>NT</w:t>
                  </w:r>
                </w:p>
              </w:tc>
              <w:tc>
                <w:tcPr>
                  <w:tcW w:w="709" w:type="dxa"/>
                  <w:tcBorders>
                    <w:top w:val="single" w:sz="6" w:space="0" w:color="BFBFBF" w:themeColor="background2"/>
                    <w:bottom w:val="single" w:sz="6" w:space="0" w:color="BFBFBF" w:themeColor="background2"/>
                  </w:tcBorders>
                  <w:shd w:val="clear" w:color="auto" w:fill="auto"/>
                </w:tcPr>
                <w:p w:rsidR="003611D5" w:rsidRPr="00666ECE" w:rsidRDefault="003611D5" w:rsidP="00BF66C5">
                  <w:pPr>
                    <w:pStyle w:val="TableColumnHeading"/>
                    <w:ind w:left="0" w:right="28"/>
                  </w:pPr>
                  <w:r w:rsidRPr="00666ECE">
                    <w:t>Aust</w:t>
                  </w:r>
                </w:p>
              </w:tc>
            </w:tr>
            <w:tr w:rsidR="003611D5" w:rsidRPr="00BF66C5" w:rsidTr="00BF66C5">
              <w:tc>
                <w:tcPr>
                  <w:tcW w:w="7774" w:type="dxa"/>
                  <w:gridSpan w:val="10"/>
                  <w:tcBorders>
                    <w:top w:val="single" w:sz="6" w:space="0" w:color="BFBFBF" w:themeColor="background2"/>
                  </w:tcBorders>
                </w:tcPr>
                <w:p w:rsidR="003611D5" w:rsidRPr="00AE54E6" w:rsidRDefault="003611D5" w:rsidP="00BF66C5">
                  <w:pPr>
                    <w:pStyle w:val="TableUnitsRow"/>
                    <w:spacing w:before="60"/>
                    <w:jc w:val="left"/>
                    <w:rPr>
                      <w:b/>
                    </w:rPr>
                  </w:pPr>
                  <w:r w:rsidRPr="00AE54E6">
                    <w:rPr>
                      <w:b/>
                    </w:rPr>
                    <w:t xml:space="preserve">Total FTE student enrolments at level of education </w:t>
                  </w:r>
                </w:p>
              </w:tc>
              <w:tc>
                <w:tcPr>
                  <w:tcW w:w="709" w:type="dxa"/>
                  <w:tcBorders>
                    <w:top w:val="single" w:sz="6" w:space="0" w:color="BFBFBF" w:themeColor="background2"/>
                  </w:tcBorders>
                </w:tcPr>
                <w:p w:rsidR="003611D5" w:rsidRPr="00BF66C5" w:rsidRDefault="003611D5" w:rsidP="00EA54E6">
                  <w:pPr>
                    <w:keepNext/>
                    <w:keepLines/>
                    <w:spacing w:after="40" w:line="220" w:lineRule="atLeast"/>
                    <w:ind w:left="6" w:right="28"/>
                    <w:jc w:val="right"/>
                    <w:rPr>
                      <w:rFonts w:ascii="Arial" w:hAnsi="Arial"/>
                      <w:i/>
                      <w:sz w:val="20"/>
                      <w:szCs w:val="20"/>
                    </w:rPr>
                  </w:pPr>
                </w:p>
              </w:tc>
            </w:tr>
            <w:tr w:rsidR="00A868EF" w:rsidRPr="00666ECE" w:rsidTr="00BF66C5">
              <w:tc>
                <w:tcPr>
                  <w:tcW w:w="1813" w:type="dxa"/>
                </w:tcPr>
                <w:p w:rsidR="00A868EF" w:rsidRPr="00666ECE" w:rsidRDefault="00A868EF" w:rsidP="00BF66C5">
                  <w:pPr>
                    <w:pStyle w:val="TableUnitsRow"/>
                    <w:jc w:val="left"/>
                  </w:pPr>
                  <w:r w:rsidRPr="00666ECE">
                    <w:t>Primary schools</w:t>
                  </w:r>
                </w:p>
              </w:tc>
              <w:tc>
                <w:tcPr>
                  <w:tcW w:w="590" w:type="dxa"/>
                </w:tcPr>
                <w:p w:rsidR="00A868EF" w:rsidRPr="00C3749C" w:rsidRDefault="00A868EF" w:rsidP="00C3749C">
                  <w:pPr>
                    <w:pStyle w:val="TableBodyText"/>
                  </w:pPr>
                  <w:r w:rsidRPr="00C3749C">
                    <w:t>(‘000)</w:t>
                  </w:r>
                </w:p>
              </w:tc>
              <w:tc>
                <w:tcPr>
                  <w:tcW w:w="835" w:type="dxa"/>
                  <w:vAlign w:val="center"/>
                </w:tcPr>
                <w:p w:rsidR="00A868EF" w:rsidRPr="00C3749C" w:rsidRDefault="00A868EF" w:rsidP="00C3749C">
                  <w:pPr>
                    <w:pStyle w:val="TableBodyText"/>
                  </w:pPr>
                  <w:r w:rsidRPr="00C3749C">
                    <w:t>658.8</w:t>
                  </w:r>
                </w:p>
              </w:tc>
              <w:tc>
                <w:tcPr>
                  <w:tcW w:w="709" w:type="dxa"/>
                  <w:vAlign w:val="center"/>
                </w:tcPr>
                <w:p w:rsidR="00A868EF" w:rsidRPr="00C3749C" w:rsidRDefault="00A868EF" w:rsidP="00C3749C">
                  <w:pPr>
                    <w:pStyle w:val="TableBodyText"/>
                  </w:pPr>
                  <w:r w:rsidRPr="00C3749C">
                    <w:t>503.0</w:t>
                  </w:r>
                </w:p>
              </w:tc>
              <w:tc>
                <w:tcPr>
                  <w:tcW w:w="709" w:type="dxa"/>
                  <w:vAlign w:val="center"/>
                </w:tcPr>
                <w:p w:rsidR="00A868EF" w:rsidRPr="00C3749C" w:rsidRDefault="00A868EF" w:rsidP="00C3749C">
                  <w:pPr>
                    <w:pStyle w:val="TableBodyText"/>
                  </w:pPr>
                  <w:r w:rsidRPr="00C3749C">
                    <w:t>483.3</w:t>
                  </w:r>
                </w:p>
              </w:tc>
              <w:tc>
                <w:tcPr>
                  <w:tcW w:w="709" w:type="dxa"/>
                  <w:vAlign w:val="center"/>
                </w:tcPr>
                <w:p w:rsidR="00A868EF" w:rsidRPr="00C3749C" w:rsidRDefault="00A868EF" w:rsidP="00C3749C">
                  <w:pPr>
                    <w:pStyle w:val="TableBodyText"/>
                  </w:pPr>
                  <w:r w:rsidRPr="00C3749C">
                    <w:t>256.3</w:t>
                  </w:r>
                </w:p>
              </w:tc>
              <w:tc>
                <w:tcPr>
                  <w:tcW w:w="708" w:type="dxa"/>
                  <w:vAlign w:val="center"/>
                </w:tcPr>
                <w:p w:rsidR="00A868EF" w:rsidRPr="00C3749C" w:rsidRDefault="00A868EF" w:rsidP="00C3749C">
                  <w:pPr>
                    <w:pStyle w:val="TableBodyText"/>
                  </w:pPr>
                  <w:r w:rsidRPr="00C3749C">
                    <w:t>159.5</w:t>
                  </w:r>
                </w:p>
              </w:tc>
              <w:tc>
                <w:tcPr>
                  <w:tcW w:w="567" w:type="dxa"/>
                  <w:vAlign w:val="center"/>
                </w:tcPr>
                <w:p w:rsidR="00A868EF" w:rsidRPr="00C3749C" w:rsidRDefault="00A868EF" w:rsidP="00C3749C">
                  <w:pPr>
                    <w:pStyle w:val="TableBodyText"/>
                  </w:pPr>
                  <w:r w:rsidRPr="00C3749C">
                    <w:t>44.2</w:t>
                  </w:r>
                </w:p>
              </w:tc>
              <w:tc>
                <w:tcPr>
                  <w:tcW w:w="567" w:type="dxa"/>
                  <w:vAlign w:val="center"/>
                </w:tcPr>
                <w:p w:rsidR="00A868EF" w:rsidRPr="00C3749C" w:rsidRDefault="00A868EF" w:rsidP="00C3749C">
                  <w:pPr>
                    <w:pStyle w:val="TableBodyText"/>
                  </w:pPr>
                  <w:r w:rsidRPr="00C3749C">
                    <w:t>35.1</w:t>
                  </w:r>
                </w:p>
              </w:tc>
              <w:tc>
                <w:tcPr>
                  <w:tcW w:w="567" w:type="dxa"/>
                  <w:vAlign w:val="center"/>
                </w:tcPr>
                <w:p w:rsidR="00A868EF" w:rsidRPr="00C3749C" w:rsidRDefault="00A868EF" w:rsidP="00C3749C">
                  <w:pPr>
                    <w:pStyle w:val="TableBodyText"/>
                  </w:pPr>
                  <w:r w:rsidRPr="00C3749C">
                    <w:t>24.5</w:t>
                  </w:r>
                </w:p>
              </w:tc>
              <w:tc>
                <w:tcPr>
                  <w:tcW w:w="709" w:type="dxa"/>
                  <w:vAlign w:val="center"/>
                </w:tcPr>
                <w:p w:rsidR="00A868EF" w:rsidRPr="00C3749C" w:rsidRDefault="00A868EF" w:rsidP="00C3749C">
                  <w:pPr>
                    <w:pStyle w:val="TableBodyText"/>
                  </w:pPr>
                  <w:r w:rsidRPr="00C3749C">
                    <w:t>2164.6</w:t>
                  </w:r>
                </w:p>
              </w:tc>
            </w:tr>
            <w:tr w:rsidR="00A868EF" w:rsidRPr="00666ECE" w:rsidTr="00A868EF">
              <w:tc>
                <w:tcPr>
                  <w:tcW w:w="1813" w:type="dxa"/>
                </w:tcPr>
                <w:p w:rsidR="00A868EF" w:rsidRPr="00666ECE" w:rsidRDefault="00A868EF" w:rsidP="0013664B">
                  <w:pPr>
                    <w:pStyle w:val="TableUnitsRow"/>
                    <w:jc w:val="left"/>
                  </w:pPr>
                  <w:r w:rsidRPr="00666ECE">
                    <w:t>Secondary schools</w:t>
                  </w:r>
                </w:p>
              </w:tc>
              <w:tc>
                <w:tcPr>
                  <w:tcW w:w="590" w:type="dxa"/>
                </w:tcPr>
                <w:p w:rsidR="00A868EF" w:rsidRPr="00C3749C" w:rsidRDefault="00A868EF" w:rsidP="00C3749C">
                  <w:pPr>
                    <w:pStyle w:val="TableBodyText"/>
                  </w:pPr>
                  <w:r w:rsidRPr="00C3749C">
                    <w:t>(‘000)</w:t>
                  </w:r>
                </w:p>
              </w:tc>
              <w:tc>
                <w:tcPr>
                  <w:tcW w:w="835" w:type="dxa"/>
                  <w:vAlign w:val="bottom"/>
                </w:tcPr>
                <w:p w:rsidR="00A868EF" w:rsidRPr="00C3749C" w:rsidRDefault="00A868EF" w:rsidP="00C3749C">
                  <w:pPr>
                    <w:pStyle w:val="TableBodyText"/>
                  </w:pPr>
                  <w:r w:rsidRPr="00C3749C">
                    <w:t>509.5</w:t>
                  </w:r>
                </w:p>
              </w:tc>
              <w:tc>
                <w:tcPr>
                  <w:tcW w:w="709" w:type="dxa"/>
                  <w:vAlign w:val="bottom"/>
                </w:tcPr>
                <w:p w:rsidR="00A868EF" w:rsidRPr="00C3749C" w:rsidRDefault="00A868EF" w:rsidP="00C3749C">
                  <w:pPr>
                    <w:pStyle w:val="TableBodyText"/>
                  </w:pPr>
                  <w:r w:rsidRPr="00C3749C">
                    <w:t>395.6</w:t>
                  </w:r>
                </w:p>
              </w:tc>
              <w:tc>
                <w:tcPr>
                  <w:tcW w:w="709" w:type="dxa"/>
                  <w:vAlign w:val="bottom"/>
                </w:tcPr>
                <w:p w:rsidR="00A868EF" w:rsidRPr="00C3749C" w:rsidRDefault="00A868EF" w:rsidP="00C3749C">
                  <w:pPr>
                    <w:pStyle w:val="TableBodyText"/>
                  </w:pPr>
                  <w:r w:rsidRPr="00C3749C">
                    <w:t>292.8</w:t>
                  </w:r>
                </w:p>
              </w:tc>
              <w:tc>
                <w:tcPr>
                  <w:tcW w:w="709" w:type="dxa"/>
                  <w:vAlign w:val="bottom"/>
                </w:tcPr>
                <w:p w:rsidR="00A868EF" w:rsidRPr="00C3749C" w:rsidRDefault="00A868EF" w:rsidP="00C3749C">
                  <w:pPr>
                    <w:pStyle w:val="TableBodyText"/>
                  </w:pPr>
                  <w:r w:rsidRPr="00C3749C">
                    <w:t>136.1</w:t>
                  </w:r>
                </w:p>
              </w:tc>
              <w:tc>
                <w:tcPr>
                  <w:tcW w:w="708" w:type="dxa"/>
                  <w:vAlign w:val="bottom"/>
                </w:tcPr>
                <w:p w:rsidR="00A868EF" w:rsidRPr="00C3749C" w:rsidRDefault="00A868EF" w:rsidP="00C3749C">
                  <w:pPr>
                    <w:pStyle w:val="TableBodyText"/>
                  </w:pPr>
                  <w:r w:rsidRPr="00C3749C">
                    <w:t>101.5</w:t>
                  </w:r>
                </w:p>
              </w:tc>
              <w:tc>
                <w:tcPr>
                  <w:tcW w:w="567" w:type="dxa"/>
                  <w:vAlign w:val="bottom"/>
                </w:tcPr>
                <w:p w:rsidR="00A868EF" w:rsidRPr="00C3749C" w:rsidRDefault="00A868EF" w:rsidP="00C3749C">
                  <w:pPr>
                    <w:pStyle w:val="TableBodyText"/>
                  </w:pPr>
                  <w:r w:rsidRPr="00C3749C">
                    <w:t>36.5</w:t>
                  </w:r>
                </w:p>
              </w:tc>
              <w:tc>
                <w:tcPr>
                  <w:tcW w:w="567" w:type="dxa"/>
                  <w:vAlign w:val="bottom"/>
                </w:tcPr>
                <w:p w:rsidR="00A868EF" w:rsidRPr="00C3749C" w:rsidRDefault="00A868EF" w:rsidP="00C3749C">
                  <w:pPr>
                    <w:pStyle w:val="TableBodyText"/>
                  </w:pPr>
                  <w:r w:rsidRPr="00C3749C">
                    <w:t>29.5</w:t>
                  </w:r>
                </w:p>
              </w:tc>
              <w:tc>
                <w:tcPr>
                  <w:tcW w:w="567" w:type="dxa"/>
                  <w:vAlign w:val="bottom"/>
                </w:tcPr>
                <w:p w:rsidR="00A868EF" w:rsidRPr="00C3749C" w:rsidRDefault="00A868EF" w:rsidP="00C3749C">
                  <w:pPr>
                    <w:pStyle w:val="TableBodyText"/>
                  </w:pPr>
                  <w:r w:rsidRPr="00C3749C">
                    <w:t>16.3</w:t>
                  </w:r>
                </w:p>
              </w:tc>
              <w:tc>
                <w:tcPr>
                  <w:tcW w:w="709" w:type="dxa"/>
                  <w:vAlign w:val="bottom"/>
                </w:tcPr>
                <w:p w:rsidR="00A868EF" w:rsidRPr="00C3749C" w:rsidRDefault="00A868EF" w:rsidP="00C3749C">
                  <w:pPr>
                    <w:pStyle w:val="TableBodyText"/>
                  </w:pPr>
                  <w:r w:rsidRPr="00C3749C">
                    <w:t>1517.7</w:t>
                  </w:r>
                </w:p>
              </w:tc>
            </w:tr>
            <w:tr w:rsidR="00A868EF" w:rsidRPr="00666ECE" w:rsidTr="00C3749C">
              <w:tc>
                <w:tcPr>
                  <w:tcW w:w="1813" w:type="dxa"/>
                </w:tcPr>
                <w:p w:rsidR="00A868EF" w:rsidRPr="00666ECE" w:rsidRDefault="00A868EF" w:rsidP="0013664B">
                  <w:pPr>
                    <w:pStyle w:val="TableUnitsRow"/>
                    <w:jc w:val="left"/>
                    <w:rPr>
                      <w:b/>
                    </w:rPr>
                  </w:pPr>
                  <w:r w:rsidRPr="00666ECE">
                    <w:rPr>
                      <w:b/>
                    </w:rPr>
                    <w:t>All schools</w:t>
                  </w:r>
                </w:p>
              </w:tc>
              <w:tc>
                <w:tcPr>
                  <w:tcW w:w="590" w:type="dxa"/>
                  <w:vAlign w:val="bottom"/>
                </w:tcPr>
                <w:p w:rsidR="00A868EF" w:rsidRPr="00C3749C" w:rsidRDefault="00A868EF" w:rsidP="00C3749C">
                  <w:pPr>
                    <w:pStyle w:val="TableBodyText"/>
                    <w:rPr>
                      <w:b/>
                    </w:rPr>
                  </w:pPr>
                  <w:r w:rsidRPr="00C3749C">
                    <w:rPr>
                      <w:b/>
                    </w:rPr>
                    <w:t>(‘000)</w:t>
                  </w:r>
                </w:p>
              </w:tc>
              <w:tc>
                <w:tcPr>
                  <w:tcW w:w="835" w:type="dxa"/>
                  <w:vAlign w:val="bottom"/>
                </w:tcPr>
                <w:p w:rsidR="00A868EF" w:rsidRPr="00C3749C" w:rsidRDefault="00A868EF" w:rsidP="00C3749C">
                  <w:pPr>
                    <w:pStyle w:val="TableBodyText"/>
                    <w:rPr>
                      <w:b/>
                    </w:rPr>
                  </w:pPr>
                  <w:r w:rsidRPr="00C3749C">
                    <w:rPr>
                      <w:b/>
                    </w:rPr>
                    <w:t>1168.3</w:t>
                  </w:r>
                </w:p>
              </w:tc>
              <w:tc>
                <w:tcPr>
                  <w:tcW w:w="709" w:type="dxa"/>
                  <w:vAlign w:val="bottom"/>
                </w:tcPr>
                <w:p w:rsidR="00A868EF" w:rsidRPr="00C3749C" w:rsidRDefault="00A868EF" w:rsidP="00C3749C">
                  <w:pPr>
                    <w:pStyle w:val="TableBodyText"/>
                    <w:rPr>
                      <w:b/>
                    </w:rPr>
                  </w:pPr>
                  <w:r w:rsidRPr="00C3749C">
                    <w:rPr>
                      <w:b/>
                    </w:rPr>
                    <w:t>898.5</w:t>
                  </w:r>
                </w:p>
              </w:tc>
              <w:tc>
                <w:tcPr>
                  <w:tcW w:w="709" w:type="dxa"/>
                  <w:vAlign w:val="bottom"/>
                </w:tcPr>
                <w:p w:rsidR="00A868EF" w:rsidRPr="00C3749C" w:rsidRDefault="00A868EF" w:rsidP="00C3749C">
                  <w:pPr>
                    <w:pStyle w:val="TableBodyText"/>
                    <w:rPr>
                      <w:b/>
                    </w:rPr>
                  </w:pPr>
                  <w:r w:rsidRPr="00C3749C">
                    <w:rPr>
                      <w:b/>
                    </w:rPr>
                    <w:t>776.0</w:t>
                  </w:r>
                </w:p>
              </w:tc>
              <w:tc>
                <w:tcPr>
                  <w:tcW w:w="709" w:type="dxa"/>
                  <w:vAlign w:val="bottom"/>
                </w:tcPr>
                <w:p w:rsidR="00A868EF" w:rsidRPr="00C3749C" w:rsidRDefault="00A868EF" w:rsidP="00C3749C">
                  <w:pPr>
                    <w:pStyle w:val="TableBodyText"/>
                    <w:rPr>
                      <w:b/>
                    </w:rPr>
                  </w:pPr>
                  <w:r w:rsidRPr="00C3749C">
                    <w:rPr>
                      <w:b/>
                    </w:rPr>
                    <w:t>392.4</w:t>
                  </w:r>
                </w:p>
              </w:tc>
              <w:tc>
                <w:tcPr>
                  <w:tcW w:w="708" w:type="dxa"/>
                  <w:vAlign w:val="bottom"/>
                </w:tcPr>
                <w:p w:rsidR="00A868EF" w:rsidRPr="00C3749C" w:rsidRDefault="00A868EF" w:rsidP="00C3749C">
                  <w:pPr>
                    <w:pStyle w:val="TableBodyText"/>
                    <w:rPr>
                      <w:b/>
                    </w:rPr>
                  </w:pPr>
                  <w:r w:rsidRPr="00C3749C">
                    <w:rPr>
                      <w:b/>
                    </w:rPr>
                    <w:t>261.0</w:t>
                  </w:r>
                </w:p>
              </w:tc>
              <w:tc>
                <w:tcPr>
                  <w:tcW w:w="567" w:type="dxa"/>
                  <w:vAlign w:val="bottom"/>
                </w:tcPr>
                <w:p w:rsidR="00A868EF" w:rsidRPr="00C3749C" w:rsidRDefault="00A868EF" w:rsidP="00C3749C">
                  <w:pPr>
                    <w:pStyle w:val="TableBodyText"/>
                    <w:rPr>
                      <w:b/>
                    </w:rPr>
                  </w:pPr>
                  <w:r w:rsidRPr="00C3749C">
                    <w:rPr>
                      <w:b/>
                    </w:rPr>
                    <w:t>80.7</w:t>
                  </w:r>
                </w:p>
              </w:tc>
              <w:tc>
                <w:tcPr>
                  <w:tcW w:w="567" w:type="dxa"/>
                  <w:vAlign w:val="bottom"/>
                </w:tcPr>
                <w:p w:rsidR="00A868EF" w:rsidRPr="00C3749C" w:rsidRDefault="00A868EF" w:rsidP="00C3749C">
                  <w:pPr>
                    <w:pStyle w:val="TableBodyText"/>
                    <w:rPr>
                      <w:b/>
                    </w:rPr>
                  </w:pPr>
                  <w:r w:rsidRPr="00C3749C">
                    <w:rPr>
                      <w:b/>
                    </w:rPr>
                    <w:t>64.5</w:t>
                  </w:r>
                </w:p>
              </w:tc>
              <w:tc>
                <w:tcPr>
                  <w:tcW w:w="567" w:type="dxa"/>
                  <w:vAlign w:val="bottom"/>
                </w:tcPr>
                <w:p w:rsidR="00A868EF" w:rsidRPr="00C3749C" w:rsidRDefault="00A868EF" w:rsidP="00C3749C">
                  <w:pPr>
                    <w:pStyle w:val="TableBodyText"/>
                    <w:rPr>
                      <w:b/>
                    </w:rPr>
                  </w:pPr>
                  <w:r w:rsidRPr="00C3749C">
                    <w:rPr>
                      <w:b/>
                    </w:rPr>
                    <w:t>40.7</w:t>
                  </w:r>
                </w:p>
              </w:tc>
              <w:tc>
                <w:tcPr>
                  <w:tcW w:w="709" w:type="dxa"/>
                  <w:vAlign w:val="bottom"/>
                </w:tcPr>
                <w:p w:rsidR="00A868EF" w:rsidRPr="00C3749C" w:rsidRDefault="00A868EF" w:rsidP="00C3749C">
                  <w:pPr>
                    <w:pStyle w:val="TableBodyText"/>
                    <w:rPr>
                      <w:b/>
                    </w:rPr>
                  </w:pPr>
                  <w:r w:rsidRPr="00C3749C">
                    <w:rPr>
                      <w:b/>
                    </w:rPr>
                    <w:t>3682.3</w:t>
                  </w:r>
                </w:p>
              </w:tc>
            </w:tr>
            <w:tr w:rsidR="003611D5" w:rsidRPr="00BF66C5" w:rsidTr="00BF66C5">
              <w:tc>
                <w:tcPr>
                  <w:tcW w:w="7207" w:type="dxa"/>
                  <w:gridSpan w:val="9"/>
                </w:tcPr>
                <w:p w:rsidR="003611D5" w:rsidRPr="00AE54E6" w:rsidRDefault="003611D5" w:rsidP="00BF66C5">
                  <w:pPr>
                    <w:pStyle w:val="TableUnitsRow"/>
                    <w:spacing w:before="120"/>
                    <w:ind w:left="720" w:hanging="714"/>
                    <w:jc w:val="left"/>
                    <w:rPr>
                      <w:b/>
                    </w:rPr>
                  </w:pPr>
                  <w:r w:rsidRPr="00AE54E6">
                    <w:rPr>
                      <w:b/>
                    </w:rPr>
                    <w:t>Proportion of FTE students who were enrolled in government schools</w:t>
                  </w:r>
                </w:p>
              </w:tc>
              <w:tc>
                <w:tcPr>
                  <w:tcW w:w="567" w:type="dxa"/>
                </w:tcPr>
                <w:p w:rsidR="003611D5" w:rsidRPr="00AE54E6" w:rsidRDefault="003611D5" w:rsidP="00BF66C5">
                  <w:pPr>
                    <w:pStyle w:val="TableBodyText"/>
                    <w:ind w:left="720" w:hanging="714"/>
                  </w:pPr>
                </w:p>
              </w:tc>
              <w:tc>
                <w:tcPr>
                  <w:tcW w:w="709" w:type="dxa"/>
                </w:tcPr>
                <w:p w:rsidR="003611D5" w:rsidRPr="00BF66C5" w:rsidRDefault="003611D5" w:rsidP="00BF66C5">
                  <w:pPr>
                    <w:pStyle w:val="TableBodyText"/>
                    <w:ind w:left="720" w:hanging="714"/>
                    <w:rPr>
                      <w:i/>
                    </w:rPr>
                  </w:pPr>
                </w:p>
              </w:tc>
            </w:tr>
            <w:tr w:rsidR="00A868EF" w:rsidRPr="00DF62FE" w:rsidTr="00BF66C5">
              <w:tc>
                <w:tcPr>
                  <w:tcW w:w="1813" w:type="dxa"/>
                </w:tcPr>
                <w:p w:rsidR="00A868EF" w:rsidRPr="00666ECE" w:rsidRDefault="00A868EF" w:rsidP="00BF66C5">
                  <w:pPr>
                    <w:pStyle w:val="TableUnitsRow"/>
                    <w:jc w:val="left"/>
                  </w:pPr>
                  <w:r w:rsidRPr="00666ECE">
                    <w:t>Primary schools</w:t>
                  </w:r>
                </w:p>
              </w:tc>
              <w:tc>
                <w:tcPr>
                  <w:tcW w:w="590" w:type="dxa"/>
                </w:tcPr>
                <w:p w:rsidR="00A868EF" w:rsidRPr="00FC28FD" w:rsidRDefault="00A868EF" w:rsidP="00BF66C5">
                  <w:pPr>
                    <w:pStyle w:val="TableBodyText"/>
                    <w:spacing w:before="40"/>
                    <w:ind w:left="0" w:right="28"/>
                  </w:pPr>
                  <w:r>
                    <w:t>%</w:t>
                  </w:r>
                </w:p>
              </w:tc>
              <w:tc>
                <w:tcPr>
                  <w:tcW w:w="835" w:type="dxa"/>
                  <w:vAlign w:val="bottom"/>
                </w:tcPr>
                <w:p w:rsidR="00A868EF" w:rsidRDefault="00A868EF" w:rsidP="00A868EF">
                  <w:pPr>
                    <w:pStyle w:val="TableBodyText"/>
                  </w:pPr>
                  <w:r>
                    <w:t>69.5</w:t>
                  </w:r>
                </w:p>
              </w:tc>
              <w:tc>
                <w:tcPr>
                  <w:tcW w:w="709" w:type="dxa"/>
                  <w:vAlign w:val="bottom"/>
                </w:tcPr>
                <w:p w:rsidR="00A868EF" w:rsidRDefault="00A868EF" w:rsidP="00A868EF">
                  <w:pPr>
                    <w:pStyle w:val="TableBodyText"/>
                  </w:pPr>
                  <w:r>
                    <w:t>67.5</w:t>
                  </w:r>
                </w:p>
              </w:tc>
              <w:tc>
                <w:tcPr>
                  <w:tcW w:w="709" w:type="dxa"/>
                  <w:vAlign w:val="bottom"/>
                </w:tcPr>
                <w:p w:rsidR="00A868EF" w:rsidRDefault="00A868EF" w:rsidP="00A868EF">
                  <w:pPr>
                    <w:pStyle w:val="TableBodyText"/>
                  </w:pPr>
                  <w:r>
                    <w:t>70.2</w:t>
                  </w:r>
                </w:p>
              </w:tc>
              <w:tc>
                <w:tcPr>
                  <w:tcW w:w="709" w:type="dxa"/>
                  <w:vAlign w:val="bottom"/>
                </w:tcPr>
                <w:p w:rsidR="00A868EF" w:rsidRDefault="00A868EF" w:rsidP="00A868EF">
                  <w:pPr>
                    <w:pStyle w:val="TableBodyText"/>
                  </w:pPr>
                  <w:r>
                    <w:t>70.2</w:t>
                  </w:r>
                </w:p>
              </w:tc>
              <w:tc>
                <w:tcPr>
                  <w:tcW w:w="708" w:type="dxa"/>
                  <w:vAlign w:val="bottom"/>
                </w:tcPr>
                <w:p w:rsidR="00A868EF" w:rsidRDefault="00A868EF" w:rsidP="00A868EF">
                  <w:pPr>
                    <w:pStyle w:val="TableBodyText"/>
                  </w:pPr>
                  <w:r>
                    <w:t>65.9</w:t>
                  </w:r>
                </w:p>
              </w:tc>
              <w:tc>
                <w:tcPr>
                  <w:tcW w:w="567" w:type="dxa"/>
                  <w:vAlign w:val="bottom"/>
                </w:tcPr>
                <w:p w:rsidR="00A868EF" w:rsidRDefault="00A868EF" w:rsidP="00A868EF">
                  <w:pPr>
                    <w:pStyle w:val="TableBodyText"/>
                  </w:pPr>
                  <w:r>
                    <w:t>73.1</w:t>
                  </w:r>
                </w:p>
              </w:tc>
              <w:tc>
                <w:tcPr>
                  <w:tcW w:w="567" w:type="dxa"/>
                  <w:vAlign w:val="bottom"/>
                </w:tcPr>
                <w:p w:rsidR="00A868EF" w:rsidRDefault="00A868EF" w:rsidP="00A868EF">
                  <w:pPr>
                    <w:pStyle w:val="TableBodyText"/>
                  </w:pPr>
                  <w:r>
                    <w:t>61.0</w:t>
                  </w:r>
                </w:p>
              </w:tc>
              <w:tc>
                <w:tcPr>
                  <w:tcW w:w="567" w:type="dxa"/>
                  <w:vAlign w:val="bottom"/>
                </w:tcPr>
                <w:p w:rsidR="00A868EF" w:rsidRDefault="00A868EF" w:rsidP="00A868EF">
                  <w:pPr>
                    <w:pStyle w:val="TableBodyText"/>
                  </w:pPr>
                  <w:r>
                    <w:t>77.4</w:t>
                  </w:r>
                </w:p>
              </w:tc>
              <w:tc>
                <w:tcPr>
                  <w:tcW w:w="709" w:type="dxa"/>
                  <w:vAlign w:val="bottom"/>
                </w:tcPr>
                <w:p w:rsidR="00A868EF" w:rsidRDefault="00A868EF" w:rsidP="00447017">
                  <w:pPr>
                    <w:pStyle w:val="TableBodyText"/>
                    <w:ind w:right="0"/>
                  </w:pPr>
                  <w:r>
                    <w:t>69.1</w:t>
                  </w:r>
                </w:p>
              </w:tc>
            </w:tr>
            <w:tr w:rsidR="00A868EF" w:rsidRPr="00DF62FE" w:rsidTr="00BF66C5">
              <w:tc>
                <w:tcPr>
                  <w:tcW w:w="1813" w:type="dxa"/>
                </w:tcPr>
                <w:p w:rsidR="00A868EF" w:rsidRPr="00666ECE" w:rsidRDefault="00A868EF" w:rsidP="0013664B">
                  <w:pPr>
                    <w:pStyle w:val="TableUnitsRow"/>
                    <w:jc w:val="left"/>
                  </w:pPr>
                  <w:r w:rsidRPr="00666ECE">
                    <w:t>Secondary schools</w:t>
                  </w:r>
                </w:p>
              </w:tc>
              <w:tc>
                <w:tcPr>
                  <w:tcW w:w="590" w:type="dxa"/>
                </w:tcPr>
                <w:p w:rsidR="00A868EF" w:rsidRDefault="00A868EF" w:rsidP="00BF66C5">
                  <w:pPr>
                    <w:pStyle w:val="TableBodyText"/>
                    <w:ind w:left="0" w:right="28"/>
                  </w:pPr>
                  <w:r w:rsidRPr="000F61EF">
                    <w:t>%</w:t>
                  </w:r>
                </w:p>
              </w:tc>
              <w:tc>
                <w:tcPr>
                  <w:tcW w:w="835" w:type="dxa"/>
                  <w:vAlign w:val="bottom"/>
                </w:tcPr>
                <w:p w:rsidR="00A868EF" w:rsidRDefault="00A868EF" w:rsidP="00A868EF">
                  <w:pPr>
                    <w:pStyle w:val="TableBodyText"/>
                  </w:pPr>
                  <w:r>
                    <w:t>60.0</w:t>
                  </w:r>
                </w:p>
              </w:tc>
              <w:tc>
                <w:tcPr>
                  <w:tcW w:w="709" w:type="dxa"/>
                  <w:vAlign w:val="bottom"/>
                </w:tcPr>
                <w:p w:rsidR="00A868EF" w:rsidRDefault="00A868EF" w:rsidP="00A868EF">
                  <w:pPr>
                    <w:pStyle w:val="TableBodyText"/>
                  </w:pPr>
                  <w:r>
                    <w:t>57.0</w:t>
                  </w:r>
                </w:p>
              </w:tc>
              <w:tc>
                <w:tcPr>
                  <w:tcW w:w="709" w:type="dxa"/>
                  <w:vAlign w:val="bottom"/>
                </w:tcPr>
                <w:p w:rsidR="00A868EF" w:rsidRDefault="00A868EF" w:rsidP="00A868EF">
                  <w:pPr>
                    <w:pStyle w:val="TableBodyText"/>
                  </w:pPr>
                  <w:r>
                    <w:t>61.1</w:t>
                  </w:r>
                </w:p>
              </w:tc>
              <w:tc>
                <w:tcPr>
                  <w:tcW w:w="709" w:type="dxa"/>
                  <w:vAlign w:val="bottom"/>
                </w:tcPr>
                <w:p w:rsidR="00A868EF" w:rsidRDefault="00A868EF" w:rsidP="00A868EF">
                  <w:pPr>
                    <w:pStyle w:val="TableBodyText"/>
                  </w:pPr>
                  <w:r>
                    <w:t>58.2</w:t>
                  </w:r>
                </w:p>
              </w:tc>
              <w:tc>
                <w:tcPr>
                  <w:tcW w:w="708" w:type="dxa"/>
                  <w:vAlign w:val="bottom"/>
                </w:tcPr>
                <w:p w:rsidR="00A868EF" w:rsidRDefault="00A868EF" w:rsidP="00A868EF">
                  <w:pPr>
                    <w:pStyle w:val="TableBodyText"/>
                  </w:pPr>
                  <w:r>
                    <w:t>60.1</w:t>
                  </w:r>
                </w:p>
              </w:tc>
              <w:tc>
                <w:tcPr>
                  <w:tcW w:w="567" w:type="dxa"/>
                  <w:vAlign w:val="bottom"/>
                </w:tcPr>
                <w:p w:rsidR="00A868EF" w:rsidRDefault="00A868EF" w:rsidP="00A868EF">
                  <w:pPr>
                    <w:pStyle w:val="TableBodyText"/>
                  </w:pPr>
                  <w:r>
                    <w:t>66.6</w:t>
                  </w:r>
                </w:p>
              </w:tc>
              <w:tc>
                <w:tcPr>
                  <w:tcW w:w="567" w:type="dxa"/>
                  <w:vAlign w:val="bottom"/>
                </w:tcPr>
                <w:p w:rsidR="00A868EF" w:rsidRDefault="00A868EF" w:rsidP="00A868EF">
                  <w:pPr>
                    <w:pStyle w:val="TableBodyText"/>
                  </w:pPr>
                  <w:r>
                    <w:t>53.9</w:t>
                  </w:r>
                </w:p>
              </w:tc>
              <w:tc>
                <w:tcPr>
                  <w:tcW w:w="567" w:type="dxa"/>
                  <w:vAlign w:val="bottom"/>
                </w:tcPr>
                <w:p w:rsidR="00A868EF" w:rsidRDefault="00A868EF" w:rsidP="00A868EF">
                  <w:pPr>
                    <w:pStyle w:val="TableBodyText"/>
                  </w:pPr>
                  <w:r>
                    <w:t>64.8</w:t>
                  </w:r>
                </w:p>
              </w:tc>
              <w:tc>
                <w:tcPr>
                  <w:tcW w:w="709" w:type="dxa"/>
                  <w:vAlign w:val="bottom"/>
                </w:tcPr>
                <w:p w:rsidR="00A868EF" w:rsidRDefault="00A868EF" w:rsidP="00447017">
                  <w:pPr>
                    <w:pStyle w:val="TableBodyText"/>
                    <w:ind w:right="0"/>
                  </w:pPr>
                  <w:r>
                    <w:t>59.3</w:t>
                  </w:r>
                </w:p>
              </w:tc>
            </w:tr>
            <w:tr w:rsidR="00A868EF" w:rsidRPr="00DF62FE" w:rsidTr="00BF66C5">
              <w:tc>
                <w:tcPr>
                  <w:tcW w:w="1813" w:type="dxa"/>
                </w:tcPr>
                <w:p w:rsidR="00A868EF" w:rsidRPr="00666ECE" w:rsidRDefault="00A868EF" w:rsidP="0013664B">
                  <w:pPr>
                    <w:pStyle w:val="TableUnitsRow"/>
                    <w:jc w:val="left"/>
                    <w:rPr>
                      <w:b/>
                    </w:rPr>
                  </w:pPr>
                  <w:r w:rsidRPr="00666ECE">
                    <w:rPr>
                      <w:b/>
                    </w:rPr>
                    <w:t>All schools</w:t>
                  </w:r>
                </w:p>
              </w:tc>
              <w:tc>
                <w:tcPr>
                  <w:tcW w:w="590" w:type="dxa"/>
                </w:tcPr>
                <w:p w:rsidR="00A868EF" w:rsidRPr="0027264A" w:rsidRDefault="00A868EF" w:rsidP="00BF66C5">
                  <w:pPr>
                    <w:pStyle w:val="TableBodyText"/>
                    <w:ind w:left="0" w:right="28"/>
                    <w:rPr>
                      <w:b/>
                    </w:rPr>
                  </w:pPr>
                  <w:r w:rsidRPr="0027264A">
                    <w:rPr>
                      <w:b/>
                    </w:rPr>
                    <w:t>%</w:t>
                  </w:r>
                </w:p>
              </w:tc>
              <w:tc>
                <w:tcPr>
                  <w:tcW w:w="835" w:type="dxa"/>
                  <w:vAlign w:val="bottom"/>
                </w:tcPr>
                <w:p w:rsidR="00A868EF" w:rsidRPr="003A273A" w:rsidRDefault="00A868EF" w:rsidP="00A868EF">
                  <w:pPr>
                    <w:pStyle w:val="TableBodyText"/>
                    <w:rPr>
                      <w:b/>
                    </w:rPr>
                  </w:pPr>
                  <w:r w:rsidRPr="003A273A">
                    <w:rPr>
                      <w:b/>
                    </w:rPr>
                    <w:t>65.4</w:t>
                  </w:r>
                </w:p>
              </w:tc>
              <w:tc>
                <w:tcPr>
                  <w:tcW w:w="709" w:type="dxa"/>
                  <w:vAlign w:val="bottom"/>
                </w:tcPr>
                <w:p w:rsidR="00A868EF" w:rsidRPr="003A273A" w:rsidRDefault="00A868EF" w:rsidP="00A868EF">
                  <w:pPr>
                    <w:pStyle w:val="TableBodyText"/>
                    <w:rPr>
                      <w:b/>
                    </w:rPr>
                  </w:pPr>
                  <w:r w:rsidRPr="003A273A">
                    <w:rPr>
                      <w:b/>
                    </w:rPr>
                    <w:t>62.9</w:t>
                  </w:r>
                </w:p>
              </w:tc>
              <w:tc>
                <w:tcPr>
                  <w:tcW w:w="709" w:type="dxa"/>
                  <w:vAlign w:val="bottom"/>
                </w:tcPr>
                <w:p w:rsidR="00A868EF" w:rsidRPr="003A273A" w:rsidRDefault="00A868EF" w:rsidP="00A868EF">
                  <w:pPr>
                    <w:pStyle w:val="TableBodyText"/>
                    <w:rPr>
                      <w:b/>
                    </w:rPr>
                  </w:pPr>
                  <w:r w:rsidRPr="003A273A">
                    <w:rPr>
                      <w:b/>
                    </w:rPr>
                    <w:t>66.8</w:t>
                  </w:r>
                </w:p>
              </w:tc>
              <w:tc>
                <w:tcPr>
                  <w:tcW w:w="709" w:type="dxa"/>
                  <w:vAlign w:val="bottom"/>
                </w:tcPr>
                <w:p w:rsidR="00A868EF" w:rsidRPr="003A273A" w:rsidRDefault="00A868EF" w:rsidP="00A868EF">
                  <w:pPr>
                    <w:pStyle w:val="TableBodyText"/>
                    <w:rPr>
                      <w:b/>
                    </w:rPr>
                  </w:pPr>
                  <w:r w:rsidRPr="003A273A">
                    <w:rPr>
                      <w:b/>
                    </w:rPr>
                    <w:t>66.0</w:t>
                  </w:r>
                </w:p>
              </w:tc>
              <w:tc>
                <w:tcPr>
                  <w:tcW w:w="708" w:type="dxa"/>
                  <w:vAlign w:val="bottom"/>
                </w:tcPr>
                <w:p w:rsidR="00A868EF" w:rsidRPr="003A273A" w:rsidRDefault="00A868EF" w:rsidP="00A868EF">
                  <w:pPr>
                    <w:pStyle w:val="TableBodyText"/>
                    <w:rPr>
                      <w:b/>
                    </w:rPr>
                  </w:pPr>
                  <w:r w:rsidRPr="003A273A">
                    <w:rPr>
                      <w:b/>
                    </w:rPr>
                    <w:t>63.7</w:t>
                  </w:r>
                </w:p>
              </w:tc>
              <w:tc>
                <w:tcPr>
                  <w:tcW w:w="567" w:type="dxa"/>
                  <w:vAlign w:val="bottom"/>
                </w:tcPr>
                <w:p w:rsidR="00A868EF" w:rsidRPr="003A273A" w:rsidRDefault="00A868EF" w:rsidP="00A868EF">
                  <w:pPr>
                    <w:pStyle w:val="TableBodyText"/>
                    <w:rPr>
                      <w:b/>
                    </w:rPr>
                  </w:pPr>
                  <w:r w:rsidRPr="003A273A">
                    <w:rPr>
                      <w:b/>
                    </w:rPr>
                    <w:t>70.2</w:t>
                  </w:r>
                </w:p>
              </w:tc>
              <w:tc>
                <w:tcPr>
                  <w:tcW w:w="567" w:type="dxa"/>
                  <w:vAlign w:val="bottom"/>
                </w:tcPr>
                <w:p w:rsidR="00A868EF" w:rsidRPr="003A273A" w:rsidRDefault="00A868EF" w:rsidP="00A868EF">
                  <w:pPr>
                    <w:pStyle w:val="TableBodyText"/>
                    <w:rPr>
                      <w:b/>
                    </w:rPr>
                  </w:pPr>
                  <w:r w:rsidRPr="003A273A">
                    <w:rPr>
                      <w:b/>
                    </w:rPr>
                    <w:t>57.8</w:t>
                  </w:r>
                </w:p>
              </w:tc>
              <w:tc>
                <w:tcPr>
                  <w:tcW w:w="567" w:type="dxa"/>
                  <w:vAlign w:val="bottom"/>
                </w:tcPr>
                <w:p w:rsidR="00A868EF" w:rsidRPr="003A273A" w:rsidRDefault="00A868EF" w:rsidP="00A868EF">
                  <w:pPr>
                    <w:pStyle w:val="TableBodyText"/>
                    <w:rPr>
                      <w:b/>
                    </w:rPr>
                  </w:pPr>
                  <w:r w:rsidRPr="003A273A">
                    <w:rPr>
                      <w:b/>
                    </w:rPr>
                    <w:t>72.4</w:t>
                  </w:r>
                </w:p>
              </w:tc>
              <w:tc>
                <w:tcPr>
                  <w:tcW w:w="709" w:type="dxa"/>
                  <w:vAlign w:val="bottom"/>
                </w:tcPr>
                <w:p w:rsidR="00A868EF" w:rsidRPr="003A273A" w:rsidRDefault="00A868EF" w:rsidP="00447017">
                  <w:pPr>
                    <w:pStyle w:val="TableBodyText"/>
                    <w:ind w:right="0"/>
                    <w:rPr>
                      <w:b/>
                    </w:rPr>
                  </w:pPr>
                  <w:r w:rsidRPr="003A273A">
                    <w:rPr>
                      <w:b/>
                    </w:rPr>
                    <w:t>65.1</w:t>
                  </w:r>
                </w:p>
              </w:tc>
            </w:tr>
            <w:tr w:rsidR="003611D5" w:rsidRPr="00AE54E6" w:rsidTr="00BF66C5">
              <w:tc>
                <w:tcPr>
                  <w:tcW w:w="7207" w:type="dxa"/>
                  <w:gridSpan w:val="9"/>
                </w:tcPr>
                <w:p w:rsidR="003611D5" w:rsidRPr="00AE54E6" w:rsidRDefault="003611D5" w:rsidP="00BF66C5">
                  <w:pPr>
                    <w:pStyle w:val="TableUnitsRow"/>
                    <w:spacing w:before="120"/>
                    <w:ind w:left="720" w:hanging="714"/>
                    <w:jc w:val="left"/>
                    <w:rPr>
                      <w:b/>
                    </w:rPr>
                  </w:pPr>
                  <w:r w:rsidRPr="00AE54E6">
                    <w:rPr>
                      <w:b/>
                    </w:rPr>
                    <w:t>Proportion of FTE students who were female (all schools)</w:t>
                  </w:r>
                </w:p>
              </w:tc>
              <w:tc>
                <w:tcPr>
                  <w:tcW w:w="567" w:type="dxa"/>
                </w:tcPr>
                <w:p w:rsidR="003611D5" w:rsidRPr="00AE54E6" w:rsidRDefault="003611D5" w:rsidP="00EA54E6">
                  <w:pPr>
                    <w:keepNext/>
                    <w:keepLines/>
                    <w:spacing w:after="40" w:line="220" w:lineRule="atLeast"/>
                    <w:ind w:left="6" w:right="113"/>
                    <w:jc w:val="right"/>
                    <w:rPr>
                      <w:rFonts w:ascii="Arial" w:hAnsi="Arial"/>
                      <w:b/>
                      <w:i/>
                      <w:sz w:val="20"/>
                      <w:szCs w:val="20"/>
                    </w:rPr>
                  </w:pPr>
                </w:p>
              </w:tc>
              <w:tc>
                <w:tcPr>
                  <w:tcW w:w="709" w:type="dxa"/>
                </w:tcPr>
                <w:p w:rsidR="003611D5" w:rsidRPr="00AE54E6" w:rsidRDefault="003611D5" w:rsidP="00EA54E6">
                  <w:pPr>
                    <w:keepNext/>
                    <w:keepLines/>
                    <w:spacing w:after="40" w:line="220" w:lineRule="atLeast"/>
                    <w:ind w:left="6" w:right="28"/>
                    <w:jc w:val="right"/>
                    <w:rPr>
                      <w:rFonts w:ascii="Arial" w:hAnsi="Arial"/>
                      <w:b/>
                      <w:i/>
                      <w:sz w:val="20"/>
                      <w:szCs w:val="20"/>
                    </w:rPr>
                  </w:pPr>
                </w:p>
              </w:tc>
            </w:tr>
            <w:tr w:rsidR="00A868EF" w:rsidRPr="00666ECE" w:rsidTr="00BF66C5">
              <w:tc>
                <w:tcPr>
                  <w:tcW w:w="1813" w:type="dxa"/>
                </w:tcPr>
                <w:p w:rsidR="00A868EF" w:rsidRPr="00666ECE" w:rsidRDefault="00A868EF" w:rsidP="00BF66C5">
                  <w:pPr>
                    <w:pStyle w:val="TableUnitsRow"/>
                    <w:jc w:val="left"/>
                  </w:pPr>
                  <w:r w:rsidRPr="00666ECE">
                    <w:t>Primary schools</w:t>
                  </w:r>
                </w:p>
              </w:tc>
              <w:tc>
                <w:tcPr>
                  <w:tcW w:w="590" w:type="dxa"/>
                </w:tcPr>
                <w:p w:rsidR="00A868EF" w:rsidRDefault="00A868EF" w:rsidP="00BF66C5">
                  <w:pPr>
                    <w:pStyle w:val="TableBodyText"/>
                    <w:spacing w:before="40"/>
                    <w:ind w:left="0" w:right="28"/>
                  </w:pPr>
                  <w:r w:rsidRPr="007E2D7F">
                    <w:t>%</w:t>
                  </w:r>
                </w:p>
              </w:tc>
              <w:tc>
                <w:tcPr>
                  <w:tcW w:w="835" w:type="dxa"/>
                  <w:vAlign w:val="bottom"/>
                </w:tcPr>
                <w:p w:rsidR="00A868EF" w:rsidRDefault="00A868EF" w:rsidP="00A868EF">
                  <w:pPr>
                    <w:pStyle w:val="TableBodyText"/>
                  </w:pPr>
                  <w:r>
                    <w:t>48.6</w:t>
                  </w:r>
                </w:p>
              </w:tc>
              <w:tc>
                <w:tcPr>
                  <w:tcW w:w="709" w:type="dxa"/>
                  <w:vAlign w:val="bottom"/>
                </w:tcPr>
                <w:p w:rsidR="00A868EF" w:rsidRDefault="00A868EF" w:rsidP="00A868EF">
                  <w:pPr>
                    <w:pStyle w:val="TableBodyText"/>
                  </w:pPr>
                  <w:r>
                    <w:t>48.6</w:t>
                  </w:r>
                </w:p>
              </w:tc>
              <w:tc>
                <w:tcPr>
                  <w:tcW w:w="709" w:type="dxa"/>
                  <w:vAlign w:val="bottom"/>
                </w:tcPr>
                <w:p w:rsidR="00A868EF" w:rsidRDefault="00A868EF" w:rsidP="00A868EF">
                  <w:pPr>
                    <w:pStyle w:val="TableBodyText"/>
                  </w:pPr>
                  <w:r>
                    <w:t>48.3</w:t>
                  </w:r>
                </w:p>
              </w:tc>
              <w:tc>
                <w:tcPr>
                  <w:tcW w:w="709" w:type="dxa"/>
                  <w:vAlign w:val="bottom"/>
                </w:tcPr>
                <w:p w:rsidR="00A868EF" w:rsidRDefault="00A868EF" w:rsidP="00A868EF">
                  <w:pPr>
                    <w:pStyle w:val="TableBodyText"/>
                  </w:pPr>
                  <w:r>
                    <w:t>48.7</w:t>
                  </w:r>
                </w:p>
              </w:tc>
              <w:tc>
                <w:tcPr>
                  <w:tcW w:w="708" w:type="dxa"/>
                  <w:vAlign w:val="bottom"/>
                </w:tcPr>
                <w:p w:rsidR="00A868EF" w:rsidRDefault="00A868EF" w:rsidP="00A868EF">
                  <w:pPr>
                    <w:pStyle w:val="TableBodyText"/>
                  </w:pPr>
                  <w:r>
                    <w:t>48.7</w:t>
                  </w:r>
                </w:p>
              </w:tc>
              <w:tc>
                <w:tcPr>
                  <w:tcW w:w="567" w:type="dxa"/>
                  <w:vAlign w:val="bottom"/>
                </w:tcPr>
                <w:p w:rsidR="00A868EF" w:rsidRDefault="00A868EF" w:rsidP="00A868EF">
                  <w:pPr>
                    <w:pStyle w:val="TableBodyText"/>
                  </w:pPr>
                  <w:r>
                    <w:t>48.7</w:t>
                  </w:r>
                </w:p>
              </w:tc>
              <w:tc>
                <w:tcPr>
                  <w:tcW w:w="567" w:type="dxa"/>
                  <w:vAlign w:val="bottom"/>
                </w:tcPr>
                <w:p w:rsidR="00A868EF" w:rsidRDefault="00A868EF" w:rsidP="00A868EF">
                  <w:pPr>
                    <w:pStyle w:val="TableBodyText"/>
                  </w:pPr>
                  <w:r>
                    <w:t>48.5</w:t>
                  </w:r>
                </w:p>
              </w:tc>
              <w:tc>
                <w:tcPr>
                  <w:tcW w:w="567" w:type="dxa"/>
                  <w:vAlign w:val="bottom"/>
                </w:tcPr>
                <w:p w:rsidR="00A868EF" w:rsidRDefault="00A868EF" w:rsidP="00A868EF">
                  <w:pPr>
                    <w:pStyle w:val="TableBodyText"/>
                  </w:pPr>
                  <w:r>
                    <w:t>49.1</w:t>
                  </w:r>
                </w:p>
              </w:tc>
              <w:tc>
                <w:tcPr>
                  <w:tcW w:w="709" w:type="dxa"/>
                  <w:vAlign w:val="bottom"/>
                </w:tcPr>
                <w:p w:rsidR="00A868EF" w:rsidRDefault="00A868EF" w:rsidP="00447017">
                  <w:pPr>
                    <w:pStyle w:val="TableBodyText"/>
                    <w:ind w:right="0"/>
                  </w:pPr>
                  <w:r>
                    <w:t>48.6</w:t>
                  </w:r>
                </w:p>
              </w:tc>
            </w:tr>
            <w:tr w:rsidR="00A868EF" w:rsidRPr="00666ECE" w:rsidTr="00BF66C5">
              <w:tc>
                <w:tcPr>
                  <w:tcW w:w="1813" w:type="dxa"/>
                </w:tcPr>
                <w:p w:rsidR="00A868EF" w:rsidRPr="00666ECE" w:rsidRDefault="00A868EF" w:rsidP="0013664B">
                  <w:pPr>
                    <w:pStyle w:val="TableUnitsRow"/>
                    <w:jc w:val="left"/>
                  </w:pPr>
                  <w:r w:rsidRPr="00666ECE">
                    <w:t>Secondary schools</w:t>
                  </w:r>
                </w:p>
              </w:tc>
              <w:tc>
                <w:tcPr>
                  <w:tcW w:w="590" w:type="dxa"/>
                </w:tcPr>
                <w:p w:rsidR="00A868EF" w:rsidRDefault="00A868EF" w:rsidP="00BF66C5">
                  <w:pPr>
                    <w:pStyle w:val="TableBodyText"/>
                    <w:ind w:left="0" w:right="28"/>
                  </w:pPr>
                  <w:r w:rsidRPr="007E2D7F">
                    <w:t>%</w:t>
                  </w:r>
                </w:p>
              </w:tc>
              <w:tc>
                <w:tcPr>
                  <w:tcW w:w="835" w:type="dxa"/>
                  <w:vAlign w:val="bottom"/>
                </w:tcPr>
                <w:p w:rsidR="00A868EF" w:rsidRDefault="00A868EF" w:rsidP="00A868EF">
                  <w:pPr>
                    <w:pStyle w:val="TableBodyText"/>
                  </w:pPr>
                  <w:r>
                    <w:t>49.2</w:t>
                  </w:r>
                </w:p>
              </w:tc>
              <w:tc>
                <w:tcPr>
                  <w:tcW w:w="709" w:type="dxa"/>
                  <w:vAlign w:val="bottom"/>
                </w:tcPr>
                <w:p w:rsidR="00A868EF" w:rsidRDefault="00A868EF" w:rsidP="00A868EF">
                  <w:pPr>
                    <w:pStyle w:val="TableBodyText"/>
                  </w:pPr>
                  <w:r>
                    <w:t>49.3</w:t>
                  </w:r>
                </w:p>
              </w:tc>
              <w:tc>
                <w:tcPr>
                  <w:tcW w:w="709" w:type="dxa"/>
                  <w:vAlign w:val="bottom"/>
                </w:tcPr>
                <w:p w:rsidR="00A868EF" w:rsidRDefault="00A868EF" w:rsidP="00A868EF">
                  <w:pPr>
                    <w:pStyle w:val="TableBodyText"/>
                  </w:pPr>
                  <w:r>
                    <w:t>49.3</w:t>
                  </w:r>
                </w:p>
              </w:tc>
              <w:tc>
                <w:tcPr>
                  <w:tcW w:w="709" w:type="dxa"/>
                  <w:vAlign w:val="bottom"/>
                </w:tcPr>
                <w:p w:rsidR="00A868EF" w:rsidRDefault="00A868EF" w:rsidP="00A868EF">
                  <w:pPr>
                    <w:pStyle w:val="TableBodyText"/>
                  </w:pPr>
                  <w:r>
                    <w:t>48.8</w:t>
                  </w:r>
                </w:p>
              </w:tc>
              <w:tc>
                <w:tcPr>
                  <w:tcW w:w="708" w:type="dxa"/>
                  <w:vAlign w:val="bottom"/>
                </w:tcPr>
                <w:p w:rsidR="00A868EF" w:rsidRDefault="00A868EF" w:rsidP="00A868EF">
                  <w:pPr>
                    <w:pStyle w:val="TableBodyText"/>
                  </w:pPr>
                  <w:r>
                    <w:t>49.6</w:t>
                  </w:r>
                </w:p>
              </w:tc>
              <w:tc>
                <w:tcPr>
                  <w:tcW w:w="567" w:type="dxa"/>
                  <w:vAlign w:val="bottom"/>
                </w:tcPr>
                <w:p w:rsidR="00A868EF" w:rsidRDefault="00A868EF" w:rsidP="00A868EF">
                  <w:pPr>
                    <w:pStyle w:val="TableBodyText"/>
                  </w:pPr>
                  <w:r>
                    <w:t>49.4</w:t>
                  </w:r>
                </w:p>
              </w:tc>
              <w:tc>
                <w:tcPr>
                  <w:tcW w:w="567" w:type="dxa"/>
                  <w:vAlign w:val="bottom"/>
                </w:tcPr>
                <w:p w:rsidR="00A868EF" w:rsidRDefault="00A868EF" w:rsidP="00A868EF">
                  <w:pPr>
                    <w:pStyle w:val="TableBodyText"/>
                  </w:pPr>
                  <w:r>
                    <w:t>49.6</w:t>
                  </w:r>
                </w:p>
              </w:tc>
              <w:tc>
                <w:tcPr>
                  <w:tcW w:w="567" w:type="dxa"/>
                  <w:vAlign w:val="bottom"/>
                </w:tcPr>
                <w:p w:rsidR="00A868EF" w:rsidRDefault="00A868EF" w:rsidP="00A868EF">
                  <w:pPr>
                    <w:pStyle w:val="TableBodyText"/>
                  </w:pPr>
                  <w:r>
                    <w:t>48.9</w:t>
                  </w:r>
                </w:p>
              </w:tc>
              <w:tc>
                <w:tcPr>
                  <w:tcW w:w="709" w:type="dxa"/>
                  <w:vAlign w:val="bottom"/>
                </w:tcPr>
                <w:p w:rsidR="00A868EF" w:rsidRDefault="00A868EF" w:rsidP="00447017">
                  <w:pPr>
                    <w:pStyle w:val="TableBodyText"/>
                    <w:ind w:right="0"/>
                  </w:pPr>
                  <w:r>
                    <w:t>49.2</w:t>
                  </w:r>
                </w:p>
              </w:tc>
            </w:tr>
            <w:tr w:rsidR="00A868EF" w:rsidRPr="00666ECE" w:rsidTr="00BF66C5">
              <w:tc>
                <w:tcPr>
                  <w:tcW w:w="1813" w:type="dxa"/>
                </w:tcPr>
                <w:p w:rsidR="00A868EF" w:rsidRPr="00666ECE" w:rsidRDefault="00A868EF" w:rsidP="0013664B">
                  <w:pPr>
                    <w:pStyle w:val="TableUnitsRow"/>
                    <w:jc w:val="left"/>
                    <w:rPr>
                      <w:b/>
                    </w:rPr>
                  </w:pPr>
                  <w:r w:rsidRPr="00666ECE">
                    <w:rPr>
                      <w:b/>
                    </w:rPr>
                    <w:t>All schools</w:t>
                  </w:r>
                </w:p>
              </w:tc>
              <w:tc>
                <w:tcPr>
                  <w:tcW w:w="590" w:type="dxa"/>
                </w:tcPr>
                <w:p w:rsidR="00A868EF" w:rsidRPr="0027264A" w:rsidRDefault="00A868EF" w:rsidP="00BF66C5">
                  <w:pPr>
                    <w:pStyle w:val="TableBodyText"/>
                    <w:ind w:left="0" w:right="28"/>
                    <w:rPr>
                      <w:b/>
                    </w:rPr>
                  </w:pPr>
                  <w:r w:rsidRPr="0027264A">
                    <w:rPr>
                      <w:b/>
                    </w:rPr>
                    <w:t>%</w:t>
                  </w:r>
                </w:p>
              </w:tc>
              <w:tc>
                <w:tcPr>
                  <w:tcW w:w="835" w:type="dxa"/>
                  <w:vAlign w:val="bottom"/>
                </w:tcPr>
                <w:p w:rsidR="00A868EF" w:rsidRPr="003A273A" w:rsidRDefault="00A868EF" w:rsidP="00A868EF">
                  <w:pPr>
                    <w:pStyle w:val="TableBodyText"/>
                    <w:rPr>
                      <w:b/>
                    </w:rPr>
                  </w:pPr>
                  <w:r w:rsidRPr="003A273A">
                    <w:rPr>
                      <w:b/>
                    </w:rPr>
                    <w:t>48.9</w:t>
                  </w:r>
                </w:p>
              </w:tc>
              <w:tc>
                <w:tcPr>
                  <w:tcW w:w="709" w:type="dxa"/>
                  <w:vAlign w:val="bottom"/>
                </w:tcPr>
                <w:p w:rsidR="00A868EF" w:rsidRPr="003A273A" w:rsidRDefault="00A868EF" w:rsidP="00A868EF">
                  <w:pPr>
                    <w:pStyle w:val="TableBodyText"/>
                    <w:rPr>
                      <w:b/>
                    </w:rPr>
                  </w:pPr>
                  <w:r w:rsidRPr="003A273A">
                    <w:rPr>
                      <w:b/>
                    </w:rPr>
                    <w:t>48.9</w:t>
                  </w:r>
                </w:p>
              </w:tc>
              <w:tc>
                <w:tcPr>
                  <w:tcW w:w="709" w:type="dxa"/>
                  <w:vAlign w:val="bottom"/>
                </w:tcPr>
                <w:p w:rsidR="00A868EF" w:rsidRPr="003A273A" w:rsidRDefault="00A868EF" w:rsidP="00A868EF">
                  <w:pPr>
                    <w:pStyle w:val="TableBodyText"/>
                    <w:rPr>
                      <w:b/>
                    </w:rPr>
                  </w:pPr>
                  <w:r w:rsidRPr="003A273A">
                    <w:rPr>
                      <w:b/>
                    </w:rPr>
                    <w:t>48.7</w:t>
                  </w:r>
                </w:p>
              </w:tc>
              <w:tc>
                <w:tcPr>
                  <w:tcW w:w="709" w:type="dxa"/>
                  <w:vAlign w:val="bottom"/>
                </w:tcPr>
                <w:p w:rsidR="00A868EF" w:rsidRPr="003A273A" w:rsidRDefault="00A868EF" w:rsidP="00A868EF">
                  <w:pPr>
                    <w:pStyle w:val="TableBodyText"/>
                    <w:rPr>
                      <w:b/>
                    </w:rPr>
                  </w:pPr>
                  <w:r w:rsidRPr="003A273A">
                    <w:rPr>
                      <w:b/>
                    </w:rPr>
                    <w:t>48.7</w:t>
                  </w:r>
                </w:p>
              </w:tc>
              <w:tc>
                <w:tcPr>
                  <w:tcW w:w="708" w:type="dxa"/>
                  <w:vAlign w:val="bottom"/>
                </w:tcPr>
                <w:p w:rsidR="00A868EF" w:rsidRPr="003A273A" w:rsidRDefault="00A868EF" w:rsidP="00A868EF">
                  <w:pPr>
                    <w:pStyle w:val="TableBodyText"/>
                    <w:rPr>
                      <w:b/>
                    </w:rPr>
                  </w:pPr>
                  <w:r w:rsidRPr="003A273A">
                    <w:rPr>
                      <w:b/>
                    </w:rPr>
                    <w:t>49.0</w:t>
                  </w:r>
                </w:p>
              </w:tc>
              <w:tc>
                <w:tcPr>
                  <w:tcW w:w="567" w:type="dxa"/>
                  <w:vAlign w:val="bottom"/>
                </w:tcPr>
                <w:p w:rsidR="00A868EF" w:rsidRPr="003A273A" w:rsidRDefault="00A868EF" w:rsidP="00A868EF">
                  <w:pPr>
                    <w:pStyle w:val="TableBodyText"/>
                    <w:rPr>
                      <w:b/>
                    </w:rPr>
                  </w:pPr>
                  <w:r w:rsidRPr="003A273A">
                    <w:rPr>
                      <w:b/>
                    </w:rPr>
                    <w:t>49.0</w:t>
                  </w:r>
                </w:p>
              </w:tc>
              <w:tc>
                <w:tcPr>
                  <w:tcW w:w="567" w:type="dxa"/>
                  <w:vAlign w:val="bottom"/>
                </w:tcPr>
                <w:p w:rsidR="00A868EF" w:rsidRPr="003A273A" w:rsidRDefault="00A868EF" w:rsidP="00A868EF">
                  <w:pPr>
                    <w:pStyle w:val="TableBodyText"/>
                    <w:rPr>
                      <w:b/>
                    </w:rPr>
                  </w:pPr>
                  <w:r w:rsidRPr="003A273A">
                    <w:rPr>
                      <w:b/>
                    </w:rPr>
                    <w:t>49.0</w:t>
                  </w:r>
                </w:p>
              </w:tc>
              <w:tc>
                <w:tcPr>
                  <w:tcW w:w="567" w:type="dxa"/>
                  <w:vAlign w:val="bottom"/>
                </w:tcPr>
                <w:p w:rsidR="00A868EF" w:rsidRPr="003A273A" w:rsidRDefault="00A868EF" w:rsidP="00A868EF">
                  <w:pPr>
                    <w:pStyle w:val="TableBodyText"/>
                    <w:rPr>
                      <w:b/>
                    </w:rPr>
                  </w:pPr>
                  <w:r w:rsidRPr="003A273A">
                    <w:rPr>
                      <w:b/>
                    </w:rPr>
                    <w:t>49.0</w:t>
                  </w:r>
                </w:p>
              </w:tc>
              <w:tc>
                <w:tcPr>
                  <w:tcW w:w="709" w:type="dxa"/>
                  <w:vAlign w:val="bottom"/>
                </w:tcPr>
                <w:p w:rsidR="00A868EF" w:rsidRPr="003A273A" w:rsidRDefault="00A868EF" w:rsidP="00447017">
                  <w:pPr>
                    <w:pStyle w:val="TableBodyText"/>
                    <w:ind w:right="0"/>
                    <w:rPr>
                      <w:b/>
                    </w:rPr>
                  </w:pPr>
                  <w:r w:rsidRPr="003A273A">
                    <w:rPr>
                      <w:b/>
                    </w:rPr>
                    <w:t>48.8</w:t>
                  </w:r>
                </w:p>
              </w:tc>
            </w:tr>
            <w:tr w:rsidR="003611D5" w:rsidRPr="00AE54E6" w:rsidTr="00BF66C5">
              <w:tc>
                <w:tcPr>
                  <w:tcW w:w="7774" w:type="dxa"/>
                  <w:gridSpan w:val="10"/>
                </w:tcPr>
                <w:p w:rsidR="003611D5" w:rsidRPr="00AE54E6" w:rsidRDefault="003611D5" w:rsidP="00BF66C5">
                  <w:pPr>
                    <w:pStyle w:val="TableUnitsRow"/>
                    <w:spacing w:before="120"/>
                    <w:ind w:left="720" w:hanging="714"/>
                    <w:jc w:val="left"/>
                    <w:rPr>
                      <w:b/>
                    </w:rPr>
                  </w:pPr>
                  <w:r w:rsidRPr="00AE54E6">
                    <w:rPr>
                      <w:b/>
                    </w:rPr>
                    <w:t>Proportion of FTE students who were enrolled in primary education, by sector</w:t>
                  </w:r>
                </w:p>
              </w:tc>
              <w:tc>
                <w:tcPr>
                  <w:tcW w:w="709" w:type="dxa"/>
                </w:tcPr>
                <w:p w:rsidR="003611D5" w:rsidRPr="00AE54E6" w:rsidRDefault="003611D5" w:rsidP="00EA54E6">
                  <w:pPr>
                    <w:pStyle w:val="TableBodyText"/>
                    <w:rPr>
                      <w:b/>
                    </w:rPr>
                  </w:pPr>
                </w:p>
              </w:tc>
            </w:tr>
            <w:tr w:rsidR="00A868EF" w:rsidRPr="00666ECE" w:rsidTr="00BF66C5">
              <w:tc>
                <w:tcPr>
                  <w:tcW w:w="1813" w:type="dxa"/>
                </w:tcPr>
                <w:p w:rsidR="00A868EF" w:rsidRPr="00666ECE" w:rsidRDefault="00A868EF" w:rsidP="00AE54E6">
                  <w:pPr>
                    <w:pStyle w:val="TableUnitsRow"/>
                    <w:jc w:val="left"/>
                  </w:pPr>
                  <w:r w:rsidRPr="00666ECE">
                    <w:t xml:space="preserve">Government </w:t>
                  </w:r>
                  <w:r>
                    <w:t>s</w:t>
                  </w:r>
                  <w:r w:rsidRPr="00666ECE">
                    <w:t>chools</w:t>
                  </w:r>
                </w:p>
              </w:tc>
              <w:tc>
                <w:tcPr>
                  <w:tcW w:w="590" w:type="dxa"/>
                  <w:vAlign w:val="bottom"/>
                </w:tcPr>
                <w:p w:rsidR="00A868EF" w:rsidRDefault="00A868EF" w:rsidP="00BF66C5">
                  <w:pPr>
                    <w:pStyle w:val="TableBodyText"/>
                    <w:spacing w:before="40"/>
                    <w:ind w:left="0" w:right="28"/>
                  </w:pPr>
                  <w:r w:rsidRPr="00462C33">
                    <w:t>%</w:t>
                  </w:r>
                </w:p>
              </w:tc>
              <w:tc>
                <w:tcPr>
                  <w:tcW w:w="835" w:type="dxa"/>
                  <w:vAlign w:val="bottom"/>
                </w:tcPr>
                <w:p w:rsidR="00A868EF" w:rsidRDefault="00A868EF" w:rsidP="00A868EF">
                  <w:pPr>
                    <w:pStyle w:val="TableBodyText"/>
                  </w:pPr>
                  <w:r>
                    <w:t>60.0</w:t>
                  </w:r>
                </w:p>
              </w:tc>
              <w:tc>
                <w:tcPr>
                  <w:tcW w:w="709" w:type="dxa"/>
                  <w:vAlign w:val="bottom"/>
                </w:tcPr>
                <w:p w:rsidR="00A868EF" w:rsidRDefault="00A868EF" w:rsidP="00A868EF">
                  <w:pPr>
                    <w:pStyle w:val="TableBodyText"/>
                  </w:pPr>
                  <w:r>
                    <w:t>60.1</w:t>
                  </w:r>
                </w:p>
              </w:tc>
              <w:tc>
                <w:tcPr>
                  <w:tcW w:w="709" w:type="dxa"/>
                  <w:vAlign w:val="bottom"/>
                </w:tcPr>
                <w:p w:rsidR="00A868EF" w:rsidRDefault="00A868EF" w:rsidP="00A868EF">
                  <w:pPr>
                    <w:pStyle w:val="TableBodyText"/>
                  </w:pPr>
                  <w:r>
                    <w:t>65.5</w:t>
                  </w:r>
                </w:p>
              </w:tc>
              <w:tc>
                <w:tcPr>
                  <w:tcW w:w="709" w:type="dxa"/>
                  <w:vAlign w:val="bottom"/>
                </w:tcPr>
                <w:p w:rsidR="00A868EF" w:rsidRDefault="00A868EF" w:rsidP="00A868EF">
                  <w:pPr>
                    <w:pStyle w:val="TableBodyText"/>
                  </w:pPr>
                  <w:r>
                    <w:t>69.4</w:t>
                  </w:r>
                </w:p>
              </w:tc>
              <w:tc>
                <w:tcPr>
                  <w:tcW w:w="708" w:type="dxa"/>
                  <w:vAlign w:val="bottom"/>
                </w:tcPr>
                <w:p w:rsidR="00A868EF" w:rsidRDefault="00A868EF" w:rsidP="00A868EF">
                  <w:pPr>
                    <w:pStyle w:val="TableBodyText"/>
                  </w:pPr>
                  <w:r>
                    <w:t>63.3</w:t>
                  </w:r>
                </w:p>
              </w:tc>
              <w:tc>
                <w:tcPr>
                  <w:tcW w:w="567" w:type="dxa"/>
                  <w:vAlign w:val="bottom"/>
                </w:tcPr>
                <w:p w:rsidR="00A868EF" w:rsidRDefault="00A868EF" w:rsidP="00A868EF">
                  <w:pPr>
                    <w:pStyle w:val="TableBodyText"/>
                  </w:pPr>
                  <w:r>
                    <w:t>57.1</w:t>
                  </w:r>
                </w:p>
              </w:tc>
              <w:tc>
                <w:tcPr>
                  <w:tcW w:w="567" w:type="dxa"/>
                  <w:vAlign w:val="bottom"/>
                </w:tcPr>
                <w:p w:rsidR="00A868EF" w:rsidRDefault="00A868EF" w:rsidP="00A868EF">
                  <w:pPr>
                    <w:pStyle w:val="TableBodyText"/>
                  </w:pPr>
                  <w:r>
                    <w:t>57.4</w:t>
                  </w:r>
                </w:p>
              </w:tc>
              <w:tc>
                <w:tcPr>
                  <w:tcW w:w="567" w:type="dxa"/>
                  <w:vAlign w:val="bottom"/>
                </w:tcPr>
                <w:p w:rsidR="00A868EF" w:rsidRDefault="00A868EF" w:rsidP="00A868EF">
                  <w:pPr>
                    <w:pStyle w:val="TableBodyText"/>
                  </w:pPr>
                  <w:r>
                    <w:t>64.2</w:t>
                  </w:r>
                </w:p>
              </w:tc>
              <w:tc>
                <w:tcPr>
                  <w:tcW w:w="709" w:type="dxa"/>
                  <w:vAlign w:val="bottom"/>
                </w:tcPr>
                <w:p w:rsidR="00A868EF" w:rsidRDefault="00A868EF" w:rsidP="00447017">
                  <w:pPr>
                    <w:pStyle w:val="TableBodyText"/>
                    <w:ind w:right="0"/>
                  </w:pPr>
                  <w:r>
                    <w:t>62.4</w:t>
                  </w:r>
                </w:p>
              </w:tc>
            </w:tr>
            <w:tr w:rsidR="00A868EF" w:rsidRPr="00666ECE" w:rsidTr="00BF66C5">
              <w:tc>
                <w:tcPr>
                  <w:tcW w:w="1813" w:type="dxa"/>
                  <w:shd w:val="clear" w:color="auto" w:fill="auto"/>
                </w:tcPr>
                <w:p w:rsidR="00A868EF" w:rsidRPr="00666ECE" w:rsidRDefault="00A868EF" w:rsidP="0013664B">
                  <w:pPr>
                    <w:pStyle w:val="TableUnitsRow"/>
                    <w:jc w:val="left"/>
                  </w:pPr>
                  <w:r>
                    <w:t xml:space="preserve">Non-government  </w:t>
                  </w:r>
                  <w:r w:rsidRPr="00666ECE">
                    <w:t>schools</w:t>
                  </w:r>
                </w:p>
              </w:tc>
              <w:tc>
                <w:tcPr>
                  <w:tcW w:w="590" w:type="dxa"/>
                  <w:vAlign w:val="bottom"/>
                </w:tcPr>
                <w:p w:rsidR="00A868EF" w:rsidRDefault="00A868EF" w:rsidP="00BF66C5">
                  <w:pPr>
                    <w:pStyle w:val="TableBodyText"/>
                    <w:ind w:left="0" w:right="28"/>
                  </w:pPr>
                  <w:r w:rsidRPr="00462C33">
                    <w:t>%</w:t>
                  </w:r>
                </w:p>
              </w:tc>
              <w:tc>
                <w:tcPr>
                  <w:tcW w:w="835" w:type="dxa"/>
                  <w:shd w:val="clear" w:color="auto" w:fill="auto"/>
                  <w:vAlign w:val="bottom"/>
                </w:tcPr>
                <w:p w:rsidR="00A868EF" w:rsidRDefault="00A868EF" w:rsidP="00A868EF">
                  <w:pPr>
                    <w:pStyle w:val="TableBodyText"/>
                  </w:pPr>
                  <w:r>
                    <w:t>49.6</w:t>
                  </w:r>
                </w:p>
              </w:tc>
              <w:tc>
                <w:tcPr>
                  <w:tcW w:w="709" w:type="dxa"/>
                  <w:shd w:val="clear" w:color="auto" w:fill="auto"/>
                  <w:vAlign w:val="bottom"/>
                </w:tcPr>
                <w:p w:rsidR="00A868EF" w:rsidRDefault="00A868EF" w:rsidP="00A868EF">
                  <w:pPr>
                    <w:pStyle w:val="TableBodyText"/>
                  </w:pPr>
                  <w:r>
                    <w:t>49.0</w:t>
                  </w:r>
                </w:p>
              </w:tc>
              <w:tc>
                <w:tcPr>
                  <w:tcW w:w="709" w:type="dxa"/>
                  <w:shd w:val="clear" w:color="auto" w:fill="auto"/>
                  <w:vAlign w:val="bottom"/>
                </w:tcPr>
                <w:p w:rsidR="00A868EF" w:rsidRDefault="00A868EF" w:rsidP="00A868EF">
                  <w:pPr>
                    <w:pStyle w:val="TableBodyText"/>
                  </w:pPr>
                  <w:r>
                    <w:t>55.8</w:t>
                  </w:r>
                </w:p>
              </w:tc>
              <w:tc>
                <w:tcPr>
                  <w:tcW w:w="709" w:type="dxa"/>
                  <w:shd w:val="clear" w:color="auto" w:fill="auto"/>
                  <w:vAlign w:val="bottom"/>
                </w:tcPr>
                <w:p w:rsidR="00A868EF" w:rsidRDefault="00A868EF" w:rsidP="00A868EF">
                  <w:pPr>
                    <w:pStyle w:val="TableBodyText"/>
                  </w:pPr>
                  <w:r>
                    <w:t>57.3</w:t>
                  </w:r>
                </w:p>
              </w:tc>
              <w:tc>
                <w:tcPr>
                  <w:tcW w:w="708" w:type="dxa"/>
                  <w:shd w:val="clear" w:color="auto" w:fill="auto"/>
                  <w:vAlign w:val="bottom"/>
                </w:tcPr>
                <w:p w:rsidR="00A868EF" w:rsidRDefault="00A868EF" w:rsidP="00A868EF">
                  <w:pPr>
                    <w:pStyle w:val="TableBodyText"/>
                  </w:pPr>
                  <w:r>
                    <w:t>57.3</w:t>
                  </w:r>
                </w:p>
              </w:tc>
              <w:tc>
                <w:tcPr>
                  <w:tcW w:w="567" w:type="dxa"/>
                  <w:shd w:val="clear" w:color="auto" w:fill="auto"/>
                  <w:vAlign w:val="bottom"/>
                </w:tcPr>
                <w:p w:rsidR="00A868EF" w:rsidRDefault="00A868EF" w:rsidP="00A868EF">
                  <w:pPr>
                    <w:pStyle w:val="TableBodyText"/>
                  </w:pPr>
                  <w:r>
                    <w:t>49.4</w:t>
                  </w:r>
                </w:p>
              </w:tc>
              <w:tc>
                <w:tcPr>
                  <w:tcW w:w="567" w:type="dxa"/>
                  <w:shd w:val="clear" w:color="auto" w:fill="auto"/>
                  <w:vAlign w:val="bottom"/>
                </w:tcPr>
                <w:p w:rsidR="00A868EF" w:rsidRDefault="00A868EF" w:rsidP="00A868EF">
                  <w:pPr>
                    <w:pStyle w:val="TableBodyText"/>
                  </w:pPr>
                  <w:r>
                    <w:t>50.2</w:t>
                  </w:r>
                </w:p>
              </w:tc>
              <w:tc>
                <w:tcPr>
                  <w:tcW w:w="567" w:type="dxa"/>
                  <w:shd w:val="clear" w:color="auto" w:fill="auto"/>
                  <w:vAlign w:val="bottom"/>
                </w:tcPr>
                <w:p w:rsidR="00A868EF" w:rsidRDefault="00A868EF" w:rsidP="00A868EF">
                  <w:pPr>
                    <w:pStyle w:val="TableBodyText"/>
                  </w:pPr>
                  <w:r>
                    <w:t>49.1</w:t>
                  </w:r>
                </w:p>
              </w:tc>
              <w:tc>
                <w:tcPr>
                  <w:tcW w:w="709" w:type="dxa"/>
                  <w:shd w:val="clear" w:color="auto" w:fill="auto"/>
                  <w:vAlign w:val="bottom"/>
                </w:tcPr>
                <w:p w:rsidR="00A868EF" w:rsidRDefault="00A868EF" w:rsidP="00447017">
                  <w:pPr>
                    <w:pStyle w:val="TableBodyText"/>
                    <w:ind w:right="0"/>
                  </w:pPr>
                  <w:r>
                    <w:t>52.1</w:t>
                  </w:r>
                </w:p>
              </w:tc>
            </w:tr>
            <w:tr w:rsidR="00A868EF" w:rsidRPr="00EF142D" w:rsidTr="00BF66C5">
              <w:tc>
                <w:tcPr>
                  <w:tcW w:w="1813" w:type="dxa"/>
                  <w:tcBorders>
                    <w:bottom w:val="single" w:sz="6" w:space="0" w:color="BFBFBF" w:themeColor="background2"/>
                  </w:tcBorders>
                  <w:shd w:val="clear" w:color="auto" w:fill="auto"/>
                </w:tcPr>
                <w:p w:rsidR="00A868EF" w:rsidRPr="00666ECE" w:rsidRDefault="00A868EF" w:rsidP="0013664B">
                  <w:pPr>
                    <w:pStyle w:val="TableUnitsRow"/>
                    <w:jc w:val="left"/>
                    <w:rPr>
                      <w:b/>
                    </w:rPr>
                  </w:pPr>
                  <w:r w:rsidRPr="00666ECE">
                    <w:rPr>
                      <w:b/>
                    </w:rPr>
                    <w:t>All schools</w:t>
                  </w:r>
                </w:p>
              </w:tc>
              <w:tc>
                <w:tcPr>
                  <w:tcW w:w="590" w:type="dxa"/>
                  <w:tcBorders>
                    <w:bottom w:val="single" w:sz="6" w:space="0" w:color="BFBFBF" w:themeColor="background2"/>
                  </w:tcBorders>
                  <w:vAlign w:val="bottom"/>
                </w:tcPr>
                <w:p w:rsidR="00A868EF" w:rsidRPr="0027264A" w:rsidRDefault="00A868EF" w:rsidP="00BF66C5">
                  <w:pPr>
                    <w:pStyle w:val="TableBodyText"/>
                    <w:ind w:left="0" w:right="28"/>
                    <w:rPr>
                      <w:b/>
                    </w:rPr>
                  </w:pPr>
                  <w:r w:rsidRPr="0027264A">
                    <w:rPr>
                      <w:b/>
                    </w:rPr>
                    <w:t>%</w:t>
                  </w:r>
                </w:p>
              </w:tc>
              <w:tc>
                <w:tcPr>
                  <w:tcW w:w="835" w:type="dxa"/>
                  <w:tcBorders>
                    <w:bottom w:val="single" w:sz="6" w:space="0" w:color="BFBFBF" w:themeColor="background2"/>
                  </w:tcBorders>
                  <w:shd w:val="clear" w:color="auto" w:fill="auto"/>
                  <w:vAlign w:val="bottom"/>
                </w:tcPr>
                <w:p w:rsidR="00A868EF" w:rsidRPr="003A273A" w:rsidRDefault="00A868EF" w:rsidP="00A868EF">
                  <w:pPr>
                    <w:pStyle w:val="TableBodyText"/>
                    <w:rPr>
                      <w:b/>
                    </w:rPr>
                  </w:pPr>
                  <w:r w:rsidRPr="003A273A">
                    <w:rPr>
                      <w:b/>
                    </w:rPr>
                    <w:t>56.4</w:t>
                  </w:r>
                </w:p>
              </w:tc>
              <w:tc>
                <w:tcPr>
                  <w:tcW w:w="709" w:type="dxa"/>
                  <w:tcBorders>
                    <w:bottom w:val="single" w:sz="6" w:space="0" w:color="BFBFBF" w:themeColor="background2"/>
                  </w:tcBorders>
                  <w:shd w:val="clear" w:color="auto" w:fill="auto"/>
                  <w:vAlign w:val="bottom"/>
                </w:tcPr>
                <w:p w:rsidR="00A868EF" w:rsidRPr="003A273A" w:rsidRDefault="00A868EF" w:rsidP="00A868EF">
                  <w:pPr>
                    <w:pStyle w:val="TableBodyText"/>
                    <w:rPr>
                      <w:b/>
                    </w:rPr>
                  </w:pPr>
                  <w:r w:rsidRPr="003A273A">
                    <w:rPr>
                      <w:b/>
                    </w:rPr>
                    <w:t>56.0</w:t>
                  </w:r>
                </w:p>
              </w:tc>
              <w:tc>
                <w:tcPr>
                  <w:tcW w:w="709" w:type="dxa"/>
                  <w:tcBorders>
                    <w:bottom w:val="single" w:sz="6" w:space="0" w:color="BFBFBF" w:themeColor="background2"/>
                  </w:tcBorders>
                  <w:shd w:val="clear" w:color="auto" w:fill="auto"/>
                  <w:vAlign w:val="bottom"/>
                </w:tcPr>
                <w:p w:rsidR="00A868EF" w:rsidRPr="003A273A" w:rsidRDefault="00A868EF" w:rsidP="00A868EF">
                  <w:pPr>
                    <w:pStyle w:val="TableBodyText"/>
                    <w:rPr>
                      <w:b/>
                    </w:rPr>
                  </w:pPr>
                  <w:r w:rsidRPr="003A273A">
                    <w:rPr>
                      <w:b/>
                    </w:rPr>
                    <w:t>62.3</w:t>
                  </w:r>
                </w:p>
              </w:tc>
              <w:tc>
                <w:tcPr>
                  <w:tcW w:w="709" w:type="dxa"/>
                  <w:tcBorders>
                    <w:bottom w:val="single" w:sz="6" w:space="0" w:color="BFBFBF" w:themeColor="background2"/>
                  </w:tcBorders>
                  <w:shd w:val="clear" w:color="auto" w:fill="auto"/>
                  <w:vAlign w:val="bottom"/>
                </w:tcPr>
                <w:p w:rsidR="00A868EF" w:rsidRPr="003A273A" w:rsidRDefault="00A868EF" w:rsidP="00A868EF">
                  <w:pPr>
                    <w:pStyle w:val="TableBodyText"/>
                    <w:rPr>
                      <w:b/>
                    </w:rPr>
                  </w:pPr>
                  <w:r w:rsidRPr="003A273A">
                    <w:rPr>
                      <w:b/>
                    </w:rPr>
                    <w:t>65.3</w:t>
                  </w:r>
                </w:p>
              </w:tc>
              <w:tc>
                <w:tcPr>
                  <w:tcW w:w="708" w:type="dxa"/>
                  <w:tcBorders>
                    <w:bottom w:val="single" w:sz="6" w:space="0" w:color="BFBFBF" w:themeColor="background2"/>
                  </w:tcBorders>
                  <w:shd w:val="clear" w:color="auto" w:fill="auto"/>
                  <w:vAlign w:val="bottom"/>
                </w:tcPr>
                <w:p w:rsidR="00A868EF" w:rsidRPr="003A273A" w:rsidRDefault="00A868EF" w:rsidP="00A868EF">
                  <w:pPr>
                    <w:pStyle w:val="TableBodyText"/>
                    <w:rPr>
                      <w:b/>
                    </w:rPr>
                  </w:pPr>
                  <w:r w:rsidRPr="003A273A">
                    <w:rPr>
                      <w:b/>
                    </w:rPr>
                    <w:t>61.1</w:t>
                  </w:r>
                </w:p>
              </w:tc>
              <w:tc>
                <w:tcPr>
                  <w:tcW w:w="567" w:type="dxa"/>
                  <w:tcBorders>
                    <w:bottom w:val="single" w:sz="6" w:space="0" w:color="BFBFBF" w:themeColor="background2"/>
                  </w:tcBorders>
                  <w:shd w:val="clear" w:color="auto" w:fill="auto"/>
                  <w:vAlign w:val="bottom"/>
                </w:tcPr>
                <w:p w:rsidR="00A868EF" w:rsidRPr="003A273A" w:rsidRDefault="00A868EF" w:rsidP="00A868EF">
                  <w:pPr>
                    <w:pStyle w:val="TableBodyText"/>
                    <w:rPr>
                      <w:b/>
                    </w:rPr>
                  </w:pPr>
                  <w:r w:rsidRPr="003A273A">
                    <w:rPr>
                      <w:b/>
                    </w:rPr>
                    <w:t>54.8</w:t>
                  </w:r>
                </w:p>
              </w:tc>
              <w:tc>
                <w:tcPr>
                  <w:tcW w:w="567" w:type="dxa"/>
                  <w:tcBorders>
                    <w:bottom w:val="single" w:sz="6" w:space="0" w:color="BFBFBF" w:themeColor="background2"/>
                  </w:tcBorders>
                  <w:shd w:val="clear" w:color="auto" w:fill="auto"/>
                  <w:vAlign w:val="bottom"/>
                </w:tcPr>
                <w:p w:rsidR="00A868EF" w:rsidRPr="003A273A" w:rsidRDefault="00A868EF" w:rsidP="00A868EF">
                  <w:pPr>
                    <w:pStyle w:val="TableBodyText"/>
                    <w:rPr>
                      <w:b/>
                    </w:rPr>
                  </w:pPr>
                  <w:r w:rsidRPr="003A273A">
                    <w:rPr>
                      <w:b/>
                    </w:rPr>
                    <w:t>54.3</w:t>
                  </w:r>
                </w:p>
              </w:tc>
              <w:tc>
                <w:tcPr>
                  <w:tcW w:w="567" w:type="dxa"/>
                  <w:tcBorders>
                    <w:bottom w:val="single" w:sz="6" w:space="0" w:color="BFBFBF" w:themeColor="background2"/>
                  </w:tcBorders>
                  <w:shd w:val="clear" w:color="auto" w:fill="auto"/>
                  <w:vAlign w:val="bottom"/>
                </w:tcPr>
                <w:p w:rsidR="00A868EF" w:rsidRPr="003A273A" w:rsidRDefault="00A868EF" w:rsidP="00A868EF">
                  <w:pPr>
                    <w:pStyle w:val="TableBodyText"/>
                    <w:rPr>
                      <w:b/>
                    </w:rPr>
                  </w:pPr>
                  <w:r w:rsidRPr="003A273A">
                    <w:rPr>
                      <w:b/>
                    </w:rPr>
                    <w:t>60.0</w:t>
                  </w:r>
                </w:p>
              </w:tc>
              <w:tc>
                <w:tcPr>
                  <w:tcW w:w="709" w:type="dxa"/>
                  <w:tcBorders>
                    <w:bottom w:val="single" w:sz="6" w:space="0" w:color="BFBFBF" w:themeColor="background2"/>
                  </w:tcBorders>
                  <w:shd w:val="clear" w:color="auto" w:fill="auto"/>
                  <w:vAlign w:val="bottom"/>
                </w:tcPr>
                <w:p w:rsidR="00A868EF" w:rsidRPr="003A273A" w:rsidRDefault="00A868EF" w:rsidP="00447017">
                  <w:pPr>
                    <w:pStyle w:val="TableBodyText"/>
                    <w:ind w:right="0"/>
                    <w:rPr>
                      <w:b/>
                    </w:rPr>
                  </w:pPr>
                  <w:r w:rsidRPr="003A273A">
                    <w:rPr>
                      <w:b/>
                    </w:rPr>
                    <w:t>58.8</w:t>
                  </w:r>
                </w:p>
              </w:tc>
            </w:tr>
          </w:tbl>
          <w:p w:rsidR="003611D5" w:rsidRDefault="003611D5" w:rsidP="00EA54E6">
            <w:pPr>
              <w:pStyle w:val="Box"/>
            </w:pPr>
          </w:p>
        </w:tc>
      </w:tr>
      <w:tr w:rsidR="003611D5" w:rsidTr="00BF66C5">
        <w:trPr>
          <w:cantSplit/>
        </w:trPr>
        <w:tc>
          <w:tcPr>
            <w:tcW w:w="8767" w:type="dxa"/>
            <w:tcBorders>
              <w:top w:val="nil"/>
              <w:left w:val="nil"/>
              <w:bottom w:val="nil"/>
              <w:right w:val="nil"/>
            </w:tcBorders>
            <w:shd w:val="clear" w:color="auto" w:fill="auto"/>
          </w:tcPr>
          <w:p w:rsidR="003611D5" w:rsidRPr="005C44D0" w:rsidRDefault="007C767F" w:rsidP="007C767F">
            <w:pPr>
              <w:pStyle w:val="Note"/>
            </w:pPr>
            <w:r w:rsidRPr="00953E9C">
              <w:rPr>
                <w:rStyle w:val="NoteLabel"/>
              </w:rPr>
              <w:t>a</w:t>
            </w:r>
            <w:r w:rsidRPr="00953E9C">
              <w:t xml:space="preserve"> </w:t>
            </w:r>
            <w:r w:rsidRPr="007C767F">
              <w:t xml:space="preserve">See table </w:t>
            </w:r>
            <w:r>
              <w:t>4A.1</w:t>
            </w:r>
            <w:r w:rsidR="00302B1B">
              <w:t>–</w:t>
            </w:r>
            <w:r>
              <w:t>4</w:t>
            </w:r>
            <w:r w:rsidRPr="007C767F">
              <w:t xml:space="preserve"> for detailed footnotes and caveats.</w:t>
            </w:r>
          </w:p>
        </w:tc>
      </w:tr>
      <w:tr w:rsidR="003611D5" w:rsidTr="00BF66C5">
        <w:trPr>
          <w:cantSplit/>
        </w:trPr>
        <w:tc>
          <w:tcPr>
            <w:tcW w:w="8767" w:type="dxa"/>
            <w:tcBorders>
              <w:top w:val="nil"/>
              <w:left w:val="nil"/>
              <w:bottom w:val="nil"/>
              <w:right w:val="nil"/>
            </w:tcBorders>
            <w:shd w:val="clear" w:color="auto" w:fill="auto"/>
          </w:tcPr>
          <w:p w:rsidR="003611D5" w:rsidRDefault="005C44D0" w:rsidP="00DC4FA9">
            <w:pPr>
              <w:pStyle w:val="Source"/>
            </w:pPr>
            <w:r>
              <w:rPr>
                <w:i/>
              </w:rPr>
              <w:t>Source</w:t>
            </w:r>
            <w:r w:rsidR="003611D5" w:rsidRPr="00167F06">
              <w:t xml:space="preserve">: </w:t>
            </w:r>
            <w:r w:rsidRPr="005C44D0">
              <w:t>ABS (201</w:t>
            </w:r>
            <w:r w:rsidR="00DC4FA9">
              <w:t>5</w:t>
            </w:r>
            <w:r w:rsidRPr="005C44D0">
              <w:t xml:space="preserve">) </w:t>
            </w:r>
            <w:r w:rsidRPr="005C44D0">
              <w:rPr>
                <w:i/>
              </w:rPr>
              <w:t>Schools Australia 201</w:t>
            </w:r>
            <w:r w:rsidR="00DC4FA9">
              <w:rPr>
                <w:i/>
              </w:rPr>
              <w:t>4</w:t>
            </w:r>
            <w:r w:rsidRPr="005C44D0">
              <w:t>, Cat. no. 4221.0; tables 4A.1–4.</w:t>
            </w:r>
          </w:p>
        </w:tc>
      </w:tr>
      <w:tr w:rsidR="003611D5" w:rsidTr="00BF66C5">
        <w:trPr>
          <w:cantSplit/>
        </w:trPr>
        <w:tc>
          <w:tcPr>
            <w:tcW w:w="8767" w:type="dxa"/>
            <w:tcBorders>
              <w:top w:val="nil"/>
              <w:left w:val="nil"/>
              <w:bottom w:val="single" w:sz="6" w:space="0" w:color="78A22F"/>
              <w:right w:val="nil"/>
            </w:tcBorders>
            <w:shd w:val="clear" w:color="auto" w:fill="auto"/>
          </w:tcPr>
          <w:p w:rsidR="003611D5" w:rsidRDefault="003611D5" w:rsidP="00EA54E6">
            <w:pPr>
              <w:pStyle w:val="Box"/>
              <w:spacing w:before="0" w:line="120" w:lineRule="exact"/>
            </w:pPr>
          </w:p>
        </w:tc>
      </w:tr>
      <w:tr w:rsidR="003611D5" w:rsidRPr="000863A5" w:rsidTr="00BF66C5">
        <w:tc>
          <w:tcPr>
            <w:tcW w:w="8767" w:type="dxa"/>
            <w:tcBorders>
              <w:top w:val="single" w:sz="6" w:space="0" w:color="78A22F"/>
              <w:left w:val="nil"/>
              <w:bottom w:val="nil"/>
              <w:right w:val="nil"/>
            </w:tcBorders>
          </w:tcPr>
          <w:p w:rsidR="003611D5" w:rsidRPr="00626D32" w:rsidRDefault="003611D5" w:rsidP="00EA54E6">
            <w:pPr>
              <w:pStyle w:val="BoxSpaceBelow"/>
            </w:pPr>
          </w:p>
        </w:tc>
      </w:tr>
    </w:tbl>
    <w:p w:rsidR="00666ECE" w:rsidRPr="000E6F59" w:rsidRDefault="00666ECE" w:rsidP="004145D6">
      <w:pPr>
        <w:pStyle w:val="BodyText"/>
      </w:pPr>
      <w:r w:rsidRPr="00547B02">
        <w:rPr>
          <w:shd w:val="clear" w:color="auto" w:fill="FFFFFF" w:themeFill="background1"/>
        </w:rPr>
        <w:lastRenderedPageBreak/>
        <w:t xml:space="preserve">Full time school students represented </w:t>
      </w:r>
      <w:r w:rsidR="00A868EF">
        <w:rPr>
          <w:shd w:val="clear" w:color="auto" w:fill="FFFFFF" w:themeFill="background1"/>
        </w:rPr>
        <w:t xml:space="preserve">15.6 </w:t>
      </w:r>
      <w:r w:rsidRPr="00547B02">
        <w:rPr>
          <w:shd w:val="clear" w:color="auto" w:fill="FFFFFF" w:themeFill="background1"/>
        </w:rPr>
        <w:t>per cent</w:t>
      </w:r>
      <w:r w:rsidRPr="000E6F59">
        <w:t xml:space="preserve"> of the Australian population in 201</w:t>
      </w:r>
      <w:r w:rsidR="00DC4FA9">
        <w:t>4</w:t>
      </w:r>
      <w:r w:rsidRPr="000E6F59">
        <w:t xml:space="preserve"> (table</w:t>
      </w:r>
      <w:r w:rsidR="000B2CA3">
        <w:t> 4</w:t>
      </w:r>
      <w:r w:rsidRPr="000E6F59">
        <w:t>A.5).</w:t>
      </w:r>
      <w:r w:rsidR="00D02C13">
        <w:t xml:space="preserve"> Over the period 2010 to 2014, full time student enrolments increased by an average of </w:t>
      </w:r>
      <w:r w:rsidR="00A14CFF">
        <w:t>1.3</w:t>
      </w:r>
      <w:r w:rsidR="00D02C13">
        <w:t xml:space="preserve"> per cent annually, with this proportion higher for non-government schools (</w:t>
      </w:r>
      <w:r w:rsidR="00A14CFF">
        <w:t>1.7</w:t>
      </w:r>
      <w:r w:rsidR="00D02C13">
        <w:t xml:space="preserve"> per cent annually) compared to government schools (</w:t>
      </w:r>
      <w:r w:rsidR="00A14CFF">
        <w:t>1.1</w:t>
      </w:r>
      <w:r w:rsidR="00D02C13">
        <w:t xml:space="preserve"> per cent annually) (table</w:t>
      </w:r>
      <w:r w:rsidR="00A14CFF">
        <w:t> </w:t>
      </w:r>
      <w:r w:rsidR="00D02C13">
        <w:t>4A.28).</w:t>
      </w:r>
    </w:p>
    <w:p w:rsidR="00666ECE" w:rsidRPr="000E6F59" w:rsidRDefault="00666ECE" w:rsidP="004145D6">
      <w:pPr>
        <w:pStyle w:val="BodyText"/>
      </w:pPr>
      <w:r w:rsidRPr="00547B02">
        <w:rPr>
          <w:shd w:val="clear" w:color="auto" w:fill="FFFFFF" w:themeFill="background1"/>
        </w:rPr>
        <w:t xml:space="preserve">The expansion of full time enrolments in non-government schools was from a lower base than that for government schools. In absolute terms, the number of full time students in government schools increased from </w:t>
      </w:r>
      <w:r w:rsidR="00A14CFF">
        <w:rPr>
          <w:shd w:val="clear" w:color="auto" w:fill="FFFFFF" w:themeFill="background1"/>
        </w:rPr>
        <w:t>2 28</w:t>
      </w:r>
      <w:r w:rsidR="000E5E6C">
        <w:rPr>
          <w:shd w:val="clear" w:color="auto" w:fill="FFFFFF" w:themeFill="background1"/>
        </w:rPr>
        <w:t>2</w:t>
      </w:r>
      <w:r w:rsidR="00A14CFF">
        <w:rPr>
          <w:shd w:val="clear" w:color="auto" w:fill="FFFFFF" w:themeFill="background1"/>
        </w:rPr>
        <w:t> 357</w:t>
      </w:r>
      <w:r w:rsidR="00547B02" w:rsidRPr="00547B02">
        <w:rPr>
          <w:shd w:val="clear" w:color="auto" w:fill="FFFFFF" w:themeFill="background1"/>
        </w:rPr>
        <w:t xml:space="preserve"> </w:t>
      </w:r>
      <w:r w:rsidRPr="00547B02">
        <w:rPr>
          <w:shd w:val="clear" w:color="auto" w:fill="FFFFFF" w:themeFill="background1"/>
        </w:rPr>
        <w:t>in 20</w:t>
      </w:r>
      <w:r w:rsidR="00DC4FA9">
        <w:rPr>
          <w:shd w:val="clear" w:color="auto" w:fill="FFFFFF" w:themeFill="background1"/>
        </w:rPr>
        <w:t>10</w:t>
      </w:r>
      <w:r w:rsidR="00A14CFF">
        <w:rPr>
          <w:shd w:val="clear" w:color="auto" w:fill="FFFFFF" w:themeFill="background1"/>
        </w:rPr>
        <w:t xml:space="preserve"> </w:t>
      </w:r>
      <w:r w:rsidRPr="00547B02">
        <w:rPr>
          <w:shd w:val="clear" w:color="auto" w:fill="FFFFFF" w:themeFill="background1"/>
        </w:rPr>
        <w:t xml:space="preserve">to </w:t>
      </w:r>
      <w:r w:rsidR="00A14CFF">
        <w:rPr>
          <w:shd w:val="clear" w:color="auto" w:fill="FFFFFF" w:themeFill="background1"/>
        </w:rPr>
        <w:t>2 387 529</w:t>
      </w:r>
      <w:r w:rsidR="00776B6F" w:rsidRPr="00547B02">
        <w:rPr>
          <w:shd w:val="clear" w:color="auto" w:fill="FFFFFF" w:themeFill="background1"/>
        </w:rPr>
        <w:t xml:space="preserve"> </w:t>
      </w:r>
      <w:r w:rsidRPr="00547B02">
        <w:rPr>
          <w:shd w:val="clear" w:color="auto" w:fill="FFFFFF" w:themeFill="background1"/>
        </w:rPr>
        <w:t>in 201</w:t>
      </w:r>
      <w:r w:rsidR="00681DD0">
        <w:rPr>
          <w:shd w:val="clear" w:color="auto" w:fill="FFFFFF" w:themeFill="background1"/>
        </w:rPr>
        <w:t>4</w:t>
      </w:r>
      <w:r w:rsidRPr="00547B02">
        <w:rPr>
          <w:shd w:val="clear" w:color="auto" w:fill="FFFFFF" w:themeFill="background1"/>
        </w:rPr>
        <w:t>. The number of full time students in non</w:t>
      </w:r>
      <w:r w:rsidR="0048153E">
        <w:rPr>
          <w:shd w:val="clear" w:color="auto" w:fill="FFFFFF" w:themeFill="background1"/>
        </w:rPr>
        <w:noBreakHyphen/>
      </w:r>
      <w:r w:rsidRPr="00547B02">
        <w:rPr>
          <w:shd w:val="clear" w:color="auto" w:fill="FFFFFF" w:themeFill="background1"/>
        </w:rPr>
        <w:t xml:space="preserve">government schools increased from </w:t>
      </w:r>
      <w:r w:rsidR="00A14CFF">
        <w:rPr>
          <w:shd w:val="clear" w:color="auto" w:fill="FFFFFF" w:themeFill="background1"/>
        </w:rPr>
        <w:t>1 204 522</w:t>
      </w:r>
      <w:r w:rsidR="00776B6F" w:rsidRPr="00547B02">
        <w:rPr>
          <w:shd w:val="clear" w:color="auto" w:fill="FFFFFF" w:themeFill="background1"/>
        </w:rPr>
        <w:t xml:space="preserve"> </w:t>
      </w:r>
      <w:r w:rsidRPr="00547B02">
        <w:rPr>
          <w:shd w:val="clear" w:color="auto" w:fill="FFFFFF" w:themeFill="background1"/>
        </w:rPr>
        <w:t>in 20</w:t>
      </w:r>
      <w:r w:rsidR="00DC4FA9">
        <w:rPr>
          <w:shd w:val="clear" w:color="auto" w:fill="FFFFFF" w:themeFill="background1"/>
        </w:rPr>
        <w:t>10</w:t>
      </w:r>
      <w:r w:rsidRPr="00547B02">
        <w:rPr>
          <w:shd w:val="clear" w:color="auto" w:fill="FFFFFF" w:themeFill="background1"/>
        </w:rPr>
        <w:t xml:space="preserve"> to </w:t>
      </w:r>
      <w:r w:rsidR="000E5E6C">
        <w:rPr>
          <w:shd w:val="clear" w:color="auto" w:fill="FFFFFF" w:themeFill="background1"/>
        </w:rPr>
        <w:t>1 </w:t>
      </w:r>
      <w:r w:rsidR="00A14CFF">
        <w:rPr>
          <w:shd w:val="clear" w:color="auto" w:fill="FFFFFF" w:themeFill="background1"/>
        </w:rPr>
        <w:t>286 236</w:t>
      </w:r>
      <w:r w:rsidR="00776B6F" w:rsidRPr="00547B02">
        <w:rPr>
          <w:shd w:val="clear" w:color="auto" w:fill="FFFFFF" w:themeFill="background1"/>
        </w:rPr>
        <w:t xml:space="preserve"> </w:t>
      </w:r>
      <w:r w:rsidRPr="00547B02">
        <w:rPr>
          <w:shd w:val="clear" w:color="auto" w:fill="FFFFFF" w:themeFill="background1"/>
        </w:rPr>
        <w:t>in 201</w:t>
      </w:r>
      <w:r w:rsidR="00DC4FA9">
        <w:rPr>
          <w:shd w:val="clear" w:color="auto" w:fill="FFFFFF" w:themeFill="background1"/>
        </w:rPr>
        <w:t>4</w:t>
      </w:r>
      <w:r w:rsidRPr="00547B02">
        <w:rPr>
          <w:shd w:val="clear" w:color="auto" w:fill="FFFFFF" w:themeFill="background1"/>
        </w:rPr>
        <w:t xml:space="preserve"> (</w:t>
      </w:r>
      <w:r w:rsidRPr="000E6F59">
        <w:t>table</w:t>
      </w:r>
      <w:r w:rsidR="0048153E">
        <w:t> </w:t>
      </w:r>
      <w:r w:rsidRPr="000E6F59">
        <w:t>4A.2</w:t>
      </w:r>
      <w:r w:rsidR="009807CA">
        <w:t>7</w:t>
      </w:r>
      <w:r w:rsidRPr="000E6F59">
        <w:t>).</w:t>
      </w:r>
    </w:p>
    <w:p w:rsidR="00666ECE" w:rsidRPr="00666ECE" w:rsidRDefault="00666ECE" w:rsidP="004145D6">
      <w:pPr>
        <w:pStyle w:val="BodyText"/>
      </w:pPr>
      <w:r w:rsidRPr="000E6F59">
        <w:t>Part time students form a significant proportion of secondary school enrolments in some jurisdictions</w:t>
      </w:r>
      <w:r w:rsidR="003308EC">
        <w:t>, though these proportions have decreased in recent years</w:t>
      </w:r>
      <w:r w:rsidRPr="000E6F59">
        <w:t xml:space="preserve"> (table 4.</w:t>
      </w:r>
      <w:r w:rsidR="00685D96">
        <w:t>4</w:t>
      </w:r>
      <w:r w:rsidRPr="000E6F59">
        <w:t>). The proportion of secondary school students who were enrolled part time in 201</w:t>
      </w:r>
      <w:r w:rsidR="00DC4FA9">
        <w:t>4</w:t>
      </w:r>
      <w:r w:rsidRPr="000E6F59">
        <w:t xml:space="preserve"> varied considerably across</w:t>
      </w:r>
      <w:r w:rsidRPr="00666ECE">
        <w:t xml:space="preserve"> jurisdictions, partly because jurisdictions’ education authorities have different policy and organisational arrangements for part time study, different definitions of what constitutes part time study</w:t>
      </w:r>
      <w:r w:rsidR="003308EC">
        <w:t xml:space="preserve">, and variance in the number of part time </w:t>
      </w:r>
      <w:r w:rsidRPr="00666ECE">
        <w:t>courses available.</w:t>
      </w:r>
    </w:p>
    <w:p w:rsidR="007159F6" w:rsidRDefault="007159F6" w:rsidP="00E41D90">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7159F6" w:rsidTr="00D55690">
        <w:tc>
          <w:tcPr>
            <w:tcW w:w="8767" w:type="dxa"/>
            <w:tcBorders>
              <w:top w:val="single" w:sz="6" w:space="0" w:color="78A22F"/>
              <w:left w:val="nil"/>
              <w:bottom w:val="nil"/>
              <w:right w:val="nil"/>
            </w:tcBorders>
            <w:shd w:val="clear" w:color="auto" w:fill="auto"/>
          </w:tcPr>
          <w:p w:rsidR="007159F6" w:rsidRPr="00784A05" w:rsidRDefault="007159F6" w:rsidP="00A14CFF">
            <w:pPr>
              <w:pStyle w:val="TableTitle"/>
            </w:pPr>
            <w:r>
              <w:rPr>
                <w:b w:val="0"/>
              </w:rPr>
              <w:t xml:space="preserve">Table </w:t>
            </w:r>
            <w:r w:rsidR="00B70781">
              <w:rPr>
                <w:b w:val="0"/>
              </w:rPr>
              <w:t>4.</w:t>
            </w:r>
            <w:r w:rsidR="00FF4FBD">
              <w:rPr>
                <w:b w:val="0"/>
                <w:noProof/>
              </w:rPr>
              <w:t>4</w:t>
            </w:r>
            <w:r>
              <w:tab/>
            </w:r>
            <w:r w:rsidRPr="007159F6">
              <w:t>Part time secondary school students in government schools</w:t>
            </w:r>
            <w:r w:rsidR="000E5E6C" w:rsidRPr="000E5E6C">
              <w:rPr>
                <w:rStyle w:val="NoteLabel"/>
                <w:b/>
              </w:rPr>
              <w:t>a</w:t>
            </w:r>
          </w:p>
        </w:tc>
      </w:tr>
      <w:tr w:rsidR="007159F6" w:rsidTr="00D55690">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687"/>
              <w:gridCol w:w="709"/>
              <w:gridCol w:w="850"/>
              <w:gridCol w:w="851"/>
              <w:gridCol w:w="708"/>
              <w:gridCol w:w="709"/>
              <w:gridCol w:w="851"/>
              <w:gridCol w:w="850"/>
              <w:gridCol w:w="709"/>
              <w:gridCol w:w="709"/>
              <w:gridCol w:w="850"/>
            </w:tblGrid>
            <w:tr w:rsidR="00AE54E6" w:rsidRPr="00666ECE" w:rsidTr="00AE54E6">
              <w:tc>
                <w:tcPr>
                  <w:tcW w:w="687" w:type="dxa"/>
                  <w:tcBorders>
                    <w:top w:val="single" w:sz="4" w:space="0" w:color="BFBFBF" w:themeColor="background2"/>
                    <w:bottom w:val="single" w:sz="4" w:space="0" w:color="BFBFBF" w:themeColor="background2"/>
                  </w:tcBorders>
                </w:tcPr>
                <w:p w:rsidR="000E6669" w:rsidRPr="00666ECE" w:rsidRDefault="000E6669" w:rsidP="000E6669">
                  <w:pPr>
                    <w:pStyle w:val="TableColumnHeading"/>
                  </w:pPr>
                </w:p>
              </w:tc>
              <w:tc>
                <w:tcPr>
                  <w:tcW w:w="709" w:type="dxa"/>
                  <w:tcBorders>
                    <w:top w:val="single" w:sz="4" w:space="0" w:color="BFBFBF" w:themeColor="background2"/>
                    <w:bottom w:val="single" w:sz="4" w:space="0" w:color="BFBFBF" w:themeColor="background2"/>
                  </w:tcBorders>
                </w:tcPr>
                <w:p w:rsidR="000E6669" w:rsidRPr="00666ECE" w:rsidRDefault="000E6669" w:rsidP="00D55690">
                  <w:pPr>
                    <w:pStyle w:val="TableColumnHeading"/>
                    <w:ind w:left="0" w:right="28"/>
                  </w:pPr>
                  <w:r>
                    <w:t>Unit</w:t>
                  </w:r>
                </w:p>
              </w:tc>
              <w:tc>
                <w:tcPr>
                  <w:tcW w:w="850" w:type="dxa"/>
                  <w:tcBorders>
                    <w:top w:val="single" w:sz="4" w:space="0" w:color="BFBFBF" w:themeColor="background2"/>
                    <w:bottom w:val="single" w:sz="4" w:space="0" w:color="BFBFBF" w:themeColor="background2"/>
                  </w:tcBorders>
                </w:tcPr>
                <w:p w:rsidR="000E6669" w:rsidRPr="000E6669" w:rsidRDefault="000E6669" w:rsidP="00D55690">
                  <w:pPr>
                    <w:pStyle w:val="TableColumnHeading"/>
                    <w:ind w:left="0" w:right="28"/>
                  </w:pPr>
                  <w:r w:rsidRPr="000E6669">
                    <w:t>NSW</w:t>
                  </w:r>
                </w:p>
              </w:tc>
              <w:tc>
                <w:tcPr>
                  <w:tcW w:w="851" w:type="dxa"/>
                  <w:tcBorders>
                    <w:top w:val="single" w:sz="4" w:space="0" w:color="BFBFBF" w:themeColor="background2"/>
                    <w:bottom w:val="single" w:sz="4" w:space="0" w:color="BFBFBF" w:themeColor="background2"/>
                  </w:tcBorders>
                </w:tcPr>
                <w:p w:rsidR="000E6669" w:rsidRPr="000E6669" w:rsidRDefault="000E6669" w:rsidP="00D55690">
                  <w:pPr>
                    <w:pStyle w:val="TableColumnHeading"/>
                    <w:ind w:left="0" w:right="28"/>
                  </w:pPr>
                  <w:r w:rsidRPr="000E6669">
                    <w:t>Vic</w:t>
                  </w:r>
                </w:p>
              </w:tc>
              <w:tc>
                <w:tcPr>
                  <w:tcW w:w="708" w:type="dxa"/>
                  <w:tcBorders>
                    <w:top w:val="single" w:sz="4" w:space="0" w:color="BFBFBF" w:themeColor="background2"/>
                    <w:bottom w:val="single" w:sz="4" w:space="0" w:color="BFBFBF" w:themeColor="background2"/>
                  </w:tcBorders>
                </w:tcPr>
                <w:p w:rsidR="000E6669" w:rsidRPr="000E6669" w:rsidRDefault="000E6669" w:rsidP="00D55690">
                  <w:pPr>
                    <w:pStyle w:val="TableColumnHeading"/>
                    <w:ind w:left="0" w:right="28"/>
                  </w:pPr>
                  <w:r w:rsidRPr="000E6669">
                    <w:t>Qld</w:t>
                  </w:r>
                </w:p>
              </w:tc>
              <w:tc>
                <w:tcPr>
                  <w:tcW w:w="709" w:type="dxa"/>
                  <w:tcBorders>
                    <w:top w:val="single" w:sz="4" w:space="0" w:color="BFBFBF" w:themeColor="background2"/>
                    <w:bottom w:val="single" w:sz="4" w:space="0" w:color="BFBFBF" w:themeColor="background2"/>
                  </w:tcBorders>
                </w:tcPr>
                <w:p w:rsidR="000E6669" w:rsidRPr="000E6669" w:rsidRDefault="000E6669" w:rsidP="00D55690">
                  <w:pPr>
                    <w:pStyle w:val="TableColumnHeading"/>
                    <w:ind w:left="0" w:right="28"/>
                  </w:pPr>
                  <w:r w:rsidRPr="000E6669">
                    <w:t>WA</w:t>
                  </w:r>
                </w:p>
              </w:tc>
              <w:tc>
                <w:tcPr>
                  <w:tcW w:w="851" w:type="dxa"/>
                  <w:tcBorders>
                    <w:top w:val="single" w:sz="4" w:space="0" w:color="BFBFBF" w:themeColor="background2"/>
                    <w:bottom w:val="single" w:sz="4" w:space="0" w:color="BFBFBF" w:themeColor="background2"/>
                  </w:tcBorders>
                </w:tcPr>
                <w:p w:rsidR="000E6669" w:rsidRPr="000E6669" w:rsidRDefault="000E6669" w:rsidP="00D55690">
                  <w:pPr>
                    <w:pStyle w:val="TableColumnHeading"/>
                    <w:ind w:left="0" w:right="28"/>
                  </w:pPr>
                  <w:r w:rsidRPr="000E6669">
                    <w:t>SA</w:t>
                  </w:r>
                </w:p>
              </w:tc>
              <w:tc>
                <w:tcPr>
                  <w:tcW w:w="850" w:type="dxa"/>
                  <w:tcBorders>
                    <w:top w:val="single" w:sz="4" w:space="0" w:color="BFBFBF" w:themeColor="background2"/>
                    <w:bottom w:val="single" w:sz="4" w:space="0" w:color="BFBFBF" w:themeColor="background2"/>
                  </w:tcBorders>
                </w:tcPr>
                <w:p w:rsidR="000E6669" w:rsidRPr="000E6669" w:rsidRDefault="000E6669" w:rsidP="00D55690">
                  <w:pPr>
                    <w:pStyle w:val="TableColumnHeading"/>
                    <w:ind w:left="0" w:right="28"/>
                  </w:pPr>
                  <w:r w:rsidRPr="000E6669">
                    <w:t>Tas</w:t>
                  </w:r>
                </w:p>
              </w:tc>
              <w:tc>
                <w:tcPr>
                  <w:tcW w:w="709" w:type="dxa"/>
                  <w:tcBorders>
                    <w:top w:val="single" w:sz="4" w:space="0" w:color="BFBFBF" w:themeColor="background2"/>
                    <w:bottom w:val="single" w:sz="4" w:space="0" w:color="BFBFBF" w:themeColor="background2"/>
                  </w:tcBorders>
                </w:tcPr>
                <w:p w:rsidR="000E6669" w:rsidRPr="000E6669" w:rsidRDefault="000E6669" w:rsidP="00D55690">
                  <w:pPr>
                    <w:pStyle w:val="TableColumnHeading"/>
                    <w:ind w:left="0" w:right="28"/>
                  </w:pPr>
                  <w:r w:rsidRPr="000E6669">
                    <w:t>ACT</w:t>
                  </w:r>
                </w:p>
              </w:tc>
              <w:tc>
                <w:tcPr>
                  <w:tcW w:w="709" w:type="dxa"/>
                  <w:tcBorders>
                    <w:top w:val="single" w:sz="4" w:space="0" w:color="BFBFBF" w:themeColor="background2"/>
                    <w:bottom w:val="single" w:sz="4" w:space="0" w:color="BFBFBF" w:themeColor="background2"/>
                  </w:tcBorders>
                </w:tcPr>
                <w:p w:rsidR="000E6669" w:rsidRPr="000E6669" w:rsidRDefault="000E6669" w:rsidP="00D55690">
                  <w:pPr>
                    <w:pStyle w:val="TableColumnHeading"/>
                    <w:ind w:left="0" w:right="28"/>
                  </w:pPr>
                  <w:r w:rsidRPr="000E6669">
                    <w:t>NT</w:t>
                  </w:r>
                </w:p>
              </w:tc>
              <w:tc>
                <w:tcPr>
                  <w:tcW w:w="850" w:type="dxa"/>
                  <w:tcBorders>
                    <w:top w:val="single" w:sz="4" w:space="0" w:color="BFBFBF" w:themeColor="background2"/>
                    <w:bottom w:val="single" w:sz="4" w:space="0" w:color="BFBFBF" w:themeColor="background2"/>
                  </w:tcBorders>
                </w:tcPr>
                <w:p w:rsidR="000E6669" w:rsidRPr="000E6669" w:rsidRDefault="000E6669" w:rsidP="00D55690">
                  <w:pPr>
                    <w:pStyle w:val="TableColumnHeading"/>
                    <w:ind w:left="0" w:right="28"/>
                  </w:pPr>
                  <w:r w:rsidRPr="000E6669">
                    <w:t>Aust</w:t>
                  </w:r>
                </w:p>
              </w:tc>
            </w:tr>
            <w:tr w:rsidR="007159F6" w:rsidRPr="00AE54E6" w:rsidTr="00D55690">
              <w:tc>
                <w:tcPr>
                  <w:tcW w:w="7633" w:type="dxa"/>
                  <w:gridSpan w:val="10"/>
                  <w:tcBorders>
                    <w:top w:val="single" w:sz="4" w:space="0" w:color="BFBFBF" w:themeColor="background2"/>
                  </w:tcBorders>
                </w:tcPr>
                <w:p w:rsidR="007159F6" w:rsidRPr="00AE54E6" w:rsidRDefault="007159F6" w:rsidP="000C386B">
                  <w:pPr>
                    <w:pStyle w:val="TableBodyText"/>
                    <w:spacing w:before="60"/>
                    <w:jc w:val="left"/>
                    <w:rPr>
                      <w:b/>
                    </w:rPr>
                  </w:pPr>
                  <w:r w:rsidRPr="00AE54E6">
                    <w:rPr>
                      <w:b/>
                    </w:rPr>
                    <w:t>Part time secondary school students in governmen</w:t>
                  </w:r>
                  <w:r w:rsidR="0027264A" w:rsidRPr="00AE54E6">
                    <w:rPr>
                      <w:b/>
                    </w:rPr>
                    <w:t>t schools</w:t>
                  </w:r>
                </w:p>
              </w:tc>
              <w:tc>
                <w:tcPr>
                  <w:tcW w:w="850" w:type="dxa"/>
                  <w:tcBorders>
                    <w:top w:val="single" w:sz="4" w:space="0" w:color="BFBFBF" w:themeColor="background2"/>
                  </w:tcBorders>
                </w:tcPr>
                <w:p w:rsidR="007159F6" w:rsidRPr="00AE54E6" w:rsidRDefault="007159F6" w:rsidP="00E41D90">
                  <w:pPr>
                    <w:keepNext/>
                    <w:keepLines/>
                    <w:spacing w:after="40" w:line="220" w:lineRule="atLeast"/>
                    <w:ind w:left="6" w:right="28"/>
                    <w:jc w:val="right"/>
                    <w:rPr>
                      <w:rFonts w:ascii="Arial" w:hAnsi="Arial"/>
                      <w:b/>
                      <w:i/>
                      <w:sz w:val="20"/>
                      <w:szCs w:val="20"/>
                    </w:rPr>
                  </w:pPr>
                </w:p>
              </w:tc>
            </w:tr>
            <w:tr w:rsidR="00A14CFF" w:rsidRPr="00666ECE" w:rsidTr="00C3749C">
              <w:tc>
                <w:tcPr>
                  <w:tcW w:w="687" w:type="dxa"/>
                  <w:vAlign w:val="bottom"/>
                </w:tcPr>
                <w:p w:rsidR="00A14CFF" w:rsidRPr="00666ECE" w:rsidRDefault="00A14CFF" w:rsidP="00C3749C">
                  <w:pPr>
                    <w:pStyle w:val="TableBodyText"/>
                    <w:jc w:val="left"/>
                  </w:pPr>
                  <w:r>
                    <w:t>2010</w:t>
                  </w:r>
                </w:p>
              </w:tc>
              <w:tc>
                <w:tcPr>
                  <w:tcW w:w="709" w:type="dxa"/>
                </w:tcPr>
                <w:p w:rsidR="00A14CFF" w:rsidRPr="007159F6" w:rsidRDefault="00A14CFF" w:rsidP="00C3749C">
                  <w:pPr>
                    <w:pStyle w:val="TableBodyText"/>
                  </w:pPr>
                  <w:r w:rsidRPr="007159F6">
                    <w:t>no.</w:t>
                  </w:r>
                </w:p>
              </w:tc>
              <w:tc>
                <w:tcPr>
                  <w:tcW w:w="850" w:type="dxa"/>
                  <w:vAlign w:val="center"/>
                </w:tcPr>
                <w:p w:rsidR="00A14CFF" w:rsidRPr="007159F6" w:rsidRDefault="00A14CFF" w:rsidP="00C3749C">
                  <w:pPr>
                    <w:pStyle w:val="TableBodyText"/>
                  </w:pPr>
                  <w:r w:rsidRPr="007159F6">
                    <w:t xml:space="preserve"> 1 956</w:t>
                  </w:r>
                </w:p>
              </w:tc>
              <w:tc>
                <w:tcPr>
                  <w:tcW w:w="851" w:type="dxa"/>
                  <w:vAlign w:val="center"/>
                </w:tcPr>
                <w:p w:rsidR="00A14CFF" w:rsidRPr="007159F6" w:rsidRDefault="00A14CFF" w:rsidP="00C3749C">
                  <w:pPr>
                    <w:pStyle w:val="TableBodyText"/>
                  </w:pPr>
                  <w:r w:rsidRPr="007159F6">
                    <w:t xml:space="preserve"> 2 701</w:t>
                  </w:r>
                </w:p>
              </w:tc>
              <w:tc>
                <w:tcPr>
                  <w:tcW w:w="708" w:type="dxa"/>
                  <w:vAlign w:val="center"/>
                </w:tcPr>
                <w:p w:rsidR="00A14CFF" w:rsidRPr="007159F6" w:rsidRDefault="00A14CFF" w:rsidP="00C3749C">
                  <w:pPr>
                    <w:pStyle w:val="TableBodyText"/>
                  </w:pPr>
                  <w:r w:rsidRPr="007159F6">
                    <w:t xml:space="preserve"> 3 155</w:t>
                  </w:r>
                </w:p>
              </w:tc>
              <w:tc>
                <w:tcPr>
                  <w:tcW w:w="709" w:type="dxa"/>
                  <w:vAlign w:val="center"/>
                </w:tcPr>
                <w:p w:rsidR="00A14CFF" w:rsidRPr="007159F6" w:rsidRDefault="00A14CFF" w:rsidP="00C3749C">
                  <w:pPr>
                    <w:pStyle w:val="TableBodyText"/>
                  </w:pPr>
                  <w:r w:rsidRPr="007159F6">
                    <w:t xml:space="preserve"> 2 089</w:t>
                  </w:r>
                </w:p>
              </w:tc>
              <w:tc>
                <w:tcPr>
                  <w:tcW w:w="851" w:type="dxa"/>
                  <w:vAlign w:val="center"/>
                </w:tcPr>
                <w:p w:rsidR="00A14CFF" w:rsidRPr="007159F6" w:rsidRDefault="00A14CFF" w:rsidP="00C3749C">
                  <w:pPr>
                    <w:pStyle w:val="TableBodyText"/>
                  </w:pPr>
                  <w:r w:rsidRPr="007159F6">
                    <w:t xml:space="preserve"> 6 135</w:t>
                  </w:r>
                </w:p>
              </w:tc>
              <w:tc>
                <w:tcPr>
                  <w:tcW w:w="850" w:type="dxa"/>
                  <w:vAlign w:val="center"/>
                </w:tcPr>
                <w:p w:rsidR="00A14CFF" w:rsidRPr="007159F6" w:rsidRDefault="00A14CFF" w:rsidP="00C3749C">
                  <w:pPr>
                    <w:pStyle w:val="TableBodyText"/>
                  </w:pPr>
                  <w:r w:rsidRPr="007159F6">
                    <w:t xml:space="preserve"> 2 143</w:t>
                  </w:r>
                </w:p>
              </w:tc>
              <w:tc>
                <w:tcPr>
                  <w:tcW w:w="709" w:type="dxa"/>
                  <w:vAlign w:val="center"/>
                </w:tcPr>
                <w:p w:rsidR="00A14CFF" w:rsidRPr="007159F6" w:rsidRDefault="00A14CFF" w:rsidP="00C3749C">
                  <w:pPr>
                    <w:pStyle w:val="TableBodyText"/>
                  </w:pPr>
                  <w:r w:rsidRPr="007159F6">
                    <w:t xml:space="preserve"> 6</w:t>
                  </w:r>
                </w:p>
              </w:tc>
              <w:tc>
                <w:tcPr>
                  <w:tcW w:w="709" w:type="dxa"/>
                  <w:vAlign w:val="center"/>
                </w:tcPr>
                <w:p w:rsidR="00A14CFF" w:rsidRPr="007159F6" w:rsidRDefault="00A14CFF" w:rsidP="00C3749C">
                  <w:pPr>
                    <w:pStyle w:val="TableBodyText"/>
                  </w:pPr>
                  <w:r w:rsidRPr="007159F6">
                    <w:t xml:space="preserve"> 42</w:t>
                  </w:r>
                </w:p>
              </w:tc>
              <w:tc>
                <w:tcPr>
                  <w:tcW w:w="850" w:type="dxa"/>
                  <w:vAlign w:val="center"/>
                </w:tcPr>
                <w:p w:rsidR="00A14CFF" w:rsidRPr="007159F6" w:rsidRDefault="00A14CFF" w:rsidP="00C3749C">
                  <w:pPr>
                    <w:pStyle w:val="TableBodyText"/>
                  </w:pPr>
                  <w:r w:rsidRPr="007159F6">
                    <w:t xml:space="preserve"> 18 227</w:t>
                  </w:r>
                </w:p>
              </w:tc>
            </w:tr>
            <w:tr w:rsidR="00A14CFF" w:rsidRPr="00666ECE" w:rsidTr="00C3749C">
              <w:tc>
                <w:tcPr>
                  <w:tcW w:w="687" w:type="dxa"/>
                  <w:vAlign w:val="bottom"/>
                </w:tcPr>
                <w:p w:rsidR="00A14CFF" w:rsidRPr="00666ECE" w:rsidRDefault="00A14CFF" w:rsidP="00C3749C">
                  <w:pPr>
                    <w:pStyle w:val="TableBodyText"/>
                    <w:jc w:val="left"/>
                  </w:pPr>
                  <w:r w:rsidRPr="00666ECE">
                    <w:t>201</w:t>
                  </w:r>
                  <w:r>
                    <w:t>1</w:t>
                  </w:r>
                </w:p>
              </w:tc>
              <w:tc>
                <w:tcPr>
                  <w:tcW w:w="709" w:type="dxa"/>
                </w:tcPr>
                <w:p w:rsidR="00A14CFF" w:rsidRPr="007159F6" w:rsidRDefault="00A14CFF" w:rsidP="00C3749C">
                  <w:pPr>
                    <w:pStyle w:val="TableBodyText"/>
                  </w:pPr>
                  <w:r w:rsidRPr="007159F6">
                    <w:t>no.</w:t>
                  </w:r>
                </w:p>
              </w:tc>
              <w:tc>
                <w:tcPr>
                  <w:tcW w:w="850" w:type="dxa"/>
                  <w:vAlign w:val="center"/>
                </w:tcPr>
                <w:p w:rsidR="00A14CFF" w:rsidRPr="007159F6" w:rsidRDefault="00A14CFF" w:rsidP="00C3749C">
                  <w:pPr>
                    <w:pStyle w:val="TableBodyText"/>
                  </w:pPr>
                  <w:r w:rsidRPr="007159F6">
                    <w:t xml:space="preserve"> 1 915</w:t>
                  </w:r>
                </w:p>
              </w:tc>
              <w:tc>
                <w:tcPr>
                  <w:tcW w:w="851" w:type="dxa"/>
                  <w:vAlign w:val="center"/>
                </w:tcPr>
                <w:p w:rsidR="00A14CFF" w:rsidRPr="007159F6" w:rsidRDefault="00A14CFF" w:rsidP="00C3749C">
                  <w:pPr>
                    <w:pStyle w:val="TableBodyText"/>
                  </w:pPr>
                  <w:r w:rsidRPr="007159F6">
                    <w:t xml:space="preserve"> 2 252</w:t>
                  </w:r>
                </w:p>
              </w:tc>
              <w:tc>
                <w:tcPr>
                  <w:tcW w:w="708" w:type="dxa"/>
                  <w:vAlign w:val="center"/>
                </w:tcPr>
                <w:p w:rsidR="00A14CFF" w:rsidRPr="007159F6" w:rsidRDefault="00A14CFF" w:rsidP="00C3749C">
                  <w:pPr>
                    <w:pStyle w:val="TableBodyText"/>
                  </w:pPr>
                  <w:r w:rsidRPr="007159F6">
                    <w:t xml:space="preserve"> 3 385</w:t>
                  </w:r>
                </w:p>
              </w:tc>
              <w:tc>
                <w:tcPr>
                  <w:tcW w:w="709" w:type="dxa"/>
                  <w:vAlign w:val="center"/>
                </w:tcPr>
                <w:p w:rsidR="00A14CFF" w:rsidRPr="007159F6" w:rsidRDefault="00A14CFF" w:rsidP="00C3749C">
                  <w:pPr>
                    <w:pStyle w:val="TableBodyText"/>
                  </w:pPr>
                  <w:r w:rsidRPr="007159F6">
                    <w:t xml:space="preserve"> 2 000</w:t>
                  </w:r>
                </w:p>
              </w:tc>
              <w:tc>
                <w:tcPr>
                  <w:tcW w:w="851" w:type="dxa"/>
                  <w:vAlign w:val="center"/>
                </w:tcPr>
                <w:p w:rsidR="00A14CFF" w:rsidRPr="007159F6" w:rsidRDefault="00A14CFF" w:rsidP="00C3749C">
                  <w:pPr>
                    <w:pStyle w:val="TableBodyText"/>
                  </w:pPr>
                  <w:r w:rsidRPr="007159F6">
                    <w:t xml:space="preserve"> 4 059</w:t>
                  </w:r>
                </w:p>
              </w:tc>
              <w:tc>
                <w:tcPr>
                  <w:tcW w:w="850" w:type="dxa"/>
                  <w:vAlign w:val="center"/>
                </w:tcPr>
                <w:p w:rsidR="00A14CFF" w:rsidRPr="007159F6" w:rsidRDefault="00A14CFF" w:rsidP="00C3749C">
                  <w:pPr>
                    <w:pStyle w:val="TableBodyText"/>
                  </w:pPr>
                  <w:r w:rsidRPr="007159F6">
                    <w:t xml:space="preserve"> 2 463</w:t>
                  </w:r>
                </w:p>
              </w:tc>
              <w:tc>
                <w:tcPr>
                  <w:tcW w:w="709" w:type="dxa"/>
                  <w:vAlign w:val="center"/>
                </w:tcPr>
                <w:p w:rsidR="00A14CFF" w:rsidRPr="007159F6" w:rsidRDefault="00A14CFF" w:rsidP="00C3749C">
                  <w:pPr>
                    <w:pStyle w:val="TableBodyText"/>
                  </w:pPr>
                  <w:r w:rsidRPr="007159F6">
                    <w:t xml:space="preserve"> 46</w:t>
                  </w:r>
                </w:p>
              </w:tc>
              <w:tc>
                <w:tcPr>
                  <w:tcW w:w="709" w:type="dxa"/>
                  <w:vAlign w:val="center"/>
                </w:tcPr>
                <w:p w:rsidR="00A14CFF" w:rsidRPr="007159F6" w:rsidRDefault="00A14CFF" w:rsidP="00C3749C">
                  <w:pPr>
                    <w:pStyle w:val="TableBodyText"/>
                  </w:pPr>
                  <w:r w:rsidRPr="007159F6">
                    <w:t xml:space="preserve"> 228</w:t>
                  </w:r>
                </w:p>
              </w:tc>
              <w:tc>
                <w:tcPr>
                  <w:tcW w:w="850" w:type="dxa"/>
                  <w:vAlign w:val="center"/>
                </w:tcPr>
                <w:p w:rsidR="00A14CFF" w:rsidRPr="007159F6" w:rsidRDefault="00A14CFF" w:rsidP="00C3749C">
                  <w:pPr>
                    <w:pStyle w:val="TableBodyText"/>
                  </w:pPr>
                  <w:r w:rsidRPr="007159F6">
                    <w:t xml:space="preserve"> 16 348</w:t>
                  </w:r>
                </w:p>
              </w:tc>
            </w:tr>
            <w:tr w:rsidR="00A14CFF" w:rsidRPr="00666ECE" w:rsidTr="00C3749C">
              <w:tc>
                <w:tcPr>
                  <w:tcW w:w="687" w:type="dxa"/>
                  <w:vAlign w:val="bottom"/>
                </w:tcPr>
                <w:p w:rsidR="00A14CFF" w:rsidRPr="00666ECE" w:rsidRDefault="00A14CFF" w:rsidP="00C3749C">
                  <w:pPr>
                    <w:pStyle w:val="TableBodyText"/>
                    <w:jc w:val="left"/>
                  </w:pPr>
                  <w:r w:rsidRPr="00666ECE">
                    <w:t>201</w:t>
                  </w:r>
                  <w:r>
                    <w:t>2</w:t>
                  </w:r>
                </w:p>
              </w:tc>
              <w:tc>
                <w:tcPr>
                  <w:tcW w:w="709" w:type="dxa"/>
                </w:tcPr>
                <w:p w:rsidR="00A14CFF" w:rsidRPr="007159F6" w:rsidRDefault="00A14CFF" w:rsidP="00C3749C">
                  <w:pPr>
                    <w:pStyle w:val="TableBodyText"/>
                  </w:pPr>
                  <w:r w:rsidRPr="007159F6">
                    <w:t>no.</w:t>
                  </w:r>
                </w:p>
              </w:tc>
              <w:tc>
                <w:tcPr>
                  <w:tcW w:w="850" w:type="dxa"/>
                  <w:vAlign w:val="bottom"/>
                </w:tcPr>
                <w:p w:rsidR="00A14CFF" w:rsidRPr="007159F6" w:rsidRDefault="00A14CFF" w:rsidP="00C3749C">
                  <w:pPr>
                    <w:pStyle w:val="TableBodyText"/>
                  </w:pPr>
                  <w:r w:rsidRPr="007159F6">
                    <w:t xml:space="preserve"> 2 288</w:t>
                  </w:r>
                </w:p>
              </w:tc>
              <w:tc>
                <w:tcPr>
                  <w:tcW w:w="851" w:type="dxa"/>
                  <w:vAlign w:val="bottom"/>
                </w:tcPr>
                <w:p w:rsidR="00A14CFF" w:rsidRPr="007159F6" w:rsidRDefault="00A14CFF" w:rsidP="00C3749C">
                  <w:pPr>
                    <w:pStyle w:val="TableBodyText"/>
                  </w:pPr>
                  <w:r w:rsidRPr="007159F6">
                    <w:t xml:space="preserve"> 2 382</w:t>
                  </w:r>
                </w:p>
              </w:tc>
              <w:tc>
                <w:tcPr>
                  <w:tcW w:w="708" w:type="dxa"/>
                  <w:vAlign w:val="bottom"/>
                </w:tcPr>
                <w:p w:rsidR="00A14CFF" w:rsidRPr="007159F6" w:rsidRDefault="00A14CFF" w:rsidP="00C3749C">
                  <w:pPr>
                    <w:pStyle w:val="TableBodyText"/>
                  </w:pPr>
                  <w:r w:rsidRPr="007159F6">
                    <w:t xml:space="preserve"> 3 901</w:t>
                  </w:r>
                </w:p>
              </w:tc>
              <w:tc>
                <w:tcPr>
                  <w:tcW w:w="709" w:type="dxa"/>
                  <w:vAlign w:val="bottom"/>
                </w:tcPr>
                <w:p w:rsidR="00A14CFF" w:rsidRPr="007159F6" w:rsidRDefault="00A14CFF" w:rsidP="00C3749C">
                  <w:pPr>
                    <w:pStyle w:val="TableBodyText"/>
                  </w:pPr>
                  <w:r w:rsidRPr="007159F6">
                    <w:t xml:space="preserve"> 1 871</w:t>
                  </w:r>
                </w:p>
              </w:tc>
              <w:tc>
                <w:tcPr>
                  <w:tcW w:w="851" w:type="dxa"/>
                  <w:vAlign w:val="bottom"/>
                </w:tcPr>
                <w:p w:rsidR="00A14CFF" w:rsidRPr="007159F6" w:rsidRDefault="00A14CFF" w:rsidP="00C3749C">
                  <w:pPr>
                    <w:pStyle w:val="TableBodyText"/>
                  </w:pPr>
                  <w:r w:rsidRPr="007159F6">
                    <w:t xml:space="preserve"> 2 804</w:t>
                  </w:r>
                </w:p>
              </w:tc>
              <w:tc>
                <w:tcPr>
                  <w:tcW w:w="850" w:type="dxa"/>
                  <w:vAlign w:val="bottom"/>
                </w:tcPr>
                <w:p w:rsidR="00A14CFF" w:rsidRPr="007159F6" w:rsidRDefault="00A14CFF" w:rsidP="00C3749C">
                  <w:pPr>
                    <w:pStyle w:val="TableBodyText"/>
                  </w:pPr>
                  <w:r w:rsidRPr="007159F6">
                    <w:t xml:space="preserve"> 2 344</w:t>
                  </w:r>
                </w:p>
              </w:tc>
              <w:tc>
                <w:tcPr>
                  <w:tcW w:w="709" w:type="dxa"/>
                  <w:vAlign w:val="bottom"/>
                </w:tcPr>
                <w:p w:rsidR="00A14CFF" w:rsidRPr="007159F6" w:rsidRDefault="00A14CFF" w:rsidP="00C3749C">
                  <w:pPr>
                    <w:pStyle w:val="TableBodyText"/>
                  </w:pPr>
                  <w:r w:rsidRPr="007159F6">
                    <w:t xml:space="preserve">  47</w:t>
                  </w:r>
                </w:p>
              </w:tc>
              <w:tc>
                <w:tcPr>
                  <w:tcW w:w="709" w:type="dxa"/>
                  <w:vAlign w:val="bottom"/>
                </w:tcPr>
                <w:p w:rsidR="00A14CFF" w:rsidRPr="007159F6" w:rsidRDefault="00A14CFF" w:rsidP="00C3749C">
                  <w:pPr>
                    <w:pStyle w:val="TableBodyText"/>
                  </w:pPr>
                  <w:r w:rsidRPr="007159F6">
                    <w:t xml:space="preserve">  207</w:t>
                  </w:r>
                </w:p>
              </w:tc>
              <w:tc>
                <w:tcPr>
                  <w:tcW w:w="850" w:type="dxa"/>
                  <w:vAlign w:val="bottom"/>
                </w:tcPr>
                <w:p w:rsidR="00A14CFF" w:rsidRPr="007159F6" w:rsidRDefault="00A14CFF" w:rsidP="00C3749C">
                  <w:pPr>
                    <w:pStyle w:val="TableBodyText"/>
                  </w:pPr>
                  <w:r w:rsidRPr="007159F6">
                    <w:t xml:space="preserve"> 15 844</w:t>
                  </w:r>
                </w:p>
              </w:tc>
            </w:tr>
            <w:tr w:rsidR="00A14CFF" w:rsidRPr="00666ECE" w:rsidTr="00C3749C">
              <w:tc>
                <w:tcPr>
                  <w:tcW w:w="687" w:type="dxa"/>
                  <w:vAlign w:val="bottom"/>
                </w:tcPr>
                <w:p w:rsidR="00A14CFF" w:rsidRPr="00666ECE" w:rsidRDefault="00A14CFF" w:rsidP="00C3749C">
                  <w:pPr>
                    <w:pStyle w:val="TableBodyText"/>
                    <w:jc w:val="left"/>
                  </w:pPr>
                  <w:r w:rsidRPr="00666ECE">
                    <w:t>201</w:t>
                  </w:r>
                  <w:r>
                    <w:t>3</w:t>
                  </w:r>
                </w:p>
              </w:tc>
              <w:tc>
                <w:tcPr>
                  <w:tcW w:w="709" w:type="dxa"/>
                </w:tcPr>
                <w:p w:rsidR="00A14CFF" w:rsidRPr="007159F6" w:rsidRDefault="00A14CFF" w:rsidP="00C3749C">
                  <w:pPr>
                    <w:pStyle w:val="TableBodyText"/>
                  </w:pPr>
                  <w:r w:rsidRPr="007159F6">
                    <w:t>no.</w:t>
                  </w:r>
                </w:p>
              </w:tc>
              <w:tc>
                <w:tcPr>
                  <w:tcW w:w="850" w:type="dxa"/>
                  <w:vAlign w:val="bottom"/>
                </w:tcPr>
                <w:p w:rsidR="00A14CFF" w:rsidRPr="007159F6" w:rsidRDefault="00A14CFF" w:rsidP="00C3749C">
                  <w:pPr>
                    <w:pStyle w:val="TableBodyText"/>
                  </w:pPr>
                  <w:r w:rsidRPr="007159F6">
                    <w:t xml:space="preserve"> 2 292</w:t>
                  </w:r>
                </w:p>
              </w:tc>
              <w:tc>
                <w:tcPr>
                  <w:tcW w:w="851" w:type="dxa"/>
                  <w:vAlign w:val="bottom"/>
                </w:tcPr>
                <w:p w:rsidR="00A14CFF" w:rsidRPr="007159F6" w:rsidRDefault="00A14CFF" w:rsidP="00C3749C">
                  <w:pPr>
                    <w:pStyle w:val="TableBodyText"/>
                  </w:pPr>
                  <w:r w:rsidRPr="007159F6">
                    <w:t xml:space="preserve"> 2 453</w:t>
                  </w:r>
                </w:p>
              </w:tc>
              <w:tc>
                <w:tcPr>
                  <w:tcW w:w="708" w:type="dxa"/>
                  <w:vAlign w:val="bottom"/>
                </w:tcPr>
                <w:p w:rsidR="00A14CFF" w:rsidRPr="007159F6" w:rsidRDefault="00A14CFF" w:rsidP="00C3749C">
                  <w:pPr>
                    <w:pStyle w:val="TableBodyText"/>
                  </w:pPr>
                  <w:r w:rsidRPr="007159F6">
                    <w:t xml:space="preserve"> 4 253</w:t>
                  </w:r>
                </w:p>
              </w:tc>
              <w:tc>
                <w:tcPr>
                  <w:tcW w:w="709" w:type="dxa"/>
                  <w:vAlign w:val="bottom"/>
                </w:tcPr>
                <w:p w:rsidR="00A14CFF" w:rsidRPr="007159F6" w:rsidRDefault="00A14CFF" w:rsidP="00C3749C">
                  <w:pPr>
                    <w:pStyle w:val="TableBodyText"/>
                  </w:pPr>
                  <w:r w:rsidRPr="007159F6">
                    <w:t xml:space="preserve"> 1 650</w:t>
                  </w:r>
                </w:p>
              </w:tc>
              <w:tc>
                <w:tcPr>
                  <w:tcW w:w="851" w:type="dxa"/>
                  <w:vAlign w:val="bottom"/>
                </w:tcPr>
                <w:p w:rsidR="00A14CFF" w:rsidRPr="007159F6" w:rsidRDefault="00A14CFF" w:rsidP="00C3749C">
                  <w:pPr>
                    <w:pStyle w:val="TableBodyText"/>
                  </w:pPr>
                  <w:r w:rsidRPr="007159F6">
                    <w:t xml:space="preserve"> 2 284</w:t>
                  </w:r>
                </w:p>
              </w:tc>
              <w:tc>
                <w:tcPr>
                  <w:tcW w:w="850" w:type="dxa"/>
                  <w:vAlign w:val="bottom"/>
                </w:tcPr>
                <w:p w:rsidR="00A14CFF" w:rsidRPr="007159F6" w:rsidRDefault="00A14CFF" w:rsidP="00C3749C">
                  <w:pPr>
                    <w:pStyle w:val="TableBodyText"/>
                  </w:pPr>
                  <w:r w:rsidRPr="007159F6">
                    <w:t xml:space="preserve"> 1 169</w:t>
                  </w:r>
                </w:p>
              </w:tc>
              <w:tc>
                <w:tcPr>
                  <w:tcW w:w="709" w:type="dxa"/>
                  <w:tcBorders>
                    <w:left w:val="nil"/>
                  </w:tcBorders>
                  <w:vAlign w:val="bottom"/>
                </w:tcPr>
                <w:p w:rsidR="00A14CFF" w:rsidRPr="007159F6" w:rsidRDefault="00A14CFF" w:rsidP="00C3749C">
                  <w:pPr>
                    <w:pStyle w:val="TableBodyText"/>
                  </w:pPr>
                  <w:r w:rsidRPr="007159F6">
                    <w:t xml:space="preserve">  84</w:t>
                  </w:r>
                </w:p>
              </w:tc>
              <w:tc>
                <w:tcPr>
                  <w:tcW w:w="709" w:type="dxa"/>
                  <w:vAlign w:val="bottom"/>
                </w:tcPr>
                <w:p w:rsidR="00A14CFF" w:rsidRPr="007159F6" w:rsidRDefault="00A14CFF" w:rsidP="00C3749C">
                  <w:pPr>
                    <w:pStyle w:val="TableBodyText"/>
                  </w:pPr>
                  <w:r w:rsidRPr="007159F6">
                    <w:t xml:space="preserve">  134</w:t>
                  </w:r>
                </w:p>
              </w:tc>
              <w:tc>
                <w:tcPr>
                  <w:tcW w:w="850" w:type="dxa"/>
                  <w:vAlign w:val="bottom"/>
                </w:tcPr>
                <w:p w:rsidR="00A14CFF" w:rsidRPr="007159F6" w:rsidRDefault="00A14CFF" w:rsidP="00C3749C">
                  <w:pPr>
                    <w:pStyle w:val="TableBodyText"/>
                  </w:pPr>
                  <w:r w:rsidRPr="007159F6">
                    <w:t xml:space="preserve"> 14 319</w:t>
                  </w:r>
                </w:p>
              </w:tc>
            </w:tr>
            <w:tr w:rsidR="00A14CFF" w:rsidRPr="00666ECE" w:rsidTr="00C3749C">
              <w:trPr>
                <w:trHeight w:val="283"/>
              </w:trPr>
              <w:tc>
                <w:tcPr>
                  <w:tcW w:w="687" w:type="dxa"/>
                  <w:vAlign w:val="bottom"/>
                </w:tcPr>
                <w:p w:rsidR="00A14CFF" w:rsidRPr="00666ECE" w:rsidRDefault="00A14CFF" w:rsidP="00C3749C">
                  <w:pPr>
                    <w:pStyle w:val="TableBodyText"/>
                    <w:jc w:val="left"/>
                  </w:pPr>
                  <w:r>
                    <w:t>2014</w:t>
                  </w:r>
                </w:p>
              </w:tc>
              <w:tc>
                <w:tcPr>
                  <w:tcW w:w="709" w:type="dxa"/>
                </w:tcPr>
                <w:p w:rsidR="00A14CFF" w:rsidRPr="007159F6" w:rsidRDefault="00A14CFF" w:rsidP="00C3749C">
                  <w:pPr>
                    <w:pStyle w:val="TableBodyText"/>
                  </w:pPr>
                  <w:r w:rsidRPr="007159F6">
                    <w:t>no.</w:t>
                  </w:r>
                </w:p>
              </w:tc>
              <w:tc>
                <w:tcPr>
                  <w:tcW w:w="850" w:type="dxa"/>
                  <w:vAlign w:val="bottom"/>
                </w:tcPr>
                <w:p w:rsidR="00A14CFF" w:rsidRDefault="00A14CFF" w:rsidP="00C3749C">
                  <w:pPr>
                    <w:pStyle w:val="TableBodyText"/>
                  </w:pPr>
                  <w:r>
                    <w:t xml:space="preserve"> 2 383</w:t>
                  </w:r>
                </w:p>
              </w:tc>
              <w:tc>
                <w:tcPr>
                  <w:tcW w:w="851" w:type="dxa"/>
                  <w:vAlign w:val="bottom"/>
                </w:tcPr>
                <w:p w:rsidR="00A14CFF" w:rsidRDefault="00A14CFF" w:rsidP="00C3749C">
                  <w:pPr>
                    <w:pStyle w:val="TableBodyText"/>
                  </w:pPr>
                  <w:r>
                    <w:t xml:space="preserve"> 2 313</w:t>
                  </w:r>
                </w:p>
              </w:tc>
              <w:tc>
                <w:tcPr>
                  <w:tcW w:w="708" w:type="dxa"/>
                  <w:vAlign w:val="bottom"/>
                </w:tcPr>
                <w:p w:rsidR="00A14CFF" w:rsidRDefault="00A14CFF" w:rsidP="00C3749C">
                  <w:pPr>
                    <w:pStyle w:val="TableBodyText"/>
                  </w:pPr>
                  <w:r>
                    <w:t xml:space="preserve"> 4 077</w:t>
                  </w:r>
                </w:p>
              </w:tc>
              <w:tc>
                <w:tcPr>
                  <w:tcW w:w="709" w:type="dxa"/>
                  <w:vAlign w:val="bottom"/>
                </w:tcPr>
                <w:p w:rsidR="00A14CFF" w:rsidRDefault="00A14CFF" w:rsidP="00C3749C">
                  <w:pPr>
                    <w:pStyle w:val="TableBodyText"/>
                  </w:pPr>
                  <w:r>
                    <w:t xml:space="preserve"> 1 545</w:t>
                  </w:r>
                </w:p>
              </w:tc>
              <w:tc>
                <w:tcPr>
                  <w:tcW w:w="851" w:type="dxa"/>
                  <w:vAlign w:val="bottom"/>
                </w:tcPr>
                <w:p w:rsidR="00A14CFF" w:rsidRDefault="00A14CFF" w:rsidP="00C3749C">
                  <w:pPr>
                    <w:pStyle w:val="TableBodyText"/>
                  </w:pPr>
                  <w:r>
                    <w:t xml:space="preserve"> 2 197</w:t>
                  </w:r>
                </w:p>
              </w:tc>
              <w:tc>
                <w:tcPr>
                  <w:tcW w:w="850" w:type="dxa"/>
                  <w:vAlign w:val="bottom"/>
                </w:tcPr>
                <w:p w:rsidR="00A14CFF" w:rsidRDefault="00A14CFF" w:rsidP="00C3749C">
                  <w:pPr>
                    <w:pStyle w:val="TableBodyText"/>
                  </w:pPr>
                  <w:r>
                    <w:t xml:space="preserve"> 1 171</w:t>
                  </w:r>
                </w:p>
              </w:tc>
              <w:tc>
                <w:tcPr>
                  <w:tcW w:w="709" w:type="dxa"/>
                  <w:vAlign w:val="bottom"/>
                </w:tcPr>
                <w:p w:rsidR="00A14CFF" w:rsidRDefault="00A14CFF" w:rsidP="00C3749C">
                  <w:pPr>
                    <w:pStyle w:val="TableBodyText"/>
                  </w:pPr>
                  <w:r>
                    <w:t xml:space="preserve">  88</w:t>
                  </w:r>
                </w:p>
              </w:tc>
              <w:tc>
                <w:tcPr>
                  <w:tcW w:w="709" w:type="dxa"/>
                  <w:vAlign w:val="bottom"/>
                </w:tcPr>
                <w:p w:rsidR="00A14CFF" w:rsidRDefault="00A14CFF" w:rsidP="00C3749C">
                  <w:pPr>
                    <w:pStyle w:val="TableBodyText"/>
                  </w:pPr>
                  <w:r>
                    <w:t xml:space="preserve">  176</w:t>
                  </w:r>
                </w:p>
              </w:tc>
              <w:tc>
                <w:tcPr>
                  <w:tcW w:w="850" w:type="dxa"/>
                  <w:vAlign w:val="bottom"/>
                </w:tcPr>
                <w:p w:rsidR="00A14CFF" w:rsidRDefault="00A14CFF" w:rsidP="00C3749C">
                  <w:pPr>
                    <w:pStyle w:val="TableBodyText"/>
                  </w:pPr>
                  <w:r>
                    <w:t xml:space="preserve"> 13 950</w:t>
                  </w:r>
                </w:p>
              </w:tc>
            </w:tr>
            <w:tr w:rsidR="00A14CFF" w:rsidRPr="00AE54E6" w:rsidTr="00D55690">
              <w:tc>
                <w:tcPr>
                  <w:tcW w:w="8483" w:type="dxa"/>
                  <w:gridSpan w:val="11"/>
                </w:tcPr>
                <w:p w:rsidR="00A14CFF" w:rsidRPr="00AE54E6" w:rsidRDefault="00A14CFF" w:rsidP="000C386B">
                  <w:pPr>
                    <w:pStyle w:val="TableBodyText"/>
                    <w:spacing w:before="120"/>
                    <w:jc w:val="left"/>
                    <w:rPr>
                      <w:b/>
                    </w:rPr>
                  </w:pPr>
                  <w:r w:rsidRPr="00AE54E6">
                    <w:rPr>
                      <w:b/>
                    </w:rPr>
                    <w:t xml:space="preserve">Proportion of </w:t>
                  </w:r>
                  <w:r>
                    <w:rPr>
                      <w:b/>
                    </w:rPr>
                    <w:t xml:space="preserve">full time and part time </w:t>
                  </w:r>
                  <w:r w:rsidRPr="00AE54E6">
                    <w:rPr>
                      <w:b/>
                    </w:rPr>
                    <w:t>secondary school students in government schools who were part time students</w:t>
                  </w:r>
                </w:p>
              </w:tc>
            </w:tr>
            <w:tr w:rsidR="00A14CFF" w:rsidRPr="00666ECE" w:rsidTr="00A50B74">
              <w:tc>
                <w:tcPr>
                  <w:tcW w:w="687" w:type="dxa"/>
                  <w:vAlign w:val="bottom"/>
                </w:tcPr>
                <w:p w:rsidR="00A14CFF" w:rsidRPr="00666ECE" w:rsidRDefault="00A14CFF" w:rsidP="00CE5C75">
                  <w:pPr>
                    <w:pStyle w:val="TableBodyText"/>
                    <w:jc w:val="left"/>
                  </w:pPr>
                  <w:r>
                    <w:t>2010</w:t>
                  </w:r>
                </w:p>
              </w:tc>
              <w:tc>
                <w:tcPr>
                  <w:tcW w:w="709" w:type="dxa"/>
                </w:tcPr>
                <w:p w:rsidR="00A14CFF" w:rsidRPr="007159F6" w:rsidRDefault="00A14CFF" w:rsidP="00D55690">
                  <w:pPr>
                    <w:pStyle w:val="TableBodyText"/>
                    <w:ind w:left="0" w:right="28"/>
                  </w:pPr>
                  <w:r w:rsidRPr="007159F6">
                    <w:t>%</w:t>
                  </w:r>
                </w:p>
              </w:tc>
              <w:tc>
                <w:tcPr>
                  <w:tcW w:w="850" w:type="dxa"/>
                  <w:vAlign w:val="bottom"/>
                </w:tcPr>
                <w:p w:rsidR="00A14CFF" w:rsidRDefault="00A14CFF" w:rsidP="00A14CFF">
                  <w:pPr>
                    <w:pStyle w:val="TableBodyText"/>
                  </w:pPr>
                  <w:r>
                    <w:t>0.6</w:t>
                  </w:r>
                </w:p>
              </w:tc>
              <w:tc>
                <w:tcPr>
                  <w:tcW w:w="851" w:type="dxa"/>
                  <w:vAlign w:val="bottom"/>
                </w:tcPr>
                <w:p w:rsidR="00A14CFF" w:rsidRDefault="00A14CFF" w:rsidP="00A14CFF">
                  <w:pPr>
                    <w:pStyle w:val="TableBodyText"/>
                  </w:pPr>
                  <w:r>
                    <w:t>1.2</w:t>
                  </w:r>
                </w:p>
              </w:tc>
              <w:tc>
                <w:tcPr>
                  <w:tcW w:w="708" w:type="dxa"/>
                  <w:vAlign w:val="bottom"/>
                </w:tcPr>
                <w:p w:rsidR="00A14CFF" w:rsidRDefault="00A14CFF" w:rsidP="00A14CFF">
                  <w:pPr>
                    <w:pStyle w:val="TableBodyText"/>
                  </w:pPr>
                  <w:r>
                    <w:t>1.8</w:t>
                  </w:r>
                </w:p>
              </w:tc>
              <w:tc>
                <w:tcPr>
                  <w:tcW w:w="709" w:type="dxa"/>
                  <w:vAlign w:val="bottom"/>
                </w:tcPr>
                <w:p w:rsidR="00A14CFF" w:rsidRDefault="00A14CFF" w:rsidP="00A14CFF">
                  <w:pPr>
                    <w:pStyle w:val="TableBodyText"/>
                  </w:pPr>
                  <w:r>
                    <w:t>2.8</w:t>
                  </w:r>
                </w:p>
              </w:tc>
              <w:tc>
                <w:tcPr>
                  <w:tcW w:w="851" w:type="dxa"/>
                  <w:vAlign w:val="bottom"/>
                </w:tcPr>
                <w:p w:rsidR="00A14CFF" w:rsidRDefault="00A14CFF" w:rsidP="00A14CFF">
                  <w:pPr>
                    <w:pStyle w:val="TableBodyText"/>
                  </w:pPr>
                  <w:r>
                    <w:t>9.3</w:t>
                  </w:r>
                </w:p>
              </w:tc>
              <w:tc>
                <w:tcPr>
                  <w:tcW w:w="850" w:type="dxa"/>
                  <w:vAlign w:val="bottom"/>
                </w:tcPr>
                <w:p w:rsidR="00A14CFF" w:rsidRDefault="00A14CFF" w:rsidP="00A14CFF">
                  <w:pPr>
                    <w:pStyle w:val="TableBodyText"/>
                  </w:pPr>
                  <w:r>
                    <w:t>7.9</w:t>
                  </w:r>
                </w:p>
              </w:tc>
              <w:tc>
                <w:tcPr>
                  <w:tcW w:w="709" w:type="dxa"/>
                  <w:vAlign w:val="bottom"/>
                </w:tcPr>
                <w:p w:rsidR="00A14CFF" w:rsidRDefault="00A14CFF" w:rsidP="00A14CFF">
                  <w:pPr>
                    <w:pStyle w:val="TableBodyText"/>
                  </w:pPr>
                  <w:r>
                    <w:t>–</w:t>
                  </w:r>
                </w:p>
              </w:tc>
              <w:tc>
                <w:tcPr>
                  <w:tcW w:w="709" w:type="dxa"/>
                  <w:vAlign w:val="bottom"/>
                </w:tcPr>
                <w:p w:rsidR="00A14CFF" w:rsidRDefault="00A14CFF" w:rsidP="00A14CFF">
                  <w:pPr>
                    <w:pStyle w:val="TableBodyText"/>
                  </w:pPr>
                  <w:r>
                    <w:t>0.4</w:t>
                  </w:r>
                </w:p>
              </w:tc>
              <w:tc>
                <w:tcPr>
                  <w:tcW w:w="850" w:type="dxa"/>
                  <w:vAlign w:val="bottom"/>
                </w:tcPr>
                <w:p w:rsidR="00A14CFF" w:rsidRDefault="00A14CFF" w:rsidP="00A14CFF">
                  <w:pPr>
                    <w:pStyle w:val="TableBodyText"/>
                  </w:pPr>
                  <w:r>
                    <w:t>2.0</w:t>
                  </w:r>
                </w:p>
              </w:tc>
            </w:tr>
            <w:tr w:rsidR="00A14CFF" w:rsidRPr="00666ECE" w:rsidTr="00A50B74">
              <w:tc>
                <w:tcPr>
                  <w:tcW w:w="687" w:type="dxa"/>
                  <w:vAlign w:val="bottom"/>
                </w:tcPr>
                <w:p w:rsidR="00A14CFF" w:rsidRPr="00666ECE" w:rsidRDefault="00A14CFF" w:rsidP="00CE5C75">
                  <w:pPr>
                    <w:pStyle w:val="TableBodyText"/>
                    <w:jc w:val="left"/>
                  </w:pPr>
                  <w:r w:rsidRPr="00666ECE">
                    <w:t>201</w:t>
                  </w:r>
                  <w:r>
                    <w:t>1</w:t>
                  </w:r>
                </w:p>
              </w:tc>
              <w:tc>
                <w:tcPr>
                  <w:tcW w:w="709" w:type="dxa"/>
                </w:tcPr>
                <w:p w:rsidR="00A14CFF" w:rsidRPr="007159F6" w:rsidRDefault="00A14CFF" w:rsidP="00D55690">
                  <w:pPr>
                    <w:pStyle w:val="TableBodyText"/>
                    <w:ind w:left="0" w:right="28"/>
                  </w:pPr>
                  <w:r w:rsidRPr="007159F6">
                    <w:t>%</w:t>
                  </w:r>
                </w:p>
              </w:tc>
              <w:tc>
                <w:tcPr>
                  <w:tcW w:w="850" w:type="dxa"/>
                  <w:vAlign w:val="bottom"/>
                </w:tcPr>
                <w:p w:rsidR="00A14CFF" w:rsidRDefault="00A14CFF" w:rsidP="00A14CFF">
                  <w:pPr>
                    <w:pStyle w:val="TableBodyText"/>
                  </w:pPr>
                  <w:r>
                    <w:t>0.6</w:t>
                  </w:r>
                </w:p>
              </w:tc>
              <w:tc>
                <w:tcPr>
                  <w:tcW w:w="851" w:type="dxa"/>
                  <w:vAlign w:val="bottom"/>
                </w:tcPr>
                <w:p w:rsidR="00A14CFF" w:rsidRDefault="00A14CFF" w:rsidP="00A14CFF">
                  <w:pPr>
                    <w:pStyle w:val="TableBodyText"/>
                  </w:pPr>
                  <w:r>
                    <w:t>1.0</w:t>
                  </w:r>
                </w:p>
              </w:tc>
              <w:tc>
                <w:tcPr>
                  <w:tcW w:w="708" w:type="dxa"/>
                  <w:vAlign w:val="bottom"/>
                </w:tcPr>
                <w:p w:rsidR="00A14CFF" w:rsidRDefault="00A14CFF" w:rsidP="00A14CFF">
                  <w:pPr>
                    <w:pStyle w:val="TableBodyText"/>
                  </w:pPr>
                  <w:r>
                    <w:t>1.9</w:t>
                  </w:r>
                </w:p>
              </w:tc>
              <w:tc>
                <w:tcPr>
                  <w:tcW w:w="709" w:type="dxa"/>
                  <w:vAlign w:val="bottom"/>
                </w:tcPr>
                <w:p w:rsidR="00A14CFF" w:rsidRDefault="00A14CFF" w:rsidP="00A14CFF">
                  <w:pPr>
                    <w:pStyle w:val="TableBodyText"/>
                  </w:pPr>
                  <w:r>
                    <w:t>2.6</w:t>
                  </w:r>
                </w:p>
              </w:tc>
              <w:tc>
                <w:tcPr>
                  <w:tcW w:w="851" w:type="dxa"/>
                  <w:vAlign w:val="bottom"/>
                </w:tcPr>
                <w:p w:rsidR="00A14CFF" w:rsidRDefault="00A14CFF" w:rsidP="00A14CFF">
                  <w:pPr>
                    <w:pStyle w:val="TableBodyText"/>
                  </w:pPr>
                  <w:r>
                    <w:t>6.3</w:t>
                  </w:r>
                </w:p>
              </w:tc>
              <w:tc>
                <w:tcPr>
                  <w:tcW w:w="850" w:type="dxa"/>
                  <w:vAlign w:val="bottom"/>
                </w:tcPr>
                <w:p w:rsidR="00A14CFF" w:rsidRDefault="00A14CFF" w:rsidP="00A14CFF">
                  <w:pPr>
                    <w:pStyle w:val="TableBodyText"/>
                  </w:pPr>
                  <w:r>
                    <w:t>9.1</w:t>
                  </w:r>
                </w:p>
              </w:tc>
              <w:tc>
                <w:tcPr>
                  <w:tcW w:w="709" w:type="dxa"/>
                  <w:vAlign w:val="bottom"/>
                </w:tcPr>
                <w:p w:rsidR="00A14CFF" w:rsidRDefault="00A14CFF" w:rsidP="00A14CFF">
                  <w:pPr>
                    <w:pStyle w:val="TableBodyText"/>
                  </w:pPr>
                  <w:r>
                    <w:t>0.3</w:t>
                  </w:r>
                </w:p>
              </w:tc>
              <w:tc>
                <w:tcPr>
                  <w:tcW w:w="709" w:type="dxa"/>
                  <w:vAlign w:val="bottom"/>
                </w:tcPr>
                <w:p w:rsidR="00A14CFF" w:rsidRDefault="00A14CFF" w:rsidP="00A14CFF">
                  <w:pPr>
                    <w:pStyle w:val="TableBodyText"/>
                  </w:pPr>
                  <w:r>
                    <w:t>2.1</w:t>
                  </w:r>
                </w:p>
              </w:tc>
              <w:tc>
                <w:tcPr>
                  <w:tcW w:w="850" w:type="dxa"/>
                  <w:vAlign w:val="bottom"/>
                </w:tcPr>
                <w:p w:rsidR="00A14CFF" w:rsidRDefault="00A14CFF" w:rsidP="00A14CFF">
                  <w:pPr>
                    <w:pStyle w:val="TableBodyText"/>
                  </w:pPr>
                  <w:r>
                    <w:t>1.8</w:t>
                  </w:r>
                </w:p>
              </w:tc>
            </w:tr>
            <w:tr w:rsidR="00A14CFF" w:rsidRPr="00666ECE" w:rsidTr="00AE54E6">
              <w:tc>
                <w:tcPr>
                  <w:tcW w:w="687" w:type="dxa"/>
                  <w:vAlign w:val="bottom"/>
                </w:tcPr>
                <w:p w:rsidR="00A14CFF" w:rsidRPr="00666ECE" w:rsidRDefault="00A14CFF" w:rsidP="00CE5C75">
                  <w:pPr>
                    <w:pStyle w:val="TableBodyText"/>
                    <w:jc w:val="left"/>
                  </w:pPr>
                  <w:r w:rsidRPr="00666ECE">
                    <w:t>201</w:t>
                  </w:r>
                  <w:r>
                    <w:t>2</w:t>
                  </w:r>
                </w:p>
              </w:tc>
              <w:tc>
                <w:tcPr>
                  <w:tcW w:w="709" w:type="dxa"/>
                </w:tcPr>
                <w:p w:rsidR="00A14CFF" w:rsidRPr="007159F6" w:rsidRDefault="00A14CFF" w:rsidP="00D55690">
                  <w:pPr>
                    <w:pStyle w:val="TableBodyText"/>
                    <w:ind w:left="0" w:right="28"/>
                  </w:pPr>
                  <w:r w:rsidRPr="007159F6">
                    <w:t>%</w:t>
                  </w:r>
                </w:p>
              </w:tc>
              <w:tc>
                <w:tcPr>
                  <w:tcW w:w="850" w:type="dxa"/>
                  <w:vAlign w:val="bottom"/>
                </w:tcPr>
                <w:p w:rsidR="00A14CFF" w:rsidRDefault="00A14CFF" w:rsidP="00A14CFF">
                  <w:pPr>
                    <w:pStyle w:val="TableBodyText"/>
                  </w:pPr>
                  <w:r>
                    <w:t>0.7</w:t>
                  </w:r>
                </w:p>
              </w:tc>
              <w:tc>
                <w:tcPr>
                  <w:tcW w:w="851" w:type="dxa"/>
                  <w:vAlign w:val="bottom"/>
                </w:tcPr>
                <w:p w:rsidR="00A14CFF" w:rsidRDefault="00A14CFF" w:rsidP="00A14CFF">
                  <w:pPr>
                    <w:pStyle w:val="TableBodyText"/>
                  </w:pPr>
                  <w:r>
                    <w:t>1.1</w:t>
                  </w:r>
                </w:p>
              </w:tc>
              <w:tc>
                <w:tcPr>
                  <w:tcW w:w="708" w:type="dxa"/>
                  <w:vAlign w:val="bottom"/>
                </w:tcPr>
                <w:p w:rsidR="00A14CFF" w:rsidRDefault="00A14CFF" w:rsidP="00A14CFF">
                  <w:pPr>
                    <w:pStyle w:val="TableBodyText"/>
                  </w:pPr>
                  <w:r>
                    <w:t>2.2</w:t>
                  </w:r>
                </w:p>
              </w:tc>
              <w:tc>
                <w:tcPr>
                  <w:tcW w:w="709" w:type="dxa"/>
                  <w:vAlign w:val="bottom"/>
                </w:tcPr>
                <w:p w:rsidR="00A14CFF" w:rsidRDefault="00A14CFF" w:rsidP="00A14CFF">
                  <w:pPr>
                    <w:pStyle w:val="TableBodyText"/>
                  </w:pPr>
                  <w:r>
                    <w:t>2.4</w:t>
                  </w:r>
                </w:p>
              </w:tc>
              <w:tc>
                <w:tcPr>
                  <w:tcW w:w="851" w:type="dxa"/>
                  <w:vAlign w:val="bottom"/>
                </w:tcPr>
                <w:p w:rsidR="00A14CFF" w:rsidRDefault="00A14CFF" w:rsidP="00A14CFF">
                  <w:pPr>
                    <w:pStyle w:val="TableBodyText"/>
                  </w:pPr>
                  <w:r>
                    <w:t>4.4</w:t>
                  </w:r>
                </w:p>
              </w:tc>
              <w:tc>
                <w:tcPr>
                  <w:tcW w:w="850" w:type="dxa"/>
                  <w:vAlign w:val="bottom"/>
                </w:tcPr>
                <w:p w:rsidR="00A14CFF" w:rsidRDefault="00A14CFF" w:rsidP="00A14CFF">
                  <w:pPr>
                    <w:pStyle w:val="TableBodyText"/>
                  </w:pPr>
                  <w:r>
                    <w:t>8.7</w:t>
                  </w:r>
                </w:p>
              </w:tc>
              <w:tc>
                <w:tcPr>
                  <w:tcW w:w="709" w:type="dxa"/>
                  <w:vAlign w:val="bottom"/>
                </w:tcPr>
                <w:p w:rsidR="00A14CFF" w:rsidRDefault="00A14CFF" w:rsidP="00A14CFF">
                  <w:pPr>
                    <w:pStyle w:val="TableBodyText"/>
                  </w:pPr>
                  <w:r>
                    <w:t>0.3</w:t>
                  </w:r>
                </w:p>
              </w:tc>
              <w:tc>
                <w:tcPr>
                  <w:tcW w:w="709" w:type="dxa"/>
                  <w:vAlign w:val="bottom"/>
                </w:tcPr>
                <w:p w:rsidR="00A14CFF" w:rsidRDefault="00A14CFF" w:rsidP="00A14CFF">
                  <w:pPr>
                    <w:pStyle w:val="TableBodyText"/>
                  </w:pPr>
                  <w:r>
                    <w:t>1.9</w:t>
                  </w:r>
                </w:p>
              </w:tc>
              <w:tc>
                <w:tcPr>
                  <w:tcW w:w="850" w:type="dxa"/>
                  <w:vAlign w:val="bottom"/>
                </w:tcPr>
                <w:p w:rsidR="00A14CFF" w:rsidRDefault="00A14CFF" w:rsidP="00A14CFF">
                  <w:pPr>
                    <w:pStyle w:val="TableBodyText"/>
                  </w:pPr>
                  <w:r>
                    <w:t>1.7</w:t>
                  </w:r>
                </w:p>
              </w:tc>
            </w:tr>
            <w:tr w:rsidR="00A14CFF" w:rsidRPr="00666ECE" w:rsidTr="00AE54E6">
              <w:tc>
                <w:tcPr>
                  <w:tcW w:w="687" w:type="dxa"/>
                  <w:shd w:val="clear" w:color="auto" w:fill="auto"/>
                  <w:vAlign w:val="bottom"/>
                </w:tcPr>
                <w:p w:rsidR="00A14CFF" w:rsidRPr="00666ECE" w:rsidRDefault="00A14CFF" w:rsidP="00CE5C75">
                  <w:pPr>
                    <w:pStyle w:val="TableBodyText"/>
                    <w:jc w:val="left"/>
                  </w:pPr>
                  <w:r w:rsidRPr="00666ECE">
                    <w:t>201</w:t>
                  </w:r>
                  <w:r>
                    <w:t>3</w:t>
                  </w:r>
                </w:p>
              </w:tc>
              <w:tc>
                <w:tcPr>
                  <w:tcW w:w="709" w:type="dxa"/>
                </w:tcPr>
                <w:p w:rsidR="00A14CFF" w:rsidRPr="007159F6" w:rsidRDefault="00A14CFF" w:rsidP="00D55690">
                  <w:pPr>
                    <w:pStyle w:val="TableBodyText"/>
                    <w:ind w:left="0" w:right="28"/>
                  </w:pPr>
                  <w:r w:rsidRPr="007159F6">
                    <w:t>%</w:t>
                  </w:r>
                </w:p>
              </w:tc>
              <w:tc>
                <w:tcPr>
                  <w:tcW w:w="850" w:type="dxa"/>
                  <w:shd w:val="clear" w:color="auto" w:fill="auto"/>
                  <w:vAlign w:val="bottom"/>
                </w:tcPr>
                <w:p w:rsidR="00A14CFF" w:rsidRDefault="00A14CFF" w:rsidP="00A14CFF">
                  <w:pPr>
                    <w:pStyle w:val="TableBodyText"/>
                  </w:pPr>
                  <w:r>
                    <w:t>0.7</w:t>
                  </w:r>
                </w:p>
              </w:tc>
              <w:tc>
                <w:tcPr>
                  <w:tcW w:w="851" w:type="dxa"/>
                  <w:shd w:val="clear" w:color="auto" w:fill="auto"/>
                  <w:vAlign w:val="bottom"/>
                </w:tcPr>
                <w:p w:rsidR="00A14CFF" w:rsidRDefault="00A14CFF" w:rsidP="00A14CFF">
                  <w:pPr>
                    <w:pStyle w:val="TableBodyText"/>
                  </w:pPr>
                  <w:r>
                    <w:t>1.1</w:t>
                  </w:r>
                </w:p>
              </w:tc>
              <w:tc>
                <w:tcPr>
                  <w:tcW w:w="708" w:type="dxa"/>
                  <w:shd w:val="clear" w:color="auto" w:fill="auto"/>
                  <w:vAlign w:val="bottom"/>
                </w:tcPr>
                <w:p w:rsidR="00A14CFF" w:rsidRDefault="00A14CFF" w:rsidP="00A14CFF">
                  <w:pPr>
                    <w:pStyle w:val="TableBodyText"/>
                  </w:pPr>
                  <w:r>
                    <w:t>2.3</w:t>
                  </w:r>
                </w:p>
              </w:tc>
              <w:tc>
                <w:tcPr>
                  <w:tcW w:w="709" w:type="dxa"/>
                  <w:shd w:val="clear" w:color="auto" w:fill="auto"/>
                  <w:vAlign w:val="bottom"/>
                </w:tcPr>
                <w:p w:rsidR="00A14CFF" w:rsidRDefault="00A14CFF" w:rsidP="00A14CFF">
                  <w:pPr>
                    <w:pStyle w:val="TableBodyText"/>
                  </w:pPr>
                  <w:r>
                    <w:t>2.1</w:t>
                  </w:r>
                </w:p>
              </w:tc>
              <w:tc>
                <w:tcPr>
                  <w:tcW w:w="851" w:type="dxa"/>
                  <w:shd w:val="clear" w:color="auto" w:fill="auto"/>
                  <w:vAlign w:val="bottom"/>
                </w:tcPr>
                <w:p w:rsidR="00A14CFF" w:rsidRDefault="00A14CFF" w:rsidP="00A14CFF">
                  <w:pPr>
                    <w:pStyle w:val="TableBodyText"/>
                  </w:pPr>
                  <w:r>
                    <w:t>3.6</w:t>
                  </w:r>
                </w:p>
              </w:tc>
              <w:tc>
                <w:tcPr>
                  <w:tcW w:w="850" w:type="dxa"/>
                  <w:shd w:val="clear" w:color="auto" w:fill="auto"/>
                  <w:vAlign w:val="bottom"/>
                </w:tcPr>
                <w:p w:rsidR="00A14CFF" w:rsidRDefault="00A14CFF" w:rsidP="00A14CFF">
                  <w:pPr>
                    <w:pStyle w:val="TableBodyText"/>
                  </w:pPr>
                  <w:r>
                    <w:t>4.7</w:t>
                  </w:r>
                </w:p>
              </w:tc>
              <w:tc>
                <w:tcPr>
                  <w:tcW w:w="709" w:type="dxa"/>
                  <w:shd w:val="clear" w:color="auto" w:fill="auto"/>
                  <w:vAlign w:val="bottom"/>
                </w:tcPr>
                <w:p w:rsidR="00A14CFF" w:rsidRDefault="00A14CFF" w:rsidP="00A14CFF">
                  <w:pPr>
                    <w:pStyle w:val="TableBodyText"/>
                  </w:pPr>
                  <w:r>
                    <w:t>0.5</w:t>
                  </w:r>
                </w:p>
              </w:tc>
              <w:tc>
                <w:tcPr>
                  <w:tcW w:w="709" w:type="dxa"/>
                  <w:shd w:val="clear" w:color="auto" w:fill="auto"/>
                  <w:vAlign w:val="bottom"/>
                </w:tcPr>
                <w:p w:rsidR="00A14CFF" w:rsidRDefault="00A14CFF" w:rsidP="00A14CFF">
                  <w:pPr>
                    <w:pStyle w:val="TableBodyText"/>
                  </w:pPr>
                  <w:r>
                    <w:t>1.3</w:t>
                  </w:r>
                </w:p>
              </w:tc>
              <w:tc>
                <w:tcPr>
                  <w:tcW w:w="850" w:type="dxa"/>
                  <w:shd w:val="clear" w:color="auto" w:fill="auto"/>
                  <w:vAlign w:val="bottom"/>
                </w:tcPr>
                <w:p w:rsidR="00A14CFF" w:rsidRDefault="00A14CFF" w:rsidP="00A14CFF">
                  <w:pPr>
                    <w:pStyle w:val="TableBodyText"/>
                  </w:pPr>
                  <w:r>
                    <w:t>1.6</w:t>
                  </w:r>
                </w:p>
              </w:tc>
            </w:tr>
            <w:tr w:rsidR="00A14CFF" w:rsidRPr="00666ECE" w:rsidTr="00AE54E6">
              <w:tc>
                <w:tcPr>
                  <w:tcW w:w="687" w:type="dxa"/>
                  <w:tcBorders>
                    <w:bottom w:val="single" w:sz="6" w:space="0" w:color="BFBFBF" w:themeColor="background2"/>
                  </w:tcBorders>
                  <w:shd w:val="clear" w:color="auto" w:fill="auto"/>
                  <w:vAlign w:val="bottom"/>
                </w:tcPr>
                <w:p w:rsidR="00A14CFF" w:rsidRPr="00666ECE" w:rsidRDefault="00A14CFF" w:rsidP="00CE5C75">
                  <w:pPr>
                    <w:pStyle w:val="TableBodyText"/>
                    <w:jc w:val="left"/>
                  </w:pPr>
                  <w:r>
                    <w:t>2014</w:t>
                  </w:r>
                </w:p>
              </w:tc>
              <w:tc>
                <w:tcPr>
                  <w:tcW w:w="709" w:type="dxa"/>
                  <w:tcBorders>
                    <w:bottom w:val="single" w:sz="6" w:space="0" w:color="BFBFBF" w:themeColor="background2"/>
                  </w:tcBorders>
                </w:tcPr>
                <w:p w:rsidR="00A14CFF" w:rsidRPr="007159F6" w:rsidRDefault="00A14CFF" w:rsidP="00D55690">
                  <w:pPr>
                    <w:pStyle w:val="TableBodyText"/>
                    <w:ind w:left="0" w:right="28"/>
                  </w:pPr>
                  <w:r w:rsidRPr="007159F6">
                    <w:t>%</w:t>
                  </w:r>
                </w:p>
              </w:tc>
              <w:tc>
                <w:tcPr>
                  <w:tcW w:w="850" w:type="dxa"/>
                  <w:tcBorders>
                    <w:bottom w:val="single" w:sz="6" w:space="0" w:color="BFBFBF" w:themeColor="background2"/>
                  </w:tcBorders>
                  <w:shd w:val="clear" w:color="auto" w:fill="auto"/>
                  <w:vAlign w:val="bottom"/>
                </w:tcPr>
                <w:p w:rsidR="00A14CFF" w:rsidRDefault="00A14CFF" w:rsidP="00A14CFF">
                  <w:pPr>
                    <w:pStyle w:val="TableBodyText"/>
                  </w:pPr>
                  <w:r>
                    <w:t>0.8</w:t>
                  </w:r>
                </w:p>
              </w:tc>
              <w:tc>
                <w:tcPr>
                  <w:tcW w:w="851" w:type="dxa"/>
                  <w:tcBorders>
                    <w:bottom w:val="single" w:sz="6" w:space="0" w:color="BFBFBF" w:themeColor="background2"/>
                  </w:tcBorders>
                  <w:shd w:val="clear" w:color="auto" w:fill="auto"/>
                  <w:vAlign w:val="bottom"/>
                </w:tcPr>
                <w:p w:rsidR="00A14CFF" w:rsidRDefault="00A14CFF" w:rsidP="00A14CFF">
                  <w:pPr>
                    <w:pStyle w:val="TableBodyText"/>
                  </w:pPr>
                  <w:r>
                    <w:t>1.0</w:t>
                  </w:r>
                </w:p>
              </w:tc>
              <w:tc>
                <w:tcPr>
                  <w:tcW w:w="708" w:type="dxa"/>
                  <w:tcBorders>
                    <w:bottom w:val="single" w:sz="6" w:space="0" w:color="BFBFBF" w:themeColor="background2"/>
                  </w:tcBorders>
                  <w:shd w:val="clear" w:color="auto" w:fill="auto"/>
                  <w:vAlign w:val="bottom"/>
                </w:tcPr>
                <w:p w:rsidR="00A14CFF" w:rsidRDefault="00A14CFF" w:rsidP="00A14CFF">
                  <w:pPr>
                    <w:pStyle w:val="TableBodyText"/>
                  </w:pPr>
                  <w:r>
                    <w:t>2.2</w:t>
                  </w:r>
                </w:p>
              </w:tc>
              <w:tc>
                <w:tcPr>
                  <w:tcW w:w="709" w:type="dxa"/>
                  <w:tcBorders>
                    <w:bottom w:val="single" w:sz="6" w:space="0" w:color="BFBFBF" w:themeColor="background2"/>
                  </w:tcBorders>
                  <w:shd w:val="clear" w:color="auto" w:fill="auto"/>
                  <w:vAlign w:val="bottom"/>
                </w:tcPr>
                <w:p w:rsidR="00A14CFF" w:rsidRDefault="00A14CFF" w:rsidP="00A14CFF">
                  <w:pPr>
                    <w:pStyle w:val="TableBodyText"/>
                  </w:pPr>
                  <w:r>
                    <w:t>1.9</w:t>
                  </w:r>
                </w:p>
              </w:tc>
              <w:tc>
                <w:tcPr>
                  <w:tcW w:w="851" w:type="dxa"/>
                  <w:tcBorders>
                    <w:bottom w:val="single" w:sz="6" w:space="0" w:color="BFBFBF" w:themeColor="background2"/>
                  </w:tcBorders>
                  <w:shd w:val="clear" w:color="auto" w:fill="auto"/>
                  <w:vAlign w:val="bottom"/>
                </w:tcPr>
                <w:p w:rsidR="00A14CFF" w:rsidRDefault="00A14CFF" w:rsidP="00A14CFF">
                  <w:pPr>
                    <w:pStyle w:val="TableBodyText"/>
                  </w:pPr>
                  <w:r>
                    <w:t>3.5</w:t>
                  </w:r>
                </w:p>
              </w:tc>
              <w:tc>
                <w:tcPr>
                  <w:tcW w:w="850" w:type="dxa"/>
                  <w:tcBorders>
                    <w:bottom w:val="single" w:sz="6" w:space="0" w:color="BFBFBF" w:themeColor="background2"/>
                  </w:tcBorders>
                  <w:shd w:val="clear" w:color="auto" w:fill="auto"/>
                  <w:vAlign w:val="bottom"/>
                </w:tcPr>
                <w:p w:rsidR="00A14CFF" w:rsidRDefault="00A14CFF" w:rsidP="00A14CFF">
                  <w:pPr>
                    <w:pStyle w:val="TableBodyText"/>
                  </w:pPr>
                  <w:r>
                    <w:t>4.7</w:t>
                  </w:r>
                </w:p>
              </w:tc>
              <w:tc>
                <w:tcPr>
                  <w:tcW w:w="709" w:type="dxa"/>
                  <w:tcBorders>
                    <w:bottom w:val="single" w:sz="6" w:space="0" w:color="BFBFBF" w:themeColor="background2"/>
                  </w:tcBorders>
                  <w:shd w:val="clear" w:color="auto" w:fill="auto"/>
                  <w:vAlign w:val="bottom"/>
                </w:tcPr>
                <w:p w:rsidR="00A14CFF" w:rsidRDefault="00A14CFF" w:rsidP="00A14CFF">
                  <w:pPr>
                    <w:pStyle w:val="TableBodyText"/>
                  </w:pPr>
                  <w:r>
                    <w:t>0.6</w:t>
                  </w:r>
                </w:p>
              </w:tc>
              <w:tc>
                <w:tcPr>
                  <w:tcW w:w="709" w:type="dxa"/>
                  <w:tcBorders>
                    <w:bottom w:val="single" w:sz="6" w:space="0" w:color="BFBFBF" w:themeColor="background2"/>
                  </w:tcBorders>
                  <w:shd w:val="clear" w:color="auto" w:fill="auto"/>
                  <w:vAlign w:val="bottom"/>
                </w:tcPr>
                <w:p w:rsidR="00A14CFF" w:rsidRDefault="00A14CFF" w:rsidP="00A14CFF">
                  <w:pPr>
                    <w:pStyle w:val="TableBodyText"/>
                  </w:pPr>
                  <w:r>
                    <w:t>1.7</w:t>
                  </w:r>
                </w:p>
              </w:tc>
              <w:tc>
                <w:tcPr>
                  <w:tcW w:w="850" w:type="dxa"/>
                  <w:tcBorders>
                    <w:bottom w:val="single" w:sz="6" w:space="0" w:color="BFBFBF" w:themeColor="background2"/>
                  </w:tcBorders>
                  <w:shd w:val="clear" w:color="auto" w:fill="auto"/>
                  <w:vAlign w:val="bottom"/>
                </w:tcPr>
                <w:p w:rsidR="00A14CFF" w:rsidRDefault="00A14CFF" w:rsidP="00A14CFF">
                  <w:pPr>
                    <w:pStyle w:val="TableBodyText"/>
                  </w:pPr>
                  <w:r>
                    <w:t>1.5</w:t>
                  </w:r>
                </w:p>
              </w:tc>
            </w:tr>
          </w:tbl>
          <w:p w:rsidR="007159F6" w:rsidRDefault="007159F6" w:rsidP="00E41D90">
            <w:pPr>
              <w:pStyle w:val="Box"/>
            </w:pPr>
          </w:p>
        </w:tc>
      </w:tr>
      <w:tr w:rsidR="007159F6" w:rsidTr="00D55690">
        <w:trPr>
          <w:cantSplit/>
        </w:trPr>
        <w:tc>
          <w:tcPr>
            <w:tcW w:w="8767" w:type="dxa"/>
            <w:tcBorders>
              <w:top w:val="nil"/>
              <w:left w:val="nil"/>
              <w:bottom w:val="nil"/>
              <w:right w:val="nil"/>
            </w:tcBorders>
            <w:shd w:val="clear" w:color="auto" w:fill="auto"/>
          </w:tcPr>
          <w:p w:rsidR="007159F6" w:rsidRPr="007159F6" w:rsidRDefault="000E5E6C" w:rsidP="000E5E6C">
            <w:pPr>
              <w:pStyle w:val="Note"/>
            </w:pPr>
            <w:r w:rsidRPr="000E5E6C">
              <w:rPr>
                <w:rStyle w:val="NoteLabel"/>
              </w:rPr>
              <w:t>a</w:t>
            </w:r>
            <w:r>
              <w:t xml:space="preserve"> See table 4A.1 for detailed footnotes and caveats. </w:t>
            </w:r>
            <w:r w:rsidR="007159F6">
              <w:t>– Nil or rounded to zero.</w:t>
            </w:r>
          </w:p>
        </w:tc>
      </w:tr>
      <w:tr w:rsidR="007159F6" w:rsidTr="00D55690">
        <w:trPr>
          <w:cantSplit/>
        </w:trPr>
        <w:tc>
          <w:tcPr>
            <w:tcW w:w="8767" w:type="dxa"/>
            <w:tcBorders>
              <w:top w:val="nil"/>
              <w:left w:val="nil"/>
              <w:bottom w:val="nil"/>
              <w:right w:val="nil"/>
            </w:tcBorders>
            <w:shd w:val="clear" w:color="auto" w:fill="auto"/>
          </w:tcPr>
          <w:p w:rsidR="007159F6" w:rsidRDefault="007159F6" w:rsidP="00CE5C75">
            <w:pPr>
              <w:pStyle w:val="Source"/>
            </w:pPr>
            <w:r>
              <w:rPr>
                <w:i/>
              </w:rPr>
              <w:t>Source</w:t>
            </w:r>
            <w:r w:rsidRPr="00167F06">
              <w:t xml:space="preserve">: </w:t>
            </w:r>
            <w:r w:rsidRPr="007159F6">
              <w:t>ABS (201</w:t>
            </w:r>
            <w:r w:rsidR="00CE5C75">
              <w:t>5</w:t>
            </w:r>
            <w:r w:rsidRPr="007159F6">
              <w:t xml:space="preserve"> and unpublished) </w:t>
            </w:r>
            <w:r w:rsidRPr="007159F6">
              <w:rPr>
                <w:i/>
              </w:rPr>
              <w:t>Schools Australia 201</w:t>
            </w:r>
            <w:r w:rsidR="00CE5C75">
              <w:rPr>
                <w:i/>
              </w:rPr>
              <w:t>4</w:t>
            </w:r>
            <w:r w:rsidRPr="007159F6">
              <w:t>, Cat. no. 4221.0; table 4A.1.</w:t>
            </w:r>
          </w:p>
        </w:tc>
      </w:tr>
      <w:tr w:rsidR="007159F6" w:rsidTr="00D55690">
        <w:trPr>
          <w:cantSplit/>
        </w:trPr>
        <w:tc>
          <w:tcPr>
            <w:tcW w:w="8767" w:type="dxa"/>
            <w:tcBorders>
              <w:top w:val="nil"/>
              <w:left w:val="nil"/>
              <w:bottom w:val="single" w:sz="6" w:space="0" w:color="78A22F"/>
              <w:right w:val="nil"/>
            </w:tcBorders>
            <w:shd w:val="clear" w:color="auto" w:fill="auto"/>
          </w:tcPr>
          <w:p w:rsidR="007159F6" w:rsidRDefault="007159F6" w:rsidP="00E41D90">
            <w:pPr>
              <w:pStyle w:val="Box"/>
              <w:spacing w:before="0" w:line="120" w:lineRule="exact"/>
            </w:pPr>
          </w:p>
        </w:tc>
      </w:tr>
      <w:tr w:rsidR="007159F6" w:rsidRPr="000863A5" w:rsidTr="00D55690">
        <w:tc>
          <w:tcPr>
            <w:tcW w:w="8767" w:type="dxa"/>
            <w:tcBorders>
              <w:top w:val="single" w:sz="6" w:space="0" w:color="78A22F"/>
              <w:left w:val="nil"/>
              <w:bottom w:val="nil"/>
              <w:right w:val="nil"/>
            </w:tcBorders>
          </w:tcPr>
          <w:p w:rsidR="007159F6" w:rsidRPr="00626D32" w:rsidRDefault="007159F6" w:rsidP="00E41D90">
            <w:pPr>
              <w:pStyle w:val="BoxSpaceBelow"/>
            </w:pPr>
          </w:p>
        </w:tc>
      </w:tr>
    </w:tbl>
    <w:p w:rsidR="00666ECE" w:rsidRPr="00666ECE" w:rsidRDefault="00666ECE" w:rsidP="007B0AE2">
      <w:pPr>
        <w:pStyle w:val="Heading4"/>
      </w:pPr>
      <w:r w:rsidRPr="00666ECE">
        <w:t>Special needs groups</w:t>
      </w:r>
    </w:p>
    <w:p w:rsidR="00666ECE" w:rsidRPr="00666ECE" w:rsidRDefault="00666ECE" w:rsidP="004145D6">
      <w:pPr>
        <w:pStyle w:val="BodyText"/>
      </w:pPr>
      <w:r w:rsidRPr="00666ECE">
        <w:t>Some groups of students in school education have been identified as having special needs. These special needs groups include:</w:t>
      </w:r>
    </w:p>
    <w:p w:rsidR="00666ECE" w:rsidRPr="004145D6" w:rsidRDefault="000701DC" w:rsidP="004145D6">
      <w:pPr>
        <w:pStyle w:val="ListBullet"/>
      </w:pPr>
      <w:r w:rsidRPr="004145D6">
        <w:t>Aboriginal and Torres Strait Islander</w:t>
      </w:r>
      <w:r w:rsidR="00666ECE" w:rsidRPr="004145D6">
        <w:t xml:space="preserve"> students</w:t>
      </w:r>
    </w:p>
    <w:p w:rsidR="00666ECE" w:rsidRPr="004145D6" w:rsidRDefault="00666ECE" w:rsidP="004145D6">
      <w:pPr>
        <w:pStyle w:val="ListBullet"/>
      </w:pPr>
      <w:r w:rsidRPr="004145D6">
        <w:lastRenderedPageBreak/>
        <w:t>students from language backgrounds other than English (LBOTE)</w:t>
      </w:r>
    </w:p>
    <w:p w:rsidR="00666ECE" w:rsidRPr="004145D6" w:rsidRDefault="00666ECE" w:rsidP="004145D6">
      <w:pPr>
        <w:pStyle w:val="ListBullet"/>
      </w:pPr>
      <w:r w:rsidRPr="004145D6">
        <w:t>students with disabilit</w:t>
      </w:r>
      <w:r w:rsidR="001E2082" w:rsidRPr="004145D6">
        <w:t>y</w:t>
      </w:r>
    </w:p>
    <w:p w:rsidR="00666ECE" w:rsidRPr="004145D6" w:rsidRDefault="00666ECE" w:rsidP="004145D6">
      <w:pPr>
        <w:pStyle w:val="ListBullet"/>
      </w:pPr>
      <w:r w:rsidRPr="004145D6">
        <w:t>geographically remote students</w:t>
      </w:r>
    </w:p>
    <w:p w:rsidR="00666ECE" w:rsidRPr="000E6F59" w:rsidRDefault="00666ECE" w:rsidP="006F4899">
      <w:pPr>
        <w:pStyle w:val="ListBullet"/>
      </w:pPr>
      <w:r w:rsidRPr="004145D6">
        <w:t>students from families of low socio</w:t>
      </w:r>
      <w:r w:rsidR="009131A4" w:rsidRPr="004145D6">
        <w:t>-</w:t>
      </w:r>
      <w:r w:rsidRPr="004145D6">
        <w:t>economic status.</w:t>
      </w:r>
    </w:p>
    <w:p w:rsidR="00666ECE" w:rsidRPr="000E6F59" w:rsidRDefault="000701DC" w:rsidP="00845DD5">
      <w:pPr>
        <w:pStyle w:val="Heading5"/>
      </w:pPr>
      <w:r>
        <w:t>Aboriginal and Torres Strait Islander</w:t>
      </w:r>
      <w:r w:rsidR="00666ECE" w:rsidRPr="000E6F59">
        <w:t xml:space="preserve"> students</w:t>
      </w:r>
    </w:p>
    <w:p w:rsidR="00666ECE" w:rsidRPr="00B43174" w:rsidRDefault="00666ECE" w:rsidP="004145D6">
      <w:pPr>
        <w:pStyle w:val="BodyText"/>
      </w:pPr>
      <w:r w:rsidRPr="000E6F59">
        <w:t xml:space="preserve">The number and proportion of full </w:t>
      </w:r>
      <w:r w:rsidRPr="007055A8">
        <w:t xml:space="preserve">time </w:t>
      </w:r>
      <w:r w:rsidR="0019719B" w:rsidRPr="007055A8">
        <w:t>s</w:t>
      </w:r>
      <w:r w:rsidRPr="007055A8">
        <w:t xml:space="preserve">tudents </w:t>
      </w:r>
      <w:r w:rsidR="001B6514">
        <w:t>who</w:t>
      </w:r>
      <w:r w:rsidR="0019719B" w:rsidRPr="007055A8">
        <w:t xml:space="preserve"> </w:t>
      </w:r>
      <w:r w:rsidR="000701DC">
        <w:t>identify as Aboriginal and Torres Strait Islander</w:t>
      </w:r>
      <w:r w:rsidR="0019719B" w:rsidRPr="007055A8">
        <w:t xml:space="preserve"> </w:t>
      </w:r>
      <w:r w:rsidRPr="007055A8">
        <w:t>varies greatly across jurisdictions (table 4</w:t>
      </w:r>
      <w:r w:rsidR="005D3130">
        <w:t>.5</w:t>
      </w:r>
      <w:r w:rsidRPr="007055A8">
        <w:t xml:space="preserve">). In all jurisdictions, the proportion of full time </w:t>
      </w:r>
      <w:r w:rsidR="000701DC" w:rsidRPr="004145D6">
        <w:t>Aboriginal</w:t>
      </w:r>
      <w:r w:rsidR="000701DC">
        <w:t xml:space="preserve"> and Torres Strait Islander</w:t>
      </w:r>
      <w:r w:rsidRPr="007055A8">
        <w:t xml:space="preserve"> students was </w:t>
      </w:r>
      <w:r w:rsidR="006451F8" w:rsidRPr="00F4596F">
        <w:rPr>
          <w:shd w:val="clear" w:color="auto" w:fill="FFFFFF" w:themeFill="background1"/>
        </w:rPr>
        <w:t xml:space="preserve">much </w:t>
      </w:r>
      <w:r w:rsidRPr="00F4596F">
        <w:rPr>
          <w:shd w:val="clear" w:color="auto" w:fill="FFFFFF" w:themeFill="background1"/>
        </w:rPr>
        <w:t xml:space="preserve">higher in </w:t>
      </w:r>
      <w:r w:rsidRPr="00B43174">
        <w:rPr>
          <w:shd w:val="clear" w:color="auto" w:fill="FFFFFF" w:themeFill="background1"/>
        </w:rPr>
        <w:t>government schools than in non</w:t>
      </w:r>
      <w:r w:rsidR="006451F8" w:rsidRPr="00B43174">
        <w:rPr>
          <w:shd w:val="clear" w:color="auto" w:fill="FFFFFF" w:themeFill="background1"/>
        </w:rPr>
        <w:noBreakHyphen/>
      </w:r>
      <w:r w:rsidRPr="00B43174">
        <w:rPr>
          <w:shd w:val="clear" w:color="auto" w:fill="FFFFFF" w:themeFill="background1"/>
        </w:rPr>
        <w:t xml:space="preserve">government schools. Nationally, the proportion of full time students </w:t>
      </w:r>
      <w:r w:rsidR="0061654B" w:rsidRPr="00B43174">
        <w:rPr>
          <w:shd w:val="clear" w:color="auto" w:fill="FFFFFF" w:themeFill="background1"/>
        </w:rPr>
        <w:t xml:space="preserve">who </w:t>
      </w:r>
      <w:r w:rsidR="000701DC">
        <w:rPr>
          <w:shd w:val="clear" w:color="auto" w:fill="FFFFFF" w:themeFill="background1"/>
        </w:rPr>
        <w:t>identified as</w:t>
      </w:r>
      <w:r w:rsidR="0019719B" w:rsidRPr="00B43174">
        <w:t xml:space="preserve"> </w:t>
      </w:r>
      <w:r w:rsidR="000701DC">
        <w:rPr>
          <w:shd w:val="clear" w:color="auto" w:fill="FFFFFF" w:themeFill="background1"/>
        </w:rPr>
        <w:t xml:space="preserve">Aboriginal and Torres Strait </w:t>
      </w:r>
      <w:r w:rsidR="000701DC" w:rsidRPr="000F4F43">
        <w:rPr>
          <w:shd w:val="clear" w:color="auto" w:fill="FFFFFF" w:themeFill="background1"/>
        </w:rPr>
        <w:t>Islander</w:t>
      </w:r>
      <w:r w:rsidR="0019719B" w:rsidRPr="000F4F43">
        <w:rPr>
          <w:shd w:val="clear" w:color="auto" w:fill="FFFFFF" w:themeFill="background1"/>
        </w:rPr>
        <w:t xml:space="preserve"> </w:t>
      </w:r>
      <w:r w:rsidRPr="000F4F43">
        <w:rPr>
          <w:shd w:val="clear" w:color="auto" w:fill="FFFFFF" w:themeFill="background1"/>
        </w:rPr>
        <w:t xml:space="preserve">was </w:t>
      </w:r>
      <w:r w:rsidR="002C4C48" w:rsidRPr="000F4F43">
        <w:rPr>
          <w:shd w:val="clear" w:color="auto" w:fill="FFFFFF" w:themeFill="background1"/>
        </w:rPr>
        <w:t>6.</w:t>
      </w:r>
      <w:r w:rsidR="00685D96" w:rsidRPr="000F4F43">
        <w:rPr>
          <w:shd w:val="clear" w:color="auto" w:fill="FFFFFF" w:themeFill="background1"/>
        </w:rPr>
        <w:t>7</w:t>
      </w:r>
      <w:r w:rsidR="0037267A" w:rsidRPr="000F4F43">
        <w:rPr>
          <w:shd w:val="clear" w:color="auto" w:fill="FFFFFF" w:themeFill="background1"/>
        </w:rPr>
        <w:t xml:space="preserve"> </w:t>
      </w:r>
      <w:r w:rsidRPr="000F4F43">
        <w:rPr>
          <w:shd w:val="clear" w:color="auto" w:fill="FFFFFF" w:themeFill="background1"/>
        </w:rPr>
        <w:t>per</w:t>
      </w:r>
      <w:r w:rsidR="0037267A" w:rsidRPr="000F4F43">
        <w:rPr>
          <w:shd w:val="clear" w:color="auto" w:fill="FFFFFF" w:themeFill="background1"/>
        </w:rPr>
        <w:t xml:space="preserve"> </w:t>
      </w:r>
      <w:r w:rsidRPr="000F4F43">
        <w:rPr>
          <w:shd w:val="clear" w:color="auto" w:fill="FFFFFF" w:themeFill="background1"/>
        </w:rPr>
        <w:t xml:space="preserve">cent in government schools and </w:t>
      </w:r>
      <w:r w:rsidR="002C4C48" w:rsidRPr="000F4F43">
        <w:rPr>
          <w:shd w:val="clear" w:color="auto" w:fill="FFFFFF" w:themeFill="background1"/>
        </w:rPr>
        <w:t>2.</w:t>
      </w:r>
      <w:r w:rsidR="00685D96" w:rsidRPr="000F4F43">
        <w:rPr>
          <w:shd w:val="clear" w:color="auto" w:fill="FFFFFF" w:themeFill="background1"/>
        </w:rPr>
        <w:t>4</w:t>
      </w:r>
      <w:r w:rsidR="00972691" w:rsidRPr="000F4F43">
        <w:rPr>
          <w:shd w:val="clear" w:color="auto" w:fill="FFFFFF" w:themeFill="background1"/>
        </w:rPr>
        <w:t xml:space="preserve"> </w:t>
      </w:r>
      <w:r w:rsidRPr="000F4F43">
        <w:rPr>
          <w:shd w:val="clear" w:color="auto" w:fill="FFFFFF" w:themeFill="background1"/>
        </w:rPr>
        <w:t>per cent in non</w:t>
      </w:r>
      <w:r w:rsidR="006451F8" w:rsidRPr="000F4F43">
        <w:rPr>
          <w:shd w:val="clear" w:color="auto" w:fill="FFFFFF" w:themeFill="background1"/>
        </w:rPr>
        <w:noBreakHyphen/>
      </w:r>
      <w:r w:rsidRPr="000F4F43">
        <w:rPr>
          <w:shd w:val="clear" w:color="auto" w:fill="FFFFFF" w:themeFill="background1"/>
        </w:rPr>
        <w:t>government schools in 20</w:t>
      </w:r>
      <w:r w:rsidRPr="00B43174">
        <w:t>1</w:t>
      </w:r>
      <w:r w:rsidR="00CE5C75">
        <w:t>4</w:t>
      </w:r>
      <w:r w:rsidRPr="00B43174">
        <w:t xml:space="preserve"> (table 4.</w:t>
      </w:r>
      <w:r w:rsidR="00685D96">
        <w:t>5</w:t>
      </w:r>
      <w:r w:rsidRPr="00B43174">
        <w:t>).</w:t>
      </w:r>
    </w:p>
    <w:p w:rsidR="00D255D9" w:rsidRDefault="00D255D9" w:rsidP="00E41D90">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D255D9" w:rsidTr="009C1EF7">
        <w:tc>
          <w:tcPr>
            <w:tcW w:w="8767" w:type="dxa"/>
            <w:tcBorders>
              <w:top w:val="nil"/>
              <w:left w:val="nil"/>
              <w:bottom w:val="nil"/>
              <w:right w:val="nil"/>
            </w:tcBorders>
            <w:shd w:val="clear" w:color="auto" w:fill="auto"/>
          </w:tcPr>
          <w:p w:rsidR="00D255D9" w:rsidRPr="00784A05" w:rsidRDefault="00D255D9" w:rsidP="002C6D98">
            <w:pPr>
              <w:pStyle w:val="TableTitle"/>
            </w:pPr>
            <w:r>
              <w:rPr>
                <w:b w:val="0"/>
              </w:rPr>
              <w:t xml:space="preserve">Table </w:t>
            </w:r>
            <w:bookmarkStart w:id="18" w:name="OLE_LINK1"/>
            <w:r w:rsidR="00B70781">
              <w:rPr>
                <w:b w:val="0"/>
              </w:rPr>
              <w:t>4.</w:t>
            </w:r>
            <w:r w:rsidR="00FF4FBD">
              <w:rPr>
                <w:b w:val="0"/>
                <w:noProof/>
              </w:rPr>
              <w:t>5</w:t>
            </w:r>
            <w:bookmarkEnd w:id="18"/>
            <w:r>
              <w:tab/>
            </w:r>
            <w:r w:rsidR="005415C9">
              <w:t>F</w:t>
            </w:r>
            <w:r w:rsidR="00F80A76">
              <w:t xml:space="preserve">ull time students who identify as </w:t>
            </w:r>
            <w:r w:rsidR="00A67DE1">
              <w:t>Aboriginal and Torres Strait Islander</w:t>
            </w:r>
            <w:r w:rsidRPr="00D255D9">
              <w:t>, 201</w:t>
            </w:r>
            <w:r w:rsidR="00CE5C75">
              <w:t>4</w:t>
            </w:r>
            <w:r w:rsidR="00302B1B" w:rsidRPr="00C90B4B">
              <w:rPr>
                <w:rStyle w:val="NoteLabel"/>
                <w:b/>
              </w:rPr>
              <w:t>a</w:t>
            </w:r>
          </w:p>
        </w:tc>
      </w:tr>
      <w:tr w:rsidR="00D255D9" w:rsidTr="009C1EF7">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2237"/>
              <w:gridCol w:w="590"/>
              <w:gridCol w:w="695"/>
              <w:gridCol w:w="709"/>
              <w:gridCol w:w="708"/>
              <w:gridCol w:w="567"/>
              <w:gridCol w:w="567"/>
              <w:gridCol w:w="567"/>
              <w:gridCol w:w="567"/>
              <w:gridCol w:w="567"/>
              <w:gridCol w:w="709"/>
            </w:tblGrid>
            <w:tr w:rsidR="009C1EF7" w:rsidRPr="00D22B36" w:rsidTr="009C1EF7">
              <w:tc>
                <w:tcPr>
                  <w:tcW w:w="2237" w:type="dxa"/>
                  <w:tcBorders>
                    <w:top w:val="single" w:sz="4" w:space="0" w:color="BFBFBF" w:themeColor="background2"/>
                    <w:bottom w:val="single" w:sz="4" w:space="0" w:color="BFBFBF" w:themeColor="background2"/>
                  </w:tcBorders>
                </w:tcPr>
                <w:p w:rsidR="009C1EF7" w:rsidRPr="00D22B36" w:rsidRDefault="009C1EF7" w:rsidP="00D22B36">
                  <w:pPr>
                    <w:pStyle w:val="TableColumnHeading"/>
                  </w:pPr>
                </w:p>
              </w:tc>
              <w:tc>
                <w:tcPr>
                  <w:tcW w:w="590" w:type="dxa"/>
                  <w:tcBorders>
                    <w:top w:val="single" w:sz="4" w:space="0" w:color="BFBFBF" w:themeColor="background2"/>
                    <w:bottom w:val="single" w:sz="4" w:space="0" w:color="BFBFBF" w:themeColor="background2"/>
                  </w:tcBorders>
                </w:tcPr>
                <w:p w:rsidR="009C1EF7" w:rsidRPr="00D22B36" w:rsidRDefault="009C1EF7" w:rsidP="00D22B36">
                  <w:pPr>
                    <w:pStyle w:val="TableColumnHeading"/>
                  </w:pPr>
                  <w:r w:rsidRPr="00D22B36">
                    <w:t>Unit</w:t>
                  </w:r>
                </w:p>
              </w:tc>
              <w:tc>
                <w:tcPr>
                  <w:tcW w:w="695" w:type="dxa"/>
                  <w:tcBorders>
                    <w:top w:val="single" w:sz="4" w:space="0" w:color="BFBFBF" w:themeColor="background2"/>
                    <w:bottom w:val="single" w:sz="4" w:space="0" w:color="BFBFBF" w:themeColor="background2"/>
                  </w:tcBorders>
                </w:tcPr>
                <w:p w:rsidR="009C1EF7" w:rsidRPr="00D22B36" w:rsidRDefault="009C1EF7" w:rsidP="00D22B36">
                  <w:pPr>
                    <w:pStyle w:val="TableColumnHeading"/>
                  </w:pPr>
                  <w:r w:rsidRPr="00D22B36">
                    <w:t>NSW</w:t>
                  </w:r>
                </w:p>
              </w:tc>
              <w:tc>
                <w:tcPr>
                  <w:tcW w:w="709" w:type="dxa"/>
                  <w:tcBorders>
                    <w:top w:val="single" w:sz="4" w:space="0" w:color="BFBFBF" w:themeColor="background2"/>
                    <w:bottom w:val="single" w:sz="4" w:space="0" w:color="BFBFBF" w:themeColor="background2"/>
                  </w:tcBorders>
                </w:tcPr>
                <w:p w:rsidR="009C1EF7" w:rsidRPr="00D22B36" w:rsidRDefault="009C1EF7" w:rsidP="00D22B36">
                  <w:pPr>
                    <w:pStyle w:val="TableColumnHeading"/>
                  </w:pPr>
                  <w:r w:rsidRPr="00D22B36">
                    <w:t>Vic</w:t>
                  </w:r>
                </w:p>
              </w:tc>
              <w:tc>
                <w:tcPr>
                  <w:tcW w:w="708" w:type="dxa"/>
                  <w:tcBorders>
                    <w:top w:val="single" w:sz="4" w:space="0" w:color="BFBFBF" w:themeColor="background2"/>
                    <w:bottom w:val="single" w:sz="4" w:space="0" w:color="BFBFBF" w:themeColor="background2"/>
                  </w:tcBorders>
                </w:tcPr>
                <w:p w:rsidR="009C1EF7" w:rsidRPr="00D22B36" w:rsidRDefault="009C1EF7" w:rsidP="00D22B36">
                  <w:pPr>
                    <w:pStyle w:val="TableColumnHeading"/>
                  </w:pPr>
                  <w:r w:rsidRPr="00D22B36">
                    <w:t>Qld</w:t>
                  </w:r>
                </w:p>
              </w:tc>
              <w:tc>
                <w:tcPr>
                  <w:tcW w:w="567" w:type="dxa"/>
                  <w:tcBorders>
                    <w:top w:val="single" w:sz="4" w:space="0" w:color="BFBFBF" w:themeColor="background2"/>
                    <w:bottom w:val="single" w:sz="4" w:space="0" w:color="BFBFBF" w:themeColor="background2"/>
                  </w:tcBorders>
                </w:tcPr>
                <w:p w:rsidR="009C1EF7" w:rsidRPr="00D22B36" w:rsidRDefault="009C1EF7" w:rsidP="00D22B36">
                  <w:pPr>
                    <w:pStyle w:val="TableColumnHeading"/>
                  </w:pPr>
                  <w:r w:rsidRPr="00D22B36">
                    <w:t>WA</w:t>
                  </w:r>
                </w:p>
              </w:tc>
              <w:tc>
                <w:tcPr>
                  <w:tcW w:w="567" w:type="dxa"/>
                  <w:tcBorders>
                    <w:top w:val="single" w:sz="4" w:space="0" w:color="BFBFBF" w:themeColor="background2"/>
                    <w:bottom w:val="single" w:sz="4" w:space="0" w:color="BFBFBF" w:themeColor="background2"/>
                  </w:tcBorders>
                </w:tcPr>
                <w:p w:rsidR="009C1EF7" w:rsidRPr="00D22B36" w:rsidRDefault="009C1EF7" w:rsidP="00D22B36">
                  <w:pPr>
                    <w:pStyle w:val="TableColumnHeading"/>
                  </w:pPr>
                  <w:r w:rsidRPr="00D22B36">
                    <w:t>SA</w:t>
                  </w:r>
                </w:p>
              </w:tc>
              <w:tc>
                <w:tcPr>
                  <w:tcW w:w="567" w:type="dxa"/>
                  <w:tcBorders>
                    <w:top w:val="single" w:sz="4" w:space="0" w:color="BFBFBF" w:themeColor="background2"/>
                    <w:bottom w:val="single" w:sz="4" w:space="0" w:color="BFBFBF" w:themeColor="background2"/>
                  </w:tcBorders>
                </w:tcPr>
                <w:p w:rsidR="009C1EF7" w:rsidRPr="00D22B36" w:rsidRDefault="009C1EF7" w:rsidP="00D22B36">
                  <w:pPr>
                    <w:pStyle w:val="TableColumnHeading"/>
                  </w:pPr>
                  <w:r w:rsidRPr="00D22B36">
                    <w:t>Tas</w:t>
                  </w:r>
                </w:p>
              </w:tc>
              <w:tc>
                <w:tcPr>
                  <w:tcW w:w="567" w:type="dxa"/>
                  <w:tcBorders>
                    <w:top w:val="single" w:sz="4" w:space="0" w:color="BFBFBF" w:themeColor="background2"/>
                    <w:bottom w:val="single" w:sz="4" w:space="0" w:color="BFBFBF" w:themeColor="background2"/>
                  </w:tcBorders>
                </w:tcPr>
                <w:p w:rsidR="009C1EF7" w:rsidRPr="00D22B36" w:rsidRDefault="009C1EF7" w:rsidP="00D22B36">
                  <w:pPr>
                    <w:pStyle w:val="TableColumnHeading"/>
                  </w:pPr>
                  <w:r w:rsidRPr="00D22B36">
                    <w:t>ACT</w:t>
                  </w:r>
                </w:p>
              </w:tc>
              <w:tc>
                <w:tcPr>
                  <w:tcW w:w="567" w:type="dxa"/>
                  <w:tcBorders>
                    <w:top w:val="single" w:sz="4" w:space="0" w:color="BFBFBF" w:themeColor="background2"/>
                    <w:bottom w:val="single" w:sz="4" w:space="0" w:color="BFBFBF" w:themeColor="background2"/>
                  </w:tcBorders>
                </w:tcPr>
                <w:p w:rsidR="009C1EF7" w:rsidRPr="00D22B36" w:rsidRDefault="009C1EF7" w:rsidP="00D22B36">
                  <w:pPr>
                    <w:pStyle w:val="TableColumnHeading"/>
                  </w:pPr>
                  <w:r w:rsidRPr="00D22B36">
                    <w:t>NT</w:t>
                  </w:r>
                </w:p>
              </w:tc>
              <w:tc>
                <w:tcPr>
                  <w:tcW w:w="709" w:type="dxa"/>
                  <w:tcBorders>
                    <w:top w:val="single" w:sz="4" w:space="0" w:color="BFBFBF" w:themeColor="background2"/>
                    <w:bottom w:val="single" w:sz="4" w:space="0" w:color="BFBFBF" w:themeColor="background2"/>
                  </w:tcBorders>
                </w:tcPr>
                <w:p w:rsidR="009C1EF7" w:rsidRPr="00D22B36" w:rsidRDefault="009C1EF7" w:rsidP="005D3130">
                  <w:pPr>
                    <w:pStyle w:val="TableColumnHeading"/>
                    <w:ind w:right="0"/>
                  </w:pPr>
                  <w:r w:rsidRPr="00D22B36">
                    <w:t>Aust</w:t>
                  </w:r>
                </w:p>
              </w:tc>
            </w:tr>
            <w:tr w:rsidR="00D22B36" w:rsidRPr="000E6F59" w:rsidTr="009C1EF7">
              <w:tc>
                <w:tcPr>
                  <w:tcW w:w="2237" w:type="dxa"/>
                  <w:shd w:val="clear" w:color="auto" w:fill="auto"/>
                </w:tcPr>
                <w:p w:rsidR="00D22B36" w:rsidRPr="000E6F59" w:rsidRDefault="00D22B36" w:rsidP="000F1E10">
                  <w:pPr>
                    <w:pStyle w:val="TableUnitsRow"/>
                    <w:jc w:val="left"/>
                  </w:pPr>
                  <w:r w:rsidRPr="000E6F59">
                    <w:t>Government schools</w:t>
                  </w:r>
                </w:p>
              </w:tc>
              <w:tc>
                <w:tcPr>
                  <w:tcW w:w="590" w:type="dxa"/>
                  <w:vAlign w:val="center"/>
                </w:tcPr>
                <w:p w:rsidR="00D22B36" w:rsidRDefault="00D22B36" w:rsidP="009C1EF7">
                  <w:pPr>
                    <w:pStyle w:val="TableBodyText"/>
                    <w:ind w:left="0" w:right="28"/>
                  </w:pPr>
                  <w:r>
                    <w:t>%</w:t>
                  </w:r>
                </w:p>
              </w:tc>
              <w:tc>
                <w:tcPr>
                  <w:tcW w:w="695" w:type="dxa"/>
                  <w:shd w:val="clear" w:color="auto" w:fill="auto"/>
                  <w:vAlign w:val="center"/>
                </w:tcPr>
                <w:p w:rsidR="00D22B36" w:rsidRDefault="00D22B36" w:rsidP="00D22B36">
                  <w:pPr>
                    <w:pStyle w:val="TableBodyText"/>
                  </w:pPr>
                  <w:r>
                    <w:t>6.8</w:t>
                  </w:r>
                </w:p>
              </w:tc>
              <w:tc>
                <w:tcPr>
                  <w:tcW w:w="709" w:type="dxa"/>
                  <w:shd w:val="clear" w:color="auto" w:fill="auto"/>
                  <w:vAlign w:val="center"/>
                </w:tcPr>
                <w:p w:rsidR="00D22B36" w:rsidRDefault="00D22B36" w:rsidP="00D22B36">
                  <w:pPr>
                    <w:pStyle w:val="TableBodyText"/>
                  </w:pPr>
                  <w:r>
                    <w:t>2.0</w:t>
                  </w:r>
                </w:p>
              </w:tc>
              <w:tc>
                <w:tcPr>
                  <w:tcW w:w="708" w:type="dxa"/>
                  <w:shd w:val="clear" w:color="auto" w:fill="auto"/>
                  <w:vAlign w:val="center"/>
                </w:tcPr>
                <w:p w:rsidR="00D22B36" w:rsidRDefault="00D22B36" w:rsidP="00D22B36">
                  <w:pPr>
                    <w:pStyle w:val="TableBodyText"/>
                  </w:pPr>
                  <w:r>
                    <w:t>9.2</w:t>
                  </w:r>
                </w:p>
              </w:tc>
              <w:tc>
                <w:tcPr>
                  <w:tcW w:w="567" w:type="dxa"/>
                  <w:shd w:val="clear" w:color="auto" w:fill="auto"/>
                  <w:vAlign w:val="center"/>
                </w:tcPr>
                <w:p w:rsidR="00D22B36" w:rsidRDefault="00D22B36" w:rsidP="00D22B36">
                  <w:pPr>
                    <w:pStyle w:val="TableBodyText"/>
                  </w:pPr>
                  <w:r>
                    <w:t>8.2</w:t>
                  </w:r>
                </w:p>
              </w:tc>
              <w:tc>
                <w:tcPr>
                  <w:tcW w:w="567" w:type="dxa"/>
                  <w:shd w:val="clear" w:color="auto" w:fill="auto"/>
                  <w:vAlign w:val="center"/>
                </w:tcPr>
                <w:p w:rsidR="00D22B36" w:rsidRDefault="00D22B36" w:rsidP="00D22B36">
                  <w:pPr>
                    <w:pStyle w:val="TableBodyText"/>
                  </w:pPr>
                  <w:r>
                    <w:t>5.9</w:t>
                  </w:r>
                </w:p>
              </w:tc>
              <w:tc>
                <w:tcPr>
                  <w:tcW w:w="567" w:type="dxa"/>
                  <w:shd w:val="clear" w:color="auto" w:fill="auto"/>
                  <w:vAlign w:val="center"/>
                </w:tcPr>
                <w:p w:rsidR="00D22B36" w:rsidRDefault="00D22B36" w:rsidP="00D22B36">
                  <w:pPr>
                    <w:pStyle w:val="TableBodyText"/>
                  </w:pPr>
                  <w:r>
                    <w:t>9.2</w:t>
                  </w:r>
                </w:p>
              </w:tc>
              <w:tc>
                <w:tcPr>
                  <w:tcW w:w="567" w:type="dxa"/>
                  <w:shd w:val="clear" w:color="auto" w:fill="auto"/>
                  <w:vAlign w:val="center"/>
                </w:tcPr>
                <w:p w:rsidR="00D22B36" w:rsidRDefault="00D22B36" w:rsidP="00D22B36">
                  <w:pPr>
                    <w:pStyle w:val="TableBodyText"/>
                  </w:pPr>
                  <w:r>
                    <w:t>3.5</w:t>
                  </w:r>
                </w:p>
              </w:tc>
              <w:tc>
                <w:tcPr>
                  <w:tcW w:w="567" w:type="dxa"/>
                  <w:shd w:val="clear" w:color="auto" w:fill="auto"/>
                  <w:vAlign w:val="center"/>
                </w:tcPr>
                <w:p w:rsidR="00D22B36" w:rsidRDefault="00D22B36" w:rsidP="00D22B36">
                  <w:pPr>
                    <w:pStyle w:val="TableBodyText"/>
                  </w:pPr>
                  <w:r>
                    <w:t>45.1</w:t>
                  </w:r>
                </w:p>
              </w:tc>
              <w:tc>
                <w:tcPr>
                  <w:tcW w:w="709" w:type="dxa"/>
                  <w:shd w:val="clear" w:color="auto" w:fill="auto"/>
                  <w:vAlign w:val="center"/>
                </w:tcPr>
                <w:p w:rsidR="00D22B36" w:rsidRDefault="00D22B36" w:rsidP="005D3130">
                  <w:pPr>
                    <w:pStyle w:val="TableBodyText"/>
                    <w:ind w:right="0"/>
                  </w:pPr>
                  <w:r>
                    <w:t>6.7</w:t>
                  </w:r>
                </w:p>
              </w:tc>
            </w:tr>
            <w:tr w:rsidR="00D22B36" w:rsidRPr="000E6F59" w:rsidTr="009C1EF7">
              <w:tc>
                <w:tcPr>
                  <w:tcW w:w="2237" w:type="dxa"/>
                  <w:shd w:val="clear" w:color="auto" w:fill="auto"/>
                </w:tcPr>
                <w:p w:rsidR="00D22B36" w:rsidRPr="000E6F59" w:rsidRDefault="00D22B36" w:rsidP="00E42718">
                  <w:pPr>
                    <w:pStyle w:val="TableUnitsRow"/>
                    <w:spacing w:before="0"/>
                    <w:jc w:val="left"/>
                  </w:pPr>
                  <w:r w:rsidRPr="000E6F59">
                    <w:t>Non-government schools</w:t>
                  </w:r>
                </w:p>
              </w:tc>
              <w:tc>
                <w:tcPr>
                  <w:tcW w:w="590" w:type="dxa"/>
                  <w:vAlign w:val="center"/>
                </w:tcPr>
                <w:p w:rsidR="00D22B36" w:rsidRDefault="00D22B36" w:rsidP="00E42718">
                  <w:pPr>
                    <w:pStyle w:val="TableBodyText"/>
                    <w:ind w:left="0" w:right="28"/>
                  </w:pPr>
                  <w:r>
                    <w:t>%</w:t>
                  </w:r>
                </w:p>
              </w:tc>
              <w:tc>
                <w:tcPr>
                  <w:tcW w:w="695" w:type="dxa"/>
                  <w:shd w:val="clear" w:color="auto" w:fill="auto"/>
                  <w:vAlign w:val="center"/>
                </w:tcPr>
                <w:p w:rsidR="00D22B36" w:rsidRDefault="00D22B36" w:rsidP="00D22B36">
                  <w:pPr>
                    <w:pStyle w:val="TableBodyText"/>
                  </w:pPr>
                  <w:r>
                    <w:t>2.3</w:t>
                  </w:r>
                </w:p>
              </w:tc>
              <w:tc>
                <w:tcPr>
                  <w:tcW w:w="709" w:type="dxa"/>
                  <w:shd w:val="clear" w:color="auto" w:fill="auto"/>
                  <w:vAlign w:val="center"/>
                </w:tcPr>
                <w:p w:rsidR="00D22B36" w:rsidRDefault="00D22B36" w:rsidP="00D22B36">
                  <w:pPr>
                    <w:pStyle w:val="TableBodyText"/>
                  </w:pPr>
                  <w:r>
                    <w:t>0.6</w:t>
                  </w:r>
                </w:p>
              </w:tc>
              <w:tc>
                <w:tcPr>
                  <w:tcW w:w="708" w:type="dxa"/>
                  <w:shd w:val="clear" w:color="auto" w:fill="auto"/>
                  <w:vAlign w:val="center"/>
                </w:tcPr>
                <w:p w:rsidR="00D22B36" w:rsidRDefault="00D22B36" w:rsidP="00D22B36">
                  <w:pPr>
                    <w:pStyle w:val="TableBodyText"/>
                  </w:pPr>
                  <w:r>
                    <w:t>3.5</w:t>
                  </w:r>
                </w:p>
              </w:tc>
              <w:tc>
                <w:tcPr>
                  <w:tcW w:w="567" w:type="dxa"/>
                  <w:shd w:val="clear" w:color="auto" w:fill="auto"/>
                  <w:vAlign w:val="center"/>
                </w:tcPr>
                <w:p w:rsidR="00D22B36" w:rsidRDefault="00D22B36" w:rsidP="00D22B36">
                  <w:pPr>
                    <w:pStyle w:val="TableBodyText"/>
                  </w:pPr>
                  <w:r>
                    <w:t>3.0</w:t>
                  </w:r>
                </w:p>
              </w:tc>
              <w:tc>
                <w:tcPr>
                  <w:tcW w:w="567" w:type="dxa"/>
                  <w:shd w:val="clear" w:color="auto" w:fill="auto"/>
                  <w:vAlign w:val="center"/>
                </w:tcPr>
                <w:p w:rsidR="00D22B36" w:rsidRDefault="00D22B36" w:rsidP="00D22B36">
                  <w:pPr>
                    <w:pStyle w:val="TableBodyText"/>
                  </w:pPr>
                  <w:r>
                    <w:t>1.3</w:t>
                  </w:r>
                </w:p>
              </w:tc>
              <w:tc>
                <w:tcPr>
                  <w:tcW w:w="567" w:type="dxa"/>
                  <w:shd w:val="clear" w:color="auto" w:fill="auto"/>
                  <w:vAlign w:val="center"/>
                </w:tcPr>
                <w:p w:rsidR="00D22B36" w:rsidRDefault="00D22B36" w:rsidP="00D22B36">
                  <w:pPr>
                    <w:pStyle w:val="TableBodyText"/>
                  </w:pPr>
                  <w:r>
                    <w:t>4.7</w:t>
                  </w:r>
                </w:p>
              </w:tc>
              <w:tc>
                <w:tcPr>
                  <w:tcW w:w="567" w:type="dxa"/>
                  <w:shd w:val="clear" w:color="auto" w:fill="auto"/>
                  <w:vAlign w:val="center"/>
                </w:tcPr>
                <w:p w:rsidR="00D22B36" w:rsidRDefault="00D22B36" w:rsidP="00D22B36">
                  <w:pPr>
                    <w:pStyle w:val="TableBodyText"/>
                  </w:pPr>
                  <w:r>
                    <w:t>1.4</w:t>
                  </w:r>
                </w:p>
              </w:tc>
              <w:tc>
                <w:tcPr>
                  <w:tcW w:w="567" w:type="dxa"/>
                  <w:shd w:val="clear" w:color="auto" w:fill="auto"/>
                  <w:vAlign w:val="center"/>
                </w:tcPr>
                <w:p w:rsidR="00D22B36" w:rsidRDefault="00D22B36" w:rsidP="00D22B36">
                  <w:pPr>
                    <w:pStyle w:val="TableBodyText"/>
                  </w:pPr>
                  <w:r>
                    <w:t>28.3</w:t>
                  </w:r>
                </w:p>
              </w:tc>
              <w:tc>
                <w:tcPr>
                  <w:tcW w:w="709" w:type="dxa"/>
                  <w:shd w:val="clear" w:color="auto" w:fill="auto"/>
                  <w:vAlign w:val="center"/>
                </w:tcPr>
                <w:p w:rsidR="00D22B36" w:rsidRDefault="00D22B36" w:rsidP="005D3130">
                  <w:pPr>
                    <w:pStyle w:val="TableBodyText"/>
                    <w:ind w:right="0"/>
                  </w:pPr>
                  <w:r>
                    <w:t>2.4</w:t>
                  </w:r>
                </w:p>
              </w:tc>
            </w:tr>
            <w:tr w:rsidR="00D22B36" w:rsidRPr="000E6F59" w:rsidTr="009C1EF7">
              <w:tc>
                <w:tcPr>
                  <w:tcW w:w="2237" w:type="dxa"/>
                  <w:tcBorders>
                    <w:bottom w:val="single" w:sz="4" w:space="0" w:color="BFBFBF" w:themeColor="background2"/>
                  </w:tcBorders>
                  <w:shd w:val="clear" w:color="auto" w:fill="auto"/>
                </w:tcPr>
                <w:p w:rsidR="00D22B36" w:rsidRPr="000E6F59" w:rsidRDefault="00D22B36" w:rsidP="00E42718">
                  <w:pPr>
                    <w:pStyle w:val="TableUnitsRow"/>
                    <w:spacing w:before="0"/>
                    <w:jc w:val="left"/>
                    <w:rPr>
                      <w:b/>
                    </w:rPr>
                  </w:pPr>
                  <w:r w:rsidRPr="000E6F59">
                    <w:rPr>
                      <w:b/>
                    </w:rPr>
                    <w:t>All schools</w:t>
                  </w:r>
                </w:p>
              </w:tc>
              <w:tc>
                <w:tcPr>
                  <w:tcW w:w="590" w:type="dxa"/>
                  <w:tcBorders>
                    <w:bottom w:val="single" w:sz="4" w:space="0" w:color="BFBFBF" w:themeColor="background2"/>
                  </w:tcBorders>
                  <w:vAlign w:val="center"/>
                </w:tcPr>
                <w:p w:rsidR="00D22B36" w:rsidRPr="000F1E10" w:rsidRDefault="00D22B36" w:rsidP="00E42718">
                  <w:pPr>
                    <w:pStyle w:val="TableBodyText"/>
                    <w:ind w:left="0" w:right="28"/>
                    <w:rPr>
                      <w:b/>
                    </w:rPr>
                  </w:pPr>
                  <w:r w:rsidRPr="000F1E10">
                    <w:rPr>
                      <w:b/>
                    </w:rPr>
                    <w:t>%</w:t>
                  </w:r>
                </w:p>
              </w:tc>
              <w:tc>
                <w:tcPr>
                  <w:tcW w:w="695" w:type="dxa"/>
                  <w:tcBorders>
                    <w:bottom w:val="single" w:sz="4" w:space="0" w:color="BFBFBF" w:themeColor="background2"/>
                  </w:tcBorders>
                  <w:shd w:val="clear" w:color="auto" w:fill="auto"/>
                  <w:vAlign w:val="center"/>
                </w:tcPr>
                <w:p w:rsidR="00D22B36" w:rsidRPr="005D3130" w:rsidRDefault="00D22B36" w:rsidP="00D22B36">
                  <w:pPr>
                    <w:pStyle w:val="TableBodyText"/>
                    <w:rPr>
                      <w:b/>
                    </w:rPr>
                  </w:pPr>
                  <w:r w:rsidRPr="005D3130">
                    <w:rPr>
                      <w:b/>
                    </w:rPr>
                    <w:t>5.2</w:t>
                  </w:r>
                </w:p>
              </w:tc>
              <w:tc>
                <w:tcPr>
                  <w:tcW w:w="709" w:type="dxa"/>
                  <w:tcBorders>
                    <w:bottom w:val="single" w:sz="4" w:space="0" w:color="BFBFBF" w:themeColor="background2"/>
                  </w:tcBorders>
                  <w:shd w:val="clear" w:color="auto" w:fill="auto"/>
                  <w:vAlign w:val="center"/>
                </w:tcPr>
                <w:p w:rsidR="00D22B36" w:rsidRPr="005D3130" w:rsidRDefault="00D22B36" w:rsidP="00D22B36">
                  <w:pPr>
                    <w:pStyle w:val="TableBodyText"/>
                    <w:rPr>
                      <w:b/>
                    </w:rPr>
                  </w:pPr>
                  <w:r w:rsidRPr="005D3130">
                    <w:rPr>
                      <w:b/>
                    </w:rPr>
                    <w:t>1.4</w:t>
                  </w:r>
                </w:p>
              </w:tc>
              <w:tc>
                <w:tcPr>
                  <w:tcW w:w="708" w:type="dxa"/>
                  <w:tcBorders>
                    <w:bottom w:val="single" w:sz="4" w:space="0" w:color="BFBFBF" w:themeColor="background2"/>
                  </w:tcBorders>
                  <w:shd w:val="clear" w:color="auto" w:fill="auto"/>
                  <w:vAlign w:val="center"/>
                </w:tcPr>
                <w:p w:rsidR="00D22B36" w:rsidRPr="005D3130" w:rsidRDefault="00D22B36" w:rsidP="00D22B36">
                  <w:pPr>
                    <w:pStyle w:val="TableBodyText"/>
                    <w:rPr>
                      <w:b/>
                    </w:rPr>
                  </w:pPr>
                  <w:r w:rsidRPr="005D3130">
                    <w:rPr>
                      <w:b/>
                    </w:rPr>
                    <w:t>7.3</w:t>
                  </w:r>
                </w:p>
              </w:tc>
              <w:tc>
                <w:tcPr>
                  <w:tcW w:w="567" w:type="dxa"/>
                  <w:tcBorders>
                    <w:bottom w:val="single" w:sz="4" w:space="0" w:color="BFBFBF" w:themeColor="background2"/>
                  </w:tcBorders>
                  <w:shd w:val="clear" w:color="auto" w:fill="auto"/>
                  <w:vAlign w:val="center"/>
                </w:tcPr>
                <w:p w:rsidR="00D22B36" w:rsidRPr="005D3130" w:rsidRDefault="00D22B36" w:rsidP="00D22B36">
                  <w:pPr>
                    <w:pStyle w:val="TableBodyText"/>
                    <w:rPr>
                      <w:b/>
                    </w:rPr>
                  </w:pPr>
                  <w:r w:rsidRPr="005D3130">
                    <w:rPr>
                      <w:b/>
                    </w:rPr>
                    <w:t>6.4</w:t>
                  </w:r>
                </w:p>
              </w:tc>
              <w:tc>
                <w:tcPr>
                  <w:tcW w:w="567" w:type="dxa"/>
                  <w:tcBorders>
                    <w:bottom w:val="single" w:sz="4" w:space="0" w:color="BFBFBF" w:themeColor="background2"/>
                  </w:tcBorders>
                  <w:shd w:val="clear" w:color="auto" w:fill="auto"/>
                  <w:vAlign w:val="center"/>
                </w:tcPr>
                <w:p w:rsidR="00D22B36" w:rsidRPr="005D3130" w:rsidRDefault="00D22B36" w:rsidP="00D22B36">
                  <w:pPr>
                    <w:pStyle w:val="TableBodyText"/>
                    <w:rPr>
                      <w:b/>
                    </w:rPr>
                  </w:pPr>
                  <w:r w:rsidRPr="005D3130">
                    <w:rPr>
                      <w:b/>
                    </w:rPr>
                    <w:t>4.2</w:t>
                  </w:r>
                </w:p>
              </w:tc>
              <w:tc>
                <w:tcPr>
                  <w:tcW w:w="567" w:type="dxa"/>
                  <w:tcBorders>
                    <w:bottom w:val="single" w:sz="4" w:space="0" w:color="BFBFBF" w:themeColor="background2"/>
                  </w:tcBorders>
                  <w:shd w:val="clear" w:color="auto" w:fill="auto"/>
                  <w:vAlign w:val="center"/>
                </w:tcPr>
                <w:p w:rsidR="00D22B36" w:rsidRPr="005D3130" w:rsidRDefault="00D22B36" w:rsidP="00D22B36">
                  <w:pPr>
                    <w:pStyle w:val="TableBodyText"/>
                    <w:rPr>
                      <w:b/>
                    </w:rPr>
                  </w:pPr>
                  <w:r w:rsidRPr="005D3130">
                    <w:rPr>
                      <w:b/>
                    </w:rPr>
                    <w:t>7.8</w:t>
                  </w:r>
                </w:p>
              </w:tc>
              <w:tc>
                <w:tcPr>
                  <w:tcW w:w="567" w:type="dxa"/>
                  <w:tcBorders>
                    <w:bottom w:val="single" w:sz="4" w:space="0" w:color="BFBFBF" w:themeColor="background2"/>
                  </w:tcBorders>
                  <w:shd w:val="clear" w:color="auto" w:fill="auto"/>
                  <w:vAlign w:val="center"/>
                </w:tcPr>
                <w:p w:rsidR="00D22B36" w:rsidRPr="005D3130" w:rsidRDefault="00D22B36" w:rsidP="00D22B36">
                  <w:pPr>
                    <w:pStyle w:val="TableBodyText"/>
                    <w:rPr>
                      <w:b/>
                    </w:rPr>
                  </w:pPr>
                  <w:r w:rsidRPr="005D3130">
                    <w:rPr>
                      <w:b/>
                    </w:rPr>
                    <w:t>2.6</w:t>
                  </w:r>
                </w:p>
              </w:tc>
              <w:tc>
                <w:tcPr>
                  <w:tcW w:w="567" w:type="dxa"/>
                  <w:tcBorders>
                    <w:bottom w:val="single" w:sz="4" w:space="0" w:color="BFBFBF" w:themeColor="background2"/>
                  </w:tcBorders>
                  <w:shd w:val="clear" w:color="auto" w:fill="auto"/>
                  <w:vAlign w:val="center"/>
                </w:tcPr>
                <w:p w:rsidR="00D22B36" w:rsidRPr="005D3130" w:rsidRDefault="00D22B36" w:rsidP="00D22B36">
                  <w:pPr>
                    <w:pStyle w:val="TableBodyText"/>
                    <w:rPr>
                      <w:b/>
                    </w:rPr>
                  </w:pPr>
                  <w:r w:rsidRPr="005D3130">
                    <w:rPr>
                      <w:b/>
                    </w:rPr>
                    <w:t>40.5</w:t>
                  </w:r>
                </w:p>
              </w:tc>
              <w:tc>
                <w:tcPr>
                  <w:tcW w:w="709" w:type="dxa"/>
                  <w:tcBorders>
                    <w:bottom w:val="single" w:sz="4" w:space="0" w:color="BFBFBF" w:themeColor="background2"/>
                  </w:tcBorders>
                  <w:shd w:val="clear" w:color="auto" w:fill="auto"/>
                  <w:vAlign w:val="center"/>
                </w:tcPr>
                <w:p w:rsidR="00D22B36" w:rsidRPr="005D3130" w:rsidRDefault="00D22B36" w:rsidP="005D3130">
                  <w:pPr>
                    <w:pStyle w:val="TableBodyText"/>
                    <w:ind w:right="0"/>
                    <w:rPr>
                      <w:b/>
                    </w:rPr>
                  </w:pPr>
                  <w:r w:rsidRPr="005D3130">
                    <w:rPr>
                      <w:b/>
                    </w:rPr>
                    <w:t>5.2</w:t>
                  </w:r>
                </w:p>
              </w:tc>
            </w:tr>
          </w:tbl>
          <w:p w:rsidR="00D255D9" w:rsidRDefault="00D255D9" w:rsidP="00E41D90">
            <w:pPr>
              <w:pStyle w:val="Box"/>
            </w:pPr>
          </w:p>
        </w:tc>
      </w:tr>
      <w:tr w:rsidR="00D255D9" w:rsidTr="009C1EF7">
        <w:trPr>
          <w:cantSplit/>
        </w:trPr>
        <w:tc>
          <w:tcPr>
            <w:tcW w:w="8767" w:type="dxa"/>
            <w:tcBorders>
              <w:top w:val="nil"/>
              <w:left w:val="nil"/>
              <w:bottom w:val="nil"/>
              <w:right w:val="nil"/>
            </w:tcBorders>
            <w:shd w:val="clear" w:color="auto" w:fill="auto"/>
          </w:tcPr>
          <w:p w:rsidR="00D255D9" w:rsidRPr="00D255D9" w:rsidRDefault="00D255D9" w:rsidP="00D37062">
            <w:pPr>
              <w:pStyle w:val="Note"/>
            </w:pPr>
            <w:r w:rsidRPr="008E77FE">
              <w:rPr>
                <w:rStyle w:val="NoteLabel"/>
              </w:rPr>
              <w:t>a</w:t>
            </w:r>
            <w:r w:rsidRPr="00D255D9">
              <w:t> </w:t>
            </w:r>
            <w:r w:rsidR="007C767F" w:rsidRPr="007C767F">
              <w:t>See table 4A.</w:t>
            </w:r>
            <w:r w:rsidR="007C767F">
              <w:t>29</w:t>
            </w:r>
            <w:r w:rsidR="007C767F" w:rsidRPr="007C767F">
              <w:t xml:space="preserve"> for detailed footnotes and caveats</w:t>
            </w:r>
            <w:r>
              <w:t>.</w:t>
            </w:r>
          </w:p>
        </w:tc>
      </w:tr>
      <w:tr w:rsidR="00D255D9" w:rsidTr="009C1EF7">
        <w:trPr>
          <w:cantSplit/>
        </w:trPr>
        <w:tc>
          <w:tcPr>
            <w:tcW w:w="8767" w:type="dxa"/>
            <w:tcBorders>
              <w:top w:val="nil"/>
              <w:left w:val="nil"/>
              <w:bottom w:val="nil"/>
              <w:right w:val="nil"/>
            </w:tcBorders>
            <w:shd w:val="clear" w:color="auto" w:fill="auto"/>
          </w:tcPr>
          <w:p w:rsidR="00D255D9" w:rsidRDefault="00D255D9" w:rsidP="00CE5C75">
            <w:pPr>
              <w:pStyle w:val="Source"/>
            </w:pPr>
            <w:r>
              <w:rPr>
                <w:i/>
              </w:rPr>
              <w:t>Source</w:t>
            </w:r>
            <w:r w:rsidRPr="00167F06">
              <w:t xml:space="preserve">: </w:t>
            </w:r>
            <w:r w:rsidRPr="00D255D9">
              <w:t>ABS (201</w:t>
            </w:r>
            <w:r w:rsidR="00CE5C75">
              <w:t>5</w:t>
            </w:r>
            <w:r w:rsidRPr="00D255D9">
              <w:t xml:space="preserve">) </w:t>
            </w:r>
            <w:r w:rsidRPr="00D255D9">
              <w:rPr>
                <w:i/>
              </w:rPr>
              <w:t>Schools Australia 201</w:t>
            </w:r>
            <w:r w:rsidR="00CE5C75">
              <w:rPr>
                <w:i/>
              </w:rPr>
              <w:t>4,</w:t>
            </w:r>
            <w:r w:rsidRPr="00D255D9">
              <w:t xml:space="preserve"> Cat. no. 4221.0; table 4A.29.</w:t>
            </w:r>
          </w:p>
        </w:tc>
      </w:tr>
      <w:tr w:rsidR="00D255D9" w:rsidTr="009C1EF7">
        <w:trPr>
          <w:cantSplit/>
        </w:trPr>
        <w:tc>
          <w:tcPr>
            <w:tcW w:w="8767" w:type="dxa"/>
            <w:tcBorders>
              <w:top w:val="nil"/>
              <w:left w:val="nil"/>
              <w:bottom w:val="single" w:sz="6" w:space="0" w:color="78A22F"/>
              <w:right w:val="nil"/>
            </w:tcBorders>
            <w:shd w:val="clear" w:color="auto" w:fill="auto"/>
          </w:tcPr>
          <w:p w:rsidR="00D255D9" w:rsidRDefault="00D255D9" w:rsidP="00E41D90">
            <w:pPr>
              <w:pStyle w:val="Box"/>
              <w:spacing w:before="0" w:line="120" w:lineRule="exact"/>
            </w:pPr>
          </w:p>
        </w:tc>
      </w:tr>
      <w:tr w:rsidR="00D255D9" w:rsidRPr="000863A5" w:rsidTr="009C1EF7">
        <w:tc>
          <w:tcPr>
            <w:tcW w:w="8767" w:type="dxa"/>
            <w:tcBorders>
              <w:top w:val="single" w:sz="6" w:space="0" w:color="78A22F"/>
              <w:left w:val="nil"/>
              <w:bottom w:val="nil"/>
              <w:right w:val="nil"/>
            </w:tcBorders>
          </w:tcPr>
          <w:p w:rsidR="00D255D9" w:rsidRPr="00626D32" w:rsidRDefault="00D255D9" w:rsidP="00E41D90">
            <w:pPr>
              <w:pStyle w:val="BoxSpaceBelow"/>
            </w:pPr>
          </w:p>
        </w:tc>
      </w:tr>
    </w:tbl>
    <w:p w:rsidR="00666ECE" w:rsidRPr="00666ECE" w:rsidRDefault="00666ECE" w:rsidP="00845DD5">
      <w:pPr>
        <w:pStyle w:val="Heading5"/>
      </w:pPr>
      <w:r w:rsidRPr="00666ECE">
        <w:t xml:space="preserve">Students from language backgrounds other than English </w:t>
      </w:r>
    </w:p>
    <w:p w:rsidR="00666ECE" w:rsidRPr="00666ECE" w:rsidRDefault="00666ECE" w:rsidP="004145D6">
      <w:pPr>
        <w:pStyle w:val="BodyText"/>
      </w:pPr>
      <w:r w:rsidRPr="00666ECE">
        <w:t xml:space="preserve">The proportion of LBOTE students is based on data from the Australian Bureau of Statistics (ABS) Census of Population and </w:t>
      </w:r>
      <w:r w:rsidRPr="00E87EFD">
        <w:rPr>
          <w:shd w:val="clear" w:color="auto" w:fill="FFFFFF" w:themeFill="background1"/>
        </w:rPr>
        <w:t>Housing</w:t>
      </w:r>
      <w:r w:rsidR="00203666" w:rsidRPr="00E87EFD">
        <w:rPr>
          <w:shd w:val="clear" w:color="auto" w:fill="FFFFFF" w:themeFill="background1"/>
        </w:rPr>
        <w:t xml:space="preserve"> </w:t>
      </w:r>
      <w:r w:rsidR="00203666" w:rsidRPr="00097127">
        <w:rPr>
          <w:shd w:val="clear" w:color="auto" w:fill="FFFFFF" w:themeFill="background1"/>
        </w:rPr>
        <w:t>(</w:t>
      </w:r>
      <w:r w:rsidR="00E87EFD" w:rsidRPr="00097127">
        <w:rPr>
          <w:shd w:val="clear" w:color="auto" w:fill="FFFFFF" w:themeFill="background1"/>
        </w:rPr>
        <w:t>Australian Government Department of Education</w:t>
      </w:r>
      <w:r w:rsidR="00685D96">
        <w:rPr>
          <w:shd w:val="clear" w:color="auto" w:fill="FFFFFF" w:themeFill="background1"/>
        </w:rPr>
        <w:t xml:space="preserve"> and Training</w:t>
      </w:r>
      <w:r w:rsidR="00E87EFD" w:rsidRPr="00097127">
        <w:rPr>
          <w:shd w:val="clear" w:color="auto" w:fill="FFFFFF" w:themeFill="background1"/>
        </w:rPr>
        <w:t xml:space="preserve">, unpublished). </w:t>
      </w:r>
      <w:r w:rsidRPr="00097127">
        <w:rPr>
          <w:shd w:val="clear" w:color="auto" w:fill="FFFFFF" w:themeFill="background1"/>
        </w:rPr>
        <w:t>S</w:t>
      </w:r>
      <w:r w:rsidRPr="00666ECE">
        <w:t xml:space="preserve">tudents are counted as having a </w:t>
      </w:r>
      <w:r w:rsidR="000B2CA3">
        <w:t>LBOTE</w:t>
      </w:r>
      <w:r w:rsidRPr="00666ECE">
        <w:t xml:space="preserve"> if their home language is not English or if they (or at least one parent) were born in a non-English speaking country.</w:t>
      </w:r>
    </w:p>
    <w:p w:rsidR="00666ECE" w:rsidRDefault="00F80A76" w:rsidP="004145D6">
      <w:pPr>
        <w:pStyle w:val="BodyText"/>
      </w:pPr>
      <w:r>
        <w:t xml:space="preserve">The most recent available data are for 2011. </w:t>
      </w:r>
      <w:r w:rsidR="00666ECE" w:rsidRPr="00666ECE">
        <w:t xml:space="preserve">The proportion of students </w:t>
      </w:r>
      <w:r w:rsidR="001B6514">
        <w:t>with a</w:t>
      </w:r>
      <w:r w:rsidR="0019719B">
        <w:t xml:space="preserve"> LBOTE </w:t>
      </w:r>
      <w:r w:rsidR="00666ECE" w:rsidRPr="00666ECE">
        <w:t>in government and non-government schools varied across jurisdictions in 20</w:t>
      </w:r>
      <w:r w:rsidR="000E6F59">
        <w:t>11</w:t>
      </w:r>
      <w:r w:rsidR="00DE6407">
        <w:t xml:space="preserve"> (table 4A.30).</w:t>
      </w:r>
    </w:p>
    <w:p w:rsidR="00666ECE" w:rsidRPr="007055A8" w:rsidRDefault="006451F8" w:rsidP="00845DD5">
      <w:pPr>
        <w:pStyle w:val="Heading5"/>
      </w:pPr>
      <w:r w:rsidRPr="007055A8">
        <w:t xml:space="preserve">Students with </w:t>
      </w:r>
      <w:r w:rsidRPr="00F4596F">
        <w:rPr>
          <w:shd w:val="clear" w:color="auto" w:fill="FFFFFF" w:themeFill="background1"/>
        </w:rPr>
        <w:t>disability</w:t>
      </w:r>
    </w:p>
    <w:p w:rsidR="00666ECE" w:rsidRPr="00231E34" w:rsidRDefault="00666ECE" w:rsidP="009A0722">
      <w:pPr>
        <w:pStyle w:val="BodyText"/>
        <w:rPr>
          <w:rStyle w:val="DraftingNote"/>
          <w:color w:val="auto"/>
        </w:rPr>
      </w:pPr>
      <w:r w:rsidRPr="007055A8">
        <w:t xml:space="preserve">Students with </w:t>
      </w:r>
      <w:r w:rsidRPr="00F4596F">
        <w:rPr>
          <w:shd w:val="clear" w:color="auto" w:fill="FFFFFF" w:themeFill="background1"/>
        </w:rPr>
        <w:t>disabilit</w:t>
      </w:r>
      <w:r w:rsidR="006451F8" w:rsidRPr="00F4596F">
        <w:rPr>
          <w:shd w:val="clear" w:color="auto" w:fill="FFFFFF" w:themeFill="background1"/>
        </w:rPr>
        <w:t>y</w:t>
      </w:r>
      <w:r w:rsidRPr="00F4596F">
        <w:rPr>
          <w:shd w:val="clear" w:color="auto" w:fill="FFFFFF" w:themeFill="background1"/>
        </w:rPr>
        <w:t xml:space="preserve"> are educated in both mainstream and special schools. </w:t>
      </w:r>
      <w:r w:rsidRPr="004856A8">
        <w:rPr>
          <w:shd w:val="clear" w:color="auto" w:fill="FFFFFF" w:themeFill="background1"/>
        </w:rPr>
        <w:t>Nationally in 201</w:t>
      </w:r>
      <w:r w:rsidR="00CE5C75">
        <w:rPr>
          <w:shd w:val="clear" w:color="auto" w:fill="FFFFFF" w:themeFill="background1"/>
        </w:rPr>
        <w:t>4</w:t>
      </w:r>
      <w:r w:rsidRPr="004856A8">
        <w:rPr>
          <w:shd w:val="clear" w:color="auto" w:fill="FFFFFF" w:themeFill="background1"/>
        </w:rPr>
        <w:t>, the proportion of students with disabilit</w:t>
      </w:r>
      <w:r w:rsidR="006451F8" w:rsidRPr="004856A8">
        <w:rPr>
          <w:shd w:val="clear" w:color="auto" w:fill="FFFFFF" w:themeFill="background1"/>
        </w:rPr>
        <w:t>y</w:t>
      </w:r>
      <w:r w:rsidRPr="004856A8">
        <w:rPr>
          <w:shd w:val="clear" w:color="auto" w:fill="FFFFFF" w:themeFill="background1"/>
        </w:rPr>
        <w:t xml:space="preserve"> for all schools was </w:t>
      </w:r>
      <w:r w:rsidR="006F4899">
        <w:rPr>
          <w:shd w:val="clear" w:color="auto" w:fill="FFFFFF" w:themeFill="background1"/>
        </w:rPr>
        <w:t>5.3</w:t>
      </w:r>
      <w:r w:rsidRPr="004856A8">
        <w:rPr>
          <w:shd w:val="clear" w:color="auto" w:fill="FFFFFF" w:themeFill="background1"/>
        </w:rPr>
        <w:t> per cent</w:t>
      </w:r>
      <w:r w:rsidR="00D70378">
        <w:rPr>
          <w:shd w:val="clear" w:color="auto" w:fill="FFFFFF" w:themeFill="background1"/>
        </w:rPr>
        <w:t>,</w:t>
      </w:r>
      <w:r w:rsidRPr="004856A8">
        <w:rPr>
          <w:shd w:val="clear" w:color="auto" w:fill="FFFFFF" w:themeFill="background1"/>
        </w:rPr>
        <w:t xml:space="preserve"> and </w:t>
      </w:r>
      <w:r w:rsidR="004856A8" w:rsidRPr="004856A8">
        <w:rPr>
          <w:shd w:val="clear" w:color="auto" w:fill="FFFFFF" w:themeFill="background1"/>
        </w:rPr>
        <w:t>significantly higher</w:t>
      </w:r>
      <w:r w:rsidRPr="004856A8">
        <w:rPr>
          <w:shd w:val="clear" w:color="auto" w:fill="FFFFFF" w:themeFill="background1"/>
        </w:rPr>
        <w:t xml:space="preserve"> in government schools (</w:t>
      </w:r>
      <w:r w:rsidR="006F4899">
        <w:rPr>
          <w:shd w:val="clear" w:color="auto" w:fill="FFFFFF" w:themeFill="background1"/>
        </w:rPr>
        <w:t>6.1</w:t>
      </w:r>
      <w:r w:rsidRPr="004856A8">
        <w:rPr>
          <w:shd w:val="clear" w:color="auto" w:fill="FFFFFF" w:themeFill="background1"/>
        </w:rPr>
        <w:t xml:space="preserve"> per cent) </w:t>
      </w:r>
      <w:r w:rsidR="001B6514" w:rsidRPr="004856A8">
        <w:rPr>
          <w:shd w:val="clear" w:color="auto" w:fill="FFFFFF" w:themeFill="background1"/>
        </w:rPr>
        <w:t>than in</w:t>
      </w:r>
      <w:r w:rsidRPr="004856A8">
        <w:rPr>
          <w:shd w:val="clear" w:color="auto" w:fill="FFFFFF" w:themeFill="background1"/>
        </w:rPr>
        <w:t xml:space="preserve"> non</w:t>
      </w:r>
      <w:r w:rsidR="006F4899">
        <w:rPr>
          <w:shd w:val="clear" w:color="auto" w:fill="FFFFFF" w:themeFill="background1"/>
        </w:rPr>
        <w:t>-</w:t>
      </w:r>
      <w:r w:rsidRPr="004856A8">
        <w:rPr>
          <w:shd w:val="clear" w:color="auto" w:fill="FFFFFF" w:themeFill="background1"/>
        </w:rPr>
        <w:t>government schools (</w:t>
      </w:r>
      <w:r w:rsidR="006F4899">
        <w:rPr>
          <w:shd w:val="clear" w:color="auto" w:fill="FFFFFF" w:themeFill="background1"/>
        </w:rPr>
        <w:t>3.9</w:t>
      </w:r>
      <w:r w:rsidRPr="004856A8">
        <w:rPr>
          <w:shd w:val="clear" w:color="auto" w:fill="FFFFFF" w:themeFill="background1"/>
        </w:rPr>
        <w:t xml:space="preserve"> per cent) (figure 4.</w:t>
      </w:r>
      <w:r w:rsidR="00DE6407">
        <w:rPr>
          <w:shd w:val="clear" w:color="auto" w:fill="FFFFFF" w:themeFill="background1"/>
        </w:rPr>
        <w:t>2</w:t>
      </w:r>
      <w:r w:rsidRPr="004856A8">
        <w:rPr>
          <w:shd w:val="clear" w:color="auto" w:fill="FFFFFF" w:themeFill="background1"/>
        </w:rPr>
        <w:t xml:space="preserve">). </w:t>
      </w:r>
    </w:p>
    <w:p w:rsidR="0094305D" w:rsidRDefault="0094305D" w:rsidP="001E65D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4305D" w:rsidTr="001E65D8">
        <w:tc>
          <w:tcPr>
            <w:tcW w:w="8771" w:type="dxa"/>
            <w:tcBorders>
              <w:top w:val="single" w:sz="6" w:space="0" w:color="78A22F"/>
              <w:left w:val="nil"/>
              <w:bottom w:val="nil"/>
              <w:right w:val="nil"/>
            </w:tcBorders>
            <w:shd w:val="clear" w:color="auto" w:fill="auto"/>
          </w:tcPr>
          <w:p w:rsidR="0094305D" w:rsidRPr="00176D3F" w:rsidRDefault="0094305D" w:rsidP="002C4C48">
            <w:pPr>
              <w:pStyle w:val="FigureTitle"/>
            </w:pPr>
            <w:r w:rsidRPr="00784A05">
              <w:rPr>
                <w:b w:val="0"/>
              </w:rPr>
              <w:t xml:space="preserve">Figure </w:t>
            </w:r>
            <w:r w:rsidR="00B70781">
              <w:rPr>
                <w:b w:val="0"/>
              </w:rPr>
              <w:t>4.</w:t>
            </w:r>
            <w:r w:rsidR="00FF4FBD">
              <w:rPr>
                <w:b w:val="0"/>
                <w:noProof/>
              </w:rPr>
              <w:t>2</w:t>
            </w:r>
            <w:r>
              <w:tab/>
            </w:r>
            <w:r w:rsidR="00356C97" w:rsidRPr="00356C97">
              <w:t>Funded students with disability as a proportion of all students, 201</w:t>
            </w:r>
            <w:r w:rsidR="00CE5C75">
              <w:t>4</w:t>
            </w:r>
            <w:r w:rsidR="00356C97" w:rsidRPr="00EA799F">
              <w:rPr>
                <w:rStyle w:val="NoteLabel"/>
                <w:b/>
              </w:rPr>
              <w:t>a</w:t>
            </w:r>
            <w:r w:rsidR="007F43FC" w:rsidRPr="004B55B1">
              <w:rPr>
                <w:rStyle w:val="DraftingNote"/>
                <w:rFonts w:ascii="Times New Roman" w:hAnsi="Times New Roman"/>
                <w:b/>
              </w:rPr>
              <w:t xml:space="preserve"> </w:t>
            </w:r>
          </w:p>
        </w:tc>
      </w:tr>
      <w:tr w:rsidR="0094305D" w:rsidTr="001E65D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4305D" w:rsidTr="001E65D8">
              <w:trPr>
                <w:jc w:val="center"/>
              </w:trPr>
              <w:tc>
                <w:tcPr>
                  <w:tcW w:w="5000" w:type="pct"/>
                  <w:tcBorders>
                    <w:top w:val="nil"/>
                    <w:bottom w:val="nil"/>
                  </w:tcBorders>
                </w:tcPr>
                <w:p w:rsidR="0094305D" w:rsidRDefault="00AB3077" w:rsidP="001E65D8">
                  <w:pPr>
                    <w:pStyle w:val="Figure"/>
                    <w:spacing w:before="60" w:after="60"/>
                  </w:pPr>
                  <w:r>
                    <w:rPr>
                      <w:noProof/>
                    </w:rPr>
                    <w:drawing>
                      <wp:inline distT="0" distB="0" distL="0" distR="0">
                        <wp:extent cx="5324475" cy="2609850"/>
                        <wp:effectExtent l="0" t="0" r="9525" b="0"/>
                        <wp:docPr id="3" name="Picture 3" descr="Figure 4.2 Funded students with disability as a proportion of all students,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24475" cy="2609850"/>
                                </a:xfrm>
                                <a:prstGeom prst="rect">
                                  <a:avLst/>
                                </a:prstGeom>
                                <a:noFill/>
                                <a:ln>
                                  <a:noFill/>
                                </a:ln>
                              </pic:spPr>
                            </pic:pic>
                          </a:graphicData>
                        </a:graphic>
                      </wp:inline>
                    </w:drawing>
                  </w:r>
                </w:p>
              </w:tc>
            </w:tr>
          </w:tbl>
          <w:p w:rsidR="0094305D" w:rsidRDefault="0094305D" w:rsidP="001E65D8">
            <w:pPr>
              <w:pStyle w:val="Figure"/>
            </w:pPr>
          </w:p>
        </w:tc>
      </w:tr>
      <w:tr w:rsidR="0094305D" w:rsidRPr="00176D3F" w:rsidTr="001E65D8">
        <w:tc>
          <w:tcPr>
            <w:tcW w:w="8771" w:type="dxa"/>
            <w:tcBorders>
              <w:top w:val="nil"/>
              <w:left w:val="nil"/>
              <w:bottom w:val="nil"/>
              <w:right w:val="nil"/>
            </w:tcBorders>
            <w:shd w:val="clear" w:color="auto" w:fill="auto"/>
          </w:tcPr>
          <w:p w:rsidR="0094305D" w:rsidRPr="00176D3F" w:rsidRDefault="0094305D" w:rsidP="007C767F">
            <w:pPr>
              <w:pStyle w:val="Note"/>
            </w:pPr>
            <w:r>
              <w:rPr>
                <w:rStyle w:val="NoteLabel"/>
              </w:rPr>
              <w:t>a</w:t>
            </w:r>
            <w:r w:rsidR="007C767F" w:rsidRPr="007C767F">
              <w:t xml:space="preserve"> See table 4A.</w:t>
            </w:r>
            <w:r w:rsidR="007C767F">
              <w:t>31</w:t>
            </w:r>
            <w:r w:rsidR="007C767F" w:rsidRPr="007C767F">
              <w:t xml:space="preserve"> for detailed footnotes and caveats.</w:t>
            </w:r>
          </w:p>
        </w:tc>
      </w:tr>
      <w:tr w:rsidR="0094305D" w:rsidRPr="00176D3F" w:rsidTr="001E65D8">
        <w:tc>
          <w:tcPr>
            <w:tcW w:w="8771" w:type="dxa"/>
            <w:tcBorders>
              <w:top w:val="nil"/>
              <w:left w:val="nil"/>
              <w:bottom w:val="nil"/>
              <w:right w:val="nil"/>
            </w:tcBorders>
            <w:shd w:val="clear" w:color="auto" w:fill="auto"/>
          </w:tcPr>
          <w:p w:rsidR="0094305D" w:rsidRPr="00176D3F" w:rsidRDefault="00356C97" w:rsidP="00685D96">
            <w:pPr>
              <w:pStyle w:val="Source"/>
            </w:pPr>
            <w:r>
              <w:rPr>
                <w:i/>
              </w:rPr>
              <w:t>S</w:t>
            </w:r>
            <w:r w:rsidR="0094305D" w:rsidRPr="00784A05">
              <w:rPr>
                <w:i/>
              </w:rPr>
              <w:t>ource</w:t>
            </w:r>
            <w:r w:rsidR="0094305D" w:rsidRPr="00176D3F">
              <w:t xml:space="preserve">: </w:t>
            </w:r>
            <w:r w:rsidRPr="00356C97">
              <w:t>Australian Government Department of Education</w:t>
            </w:r>
            <w:r w:rsidR="007C767F">
              <w:t xml:space="preserve"> and Training</w:t>
            </w:r>
            <w:r w:rsidRPr="00356C97">
              <w:t xml:space="preserve"> (unpublished); ABS (201</w:t>
            </w:r>
            <w:r w:rsidR="00685D96">
              <w:t>5</w:t>
            </w:r>
            <w:r w:rsidRPr="00356C97">
              <w:t xml:space="preserve">) </w:t>
            </w:r>
            <w:r w:rsidRPr="00356C97">
              <w:rPr>
                <w:i/>
              </w:rPr>
              <w:t>Schools Australia 201</w:t>
            </w:r>
            <w:r w:rsidR="00685D96">
              <w:rPr>
                <w:i/>
              </w:rPr>
              <w:t>4</w:t>
            </w:r>
            <w:r w:rsidRPr="00356C97">
              <w:t>, Cat. no. 4221.0; table 4A.31.</w:t>
            </w:r>
          </w:p>
        </w:tc>
      </w:tr>
      <w:tr w:rsidR="0094305D" w:rsidTr="001E65D8">
        <w:tc>
          <w:tcPr>
            <w:tcW w:w="8771" w:type="dxa"/>
            <w:tcBorders>
              <w:top w:val="nil"/>
              <w:left w:val="nil"/>
              <w:bottom w:val="single" w:sz="6" w:space="0" w:color="78A22F"/>
              <w:right w:val="nil"/>
            </w:tcBorders>
            <w:shd w:val="clear" w:color="auto" w:fill="auto"/>
          </w:tcPr>
          <w:p w:rsidR="0094305D" w:rsidRDefault="0094305D" w:rsidP="001E65D8">
            <w:pPr>
              <w:pStyle w:val="Figurespace"/>
            </w:pPr>
          </w:p>
        </w:tc>
      </w:tr>
      <w:tr w:rsidR="0094305D" w:rsidRPr="000863A5" w:rsidTr="001E65D8">
        <w:tc>
          <w:tcPr>
            <w:tcW w:w="8771" w:type="dxa"/>
            <w:tcBorders>
              <w:top w:val="single" w:sz="6" w:space="0" w:color="78A22F"/>
              <w:left w:val="nil"/>
              <w:bottom w:val="nil"/>
              <w:right w:val="nil"/>
            </w:tcBorders>
          </w:tcPr>
          <w:p w:rsidR="0094305D" w:rsidRPr="00626D32" w:rsidRDefault="0094305D" w:rsidP="001E65D8">
            <w:pPr>
              <w:pStyle w:val="BoxSpaceBelow"/>
            </w:pPr>
          </w:p>
        </w:tc>
      </w:tr>
    </w:tbl>
    <w:p w:rsidR="00666ECE" w:rsidRPr="00666ECE" w:rsidRDefault="00666ECE" w:rsidP="00845DD5">
      <w:pPr>
        <w:pStyle w:val="Heading5"/>
      </w:pPr>
      <w:r w:rsidRPr="00666ECE">
        <w:t>Geographically remote students</w:t>
      </w:r>
      <w:r w:rsidR="00643280">
        <w:t xml:space="preserve"> </w:t>
      </w:r>
    </w:p>
    <w:p w:rsidR="00666ECE" w:rsidRPr="00666ECE" w:rsidRDefault="00666ECE" w:rsidP="009A0722">
      <w:pPr>
        <w:pStyle w:val="BodyText"/>
      </w:pPr>
      <w:r w:rsidRPr="00666ECE">
        <w:t xml:space="preserve">Identification of geographically remote students is based on the school location according to the </w:t>
      </w:r>
      <w:r w:rsidR="007C3D5B" w:rsidRPr="007C3D5B">
        <w:t xml:space="preserve">Ministerial Council for Education, Early Childhood Development and Youth Affairs </w:t>
      </w:r>
      <w:r w:rsidR="007C3D5B">
        <w:t>(</w:t>
      </w:r>
      <w:r w:rsidRPr="00666ECE">
        <w:t>MC</w:t>
      </w:r>
      <w:r w:rsidR="00CE3E55">
        <w:t>E</w:t>
      </w:r>
      <w:r w:rsidRPr="00666ECE">
        <w:t>E</w:t>
      </w:r>
      <w:r w:rsidR="003740D3">
        <w:t>CDY</w:t>
      </w:r>
      <w:r w:rsidRPr="00666ECE">
        <w:t>A</w:t>
      </w:r>
      <w:r w:rsidR="007C3D5B">
        <w:t>)</w:t>
      </w:r>
      <w:r w:rsidRPr="00666ECE">
        <w:t xml:space="preserve"> agreed classification (see section 4.</w:t>
      </w:r>
      <w:r w:rsidR="00681DD0">
        <w:t>5</w:t>
      </w:r>
      <w:r w:rsidRPr="00666ECE">
        <w:t xml:space="preserve"> for a definition of the </w:t>
      </w:r>
      <w:r w:rsidR="00B7436D">
        <w:t>MCEE</w:t>
      </w:r>
      <w:r w:rsidR="00CE3E55">
        <w:t>CD</w:t>
      </w:r>
      <w:r w:rsidR="00B7436D">
        <w:t xml:space="preserve">YA </w:t>
      </w:r>
      <w:r w:rsidRPr="00666ECE">
        <w:t xml:space="preserve">geographic classification). The proportion of students </w:t>
      </w:r>
      <w:r w:rsidR="0013774C" w:rsidRPr="00104AF2">
        <w:rPr>
          <w:shd w:val="clear" w:color="auto" w:fill="FFFFFF" w:themeFill="background1"/>
        </w:rPr>
        <w:t>enrolled in</w:t>
      </w:r>
      <w:r w:rsidRPr="00666ECE">
        <w:t xml:space="preserve"> schools in remote </w:t>
      </w:r>
      <w:r w:rsidR="000B4ADA">
        <w:t xml:space="preserve">and very remote </w:t>
      </w:r>
      <w:r w:rsidRPr="00666ECE">
        <w:t>areas varies greatly across jurisdictions (table 4.</w:t>
      </w:r>
      <w:r w:rsidR="002C6D98">
        <w:t>6</w:t>
      </w:r>
      <w:r w:rsidRPr="00666ECE">
        <w:t>).</w:t>
      </w:r>
    </w:p>
    <w:p w:rsidR="000F1E10" w:rsidRDefault="000F1E10" w:rsidP="00E41D90">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0F1E10" w:rsidTr="00AE54E6">
        <w:tc>
          <w:tcPr>
            <w:tcW w:w="8767" w:type="dxa"/>
            <w:tcBorders>
              <w:top w:val="single" w:sz="6" w:space="0" w:color="78A22F"/>
              <w:left w:val="nil"/>
              <w:bottom w:val="nil"/>
              <w:right w:val="nil"/>
            </w:tcBorders>
            <w:shd w:val="clear" w:color="auto" w:fill="auto"/>
          </w:tcPr>
          <w:p w:rsidR="000F1E10" w:rsidRPr="00784A05" w:rsidRDefault="000F1E10" w:rsidP="002C4C48">
            <w:pPr>
              <w:pStyle w:val="TableTitle"/>
            </w:pPr>
            <w:r>
              <w:rPr>
                <w:b w:val="0"/>
              </w:rPr>
              <w:t xml:space="preserve">Table </w:t>
            </w:r>
            <w:r w:rsidR="00B70781">
              <w:rPr>
                <w:b w:val="0"/>
              </w:rPr>
              <w:t>4.</w:t>
            </w:r>
            <w:r w:rsidR="00FF4FBD">
              <w:rPr>
                <w:b w:val="0"/>
                <w:noProof/>
              </w:rPr>
              <w:t>6</w:t>
            </w:r>
            <w:r>
              <w:tab/>
            </w:r>
            <w:r w:rsidRPr="000F1E10">
              <w:t>Students enrolled in schools in remote and very remote areas as a proportion of all students, 201</w:t>
            </w:r>
            <w:r w:rsidR="00CE5C75">
              <w:t>4</w:t>
            </w:r>
            <w:r w:rsidRPr="000F1E10">
              <w:t xml:space="preserve"> (per cent)</w:t>
            </w:r>
            <w:r w:rsidR="007C767F" w:rsidRPr="00302B1B">
              <w:rPr>
                <w:rStyle w:val="NoteLabel"/>
                <w:b/>
              </w:rPr>
              <w:t>a</w:t>
            </w:r>
          </w:p>
        </w:tc>
      </w:tr>
      <w:tr w:rsidR="000F1E10" w:rsidTr="00AE54E6">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2246"/>
              <w:gridCol w:w="709"/>
              <w:gridCol w:w="567"/>
              <w:gridCol w:w="709"/>
              <w:gridCol w:w="708"/>
              <w:gridCol w:w="709"/>
              <w:gridCol w:w="709"/>
              <w:gridCol w:w="709"/>
              <w:gridCol w:w="708"/>
              <w:gridCol w:w="709"/>
            </w:tblGrid>
            <w:tr w:rsidR="00AE54E6" w:rsidRPr="00666ECE" w:rsidTr="00AE54E6">
              <w:tc>
                <w:tcPr>
                  <w:tcW w:w="2246" w:type="dxa"/>
                  <w:tcBorders>
                    <w:top w:val="single" w:sz="6" w:space="0" w:color="BFBFBF" w:themeColor="background2"/>
                    <w:bottom w:val="single" w:sz="6" w:space="0" w:color="BFBFBF" w:themeColor="background2"/>
                  </w:tcBorders>
                  <w:shd w:val="clear" w:color="auto" w:fill="auto"/>
                </w:tcPr>
                <w:p w:rsidR="000F1E10" w:rsidRPr="00666ECE" w:rsidRDefault="000F1E10" w:rsidP="00E41D90">
                  <w:pPr>
                    <w:keepNext/>
                    <w:keepLines/>
                    <w:spacing w:before="80" w:after="80" w:line="220" w:lineRule="atLeast"/>
                    <w:ind w:left="6" w:right="113"/>
                    <w:rPr>
                      <w:rFonts w:ascii="Arial" w:hAnsi="Arial"/>
                      <w:i/>
                      <w:sz w:val="20"/>
                      <w:szCs w:val="20"/>
                    </w:rPr>
                  </w:pPr>
                </w:p>
              </w:tc>
              <w:tc>
                <w:tcPr>
                  <w:tcW w:w="709" w:type="dxa"/>
                  <w:tcBorders>
                    <w:top w:val="single" w:sz="6" w:space="0" w:color="BFBFBF" w:themeColor="background2"/>
                    <w:bottom w:val="single" w:sz="6" w:space="0" w:color="BFBFBF" w:themeColor="background2"/>
                  </w:tcBorders>
                  <w:shd w:val="clear" w:color="auto" w:fill="auto"/>
                </w:tcPr>
                <w:p w:rsidR="000F1E10" w:rsidRPr="00666ECE" w:rsidRDefault="000F1E10" w:rsidP="00AE54E6">
                  <w:pPr>
                    <w:pStyle w:val="TableColumnHeading"/>
                    <w:ind w:left="0" w:right="28"/>
                  </w:pPr>
                  <w:r w:rsidRPr="00666ECE">
                    <w:t>NSW</w:t>
                  </w:r>
                </w:p>
              </w:tc>
              <w:tc>
                <w:tcPr>
                  <w:tcW w:w="567" w:type="dxa"/>
                  <w:tcBorders>
                    <w:top w:val="single" w:sz="6" w:space="0" w:color="BFBFBF" w:themeColor="background2"/>
                    <w:bottom w:val="single" w:sz="6" w:space="0" w:color="BFBFBF" w:themeColor="background2"/>
                  </w:tcBorders>
                  <w:shd w:val="clear" w:color="auto" w:fill="auto"/>
                </w:tcPr>
                <w:p w:rsidR="000F1E10" w:rsidRPr="00666ECE" w:rsidRDefault="000F1E10" w:rsidP="00AE54E6">
                  <w:pPr>
                    <w:pStyle w:val="TableColumnHeading"/>
                    <w:ind w:left="0" w:right="28"/>
                  </w:pPr>
                  <w:r w:rsidRPr="00666ECE">
                    <w:t>Vic</w:t>
                  </w:r>
                </w:p>
              </w:tc>
              <w:tc>
                <w:tcPr>
                  <w:tcW w:w="709" w:type="dxa"/>
                  <w:tcBorders>
                    <w:top w:val="single" w:sz="6" w:space="0" w:color="BFBFBF" w:themeColor="background2"/>
                    <w:bottom w:val="single" w:sz="6" w:space="0" w:color="BFBFBF" w:themeColor="background2"/>
                  </w:tcBorders>
                  <w:shd w:val="clear" w:color="auto" w:fill="auto"/>
                </w:tcPr>
                <w:p w:rsidR="000F1E10" w:rsidRPr="00666ECE" w:rsidRDefault="000F1E10" w:rsidP="00AE54E6">
                  <w:pPr>
                    <w:pStyle w:val="TableColumnHeading"/>
                    <w:ind w:left="0" w:right="28"/>
                  </w:pPr>
                  <w:r w:rsidRPr="00666ECE">
                    <w:t>Qld</w:t>
                  </w:r>
                </w:p>
              </w:tc>
              <w:tc>
                <w:tcPr>
                  <w:tcW w:w="708" w:type="dxa"/>
                  <w:tcBorders>
                    <w:top w:val="single" w:sz="6" w:space="0" w:color="BFBFBF" w:themeColor="background2"/>
                    <w:bottom w:val="single" w:sz="6" w:space="0" w:color="BFBFBF" w:themeColor="background2"/>
                  </w:tcBorders>
                  <w:shd w:val="clear" w:color="auto" w:fill="auto"/>
                </w:tcPr>
                <w:p w:rsidR="000F1E10" w:rsidRPr="00666ECE" w:rsidRDefault="000F1E10" w:rsidP="00AE54E6">
                  <w:pPr>
                    <w:pStyle w:val="TableColumnHeading"/>
                    <w:ind w:left="0" w:right="28"/>
                  </w:pPr>
                  <w:r w:rsidRPr="00666ECE">
                    <w:t>WA</w:t>
                  </w:r>
                </w:p>
              </w:tc>
              <w:tc>
                <w:tcPr>
                  <w:tcW w:w="709" w:type="dxa"/>
                  <w:tcBorders>
                    <w:top w:val="single" w:sz="6" w:space="0" w:color="BFBFBF" w:themeColor="background2"/>
                    <w:bottom w:val="single" w:sz="6" w:space="0" w:color="BFBFBF" w:themeColor="background2"/>
                  </w:tcBorders>
                  <w:shd w:val="clear" w:color="auto" w:fill="auto"/>
                </w:tcPr>
                <w:p w:rsidR="000F1E10" w:rsidRPr="00666ECE" w:rsidRDefault="000F1E10" w:rsidP="00AE54E6">
                  <w:pPr>
                    <w:pStyle w:val="TableColumnHeading"/>
                    <w:ind w:left="0" w:right="28"/>
                  </w:pPr>
                  <w:r w:rsidRPr="00666ECE">
                    <w:t>SA</w:t>
                  </w:r>
                </w:p>
              </w:tc>
              <w:tc>
                <w:tcPr>
                  <w:tcW w:w="709" w:type="dxa"/>
                  <w:tcBorders>
                    <w:top w:val="single" w:sz="6" w:space="0" w:color="BFBFBF" w:themeColor="background2"/>
                    <w:bottom w:val="single" w:sz="6" w:space="0" w:color="BFBFBF" w:themeColor="background2"/>
                  </w:tcBorders>
                  <w:shd w:val="clear" w:color="auto" w:fill="auto"/>
                </w:tcPr>
                <w:p w:rsidR="000F1E10" w:rsidRPr="00666ECE" w:rsidRDefault="000F1E10" w:rsidP="00AE54E6">
                  <w:pPr>
                    <w:pStyle w:val="TableColumnHeading"/>
                    <w:ind w:left="0" w:right="28"/>
                  </w:pPr>
                  <w:r w:rsidRPr="00666ECE">
                    <w:t>Tas</w:t>
                  </w:r>
                </w:p>
              </w:tc>
              <w:tc>
                <w:tcPr>
                  <w:tcW w:w="709" w:type="dxa"/>
                  <w:tcBorders>
                    <w:top w:val="single" w:sz="6" w:space="0" w:color="BFBFBF" w:themeColor="background2"/>
                    <w:bottom w:val="single" w:sz="6" w:space="0" w:color="BFBFBF" w:themeColor="background2"/>
                  </w:tcBorders>
                  <w:shd w:val="clear" w:color="auto" w:fill="auto"/>
                </w:tcPr>
                <w:p w:rsidR="000F1E10" w:rsidRPr="00666ECE" w:rsidRDefault="000F1E10" w:rsidP="00AE54E6">
                  <w:pPr>
                    <w:pStyle w:val="TableColumnHeading"/>
                    <w:ind w:left="0" w:right="28"/>
                  </w:pPr>
                  <w:r w:rsidRPr="00666ECE">
                    <w:t>ACT</w:t>
                  </w:r>
                </w:p>
              </w:tc>
              <w:tc>
                <w:tcPr>
                  <w:tcW w:w="708" w:type="dxa"/>
                  <w:tcBorders>
                    <w:top w:val="single" w:sz="6" w:space="0" w:color="BFBFBF" w:themeColor="background2"/>
                    <w:bottom w:val="single" w:sz="6" w:space="0" w:color="BFBFBF" w:themeColor="background2"/>
                  </w:tcBorders>
                  <w:shd w:val="clear" w:color="auto" w:fill="auto"/>
                </w:tcPr>
                <w:p w:rsidR="000F1E10" w:rsidRPr="00666ECE" w:rsidRDefault="000F1E10" w:rsidP="00AE54E6">
                  <w:pPr>
                    <w:pStyle w:val="TableColumnHeading"/>
                    <w:ind w:left="0" w:right="28"/>
                  </w:pPr>
                  <w:r w:rsidRPr="00666ECE">
                    <w:t>NT</w:t>
                  </w:r>
                </w:p>
              </w:tc>
              <w:tc>
                <w:tcPr>
                  <w:tcW w:w="709" w:type="dxa"/>
                  <w:tcBorders>
                    <w:top w:val="single" w:sz="6" w:space="0" w:color="BFBFBF" w:themeColor="background2"/>
                    <w:bottom w:val="single" w:sz="6" w:space="0" w:color="BFBFBF" w:themeColor="background2"/>
                  </w:tcBorders>
                  <w:shd w:val="clear" w:color="auto" w:fill="auto"/>
                </w:tcPr>
                <w:p w:rsidR="000F1E10" w:rsidRPr="00666ECE" w:rsidRDefault="000F1E10" w:rsidP="00AE54E6">
                  <w:pPr>
                    <w:pStyle w:val="TableColumnHeading"/>
                    <w:ind w:left="0" w:right="28"/>
                  </w:pPr>
                  <w:r w:rsidRPr="00666ECE">
                    <w:t>Aust</w:t>
                  </w:r>
                </w:p>
              </w:tc>
            </w:tr>
            <w:tr w:rsidR="00AE54E6" w:rsidRPr="00666ECE" w:rsidTr="00AE54E6">
              <w:tc>
                <w:tcPr>
                  <w:tcW w:w="2246" w:type="dxa"/>
                  <w:tcBorders>
                    <w:top w:val="single" w:sz="6" w:space="0" w:color="BFBFBF" w:themeColor="background2"/>
                  </w:tcBorders>
                </w:tcPr>
                <w:p w:rsidR="000F1E10" w:rsidRPr="0055682A" w:rsidRDefault="000F1E10" w:rsidP="00317521">
                  <w:pPr>
                    <w:pStyle w:val="TableUnitsRow"/>
                    <w:spacing w:before="60"/>
                    <w:jc w:val="left"/>
                    <w:rPr>
                      <w:b/>
                    </w:rPr>
                  </w:pPr>
                  <w:r w:rsidRPr="0055682A">
                    <w:rPr>
                      <w:b/>
                    </w:rPr>
                    <w:t>Remote areas</w:t>
                  </w:r>
                </w:p>
              </w:tc>
              <w:tc>
                <w:tcPr>
                  <w:tcW w:w="709" w:type="dxa"/>
                  <w:tcBorders>
                    <w:top w:val="single" w:sz="6" w:space="0" w:color="BFBFBF" w:themeColor="background2"/>
                  </w:tcBorders>
                </w:tcPr>
                <w:p w:rsidR="000F1E10" w:rsidRPr="00666ECE" w:rsidRDefault="000F1E10" w:rsidP="00E41D90">
                  <w:pPr>
                    <w:pStyle w:val="TableBodyText"/>
                    <w:rPr>
                      <w:highlight w:val="red"/>
                    </w:rPr>
                  </w:pPr>
                </w:p>
              </w:tc>
              <w:tc>
                <w:tcPr>
                  <w:tcW w:w="567" w:type="dxa"/>
                  <w:tcBorders>
                    <w:top w:val="single" w:sz="6" w:space="0" w:color="BFBFBF" w:themeColor="background2"/>
                  </w:tcBorders>
                </w:tcPr>
                <w:p w:rsidR="000F1E10" w:rsidRPr="00666ECE" w:rsidRDefault="000F1E10" w:rsidP="00E41D90">
                  <w:pPr>
                    <w:pStyle w:val="TableBodyText"/>
                    <w:rPr>
                      <w:highlight w:val="red"/>
                    </w:rPr>
                  </w:pPr>
                </w:p>
              </w:tc>
              <w:tc>
                <w:tcPr>
                  <w:tcW w:w="709" w:type="dxa"/>
                  <w:tcBorders>
                    <w:top w:val="single" w:sz="6" w:space="0" w:color="BFBFBF" w:themeColor="background2"/>
                  </w:tcBorders>
                </w:tcPr>
                <w:p w:rsidR="000F1E10" w:rsidRPr="00666ECE" w:rsidRDefault="000F1E10" w:rsidP="00E41D90">
                  <w:pPr>
                    <w:pStyle w:val="TableBodyText"/>
                    <w:rPr>
                      <w:highlight w:val="red"/>
                    </w:rPr>
                  </w:pPr>
                </w:p>
              </w:tc>
              <w:tc>
                <w:tcPr>
                  <w:tcW w:w="708" w:type="dxa"/>
                  <w:tcBorders>
                    <w:top w:val="single" w:sz="6" w:space="0" w:color="BFBFBF" w:themeColor="background2"/>
                  </w:tcBorders>
                </w:tcPr>
                <w:p w:rsidR="000F1E10" w:rsidRPr="00666ECE" w:rsidRDefault="000F1E10" w:rsidP="00E41D90">
                  <w:pPr>
                    <w:pStyle w:val="TableBodyText"/>
                    <w:rPr>
                      <w:highlight w:val="red"/>
                    </w:rPr>
                  </w:pPr>
                </w:p>
              </w:tc>
              <w:tc>
                <w:tcPr>
                  <w:tcW w:w="709" w:type="dxa"/>
                  <w:tcBorders>
                    <w:top w:val="single" w:sz="6" w:space="0" w:color="BFBFBF" w:themeColor="background2"/>
                  </w:tcBorders>
                </w:tcPr>
                <w:p w:rsidR="000F1E10" w:rsidRPr="00666ECE" w:rsidRDefault="000F1E10" w:rsidP="00E41D90">
                  <w:pPr>
                    <w:pStyle w:val="TableBodyText"/>
                    <w:rPr>
                      <w:highlight w:val="red"/>
                    </w:rPr>
                  </w:pPr>
                </w:p>
              </w:tc>
              <w:tc>
                <w:tcPr>
                  <w:tcW w:w="709" w:type="dxa"/>
                  <w:tcBorders>
                    <w:top w:val="single" w:sz="6" w:space="0" w:color="BFBFBF" w:themeColor="background2"/>
                  </w:tcBorders>
                </w:tcPr>
                <w:p w:rsidR="000F1E10" w:rsidRPr="00666ECE" w:rsidRDefault="000F1E10" w:rsidP="00E41D90">
                  <w:pPr>
                    <w:pStyle w:val="TableBodyText"/>
                    <w:rPr>
                      <w:highlight w:val="red"/>
                    </w:rPr>
                  </w:pPr>
                </w:p>
              </w:tc>
              <w:tc>
                <w:tcPr>
                  <w:tcW w:w="709" w:type="dxa"/>
                  <w:tcBorders>
                    <w:top w:val="single" w:sz="6" w:space="0" w:color="BFBFBF" w:themeColor="background2"/>
                  </w:tcBorders>
                </w:tcPr>
                <w:p w:rsidR="000F1E10" w:rsidRPr="00666ECE" w:rsidRDefault="000F1E10" w:rsidP="00E41D90">
                  <w:pPr>
                    <w:pStyle w:val="TableBodyText"/>
                    <w:rPr>
                      <w:highlight w:val="red"/>
                    </w:rPr>
                  </w:pPr>
                </w:p>
              </w:tc>
              <w:tc>
                <w:tcPr>
                  <w:tcW w:w="708" w:type="dxa"/>
                  <w:tcBorders>
                    <w:top w:val="single" w:sz="6" w:space="0" w:color="BFBFBF" w:themeColor="background2"/>
                  </w:tcBorders>
                </w:tcPr>
                <w:p w:rsidR="000F1E10" w:rsidRPr="00666ECE" w:rsidRDefault="000F1E10" w:rsidP="00E41D90">
                  <w:pPr>
                    <w:pStyle w:val="TableBodyText"/>
                    <w:rPr>
                      <w:highlight w:val="red"/>
                    </w:rPr>
                  </w:pPr>
                </w:p>
              </w:tc>
              <w:tc>
                <w:tcPr>
                  <w:tcW w:w="709" w:type="dxa"/>
                  <w:tcBorders>
                    <w:top w:val="single" w:sz="6" w:space="0" w:color="BFBFBF" w:themeColor="background2"/>
                  </w:tcBorders>
                </w:tcPr>
                <w:p w:rsidR="000F1E10" w:rsidRPr="00666ECE" w:rsidRDefault="000F1E10" w:rsidP="00E41D90">
                  <w:pPr>
                    <w:pStyle w:val="TableBodyText"/>
                    <w:rPr>
                      <w:highlight w:val="red"/>
                    </w:rPr>
                  </w:pPr>
                </w:p>
              </w:tc>
            </w:tr>
            <w:tr w:rsidR="002C4C48" w:rsidRPr="006040C5" w:rsidTr="00AE54E6">
              <w:tc>
                <w:tcPr>
                  <w:tcW w:w="2246" w:type="dxa"/>
                </w:tcPr>
                <w:p w:rsidR="002C4C48" w:rsidRPr="0055682A" w:rsidRDefault="002C4C48" w:rsidP="00317521">
                  <w:pPr>
                    <w:pStyle w:val="TableUnitsRow"/>
                    <w:spacing w:before="0"/>
                    <w:jc w:val="left"/>
                  </w:pPr>
                  <w:r w:rsidRPr="0055682A">
                    <w:t>Government schools</w:t>
                  </w:r>
                </w:p>
              </w:tc>
              <w:tc>
                <w:tcPr>
                  <w:tcW w:w="709" w:type="dxa"/>
                  <w:vAlign w:val="center"/>
                </w:tcPr>
                <w:p w:rsidR="002C4C48" w:rsidRDefault="002C4C48" w:rsidP="002C4C48">
                  <w:pPr>
                    <w:pStyle w:val="TableBodyText"/>
                  </w:pPr>
                  <w:r>
                    <w:t xml:space="preserve">  0.5</w:t>
                  </w:r>
                </w:p>
              </w:tc>
              <w:tc>
                <w:tcPr>
                  <w:tcW w:w="567" w:type="dxa"/>
                  <w:vAlign w:val="center"/>
                </w:tcPr>
                <w:p w:rsidR="002C4C48" w:rsidRDefault="002C4C48" w:rsidP="002C4C48">
                  <w:pPr>
                    <w:pStyle w:val="TableBodyText"/>
                  </w:pPr>
                  <w:r>
                    <w:t xml:space="preserve">  0.1</w:t>
                  </w:r>
                </w:p>
              </w:tc>
              <w:tc>
                <w:tcPr>
                  <w:tcW w:w="709" w:type="dxa"/>
                  <w:vAlign w:val="center"/>
                </w:tcPr>
                <w:p w:rsidR="002C4C48" w:rsidRDefault="002C4C48" w:rsidP="002C4C48">
                  <w:pPr>
                    <w:pStyle w:val="TableBodyText"/>
                  </w:pPr>
                  <w:r>
                    <w:t xml:space="preserve">  1.8</w:t>
                  </w:r>
                </w:p>
              </w:tc>
              <w:tc>
                <w:tcPr>
                  <w:tcW w:w="708" w:type="dxa"/>
                  <w:vAlign w:val="center"/>
                </w:tcPr>
                <w:p w:rsidR="002C4C48" w:rsidRDefault="002C4C48" w:rsidP="002C4C48">
                  <w:pPr>
                    <w:pStyle w:val="TableBodyText"/>
                  </w:pPr>
                  <w:r>
                    <w:t xml:space="preserve">  5.4</w:t>
                  </w:r>
                </w:p>
              </w:tc>
              <w:tc>
                <w:tcPr>
                  <w:tcW w:w="709" w:type="dxa"/>
                  <w:vAlign w:val="center"/>
                </w:tcPr>
                <w:p w:rsidR="002C4C48" w:rsidRDefault="002C4C48" w:rsidP="002C4C48">
                  <w:pPr>
                    <w:pStyle w:val="TableBodyText"/>
                  </w:pPr>
                  <w:r>
                    <w:t xml:space="preserve">  3.4</w:t>
                  </w:r>
                </w:p>
              </w:tc>
              <w:tc>
                <w:tcPr>
                  <w:tcW w:w="709" w:type="dxa"/>
                  <w:vAlign w:val="center"/>
                </w:tcPr>
                <w:p w:rsidR="002C4C48" w:rsidRDefault="002C4C48" w:rsidP="002C4C48">
                  <w:pPr>
                    <w:pStyle w:val="TableBodyText"/>
                  </w:pPr>
                  <w:r>
                    <w:t xml:space="preserve">  0.8</w:t>
                  </w:r>
                </w:p>
              </w:tc>
              <w:tc>
                <w:tcPr>
                  <w:tcW w:w="709" w:type="dxa"/>
                  <w:vAlign w:val="center"/>
                </w:tcPr>
                <w:p w:rsidR="002C4C48" w:rsidRDefault="002C4C48" w:rsidP="002C4C48">
                  <w:pPr>
                    <w:pStyle w:val="TableBodyText"/>
                  </w:pPr>
                  <w:r>
                    <w:t>..</w:t>
                  </w:r>
                </w:p>
              </w:tc>
              <w:tc>
                <w:tcPr>
                  <w:tcW w:w="708" w:type="dxa"/>
                  <w:vAlign w:val="center"/>
                </w:tcPr>
                <w:p w:rsidR="002C4C48" w:rsidRDefault="002C4C48" w:rsidP="002C4C48">
                  <w:pPr>
                    <w:pStyle w:val="TableBodyText"/>
                  </w:pPr>
                  <w:r>
                    <w:t xml:space="preserve">  16.2</w:t>
                  </w:r>
                </w:p>
              </w:tc>
              <w:tc>
                <w:tcPr>
                  <w:tcW w:w="709" w:type="dxa"/>
                  <w:vAlign w:val="center"/>
                </w:tcPr>
                <w:p w:rsidR="002C4C48" w:rsidRDefault="002C4C48" w:rsidP="002C4C48">
                  <w:pPr>
                    <w:pStyle w:val="TableBodyText"/>
                  </w:pPr>
                  <w:r>
                    <w:t xml:space="preserve">  1.6</w:t>
                  </w:r>
                </w:p>
              </w:tc>
            </w:tr>
            <w:tr w:rsidR="002C4C48" w:rsidRPr="006040C5" w:rsidTr="00933726">
              <w:tc>
                <w:tcPr>
                  <w:tcW w:w="2246" w:type="dxa"/>
                </w:tcPr>
                <w:p w:rsidR="002C4C48" w:rsidRPr="0055682A" w:rsidRDefault="002C4C48" w:rsidP="00317521">
                  <w:pPr>
                    <w:pStyle w:val="TableUnitsRow"/>
                    <w:spacing w:before="0"/>
                    <w:jc w:val="left"/>
                  </w:pPr>
                  <w:r w:rsidRPr="0055682A">
                    <w:t>Non-government schools</w:t>
                  </w:r>
                </w:p>
              </w:tc>
              <w:tc>
                <w:tcPr>
                  <w:tcW w:w="709" w:type="dxa"/>
                  <w:vAlign w:val="center"/>
                </w:tcPr>
                <w:p w:rsidR="002C4C48" w:rsidRDefault="002C4C48" w:rsidP="002C4C48">
                  <w:pPr>
                    <w:pStyle w:val="TableBodyText"/>
                  </w:pPr>
                  <w:r>
                    <w:t xml:space="preserve">  0.2</w:t>
                  </w:r>
                </w:p>
              </w:tc>
              <w:tc>
                <w:tcPr>
                  <w:tcW w:w="567" w:type="dxa"/>
                  <w:vAlign w:val="center"/>
                </w:tcPr>
                <w:p w:rsidR="002C4C48" w:rsidRDefault="002C4C48" w:rsidP="002C4C48">
                  <w:pPr>
                    <w:pStyle w:val="TableBodyText"/>
                  </w:pPr>
                  <w:r>
                    <w:t>–</w:t>
                  </w:r>
                </w:p>
              </w:tc>
              <w:tc>
                <w:tcPr>
                  <w:tcW w:w="709" w:type="dxa"/>
                  <w:vAlign w:val="center"/>
                </w:tcPr>
                <w:p w:rsidR="002C4C48" w:rsidRDefault="002C4C48" w:rsidP="002C4C48">
                  <w:pPr>
                    <w:pStyle w:val="TableBodyText"/>
                  </w:pPr>
                  <w:r>
                    <w:t xml:space="preserve">  0.8</w:t>
                  </w:r>
                </w:p>
              </w:tc>
              <w:tc>
                <w:tcPr>
                  <w:tcW w:w="708" w:type="dxa"/>
                  <w:vAlign w:val="center"/>
                </w:tcPr>
                <w:p w:rsidR="002C4C48" w:rsidRDefault="002C4C48" w:rsidP="002C4C48">
                  <w:pPr>
                    <w:pStyle w:val="TableBodyText"/>
                  </w:pPr>
                  <w:r>
                    <w:t xml:space="preserve">  1.9</w:t>
                  </w:r>
                </w:p>
              </w:tc>
              <w:tc>
                <w:tcPr>
                  <w:tcW w:w="709" w:type="dxa"/>
                  <w:vAlign w:val="center"/>
                </w:tcPr>
                <w:p w:rsidR="002C4C48" w:rsidRDefault="002C4C48" w:rsidP="002C4C48">
                  <w:pPr>
                    <w:pStyle w:val="TableBodyText"/>
                  </w:pPr>
                  <w:r>
                    <w:t xml:space="preserve">  1.5</w:t>
                  </w:r>
                </w:p>
              </w:tc>
              <w:tc>
                <w:tcPr>
                  <w:tcW w:w="709" w:type="dxa"/>
                  <w:vAlign w:val="center"/>
                </w:tcPr>
                <w:p w:rsidR="002C4C48" w:rsidRDefault="002C4C48" w:rsidP="002C4C48">
                  <w:pPr>
                    <w:pStyle w:val="TableBodyText"/>
                  </w:pPr>
                  <w:r>
                    <w:t xml:space="preserve">  0.4</w:t>
                  </w:r>
                </w:p>
              </w:tc>
              <w:tc>
                <w:tcPr>
                  <w:tcW w:w="709" w:type="dxa"/>
                  <w:vAlign w:val="center"/>
                </w:tcPr>
                <w:p w:rsidR="002C4C48" w:rsidRDefault="002C4C48" w:rsidP="002C4C48">
                  <w:pPr>
                    <w:pStyle w:val="TableBodyText"/>
                  </w:pPr>
                  <w:r>
                    <w:t>..</w:t>
                  </w:r>
                </w:p>
              </w:tc>
              <w:tc>
                <w:tcPr>
                  <w:tcW w:w="708" w:type="dxa"/>
                  <w:vAlign w:val="center"/>
                </w:tcPr>
                <w:p w:rsidR="002C4C48" w:rsidRDefault="002C4C48" w:rsidP="002C4C48">
                  <w:pPr>
                    <w:pStyle w:val="TableBodyText"/>
                  </w:pPr>
                  <w:r>
                    <w:t xml:space="preserve">  27.8</w:t>
                  </w:r>
                </w:p>
              </w:tc>
              <w:tc>
                <w:tcPr>
                  <w:tcW w:w="709" w:type="dxa"/>
                  <w:vAlign w:val="center"/>
                </w:tcPr>
                <w:p w:rsidR="002C4C48" w:rsidRDefault="002C4C48" w:rsidP="002C4C48">
                  <w:pPr>
                    <w:pStyle w:val="TableBodyText"/>
                  </w:pPr>
                  <w:r>
                    <w:t xml:space="preserve">  0.8</w:t>
                  </w:r>
                </w:p>
              </w:tc>
            </w:tr>
            <w:tr w:rsidR="002C4C48" w:rsidRPr="006040C5" w:rsidTr="00933726">
              <w:tc>
                <w:tcPr>
                  <w:tcW w:w="2246" w:type="dxa"/>
                </w:tcPr>
                <w:p w:rsidR="002C4C48" w:rsidRPr="00A50B74" w:rsidRDefault="002C4C48" w:rsidP="00C92ED0">
                  <w:pPr>
                    <w:pStyle w:val="TableUnitsRow"/>
                    <w:spacing w:before="0"/>
                    <w:jc w:val="left"/>
                    <w:rPr>
                      <w:b/>
                    </w:rPr>
                  </w:pPr>
                  <w:r w:rsidRPr="00A50B74">
                    <w:rPr>
                      <w:b/>
                    </w:rPr>
                    <w:t>All schools</w:t>
                  </w:r>
                </w:p>
              </w:tc>
              <w:tc>
                <w:tcPr>
                  <w:tcW w:w="709" w:type="dxa"/>
                  <w:vAlign w:val="center"/>
                </w:tcPr>
                <w:p w:rsidR="002C4C48" w:rsidRPr="00C90B4B" w:rsidRDefault="002C4C48" w:rsidP="002C4C48">
                  <w:pPr>
                    <w:pStyle w:val="TableBodyText"/>
                    <w:framePr w:w="2155" w:hSpace="227" w:vSpace="181" w:wrap="around" w:vAnchor="text" w:hAnchor="page" w:xAlign="outside" w:y="1"/>
                    <w:rPr>
                      <w:b/>
                    </w:rPr>
                  </w:pPr>
                  <w:r w:rsidRPr="00C90B4B">
                    <w:rPr>
                      <w:b/>
                    </w:rPr>
                    <w:t xml:space="preserve">  0.4</w:t>
                  </w:r>
                </w:p>
              </w:tc>
              <w:tc>
                <w:tcPr>
                  <w:tcW w:w="567" w:type="dxa"/>
                  <w:vAlign w:val="center"/>
                </w:tcPr>
                <w:p w:rsidR="002C4C48" w:rsidRPr="00C90B4B" w:rsidRDefault="002C4C48" w:rsidP="002C4C48">
                  <w:pPr>
                    <w:pStyle w:val="TableBodyText"/>
                    <w:framePr w:w="2155" w:hSpace="227" w:vSpace="181" w:wrap="around" w:vAnchor="text" w:hAnchor="page" w:xAlign="outside" w:y="1"/>
                    <w:rPr>
                      <w:b/>
                    </w:rPr>
                  </w:pPr>
                  <w:r w:rsidRPr="00C90B4B">
                    <w:rPr>
                      <w:b/>
                    </w:rPr>
                    <w:t xml:space="preserve">  0.1</w:t>
                  </w:r>
                </w:p>
              </w:tc>
              <w:tc>
                <w:tcPr>
                  <w:tcW w:w="709" w:type="dxa"/>
                  <w:vAlign w:val="center"/>
                </w:tcPr>
                <w:p w:rsidR="002C4C48" w:rsidRPr="00C90B4B" w:rsidRDefault="002C4C48" w:rsidP="002C4C48">
                  <w:pPr>
                    <w:pStyle w:val="TableBodyText"/>
                    <w:framePr w:w="2155" w:hSpace="227" w:vSpace="181" w:wrap="around" w:vAnchor="text" w:hAnchor="page" w:xAlign="outside" w:y="1"/>
                    <w:rPr>
                      <w:b/>
                    </w:rPr>
                  </w:pPr>
                  <w:r w:rsidRPr="00C90B4B">
                    <w:rPr>
                      <w:b/>
                    </w:rPr>
                    <w:t xml:space="preserve">  1.5</w:t>
                  </w:r>
                </w:p>
              </w:tc>
              <w:tc>
                <w:tcPr>
                  <w:tcW w:w="708" w:type="dxa"/>
                  <w:vAlign w:val="center"/>
                </w:tcPr>
                <w:p w:rsidR="002C4C48" w:rsidRPr="00C90B4B" w:rsidRDefault="002C4C48" w:rsidP="002C4C48">
                  <w:pPr>
                    <w:pStyle w:val="TableBodyText"/>
                    <w:framePr w:w="2155" w:hSpace="227" w:vSpace="181" w:wrap="around" w:vAnchor="text" w:hAnchor="page" w:xAlign="outside" w:y="1"/>
                    <w:rPr>
                      <w:b/>
                    </w:rPr>
                  </w:pPr>
                  <w:r w:rsidRPr="00C90B4B">
                    <w:rPr>
                      <w:b/>
                    </w:rPr>
                    <w:t xml:space="preserve">  4.2</w:t>
                  </w:r>
                </w:p>
              </w:tc>
              <w:tc>
                <w:tcPr>
                  <w:tcW w:w="709" w:type="dxa"/>
                  <w:vAlign w:val="center"/>
                </w:tcPr>
                <w:p w:rsidR="002C4C48" w:rsidRPr="00C90B4B" w:rsidRDefault="002C4C48" w:rsidP="002C4C48">
                  <w:pPr>
                    <w:pStyle w:val="TableBodyText"/>
                    <w:framePr w:w="2155" w:hSpace="227" w:vSpace="181" w:wrap="around" w:vAnchor="text" w:hAnchor="page" w:xAlign="outside" w:y="1"/>
                    <w:rPr>
                      <w:b/>
                    </w:rPr>
                  </w:pPr>
                  <w:r w:rsidRPr="00C90B4B">
                    <w:rPr>
                      <w:b/>
                    </w:rPr>
                    <w:t xml:space="preserve">  2.7</w:t>
                  </w:r>
                </w:p>
              </w:tc>
              <w:tc>
                <w:tcPr>
                  <w:tcW w:w="709" w:type="dxa"/>
                  <w:vAlign w:val="center"/>
                </w:tcPr>
                <w:p w:rsidR="002C4C48" w:rsidRPr="00C90B4B" w:rsidRDefault="002C4C48" w:rsidP="002C4C48">
                  <w:pPr>
                    <w:pStyle w:val="TableBodyText"/>
                    <w:framePr w:w="2155" w:hSpace="227" w:vSpace="181" w:wrap="around" w:vAnchor="text" w:hAnchor="page" w:xAlign="outside" w:y="1"/>
                    <w:rPr>
                      <w:b/>
                    </w:rPr>
                  </w:pPr>
                  <w:r w:rsidRPr="00C90B4B">
                    <w:rPr>
                      <w:b/>
                    </w:rPr>
                    <w:t xml:space="preserve">  0.7</w:t>
                  </w:r>
                </w:p>
              </w:tc>
              <w:tc>
                <w:tcPr>
                  <w:tcW w:w="709" w:type="dxa"/>
                  <w:vAlign w:val="center"/>
                </w:tcPr>
                <w:p w:rsidR="002C4C48" w:rsidRPr="00C90B4B" w:rsidRDefault="002C4C48" w:rsidP="002C4C48">
                  <w:pPr>
                    <w:pStyle w:val="TableBodyText"/>
                    <w:framePr w:w="2155" w:hSpace="227" w:vSpace="181" w:wrap="around" w:vAnchor="text" w:hAnchor="page" w:xAlign="outside" w:y="1"/>
                    <w:rPr>
                      <w:b/>
                    </w:rPr>
                  </w:pPr>
                  <w:r w:rsidRPr="00C90B4B">
                    <w:rPr>
                      <w:b/>
                    </w:rPr>
                    <w:t>..</w:t>
                  </w:r>
                </w:p>
              </w:tc>
              <w:tc>
                <w:tcPr>
                  <w:tcW w:w="708" w:type="dxa"/>
                  <w:vAlign w:val="center"/>
                </w:tcPr>
                <w:p w:rsidR="002C4C48" w:rsidRPr="00C90B4B" w:rsidRDefault="002C4C48" w:rsidP="002C4C48">
                  <w:pPr>
                    <w:pStyle w:val="TableBodyText"/>
                    <w:framePr w:w="2155" w:hSpace="227" w:vSpace="181" w:wrap="around" w:vAnchor="text" w:hAnchor="page" w:xAlign="outside" w:y="1"/>
                    <w:rPr>
                      <w:b/>
                    </w:rPr>
                  </w:pPr>
                  <w:r w:rsidRPr="00C90B4B">
                    <w:rPr>
                      <w:b/>
                    </w:rPr>
                    <w:t xml:space="preserve">  19.4</w:t>
                  </w:r>
                </w:p>
              </w:tc>
              <w:tc>
                <w:tcPr>
                  <w:tcW w:w="709" w:type="dxa"/>
                  <w:vAlign w:val="center"/>
                </w:tcPr>
                <w:p w:rsidR="002C4C48" w:rsidRPr="00C90B4B" w:rsidRDefault="002C4C48" w:rsidP="002C4C48">
                  <w:pPr>
                    <w:pStyle w:val="TableBodyText"/>
                    <w:framePr w:w="2155" w:hSpace="227" w:vSpace="181" w:wrap="around" w:vAnchor="text" w:hAnchor="page" w:xAlign="outside" w:y="1"/>
                    <w:rPr>
                      <w:b/>
                    </w:rPr>
                  </w:pPr>
                  <w:r w:rsidRPr="00C90B4B">
                    <w:rPr>
                      <w:b/>
                    </w:rPr>
                    <w:t xml:space="preserve">  1.3</w:t>
                  </w:r>
                </w:p>
              </w:tc>
            </w:tr>
            <w:tr w:rsidR="00AE54E6" w:rsidRPr="006040C5" w:rsidTr="00AE54E6">
              <w:tc>
                <w:tcPr>
                  <w:tcW w:w="2246" w:type="dxa"/>
                </w:tcPr>
                <w:p w:rsidR="004856A8" w:rsidRPr="0055682A" w:rsidRDefault="004856A8" w:rsidP="00317521">
                  <w:pPr>
                    <w:pStyle w:val="TableUnitsRow"/>
                    <w:spacing w:before="120"/>
                    <w:jc w:val="left"/>
                    <w:rPr>
                      <w:b/>
                    </w:rPr>
                  </w:pPr>
                  <w:r w:rsidRPr="0055682A">
                    <w:rPr>
                      <w:b/>
                    </w:rPr>
                    <w:t>Very remote areas</w:t>
                  </w:r>
                </w:p>
              </w:tc>
              <w:tc>
                <w:tcPr>
                  <w:tcW w:w="709" w:type="dxa"/>
                </w:tcPr>
                <w:p w:rsidR="004856A8" w:rsidRPr="006040C5" w:rsidRDefault="004856A8" w:rsidP="00317521">
                  <w:pPr>
                    <w:pStyle w:val="TableBodyText"/>
                    <w:spacing w:before="120"/>
                    <w:rPr>
                      <w:highlight w:val="red"/>
                    </w:rPr>
                  </w:pPr>
                </w:p>
              </w:tc>
              <w:tc>
                <w:tcPr>
                  <w:tcW w:w="567" w:type="dxa"/>
                </w:tcPr>
                <w:p w:rsidR="004856A8" w:rsidRPr="006040C5" w:rsidRDefault="004856A8" w:rsidP="00317521">
                  <w:pPr>
                    <w:pStyle w:val="TableBodyText"/>
                    <w:spacing w:before="120"/>
                    <w:rPr>
                      <w:highlight w:val="red"/>
                    </w:rPr>
                  </w:pPr>
                </w:p>
              </w:tc>
              <w:tc>
                <w:tcPr>
                  <w:tcW w:w="709" w:type="dxa"/>
                </w:tcPr>
                <w:p w:rsidR="004856A8" w:rsidRPr="006040C5" w:rsidRDefault="004856A8" w:rsidP="00317521">
                  <w:pPr>
                    <w:pStyle w:val="TableBodyText"/>
                    <w:spacing w:before="120"/>
                    <w:rPr>
                      <w:highlight w:val="red"/>
                    </w:rPr>
                  </w:pPr>
                </w:p>
              </w:tc>
              <w:tc>
                <w:tcPr>
                  <w:tcW w:w="708" w:type="dxa"/>
                </w:tcPr>
                <w:p w:rsidR="004856A8" w:rsidRPr="006040C5" w:rsidRDefault="004856A8" w:rsidP="00317521">
                  <w:pPr>
                    <w:pStyle w:val="TableBodyText"/>
                    <w:spacing w:before="120"/>
                    <w:rPr>
                      <w:highlight w:val="red"/>
                    </w:rPr>
                  </w:pPr>
                </w:p>
              </w:tc>
              <w:tc>
                <w:tcPr>
                  <w:tcW w:w="709" w:type="dxa"/>
                </w:tcPr>
                <w:p w:rsidR="004856A8" w:rsidRPr="006040C5" w:rsidRDefault="004856A8" w:rsidP="00317521">
                  <w:pPr>
                    <w:pStyle w:val="TableBodyText"/>
                    <w:spacing w:before="120"/>
                    <w:rPr>
                      <w:highlight w:val="red"/>
                    </w:rPr>
                  </w:pPr>
                </w:p>
              </w:tc>
              <w:tc>
                <w:tcPr>
                  <w:tcW w:w="709" w:type="dxa"/>
                </w:tcPr>
                <w:p w:rsidR="004856A8" w:rsidRPr="006040C5" w:rsidRDefault="004856A8" w:rsidP="00317521">
                  <w:pPr>
                    <w:pStyle w:val="TableBodyText"/>
                    <w:spacing w:before="120"/>
                    <w:rPr>
                      <w:highlight w:val="red"/>
                    </w:rPr>
                  </w:pPr>
                </w:p>
              </w:tc>
              <w:tc>
                <w:tcPr>
                  <w:tcW w:w="709" w:type="dxa"/>
                </w:tcPr>
                <w:p w:rsidR="004856A8" w:rsidRPr="006040C5" w:rsidRDefault="004856A8" w:rsidP="00317521">
                  <w:pPr>
                    <w:pStyle w:val="TableBodyText"/>
                    <w:spacing w:before="120"/>
                    <w:rPr>
                      <w:highlight w:val="red"/>
                    </w:rPr>
                  </w:pPr>
                </w:p>
              </w:tc>
              <w:tc>
                <w:tcPr>
                  <w:tcW w:w="708" w:type="dxa"/>
                </w:tcPr>
                <w:p w:rsidR="004856A8" w:rsidRPr="006040C5" w:rsidRDefault="004856A8" w:rsidP="00317521">
                  <w:pPr>
                    <w:pStyle w:val="TableBodyText"/>
                    <w:spacing w:before="120"/>
                    <w:rPr>
                      <w:highlight w:val="red"/>
                    </w:rPr>
                  </w:pPr>
                </w:p>
              </w:tc>
              <w:tc>
                <w:tcPr>
                  <w:tcW w:w="709" w:type="dxa"/>
                </w:tcPr>
                <w:p w:rsidR="004856A8" w:rsidRPr="006040C5" w:rsidRDefault="004856A8" w:rsidP="00317521">
                  <w:pPr>
                    <w:pStyle w:val="TableBodyText"/>
                    <w:spacing w:before="120"/>
                    <w:rPr>
                      <w:highlight w:val="red"/>
                    </w:rPr>
                  </w:pPr>
                </w:p>
              </w:tc>
            </w:tr>
            <w:tr w:rsidR="002C4C48" w:rsidRPr="006040C5" w:rsidTr="00933726">
              <w:tc>
                <w:tcPr>
                  <w:tcW w:w="2246" w:type="dxa"/>
                </w:tcPr>
                <w:p w:rsidR="002C4C48" w:rsidRPr="0055682A" w:rsidRDefault="002C4C48" w:rsidP="00317521">
                  <w:pPr>
                    <w:pStyle w:val="TableUnitsRow"/>
                    <w:spacing w:before="0"/>
                    <w:jc w:val="left"/>
                  </w:pPr>
                  <w:r w:rsidRPr="0055682A">
                    <w:t>Government schools</w:t>
                  </w:r>
                </w:p>
              </w:tc>
              <w:tc>
                <w:tcPr>
                  <w:tcW w:w="709" w:type="dxa"/>
                  <w:vAlign w:val="center"/>
                </w:tcPr>
                <w:p w:rsidR="002C4C48" w:rsidRDefault="002C4C48" w:rsidP="002C4C48">
                  <w:pPr>
                    <w:pStyle w:val="TableBodyText"/>
                  </w:pPr>
                  <w:r>
                    <w:t xml:space="preserve">  0.1</w:t>
                  </w:r>
                </w:p>
              </w:tc>
              <w:tc>
                <w:tcPr>
                  <w:tcW w:w="567" w:type="dxa"/>
                  <w:vAlign w:val="center"/>
                </w:tcPr>
                <w:p w:rsidR="002C4C48" w:rsidRDefault="002C4C48" w:rsidP="002C4C48">
                  <w:pPr>
                    <w:pStyle w:val="TableBodyText"/>
                  </w:pPr>
                  <w:r>
                    <w:t>..</w:t>
                  </w:r>
                </w:p>
              </w:tc>
              <w:tc>
                <w:tcPr>
                  <w:tcW w:w="709" w:type="dxa"/>
                  <w:vAlign w:val="center"/>
                </w:tcPr>
                <w:p w:rsidR="002C4C48" w:rsidRDefault="002C4C48" w:rsidP="002C4C48">
                  <w:pPr>
                    <w:pStyle w:val="TableBodyText"/>
                  </w:pPr>
                  <w:r>
                    <w:t xml:space="preserve">  1.5</w:t>
                  </w:r>
                </w:p>
              </w:tc>
              <w:tc>
                <w:tcPr>
                  <w:tcW w:w="708" w:type="dxa"/>
                  <w:vAlign w:val="center"/>
                </w:tcPr>
                <w:p w:rsidR="002C4C48" w:rsidRDefault="002C4C48" w:rsidP="002C4C48">
                  <w:pPr>
                    <w:pStyle w:val="TableBodyText"/>
                  </w:pPr>
                  <w:r>
                    <w:t xml:space="preserve">  2.9</w:t>
                  </w:r>
                </w:p>
              </w:tc>
              <w:tc>
                <w:tcPr>
                  <w:tcW w:w="709" w:type="dxa"/>
                  <w:vAlign w:val="center"/>
                </w:tcPr>
                <w:p w:rsidR="002C4C48" w:rsidRDefault="002C4C48" w:rsidP="002C4C48">
                  <w:pPr>
                    <w:pStyle w:val="TableBodyText"/>
                  </w:pPr>
                  <w:r>
                    <w:t xml:space="preserve">  1.2</w:t>
                  </w:r>
                </w:p>
              </w:tc>
              <w:tc>
                <w:tcPr>
                  <w:tcW w:w="709" w:type="dxa"/>
                  <w:vAlign w:val="center"/>
                </w:tcPr>
                <w:p w:rsidR="002C4C48" w:rsidRDefault="002C4C48" w:rsidP="002C4C48">
                  <w:pPr>
                    <w:pStyle w:val="TableBodyText"/>
                  </w:pPr>
                  <w:r>
                    <w:t xml:space="preserve">  0.4</w:t>
                  </w:r>
                </w:p>
              </w:tc>
              <w:tc>
                <w:tcPr>
                  <w:tcW w:w="709" w:type="dxa"/>
                  <w:vAlign w:val="center"/>
                </w:tcPr>
                <w:p w:rsidR="002C4C48" w:rsidRDefault="002C4C48" w:rsidP="002C4C48">
                  <w:pPr>
                    <w:pStyle w:val="TableBodyText"/>
                  </w:pPr>
                  <w:r>
                    <w:t>..</w:t>
                  </w:r>
                </w:p>
              </w:tc>
              <w:tc>
                <w:tcPr>
                  <w:tcW w:w="708" w:type="dxa"/>
                  <w:vAlign w:val="center"/>
                </w:tcPr>
                <w:p w:rsidR="002C4C48" w:rsidRDefault="002C4C48" w:rsidP="002C4C48">
                  <w:pPr>
                    <w:pStyle w:val="TableBodyText"/>
                  </w:pPr>
                  <w:r>
                    <w:t xml:space="preserve">  29.7</w:t>
                  </w:r>
                </w:p>
              </w:tc>
              <w:tc>
                <w:tcPr>
                  <w:tcW w:w="709" w:type="dxa"/>
                  <w:vAlign w:val="center"/>
                </w:tcPr>
                <w:p w:rsidR="002C4C48" w:rsidRDefault="002C4C48" w:rsidP="002C4C48">
                  <w:pPr>
                    <w:pStyle w:val="TableBodyText"/>
                  </w:pPr>
                  <w:r>
                    <w:t xml:space="preserve">  1.1</w:t>
                  </w:r>
                </w:p>
              </w:tc>
            </w:tr>
            <w:tr w:rsidR="002C4C48" w:rsidTr="00933726">
              <w:tc>
                <w:tcPr>
                  <w:tcW w:w="2246" w:type="dxa"/>
                </w:tcPr>
                <w:p w:rsidR="002C4C48" w:rsidRPr="0055682A" w:rsidRDefault="002C4C48" w:rsidP="00317521">
                  <w:pPr>
                    <w:pStyle w:val="TableUnitsRow"/>
                    <w:spacing w:before="0"/>
                    <w:jc w:val="left"/>
                  </w:pPr>
                  <w:r w:rsidRPr="0055682A">
                    <w:t>Non-government schools</w:t>
                  </w:r>
                </w:p>
              </w:tc>
              <w:tc>
                <w:tcPr>
                  <w:tcW w:w="709" w:type="dxa"/>
                  <w:vAlign w:val="center"/>
                </w:tcPr>
                <w:p w:rsidR="002C4C48" w:rsidRDefault="002C4C48" w:rsidP="002C4C48">
                  <w:pPr>
                    <w:pStyle w:val="TableBodyText"/>
                  </w:pPr>
                  <w:r>
                    <w:t>–</w:t>
                  </w:r>
                </w:p>
              </w:tc>
              <w:tc>
                <w:tcPr>
                  <w:tcW w:w="567" w:type="dxa"/>
                  <w:vAlign w:val="center"/>
                </w:tcPr>
                <w:p w:rsidR="002C4C48" w:rsidRDefault="002C4C48" w:rsidP="002C4C48">
                  <w:pPr>
                    <w:pStyle w:val="TableBodyText"/>
                  </w:pPr>
                  <w:r>
                    <w:t>..</w:t>
                  </w:r>
                </w:p>
              </w:tc>
              <w:tc>
                <w:tcPr>
                  <w:tcW w:w="709" w:type="dxa"/>
                  <w:vAlign w:val="center"/>
                </w:tcPr>
                <w:p w:rsidR="002C4C48" w:rsidRDefault="002C4C48" w:rsidP="002C4C48">
                  <w:pPr>
                    <w:pStyle w:val="TableBodyText"/>
                  </w:pPr>
                  <w:r>
                    <w:t xml:space="preserve">  0.3</w:t>
                  </w:r>
                </w:p>
              </w:tc>
              <w:tc>
                <w:tcPr>
                  <w:tcW w:w="708" w:type="dxa"/>
                  <w:vAlign w:val="center"/>
                </w:tcPr>
                <w:p w:rsidR="002C4C48" w:rsidRDefault="002C4C48" w:rsidP="002C4C48">
                  <w:pPr>
                    <w:pStyle w:val="TableBodyText"/>
                  </w:pPr>
                  <w:r>
                    <w:t xml:space="preserve">  1.2</w:t>
                  </w:r>
                </w:p>
              </w:tc>
              <w:tc>
                <w:tcPr>
                  <w:tcW w:w="709" w:type="dxa"/>
                  <w:vAlign w:val="center"/>
                </w:tcPr>
                <w:p w:rsidR="002C4C48" w:rsidRDefault="002C4C48" w:rsidP="002C4C48">
                  <w:pPr>
                    <w:pStyle w:val="TableBodyText"/>
                  </w:pPr>
                  <w:r>
                    <w:t xml:space="preserve">  0.1</w:t>
                  </w:r>
                </w:p>
              </w:tc>
              <w:tc>
                <w:tcPr>
                  <w:tcW w:w="709" w:type="dxa"/>
                  <w:vAlign w:val="center"/>
                </w:tcPr>
                <w:p w:rsidR="002C4C48" w:rsidRDefault="002C4C48" w:rsidP="002C4C48">
                  <w:pPr>
                    <w:pStyle w:val="TableBodyText"/>
                  </w:pPr>
                  <w:r>
                    <w:t>–</w:t>
                  </w:r>
                </w:p>
              </w:tc>
              <w:tc>
                <w:tcPr>
                  <w:tcW w:w="709" w:type="dxa"/>
                  <w:vAlign w:val="center"/>
                </w:tcPr>
                <w:p w:rsidR="002C4C48" w:rsidRDefault="002C4C48" w:rsidP="002C4C48">
                  <w:pPr>
                    <w:pStyle w:val="TableBodyText"/>
                  </w:pPr>
                  <w:r>
                    <w:t>..</w:t>
                  </w:r>
                </w:p>
              </w:tc>
              <w:tc>
                <w:tcPr>
                  <w:tcW w:w="708" w:type="dxa"/>
                  <w:vAlign w:val="center"/>
                </w:tcPr>
                <w:p w:rsidR="002C4C48" w:rsidRDefault="002C4C48" w:rsidP="002C4C48">
                  <w:pPr>
                    <w:pStyle w:val="TableBodyText"/>
                  </w:pPr>
                  <w:r>
                    <w:t xml:space="preserve">  12.8</w:t>
                  </w:r>
                </w:p>
              </w:tc>
              <w:tc>
                <w:tcPr>
                  <w:tcW w:w="709" w:type="dxa"/>
                  <w:vAlign w:val="center"/>
                </w:tcPr>
                <w:p w:rsidR="002C4C48" w:rsidRDefault="002C4C48" w:rsidP="002C4C48">
                  <w:pPr>
                    <w:pStyle w:val="TableBodyText"/>
                  </w:pPr>
                  <w:r>
                    <w:t xml:space="preserve">  0.3</w:t>
                  </w:r>
                </w:p>
              </w:tc>
            </w:tr>
            <w:tr w:rsidR="002C4C48" w:rsidTr="00933726">
              <w:tc>
                <w:tcPr>
                  <w:tcW w:w="2246" w:type="dxa"/>
                  <w:tcBorders>
                    <w:bottom w:val="single" w:sz="6" w:space="0" w:color="BFBFBF" w:themeColor="background2"/>
                  </w:tcBorders>
                  <w:shd w:val="clear" w:color="auto" w:fill="auto"/>
                </w:tcPr>
                <w:p w:rsidR="002C4C48" w:rsidRPr="00A50B74" w:rsidRDefault="002C4C48" w:rsidP="00C92ED0">
                  <w:pPr>
                    <w:pStyle w:val="TableUnitsRow"/>
                    <w:spacing w:before="0"/>
                    <w:jc w:val="left"/>
                    <w:rPr>
                      <w:b/>
                    </w:rPr>
                  </w:pPr>
                  <w:r w:rsidRPr="00A50B74">
                    <w:rPr>
                      <w:b/>
                    </w:rPr>
                    <w:t>All schools</w:t>
                  </w:r>
                </w:p>
              </w:tc>
              <w:tc>
                <w:tcPr>
                  <w:tcW w:w="709" w:type="dxa"/>
                  <w:tcBorders>
                    <w:bottom w:val="single" w:sz="6" w:space="0" w:color="BFBFBF" w:themeColor="background2"/>
                  </w:tcBorders>
                  <w:shd w:val="clear" w:color="auto" w:fill="auto"/>
                  <w:vAlign w:val="center"/>
                </w:tcPr>
                <w:p w:rsidR="002C4C48" w:rsidRPr="00C90B4B" w:rsidRDefault="002C4C48" w:rsidP="002C4C48">
                  <w:pPr>
                    <w:pStyle w:val="TableBodyText"/>
                    <w:framePr w:w="2155" w:hSpace="227" w:vSpace="181" w:wrap="around" w:vAnchor="text" w:hAnchor="page" w:xAlign="outside" w:y="1"/>
                    <w:rPr>
                      <w:b/>
                    </w:rPr>
                  </w:pPr>
                  <w:r w:rsidRPr="00C90B4B">
                    <w:rPr>
                      <w:b/>
                    </w:rPr>
                    <w:t xml:space="preserve">  0.1</w:t>
                  </w:r>
                </w:p>
              </w:tc>
              <w:tc>
                <w:tcPr>
                  <w:tcW w:w="567" w:type="dxa"/>
                  <w:tcBorders>
                    <w:bottom w:val="single" w:sz="6" w:space="0" w:color="BFBFBF" w:themeColor="background2"/>
                  </w:tcBorders>
                  <w:shd w:val="clear" w:color="auto" w:fill="auto"/>
                  <w:vAlign w:val="center"/>
                </w:tcPr>
                <w:p w:rsidR="002C4C48" w:rsidRPr="00C90B4B" w:rsidRDefault="002C4C48" w:rsidP="002C4C48">
                  <w:pPr>
                    <w:pStyle w:val="TableBodyText"/>
                    <w:framePr w:w="2155" w:hSpace="227" w:vSpace="181" w:wrap="around" w:vAnchor="text" w:hAnchor="page" w:xAlign="outside" w:y="1"/>
                    <w:rPr>
                      <w:b/>
                    </w:rPr>
                  </w:pPr>
                  <w:r w:rsidRPr="00C90B4B">
                    <w:rPr>
                      <w:b/>
                    </w:rPr>
                    <w:t>..</w:t>
                  </w:r>
                </w:p>
              </w:tc>
              <w:tc>
                <w:tcPr>
                  <w:tcW w:w="709" w:type="dxa"/>
                  <w:tcBorders>
                    <w:bottom w:val="single" w:sz="6" w:space="0" w:color="BFBFBF" w:themeColor="background2"/>
                  </w:tcBorders>
                  <w:shd w:val="clear" w:color="auto" w:fill="auto"/>
                  <w:vAlign w:val="center"/>
                </w:tcPr>
                <w:p w:rsidR="002C4C48" w:rsidRPr="00C90B4B" w:rsidRDefault="002C4C48" w:rsidP="002C4C48">
                  <w:pPr>
                    <w:pStyle w:val="TableBodyText"/>
                    <w:framePr w:w="2155" w:hSpace="227" w:vSpace="181" w:wrap="around" w:vAnchor="text" w:hAnchor="page" w:xAlign="outside" w:y="1"/>
                    <w:rPr>
                      <w:b/>
                    </w:rPr>
                  </w:pPr>
                  <w:r w:rsidRPr="00C90B4B">
                    <w:rPr>
                      <w:b/>
                    </w:rPr>
                    <w:t xml:space="preserve">  1.1</w:t>
                  </w:r>
                </w:p>
              </w:tc>
              <w:tc>
                <w:tcPr>
                  <w:tcW w:w="708" w:type="dxa"/>
                  <w:tcBorders>
                    <w:bottom w:val="single" w:sz="6" w:space="0" w:color="BFBFBF" w:themeColor="background2"/>
                  </w:tcBorders>
                  <w:shd w:val="clear" w:color="auto" w:fill="auto"/>
                  <w:vAlign w:val="center"/>
                </w:tcPr>
                <w:p w:rsidR="002C4C48" w:rsidRPr="00C90B4B" w:rsidRDefault="002C4C48" w:rsidP="002C4C48">
                  <w:pPr>
                    <w:pStyle w:val="TableBodyText"/>
                    <w:framePr w:w="2155" w:hSpace="227" w:vSpace="181" w:wrap="around" w:vAnchor="text" w:hAnchor="page" w:xAlign="outside" w:y="1"/>
                    <w:rPr>
                      <w:b/>
                    </w:rPr>
                  </w:pPr>
                  <w:r w:rsidRPr="00C90B4B">
                    <w:rPr>
                      <w:b/>
                    </w:rPr>
                    <w:t xml:space="preserve">  2.3</w:t>
                  </w:r>
                </w:p>
              </w:tc>
              <w:tc>
                <w:tcPr>
                  <w:tcW w:w="709" w:type="dxa"/>
                  <w:tcBorders>
                    <w:bottom w:val="single" w:sz="6" w:space="0" w:color="BFBFBF" w:themeColor="background2"/>
                  </w:tcBorders>
                  <w:shd w:val="clear" w:color="auto" w:fill="auto"/>
                  <w:vAlign w:val="center"/>
                </w:tcPr>
                <w:p w:rsidR="002C4C48" w:rsidRPr="00C90B4B" w:rsidRDefault="002C4C48" w:rsidP="002C4C48">
                  <w:pPr>
                    <w:pStyle w:val="TableBodyText"/>
                    <w:framePr w:w="2155" w:hSpace="227" w:vSpace="181" w:wrap="around" w:vAnchor="text" w:hAnchor="page" w:xAlign="outside" w:y="1"/>
                    <w:rPr>
                      <w:b/>
                    </w:rPr>
                  </w:pPr>
                  <w:r w:rsidRPr="00C90B4B">
                    <w:rPr>
                      <w:b/>
                    </w:rPr>
                    <w:t xml:space="preserve">  0.8</w:t>
                  </w:r>
                </w:p>
              </w:tc>
              <w:tc>
                <w:tcPr>
                  <w:tcW w:w="709" w:type="dxa"/>
                  <w:tcBorders>
                    <w:bottom w:val="single" w:sz="6" w:space="0" w:color="BFBFBF" w:themeColor="background2"/>
                  </w:tcBorders>
                  <w:shd w:val="clear" w:color="auto" w:fill="auto"/>
                  <w:vAlign w:val="center"/>
                </w:tcPr>
                <w:p w:rsidR="002C4C48" w:rsidRPr="00C90B4B" w:rsidRDefault="002C4C48" w:rsidP="002C4C48">
                  <w:pPr>
                    <w:pStyle w:val="TableBodyText"/>
                    <w:framePr w:w="2155" w:hSpace="227" w:vSpace="181" w:wrap="around" w:vAnchor="text" w:hAnchor="page" w:xAlign="outside" w:y="1"/>
                    <w:rPr>
                      <w:b/>
                    </w:rPr>
                  </w:pPr>
                  <w:r w:rsidRPr="00C90B4B">
                    <w:rPr>
                      <w:b/>
                    </w:rPr>
                    <w:t xml:space="preserve">  0.3</w:t>
                  </w:r>
                </w:p>
              </w:tc>
              <w:tc>
                <w:tcPr>
                  <w:tcW w:w="709" w:type="dxa"/>
                  <w:tcBorders>
                    <w:bottom w:val="single" w:sz="6" w:space="0" w:color="BFBFBF" w:themeColor="background2"/>
                  </w:tcBorders>
                  <w:shd w:val="clear" w:color="auto" w:fill="auto"/>
                  <w:vAlign w:val="center"/>
                </w:tcPr>
                <w:p w:rsidR="002C4C48" w:rsidRPr="00C90B4B" w:rsidRDefault="002C4C48" w:rsidP="002C4C48">
                  <w:pPr>
                    <w:pStyle w:val="TableBodyText"/>
                    <w:framePr w:w="2155" w:hSpace="227" w:vSpace="181" w:wrap="around" w:vAnchor="text" w:hAnchor="page" w:xAlign="outside" w:y="1"/>
                    <w:rPr>
                      <w:b/>
                    </w:rPr>
                  </w:pPr>
                  <w:r w:rsidRPr="00C90B4B">
                    <w:rPr>
                      <w:b/>
                    </w:rPr>
                    <w:t>..</w:t>
                  </w:r>
                </w:p>
              </w:tc>
              <w:tc>
                <w:tcPr>
                  <w:tcW w:w="708" w:type="dxa"/>
                  <w:tcBorders>
                    <w:bottom w:val="single" w:sz="6" w:space="0" w:color="BFBFBF" w:themeColor="background2"/>
                  </w:tcBorders>
                  <w:shd w:val="clear" w:color="auto" w:fill="auto"/>
                  <w:vAlign w:val="center"/>
                </w:tcPr>
                <w:p w:rsidR="002C4C48" w:rsidRPr="00C90B4B" w:rsidRDefault="002C4C48" w:rsidP="002C4C48">
                  <w:pPr>
                    <w:pStyle w:val="TableBodyText"/>
                    <w:framePr w:w="2155" w:hSpace="227" w:vSpace="181" w:wrap="around" w:vAnchor="text" w:hAnchor="page" w:xAlign="outside" w:y="1"/>
                    <w:rPr>
                      <w:b/>
                    </w:rPr>
                  </w:pPr>
                  <w:r w:rsidRPr="00C90B4B">
                    <w:rPr>
                      <w:b/>
                    </w:rPr>
                    <w:t xml:space="preserve">  25.0</w:t>
                  </w:r>
                </w:p>
              </w:tc>
              <w:tc>
                <w:tcPr>
                  <w:tcW w:w="709" w:type="dxa"/>
                  <w:tcBorders>
                    <w:bottom w:val="single" w:sz="6" w:space="0" w:color="BFBFBF" w:themeColor="background2"/>
                  </w:tcBorders>
                  <w:shd w:val="clear" w:color="auto" w:fill="auto"/>
                  <w:vAlign w:val="center"/>
                </w:tcPr>
                <w:p w:rsidR="002C4C48" w:rsidRPr="00C90B4B" w:rsidRDefault="002C4C48" w:rsidP="002C4C48">
                  <w:pPr>
                    <w:pStyle w:val="TableBodyText"/>
                    <w:framePr w:w="2155" w:hSpace="227" w:vSpace="181" w:wrap="around" w:vAnchor="text" w:hAnchor="page" w:xAlign="outside" w:y="1"/>
                    <w:rPr>
                      <w:b/>
                    </w:rPr>
                  </w:pPr>
                  <w:r w:rsidRPr="00C90B4B">
                    <w:rPr>
                      <w:b/>
                    </w:rPr>
                    <w:t xml:space="preserve">  0.8</w:t>
                  </w:r>
                </w:p>
              </w:tc>
            </w:tr>
          </w:tbl>
          <w:p w:rsidR="000F1E10" w:rsidRDefault="000F1E10" w:rsidP="00E41D90">
            <w:pPr>
              <w:pStyle w:val="Box"/>
            </w:pPr>
          </w:p>
        </w:tc>
      </w:tr>
      <w:tr w:rsidR="000F1E10" w:rsidTr="00AE54E6">
        <w:trPr>
          <w:cantSplit/>
        </w:trPr>
        <w:tc>
          <w:tcPr>
            <w:tcW w:w="8767" w:type="dxa"/>
            <w:tcBorders>
              <w:top w:val="nil"/>
              <w:left w:val="nil"/>
              <w:bottom w:val="nil"/>
              <w:right w:val="nil"/>
            </w:tcBorders>
            <w:shd w:val="clear" w:color="auto" w:fill="auto"/>
          </w:tcPr>
          <w:p w:rsidR="000F1E10" w:rsidRPr="000F1E10" w:rsidRDefault="007C767F" w:rsidP="007C767F">
            <w:pPr>
              <w:pStyle w:val="Note"/>
            </w:pPr>
            <w:r w:rsidRPr="00953E9C">
              <w:rPr>
                <w:rStyle w:val="NoteLabel"/>
              </w:rPr>
              <w:t>a</w:t>
            </w:r>
            <w:r w:rsidRPr="00953E9C">
              <w:t xml:space="preserve"> </w:t>
            </w:r>
            <w:r w:rsidRPr="007C767F">
              <w:t xml:space="preserve">See table </w:t>
            </w:r>
            <w:r>
              <w:t>4A.35</w:t>
            </w:r>
            <w:r w:rsidRPr="007C767F">
              <w:t xml:space="preserve"> for detailed footnotes and caveats.</w:t>
            </w:r>
            <w:r>
              <w:t xml:space="preserve"> </w:t>
            </w:r>
            <w:r w:rsidR="00540B73">
              <w:rPr>
                <w:shd w:val="clear" w:color="auto" w:fill="FFFFFF" w:themeFill="background1"/>
              </w:rPr>
              <w:t>..</w:t>
            </w:r>
            <w:r w:rsidR="000F1E10" w:rsidRPr="00A11734">
              <w:rPr>
                <w:shd w:val="clear" w:color="auto" w:fill="FFFFFF" w:themeFill="background1"/>
              </w:rPr>
              <w:t xml:space="preserve"> Not applicable. – Nil</w:t>
            </w:r>
            <w:r w:rsidR="000F1E10" w:rsidRPr="000F1E10">
              <w:t xml:space="preserve"> or </w:t>
            </w:r>
            <w:r w:rsidR="000F1E10">
              <w:t>rounded to zero.</w:t>
            </w:r>
          </w:p>
        </w:tc>
      </w:tr>
      <w:tr w:rsidR="000F1E10" w:rsidTr="00AE54E6">
        <w:trPr>
          <w:cantSplit/>
        </w:trPr>
        <w:tc>
          <w:tcPr>
            <w:tcW w:w="8767" w:type="dxa"/>
            <w:tcBorders>
              <w:top w:val="nil"/>
              <w:left w:val="nil"/>
              <w:bottom w:val="nil"/>
              <w:right w:val="nil"/>
            </w:tcBorders>
            <w:shd w:val="clear" w:color="auto" w:fill="auto"/>
          </w:tcPr>
          <w:p w:rsidR="000F1E10" w:rsidRDefault="000F1E10" w:rsidP="000F1E10">
            <w:pPr>
              <w:pStyle w:val="Source"/>
            </w:pPr>
            <w:r>
              <w:rPr>
                <w:i/>
              </w:rPr>
              <w:t>Source</w:t>
            </w:r>
            <w:r w:rsidRPr="00167F06">
              <w:t xml:space="preserve">: </w:t>
            </w:r>
            <w:r w:rsidRPr="000F1E10">
              <w:t>Australian Government Department of Education</w:t>
            </w:r>
            <w:r w:rsidR="007C767F">
              <w:t xml:space="preserve"> and Training</w:t>
            </w:r>
            <w:r w:rsidRPr="000F1E10">
              <w:t xml:space="preserve"> (unpublished); table 4A.35.</w:t>
            </w:r>
          </w:p>
        </w:tc>
      </w:tr>
      <w:tr w:rsidR="000F1E10" w:rsidTr="00AE54E6">
        <w:trPr>
          <w:cantSplit/>
        </w:trPr>
        <w:tc>
          <w:tcPr>
            <w:tcW w:w="8767" w:type="dxa"/>
            <w:tcBorders>
              <w:top w:val="nil"/>
              <w:left w:val="nil"/>
              <w:bottom w:val="single" w:sz="6" w:space="0" w:color="78A22F"/>
              <w:right w:val="nil"/>
            </w:tcBorders>
            <w:shd w:val="clear" w:color="auto" w:fill="auto"/>
          </w:tcPr>
          <w:p w:rsidR="000F1E10" w:rsidRDefault="000F1E10" w:rsidP="007C3D5B">
            <w:pPr>
              <w:pStyle w:val="Box"/>
              <w:spacing w:before="0" w:line="20" w:lineRule="exact"/>
            </w:pPr>
          </w:p>
        </w:tc>
      </w:tr>
      <w:tr w:rsidR="000F1E10" w:rsidRPr="000863A5" w:rsidTr="00AE54E6">
        <w:tc>
          <w:tcPr>
            <w:tcW w:w="8767" w:type="dxa"/>
            <w:tcBorders>
              <w:top w:val="single" w:sz="6" w:space="0" w:color="78A22F"/>
              <w:left w:val="nil"/>
              <w:bottom w:val="nil"/>
              <w:right w:val="nil"/>
            </w:tcBorders>
          </w:tcPr>
          <w:p w:rsidR="000F1E10" w:rsidRPr="00626D32" w:rsidRDefault="000F1E10" w:rsidP="00E41D90">
            <w:pPr>
              <w:pStyle w:val="BoxSpaceBelow"/>
            </w:pPr>
          </w:p>
        </w:tc>
      </w:tr>
    </w:tbl>
    <w:p w:rsidR="00B7436D" w:rsidRDefault="00B7436D" w:rsidP="00A50B74">
      <w:pPr>
        <w:pStyle w:val="BodyText"/>
      </w:pPr>
      <w:r w:rsidRPr="000E6F59">
        <w:lastRenderedPageBreak/>
        <w:t>Table 4A.3</w:t>
      </w:r>
      <w:r>
        <w:t>5</w:t>
      </w:r>
      <w:r w:rsidRPr="000E6F59">
        <w:t xml:space="preserve"> includes</w:t>
      </w:r>
      <w:r w:rsidRPr="00666ECE">
        <w:t xml:space="preserve"> data relating to students </w:t>
      </w:r>
      <w:r w:rsidRPr="00104AF2">
        <w:rPr>
          <w:shd w:val="clear" w:color="auto" w:fill="FFFFFF" w:themeFill="background1"/>
        </w:rPr>
        <w:t>enrolled in primary</w:t>
      </w:r>
      <w:r w:rsidRPr="00666ECE">
        <w:t xml:space="preserve"> and secondary schools located in metropolitan and provincial zones, as well as </w:t>
      </w:r>
      <w:r>
        <w:t xml:space="preserve">in remote and very remote areas. </w:t>
      </w:r>
    </w:p>
    <w:p w:rsidR="00666ECE" w:rsidRPr="007B0AE2" w:rsidRDefault="00666ECE" w:rsidP="00845DD5">
      <w:pPr>
        <w:pStyle w:val="Heading5"/>
      </w:pPr>
      <w:r w:rsidRPr="007B0AE2">
        <w:t>Students from families of low socio</w:t>
      </w:r>
      <w:r w:rsidR="009131A4" w:rsidRPr="007B0AE2">
        <w:t>-</w:t>
      </w:r>
      <w:r w:rsidRPr="007B0AE2">
        <w:t>economic status</w:t>
      </w:r>
    </w:p>
    <w:p w:rsidR="00666ECE" w:rsidRPr="00640DB6" w:rsidRDefault="006F4899" w:rsidP="009A0722">
      <w:pPr>
        <w:pStyle w:val="BodyText"/>
        <w:rPr>
          <w:rStyle w:val="DraftingNote"/>
          <w:color w:val="auto"/>
        </w:rPr>
      </w:pPr>
      <w:r>
        <w:t>M</w:t>
      </w:r>
      <w:r w:rsidR="0019719B">
        <w:t>easures</w:t>
      </w:r>
      <w:r>
        <w:t xml:space="preserve"> of</w:t>
      </w:r>
      <w:r w:rsidR="00666ECE" w:rsidRPr="00666ECE">
        <w:t xml:space="preserve"> learning outcomes by</w:t>
      </w:r>
      <w:r>
        <w:t xml:space="preserve"> </w:t>
      </w:r>
      <w:r w:rsidRPr="00666ECE">
        <w:t>socio</w:t>
      </w:r>
      <w:r>
        <w:t>-</w:t>
      </w:r>
      <w:r w:rsidRPr="00666ECE">
        <w:t xml:space="preserve">economic status </w:t>
      </w:r>
      <w:r>
        <w:t>(</w:t>
      </w:r>
      <w:r w:rsidR="00666ECE" w:rsidRPr="00666ECE">
        <w:t>parental occupation and parental education</w:t>
      </w:r>
      <w:r>
        <w:t>)</w:t>
      </w:r>
      <w:r w:rsidR="0019719B">
        <w:t>,</w:t>
      </w:r>
      <w:r w:rsidR="00666ECE" w:rsidRPr="00666ECE">
        <w:t xml:space="preserve"> are included in this Report. Approximately 1700 schools in Australia (over 17</w:t>
      </w:r>
      <w:r>
        <w:t> </w:t>
      </w:r>
      <w:r w:rsidR="00666ECE" w:rsidRPr="00666ECE">
        <w:t xml:space="preserve">per cent of all schools) </w:t>
      </w:r>
      <w:r w:rsidR="00D45855">
        <w:t>were</w:t>
      </w:r>
      <w:r w:rsidR="00666ECE" w:rsidRPr="00666ECE">
        <w:t xml:space="preserve"> identified to participate in the Smarter Schools National Partnership for Low Socio</w:t>
      </w:r>
      <w:r w:rsidR="009131A4">
        <w:noBreakHyphen/>
      </w:r>
      <w:r w:rsidR="00666ECE" w:rsidRPr="00666ECE">
        <w:t xml:space="preserve">economic Status School Communities. These disadvantaged schools were identified using the ABS Index of </w:t>
      </w:r>
      <w:r w:rsidR="00666ECE" w:rsidRPr="00640DB6">
        <w:t>Relative Socio-economic Disadvantage (IRSD), based on student address or school location. Further measures of socio-economic status are being developed.</w:t>
      </w:r>
      <w:r w:rsidR="003A5B31" w:rsidRPr="00640DB6">
        <w:t xml:space="preserve"> </w:t>
      </w:r>
    </w:p>
    <w:p w:rsidR="00666ECE" w:rsidRPr="00666ECE" w:rsidRDefault="00666ECE" w:rsidP="007B0AE2">
      <w:pPr>
        <w:pStyle w:val="Heading2"/>
      </w:pPr>
      <w:bookmarkStart w:id="19" w:name="_Toc433298255"/>
      <w:r w:rsidRPr="00666ECE">
        <w:t>4.2</w:t>
      </w:r>
      <w:r w:rsidRPr="00666ECE">
        <w:tab/>
        <w:t>Framework of performance indicators</w:t>
      </w:r>
      <w:bookmarkEnd w:id="19"/>
    </w:p>
    <w:p w:rsidR="00666ECE" w:rsidRPr="007F19E7" w:rsidRDefault="00666ECE" w:rsidP="009A0722">
      <w:pPr>
        <w:pStyle w:val="BodyText"/>
        <w:rPr>
          <w:b/>
          <w:u w:val="dotted"/>
        </w:rPr>
      </w:pPr>
      <w:r w:rsidRPr="009A0722">
        <w:t>Box 4.</w:t>
      </w:r>
      <w:r w:rsidR="00DB7304">
        <w:t>1</w:t>
      </w:r>
      <w:r w:rsidRPr="009A0722">
        <w:t xml:space="preserve"> describes the educational goals for young Australians, agreed by education Ministers in the Melbourne Declaration. Commitments to action by governments in eight inter-related areas are also included in the Melbourne Declaration (MCEETYA 2008).</w:t>
      </w:r>
      <w:r w:rsidR="00817F8F" w:rsidRPr="00817F8F">
        <w:rPr>
          <w:position w:val="6"/>
          <w:sz w:val="22"/>
        </w:rPr>
        <w:t xml:space="preserve"> </w:t>
      </w:r>
      <w:r w:rsidR="008A1B07" w:rsidRPr="007F19E7">
        <w:t xml:space="preserve">These goals form the objectives which underpin the performance indicator framework. </w:t>
      </w:r>
      <w:r w:rsidR="004A0FBB" w:rsidRPr="00666ECE">
        <w:t xml:space="preserve">This framework is </w:t>
      </w:r>
      <w:r w:rsidR="004A0FBB">
        <w:t xml:space="preserve">also </w:t>
      </w:r>
      <w:r w:rsidR="004A0FBB" w:rsidRPr="00666ECE">
        <w:t>aligned with the N</w:t>
      </w:r>
      <w:r w:rsidR="004A0FBB">
        <w:t>ational Education Agreement (N</w:t>
      </w:r>
      <w:r w:rsidR="004A0FBB" w:rsidRPr="00666ECE">
        <w:t>EA</w:t>
      </w:r>
      <w:r w:rsidR="004A0FBB">
        <w:t>), which</w:t>
      </w:r>
      <w:r w:rsidR="004A0FBB" w:rsidRPr="00666ECE">
        <w:t xml:space="preserve"> covers the area of school education. </w:t>
      </w:r>
      <w:r w:rsidR="004A0FBB">
        <w:t>P</w:t>
      </w:r>
      <w:r w:rsidR="004A0FBB" w:rsidRPr="00666ECE">
        <w:t>erformance indicators</w:t>
      </w:r>
      <w:r w:rsidR="004A0FBB">
        <w:t xml:space="preserve"> in this chapter are aligned with school education indicators in the NEA, where relevant. </w:t>
      </w:r>
    </w:p>
    <w:p w:rsidR="00354E9A" w:rsidRDefault="00354E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4E9A" w:rsidTr="00354E9A">
        <w:tc>
          <w:tcPr>
            <w:tcW w:w="8771" w:type="dxa"/>
            <w:tcBorders>
              <w:top w:val="single" w:sz="6" w:space="0" w:color="78A22F"/>
              <w:left w:val="nil"/>
              <w:bottom w:val="nil"/>
              <w:right w:val="nil"/>
            </w:tcBorders>
            <w:shd w:val="clear" w:color="auto" w:fill="F2F2F2"/>
          </w:tcPr>
          <w:p w:rsidR="00354E9A" w:rsidRDefault="00354E9A">
            <w:pPr>
              <w:pStyle w:val="BoxTitle"/>
            </w:pPr>
            <w:r>
              <w:rPr>
                <w:b w:val="0"/>
              </w:rPr>
              <w:t xml:space="preserve">Box </w:t>
            </w:r>
            <w:r w:rsidR="00B70781">
              <w:rPr>
                <w:b w:val="0"/>
              </w:rPr>
              <w:t>4.</w:t>
            </w:r>
            <w:r w:rsidR="00FF4FBD">
              <w:rPr>
                <w:b w:val="0"/>
                <w:noProof/>
              </w:rPr>
              <w:t>1</w:t>
            </w:r>
            <w:r>
              <w:tab/>
            </w:r>
            <w:r w:rsidRPr="00354E9A">
              <w:t>National goals for schooling in the 21st century</w:t>
            </w:r>
          </w:p>
        </w:tc>
      </w:tr>
      <w:tr w:rsidR="00354E9A" w:rsidTr="00354E9A">
        <w:trPr>
          <w:cantSplit/>
        </w:trPr>
        <w:tc>
          <w:tcPr>
            <w:tcW w:w="8771" w:type="dxa"/>
            <w:tcBorders>
              <w:top w:val="nil"/>
              <w:left w:val="nil"/>
              <w:bottom w:val="nil"/>
              <w:right w:val="nil"/>
            </w:tcBorders>
            <w:shd w:val="clear" w:color="auto" w:fill="F2F2F2"/>
          </w:tcPr>
          <w:p w:rsidR="00354E9A" w:rsidRPr="00354E9A" w:rsidRDefault="00354E9A" w:rsidP="00354E9A">
            <w:pPr>
              <w:pStyle w:val="Box"/>
            </w:pPr>
            <w:r w:rsidRPr="00354E9A">
              <w:t xml:space="preserve">In December 2008, the </w:t>
            </w:r>
            <w:r w:rsidR="007C3D5B" w:rsidRPr="007C3D5B">
              <w:t xml:space="preserve">Ministerial Council on Education, Employment, Training and Youth Affairs </w:t>
            </w:r>
            <w:r w:rsidR="007C3D5B">
              <w:t>(</w:t>
            </w:r>
            <w:r w:rsidRPr="00354E9A">
              <w:t>MCEETYA</w:t>
            </w:r>
            <w:r w:rsidR="007C3D5B">
              <w:t>)</w:t>
            </w:r>
            <w:r w:rsidRPr="00354E9A">
              <w:t xml:space="preserve"> endorsed the following national goals for school education.</w:t>
            </w:r>
          </w:p>
          <w:p w:rsidR="00354E9A" w:rsidRPr="00354E9A" w:rsidRDefault="00354E9A" w:rsidP="00354E9A">
            <w:pPr>
              <w:pStyle w:val="Box"/>
            </w:pPr>
            <w:r w:rsidRPr="00354E9A">
              <w:t>Improving educational outcomes for all young Australians is central to the nation’s social and economic prosperity and will position young people to live fulfilling, productive and responsible lives. Young Australians are therefore placed at the centre of the Melbourne Declaration on Educational Goals.</w:t>
            </w:r>
          </w:p>
          <w:p w:rsidR="00354E9A" w:rsidRPr="00354E9A" w:rsidRDefault="00354E9A" w:rsidP="00354E9A">
            <w:pPr>
              <w:pStyle w:val="Box"/>
            </w:pPr>
            <w:r w:rsidRPr="00354E9A">
              <w:t>These goals are:</w:t>
            </w:r>
          </w:p>
          <w:p w:rsidR="00354E9A" w:rsidRPr="00354E9A" w:rsidRDefault="00354E9A" w:rsidP="00354E9A">
            <w:pPr>
              <w:pStyle w:val="Box"/>
            </w:pPr>
            <w:r w:rsidRPr="00354E9A">
              <w:t xml:space="preserve">Goal 1: Australian schooling promotes equity and excellence </w:t>
            </w:r>
          </w:p>
          <w:p w:rsidR="00354E9A" w:rsidRPr="00354E9A" w:rsidRDefault="00354E9A" w:rsidP="00354E9A">
            <w:pPr>
              <w:pStyle w:val="Box"/>
            </w:pPr>
            <w:r w:rsidRPr="00354E9A">
              <w:t>Goal 2: All young Australians become:</w:t>
            </w:r>
          </w:p>
          <w:p w:rsidR="00354E9A" w:rsidRPr="00354E9A" w:rsidRDefault="00354E9A" w:rsidP="00354E9A">
            <w:pPr>
              <w:pStyle w:val="BoxListBullet"/>
            </w:pPr>
            <w:r w:rsidRPr="00354E9A">
              <w:t>successful learners</w:t>
            </w:r>
          </w:p>
          <w:p w:rsidR="00354E9A" w:rsidRPr="00354E9A" w:rsidRDefault="00354E9A" w:rsidP="00354E9A">
            <w:pPr>
              <w:pStyle w:val="BoxListBullet"/>
            </w:pPr>
            <w:r w:rsidRPr="00354E9A">
              <w:t>confident and creative individuals</w:t>
            </w:r>
          </w:p>
          <w:p w:rsidR="00354E9A" w:rsidRDefault="00354E9A" w:rsidP="00354E9A">
            <w:pPr>
              <w:pStyle w:val="BoxListBullet"/>
            </w:pPr>
            <w:r w:rsidRPr="00354E9A">
              <w:t>active and informed citizens.</w:t>
            </w:r>
          </w:p>
        </w:tc>
      </w:tr>
      <w:tr w:rsidR="00354E9A" w:rsidTr="00354E9A">
        <w:trPr>
          <w:cantSplit/>
        </w:trPr>
        <w:tc>
          <w:tcPr>
            <w:tcW w:w="8771" w:type="dxa"/>
            <w:tcBorders>
              <w:top w:val="nil"/>
              <w:left w:val="nil"/>
              <w:bottom w:val="nil"/>
              <w:right w:val="nil"/>
            </w:tcBorders>
            <w:shd w:val="clear" w:color="auto" w:fill="F2F2F2"/>
          </w:tcPr>
          <w:p w:rsidR="00354E9A" w:rsidRDefault="00354E9A" w:rsidP="00354E9A">
            <w:pPr>
              <w:pStyle w:val="BoxSource"/>
            </w:pPr>
            <w:r>
              <w:rPr>
                <w:i/>
              </w:rPr>
              <w:t>Source:</w:t>
            </w:r>
            <w:r w:rsidRPr="00666ECE">
              <w:t xml:space="preserve"> Adapted from MCEETYA (2008).</w:t>
            </w:r>
          </w:p>
        </w:tc>
      </w:tr>
      <w:tr w:rsidR="00354E9A" w:rsidTr="00354E9A">
        <w:trPr>
          <w:cantSplit/>
        </w:trPr>
        <w:tc>
          <w:tcPr>
            <w:tcW w:w="8771" w:type="dxa"/>
            <w:tcBorders>
              <w:top w:val="nil"/>
              <w:left w:val="nil"/>
              <w:bottom w:val="single" w:sz="6" w:space="0" w:color="78A22F"/>
              <w:right w:val="nil"/>
            </w:tcBorders>
            <w:shd w:val="clear" w:color="auto" w:fill="F2F2F2"/>
          </w:tcPr>
          <w:p w:rsidR="00354E9A" w:rsidRDefault="00354E9A">
            <w:pPr>
              <w:pStyle w:val="Box"/>
              <w:spacing w:before="0" w:line="120" w:lineRule="exact"/>
            </w:pPr>
          </w:p>
        </w:tc>
      </w:tr>
      <w:tr w:rsidR="00354E9A" w:rsidRPr="000863A5" w:rsidTr="00354E9A">
        <w:tc>
          <w:tcPr>
            <w:tcW w:w="8771" w:type="dxa"/>
            <w:tcBorders>
              <w:top w:val="single" w:sz="6" w:space="0" w:color="78A22F"/>
              <w:left w:val="nil"/>
              <w:bottom w:val="nil"/>
              <w:right w:val="nil"/>
            </w:tcBorders>
          </w:tcPr>
          <w:p w:rsidR="00354E9A" w:rsidRPr="00626D32" w:rsidRDefault="00354E9A" w:rsidP="00354E9A">
            <w:pPr>
              <w:pStyle w:val="BoxSpaceBelow"/>
            </w:pPr>
          </w:p>
        </w:tc>
      </w:tr>
    </w:tbl>
    <w:p w:rsidR="002F4E23" w:rsidRDefault="00ED3E9F" w:rsidP="002F4E23">
      <w:pPr>
        <w:pStyle w:val="BodyText"/>
      </w:pPr>
      <w:r w:rsidRPr="009A0722">
        <w:t>This chapter provides performance information on the equity, effectiveness and efficiency of government expenditure on all schools in Australia</w:t>
      </w:r>
      <w:r w:rsidRPr="00ED3E9F">
        <w:t xml:space="preserve"> </w:t>
      </w:r>
      <w:r>
        <w:t xml:space="preserve">and distinguishes the outputs and </w:t>
      </w:r>
      <w:r>
        <w:lastRenderedPageBreak/>
        <w:t>outcomes of School education (figure </w:t>
      </w:r>
      <w:r w:rsidR="002F4E23">
        <w:t>4.</w:t>
      </w:r>
      <w:r w:rsidR="00DE6407">
        <w:t>3</w:t>
      </w:r>
      <w:r>
        <w:t>).</w:t>
      </w:r>
      <w:r w:rsidR="002F4E23" w:rsidRPr="002F4E23">
        <w:t xml:space="preserve"> </w:t>
      </w:r>
      <w:r w:rsidR="002F4E23">
        <w:t xml:space="preserve">The performance indicator </w:t>
      </w:r>
      <w:r w:rsidR="002F4E23" w:rsidRPr="00AD7BAC">
        <w:t>framework sho</w:t>
      </w:r>
      <w:r w:rsidR="002F4E23">
        <w:t xml:space="preserve">ws which data are complete and comparable </w:t>
      </w:r>
      <w:r w:rsidR="002F4E23" w:rsidRPr="00AD7BAC">
        <w:t xml:space="preserve">in the </w:t>
      </w:r>
      <w:r w:rsidR="002F4E23">
        <w:t>2016 Report</w:t>
      </w:r>
      <w:r w:rsidR="002F4E23" w:rsidRPr="00AD7BAC">
        <w:t xml:space="preserve">. For data that are not </w:t>
      </w:r>
      <w:r w:rsidR="002F4E23">
        <w:t xml:space="preserve">considered directly comparable, </w:t>
      </w:r>
      <w:r w:rsidR="002F4E23" w:rsidRPr="00AD7BAC">
        <w:t xml:space="preserve">text includes relevant caveats and supporting </w:t>
      </w:r>
      <w:r w:rsidR="002F4E23">
        <w:t>commentary. Chapter </w:t>
      </w:r>
      <w:r w:rsidR="002F4E23" w:rsidRPr="002374AD">
        <w:t xml:space="preserve">1 discusses data comparability </w:t>
      </w:r>
      <w:r w:rsidR="002F4E23" w:rsidRPr="007116F0">
        <w:t xml:space="preserve">and data completeness </w:t>
      </w:r>
      <w:r w:rsidR="002F4E23" w:rsidRPr="002374AD">
        <w:t>from a Report</w:t>
      </w:r>
      <w:r w:rsidR="002F4E23">
        <w:noBreakHyphen/>
        <w:t>wide perspective (</w:t>
      </w:r>
      <w:r w:rsidR="002F4E23" w:rsidRPr="00FC4AE0">
        <w:t>section 1.6</w:t>
      </w:r>
      <w:r w:rsidR="002F4E23" w:rsidRPr="002374AD">
        <w:t>).</w:t>
      </w:r>
      <w:r w:rsidR="002F4E23" w:rsidRPr="002F4E23">
        <w:t xml:space="preserve"> </w:t>
      </w:r>
    </w:p>
    <w:p w:rsidR="002F4E23" w:rsidRDefault="002F4E23" w:rsidP="002F4E23">
      <w:pPr>
        <w:pStyle w:val="BodyText"/>
      </w:pPr>
      <w:r>
        <w:t>In addition to section 4.1, the Report’s Statistical context chapter contains data that may assist in interpreting the performance indicators presented in this chapter. These data cover a range of demographic and geographic characteristics (chapter 2).</w:t>
      </w:r>
    </w:p>
    <w:p w:rsidR="00C90B4B" w:rsidRDefault="00C90B4B" w:rsidP="00C90B4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90B4B" w:rsidTr="00C90B4B">
        <w:tc>
          <w:tcPr>
            <w:tcW w:w="8771" w:type="dxa"/>
            <w:tcBorders>
              <w:top w:val="single" w:sz="6" w:space="0" w:color="78A22F"/>
              <w:left w:val="nil"/>
              <w:bottom w:val="nil"/>
              <w:right w:val="nil"/>
            </w:tcBorders>
            <w:shd w:val="clear" w:color="auto" w:fill="auto"/>
          </w:tcPr>
          <w:p w:rsidR="00C90B4B" w:rsidRPr="00176D3F" w:rsidRDefault="00C90B4B" w:rsidP="00C90B4B">
            <w:pPr>
              <w:pStyle w:val="FigureTitle"/>
            </w:pPr>
            <w:r w:rsidRPr="00784A05">
              <w:rPr>
                <w:b w:val="0"/>
              </w:rPr>
              <w:t xml:space="preserve">Figure </w:t>
            </w:r>
            <w:r w:rsidR="000F4F43">
              <w:rPr>
                <w:b w:val="0"/>
              </w:rPr>
              <w:t>4.</w:t>
            </w:r>
            <w:r w:rsidR="00FF4FBD">
              <w:rPr>
                <w:b w:val="0"/>
                <w:noProof/>
              </w:rPr>
              <w:t>3</w:t>
            </w:r>
            <w:r>
              <w:tab/>
            </w:r>
            <w:r w:rsidRPr="00666ECE">
              <w:t>School education performance indicator framework</w:t>
            </w:r>
          </w:p>
        </w:tc>
      </w:tr>
      <w:tr w:rsidR="00C90B4B" w:rsidTr="007B76C5">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90B4B" w:rsidTr="00C90B4B">
              <w:trPr>
                <w:jc w:val="center"/>
              </w:trPr>
              <w:tc>
                <w:tcPr>
                  <w:tcW w:w="5000" w:type="pct"/>
                  <w:tcBorders>
                    <w:top w:val="nil"/>
                    <w:bottom w:val="nil"/>
                  </w:tcBorders>
                </w:tcPr>
                <w:p w:rsidR="00C90B4B" w:rsidRDefault="00303AEB" w:rsidP="00C90B4B">
                  <w:pPr>
                    <w:pStyle w:val="Figure"/>
                    <w:spacing w:before="60" w:after="60"/>
                  </w:pPr>
                  <w:r>
                    <w:rPr>
                      <w:noProof/>
                    </w:rPr>
                    <w:drawing>
                      <wp:inline distT="0" distB="0" distL="0" distR="0" wp14:anchorId="5400F40D" wp14:editId="439F859E">
                        <wp:extent cx="5372100" cy="3671216"/>
                        <wp:effectExtent l="0" t="0" r="0" b="5715"/>
                        <wp:docPr id="2" name="Picture 2" descr="Figure 4.3 School education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Monitor\05 Current Report - WIP\2016 Report\3. 2016 Final RoGS\1. 2016 Ready for Admin processing\10_PIFs\PNG Final PIFS\Chapter 4_Schools.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72100" cy="3671216"/>
                                </a:xfrm>
                                <a:prstGeom prst="rect">
                                  <a:avLst/>
                                </a:prstGeom>
                                <a:noFill/>
                                <a:ln>
                                  <a:noFill/>
                                </a:ln>
                              </pic:spPr>
                            </pic:pic>
                          </a:graphicData>
                        </a:graphic>
                      </wp:inline>
                    </w:drawing>
                  </w:r>
                </w:p>
              </w:tc>
            </w:tr>
          </w:tbl>
          <w:p w:rsidR="00C90B4B" w:rsidRDefault="00C90B4B" w:rsidP="00C90B4B">
            <w:pPr>
              <w:pStyle w:val="Figure"/>
            </w:pPr>
          </w:p>
        </w:tc>
      </w:tr>
      <w:tr w:rsidR="00C90B4B" w:rsidTr="00C90B4B">
        <w:tc>
          <w:tcPr>
            <w:tcW w:w="8771" w:type="dxa"/>
            <w:tcBorders>
              <w:top w:val="nil"/>
              <w:left w:val="nil"/>
              <w:bottom w:val="single" w:sz="6" w:space="0" w:color="78A22F"/>
              <w:right w:val="nil"/>
            </w:tcBorders>
            <w:shd w:val="clear" w:color="auto" w:fill="auto"/>
          </w:tcPr>
          <w:p w:rsidR="00C90B4B" w:rsidRDefault="00C90B4B" w:rsidP="00C90B4B">
            <w:pPr>
              <w:pStyle w:val="Figurespace"/>
            </w:pPr>
          </w:p>
        </w:tc>
      </w:tr>
      <w:tr w:rsidR="00C90B4B" w:rsidRPr="000863A5" w:rsidTr="00C90B4B">
        <w:tc>
          <w:tcPr>
            <w:tcW w:w="8771" w:type="dxa"/>
            <w:tcBorders>
              <w:top w:val="single" w:sz="6" w:space="0" w:color="78A22F"/>
              <w:left w:val="nil"/>
              <w:bottom w:val="nil"/>
              <w:right w:val="nil"/>
            </w:tcBorders>
          </w:tcPr>
          <w:p w:rsidR="00C90B4B" w:rsidRPr="00626D32" w:rsidRDefault="00C90B4B" w:rsidP="00C90B4B">
            <w:pPr>
              <w:pStyle w:val="BoxSpaceBelow"/>
            </w:pPr>
          </w:p>
        </w:tc>
      </w:tr>
    </w:tbl>
    <w:p w:rsidR="00666ECE" w:rsidRPr="007B0AE2" w:rsidRDefault="00666ECE" w:rsidP="007B0AE2">
      <w:pPr>
        <w:pStyle w:val="Heading2"/>
      </w:pPr>
      <w:bookmarkStart w:id="20" w:name="_Toc433298256"/>
      <w:r w:rsidRPr="007B0AE2">
        <w:t>4.3</w:t>
      </w:r>
      <w:r w:rsidRPr="007B0AE2">
        <w:tab/>
        <w:t>Key performance indicator results</w:t>
      </w:r>
      <w:bookmarkEnd w:id="20"/>
    </w:p>
    <w:p w:rsidR="002F4E23" w:rsidRPr="00666ECE" w:rsidRDefault="002F4E23" w:rsidP="002F4E23">
      <w:pPr>
        <w:pStyle w:val="BodyText"/>
        <w:rPr>
          <w:szCs w:val="26"/>
        </w:rPr>
      </w:pPr>
      <w:r w:rsidRPr="00666ECE">
        <w:t>Different delivery contexts and locations influence the equity, effectiveness and efficiency of school education services. Results are also affected by the broader education environment (for example, availability of employment and fu</w:t>
      </w:r>
      <w:r>
        <w:t>rther educational alternatives</w:t>
      </w:r>
      <w:r w:rsidRPr="00666ECE">
        <w:t xml:space="preserve">). </w:t>
      </w:r>
    </w:p>
    <w:p w:rsidR="002F4E23" w:rsidRPr="00A944A1" w:rsidRDefault="002F4E23" w:rsidP="002F4E23">
      <w:pPr>
        <w:pStyle w:val="BodyText"/>
      </w:pPr>
      <w:r>
        <w:t xml:space="preserve">Data Quality Information (DQI) is included where available for performance indicators in this Report. The purpose of DQI is to provide structured and consistent information about quality aspects of data used to report on performance indicators, in addition to material in </w:t>
      </w:r>
      <w:r>
        <w:lastRenderedPageBreak/>
        <w:t xml:space="preserve">the chapter or sector overview and attachment tables. All DQI for the 2016 </w:t>
      </w:r>
      <w:r w:rsidRPr="00A944A1">
        <w:t>Report can be found at www</w:t>
      </w:r>
      <w:r>
        <w:t>.pc.gov.au/rogs/2016</w:t>
      </w:r>
      <w:r w:rsidRPr="00A944A1">
        <w:t>.</w:t>
      </w:r>
    </w:p>
    <w:p w:rsidR="00666ECE" w:rsidRPr="007B0AE2" w:rsidRDefault="00666ECE" w:rsidP="007B0AE2">
      <w:pPr>
        <w:pStyle w:val="Heading3"/>
      </w:pPr>
      <w:r w:rsidRPr="007B0AE2">
        <w:t>Outputs</w:t>
      </w:r>
    </w:p>
    <w:p w:rsidR="002F4E23" w:rsidRPr="00F15F27" w:rsidRDefault="002F4E23" w:rsidP="002F4E23">
      <w:pPr>
        <w:pStyle w:val="BodyText"/>
      </w:pPr>
      <w:r w:rsidRPr="00F15F27">
        <w:t>Outputs are the services delivered (while outcomes are the impact of these services on the status of an individual or group) (see chapter</w:t>
      </w:r>
      <w:r>
        <w:t> </w:t>
      </w:r>
      <w:r w:rsidRPr="00F15F27">
        <w:t xml:space="preserve">1, </w:t>
      </w:r>
      <w:r w:rsidRPr="00FC4AE0">
        <w:t>section 1.5</w:t>
      </w:r>
      <w:r w:rsidRPr="00F15F27">
        <w:t>).</w:t>
      </w:r>
      <w:r>
        <w:t xml:space="preserve"> </w:t>
      </w:r>
      <w:r w:rsidRPr="006E426F">
        <w:t xml:space="preserve">Output information is also critical for </w:t>
      </w:r>
      <w:r>
        <w:t xml:space="preserve">equitable, </w:t>
      </w:r>
      <w:r w:rsidRPr="006E426F">
        <w:t>efficient and effective management of government services</w:t>
      </w:r>
      <w:r>
        <w:t>.</w:t>
      </w:r>
    </w:p>
    <w:p w:rsidR="00666ECE" w:rsidRPr="007B0AE2" w:rsidRDefault="00666ECE" w:rsidP="005516D1">
      <w:pPr>
        <w:pStyle w:val="Heading3"/>
      </w:pPr>
      <w:r w:rsidRPr="007B0AE2">
        <w:t>Equity and effectiveness</w:t>
      </w:r>
    </w:p>
    <w:p w:rsidR="00666ECE" w:rsidRPr="007B0AE2" w:rsidRDefault="005516D1" w:rsidP="005516D1">
      <w:pPr>
        <w:pStyle w:val="Heading4"/>
      </w:pPr>
      <w:r>
        <w:t xml:space="preserve">Access and equity — </w:t>
      </w:r>
      <w:r w:rsidR="00666ECE" w:rsidRPr="007B0AE2">
        <w:t>Attendance and participation</w:t>
      </w:r>
    </w:p>
    <w:p w:rsidR="00666ECE" w:rsidRDefault="00666ECE" w:rsidP="00483D1F">
      <w:pPr>
        <w:pStyle w:val="BodyText"/>
      </w:pPr>
      <w:r w:rsidRPr="00666ECE">
        <w:t>‘Attendance and participation’ is an indicator of governments’ objective to develop fully the talents and capacities of young people through equitable access to, and participation in, education and learning</w:t>
      </w:r>
      <w:r w:rsidR="001B6514">
        <w:t>,</w:t>
      </w:r>
      <w:r w:rsidRPr="00666ECE">
        <w:t xml:space="preserve"> </w:t>
      </w:r>
      <w:r w:rsidR="0019719B">
        <w:t>to complete</w:t>
      </w:r>
      <w:r w:rsidRPr="00666ECE">
        <w:t xml:space="preserve"> school education to year 12 or its equivalent (box 4.</w:t>
      </w:r>
      <w:r w:rsidR="002C6D98">
        <w:t>2</w:t>
      </w:r>
      <w:r w:rsidRPr="00666ECE">
        <w:t xml:space="preserve">). National and international research confirms a link between attendance and student achievement, although numerous interrelated factors influence attendance and achievement in complex ways. In addition, attendance and participation rates for special needs groups are an indication of the equity of access to school education. </w:t>
      </w:r>
    </w:p>
    <w:p w:rsidR="007B76C5" w:rsidRDefault="007B76C5">
      <w:pPr>
        <w:rPr>
          <w:szCs w:val="20"/>
        </w:rPr>
      </w:pPr>
      <w:r>
        <w:br w:type="page"/>
      </w:r>
    </w:p>
    <w:p w:rsidR="007B76C5" w:rsidRDefault="007B76C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6C5" w:rsidTr="00720F21">
        <w:tc>
          <w:tcPr>
            <w:tcW w:w="8771" w:type="dxa"/>
            <w:tcBorders>
              <w:top w:val="single" w:sz="6" w:space="0" w:color="78A22F"/>
              <w:left w:val="nil"/>
              <w:bottom w:val="nil"/>
              <w:right w:val="nil"/>
            </w:tcBorders>
            <w:shd w:val="clear" w:color="auto" w:fill="F2F2F2"/>
          </w:tcPr>
          <w:p w:rsidR="007B76C5" w:rsidRDefault="007B76C5">
            <w:pPr>
              <w:pStyle w:val="BoxTitle"/>
            </w:pPr>
            <w:r>
              <w:rPr>
                <w:b w:val="0"/>
              </w:rPr>
              <w:t>Box 4.</w:t>
            </w:r>
            <w:r w:rsidR="00FF4FBD">
              <w:rPr>
                <w:b w:val="0"/>
                <w:noProof/>
              </w:rPr>
              <w:t>2</w:t>
            </w:r>
            <w:r>
              <w:tab/>
            </w:r>
            <w:r w:rsidRPr="001C6189">
              <w:t>Attendance and participation</w:t>
            </w:r>
          </w:p>
        </w:tc>
      </w:tr>
      <w:tr w:rsidR="007B76C5" w:rsidTr="00720F21">
        <w:trPr>
          <w:cantSplit/>
        </w:trPr>
        <w:tc>
          <w:tcPr>
            <w:tcW w:w="8771" w:type="dxa"/>
            <w:tcBorders>
              <w:top w:val="nil"/>
              <w:left w:val="nil"/>
              <w:bottom w:val="nil"/>
              <w:right w:val="nil"/>
            </w:tcBorders>
            <w:shd w:val="clear" w:color="auto" w:fill="F2F2F2"/>
          </w:tcPr>
          <w:p w:rsidR="007B76C5" w:rsidRPr="007B76C5" w:rsidRDefault="007B76C5" w:rsidP="007B76C5">
            <w:pPr>
              <w:pStyle w:val="Box"/>
            </w:pPr>
            <w:r w:rsidRPr="007B76C5">
              <w:t>Attendance and participation’ is defined by five measures.</w:t>
            </w:r>
          </w:p>
          <w:p w:rsidR="007B76C5" w:rsidRPr="007B76C5" w:rsidRDefault="007B76C5" w:rsidP="007B76C5">
            <w:pPr>
              <w:pStyle w:val="Box"/>
              <w:rPr>
                <w:i/>
              </w:rPr>
            </w:pPr>
            <w:r w:rsidRPr="007B76C5">
              <w:rPr>
                <w:i/>
              </w:rPr>
              <w:t>Attendance</w:t>
            </w:r>
          </w:p>
          <w:p w:rsidR="007B76C5" w:rsidRPr="007B76C5" w:rsidRDefault="007B76C5" w:rsidP="007B76C5">
            <w:pPr>
              <w:pStyle w:val="Box"/>
              <w:numPr>
                <w:ilvl w:val="0"/>
                <w:numId w:val="1"/>
              </w:numPr>
            </w:pPr>
            <w:r w:rsidRPr="007B76C5">
              <w:t xml:space="preserve">Student attendance rate, defined as the number of actual full time equivalent student days attended by full time students in Years 1 to 10 as a percentage of the total number of possible student days attended over the period, by Indigenous status and remoteness (for aggregated year levels). </w:t>
            </w:r>
          </w:p>
          <w:p w:rsidR="007B76C5" w:rsidRPr="007B76C5" w:rsidRDefault="007B76C5" w:rsidP="007B76C5">
            <w:pPr>
              <w:pStyle w:val="Box"/>
              <w:numPr>
                <w:ilvl w:val="0"/>
                <w:numId w:val="1"/>
              </w:numPr>
            </w:pPr>
            <w:r w:rsidRPr="007B76C5">
              <w:t xml:space="preserve">Student attendance level, defined as the proportion of full time students in Years 1 to 10 whose attendance rate is greater than or equal to 90 per cent over the period, by Indigenous status and remoteness (for aggregated year levels). </w:t>
            </w:r>
          </w:p>
          <w:p w:rsidR="007B76C5" w:rsidRPr="007B76C5" w:rsidRDefault="007B76C5" w:rsidP="007B76C5">
            <w:pPr>
              <w:pStyle w:val="Box"/>
            </w:pPr>
            <w:r w:rsidRPr="007B76C5">
              <w:t>A high or increasing student attendance rate and student attendance level is desirable.</w:t>
            </w:r>
          </w:p>
          <w:p w:rsidR="007B76C5" w:rsidRPr="007B76C5" w:rsidRDefault="007B76C5" w:rsidP="007B76C5">
            <w:pPr>
              <w:pStyle w:val="Box"/>
            </w:pPr>
            <w:r w:rsidRPr="007B76C5">
              <w:t xml:space="preserve">The attendance rate measure has been substantially revised since previous reports. The attendance level measure is reported for the first time in this report. Data are collected for semester 1 of each year and results may not be representative of the entire school year. </w:t>
            </w:r>
          </w:p>
          <w:p w:rsidR="007B76C5" w:rsidRPr="007B76C5" w:rsidRDefault="007B76C5" w:rsidP="007B76C5">
            <w:pPr>
              <w:pStyle w:val="Box"/>
            </w:pPr>
            <w:r w:rsidRPr="007B76C5">
              <w:t>Data reported for these measures are:</w:t>
            </w:r>
          </w:p>
          <w:p w:rsidR="007B76C5" w:rsidRPr="007B76C5" w:rsidRDefault="00CE5C75" w:rsidP="007B76C5">
            <w:pPr>
              <w:pStyle w:val="Box"/>
              <w:numPr>
                <w:ilvl w:val="0"/>
                <w:numId w:val="1"/>
              </w:numPr>
            </w:pPr>
            <w:r w:rsidRPr="007B76C5">
              <w:t>not fully comparable across jurisdictions</w:t>
            </w:r>
            <w:r w:rsidR="0000007D" w:rsidRPr="007B76C5">
              <w:t xml:space="preserve"> for the attendance rate (</w:t>
            </w:r>
            <w:r w:rsidRPr="007B76C5">
              <w:t xml:space="preserve">NSW government </w:t>
            </w:r>
            <w:r w:rsidR="00CD10BF" w:rsidRPr="007B76C5">
              <w:t xml:space="preserve">school </w:t>
            </w:r>
            <w:r w:rsidRPr="007B76C5">
              <w:t>data are not yet collected on a comparable basis to other states and territories</w:t>
            </w:r>
            <w:r w:rsidR="0000007D" w:rsidRPr="007B76C5">
              <w:t>) nor across sectors for the attendance level (data for non-government schools have been collected on a different basis to the nationally agreed standard for which data for government schools have been collected, and results should not be compared across the two sectors)</w:t>
            </w:r>
          </w:p>
          <w:p w:rsidR="007B76C5" w:rsidRPr="007B76C5" w:rsidRDefault="007B76C5" w:rsidP="007B76C5">
            <w:pPr>
              <w:pStyle w:val="Box"/>
              <w:numPr>
                <w:ilvl w:val="0"/>
                <w:numId w:val="1"/>
              </w:numPr>
            </w:pPr>
            <w:r w:rsidRPr="007B76C5">
              <w:t>complete for the current reporting period (subject to caveats) for the attendance rate. All required 2015 data are available for all jurisdictions providing the service (2014 data are also available). Data are incomplete for the current reporting period for the attendance level. All required 2015 government school data were not available for NSW.</w:t>
            </w:r>
          </w:p>
          <w:p w:rsidR="007B76C5" w:rsidRPr="007B76C5" w:rsidRDefault="007B76C5" w:rsidP="007B76C5">
            <w:pPr>
              <w:pStyle w:val="Box"/>
              <w:rPr>
                <w:i/>
              </w:rPr>
            </w:pPr>
            <w:r w:rsidRPr="007B76C5">
              <w:rPr>
                <w:i/>
              </w:rPr>
              <w:t>Participation</w:t>
            </w:r>
          </w:p>
          <w:p w:rsidR="007B76C5" w:rsidRPr="007B76C5" w:rsidRDefault="007B76C5" w:rsidP="007B76C5">
            <w:pPr>
              <w:pStyle w:val="Box"/>
              <w:numPr>
                <w:ilvl w:val="0"/>
                <w:numId w:val="1"/>
              </w:numPr>
            </w:pPr>
            <w:r w:rsidRPr="007B76C5">
              <w:t>The number of students aged 6–15 years enrolled in school (full time and part time enrolments) expressed as a proportion of the estimated resident population of the same age. Data are provided for all students and by Indigenous status</w:t>
            </w:r>
          </w:p>
          <w:p w:rsidR="007B76C5" w:rsidRPr="007B76C5" w:rsidRDefault="007B76C5" w:rsidP="007B76C5">
            <w:pPr>
              <w:pStyle w:val="Box"/>
              <w:numPr>
                <w:ilvl w:val="0"/>
                <w:numId w:val="1"/>
              </w:numPr>
              <w:rPr>
                <w:b/>
              </w:rPr>
            </w:pPr>
            <w:r w:rsidRPr="007B76C5">
              <w:t xml:space="preserve">The number of full time and part time school students of a particular age expressed as a proportion of the estimated resident population of the same age, by single year of age and total for 15–19 year olds. </w:t>
            </w:r>
          </w:p>
          <w:p w:rsidR="007B76C5" w:rsidRPr="007B76C5" w:rsidRDefault="007B76C5" w:rsidP="007B76C5">
            <w:pPr>
              <w:pStyle w:val="Box"/>
            </w:pPr>
            <w:r w:rsidRPr="007B76C5">
              <w:t>A higher or increasing participation rate for these first two measures above suggests an improvement in educational outcomes through greater access to or participation in school education. However, these measures need to be interpreted with care as:</w:t>
            </w:r>
          </w:p>
          <w:p w:rsidR="007B76C5" w:rsidRPr="007B76C5" w:rsidRDefault="007B76C5" w:rsidP="007B76C5">
            <w:pPr>
              <w:pStyle w:val="Box"/>
              <w:numPr>
                <w:ilvl w:val="0"/>
                <w:numId w:val="1"/>
              </w:numPr>
            </w:pPr>
            <w:r w:rsidRPr="007B76C5">
              <w:t>rates are influenced by jurisdictional differences in age/grade structures, and the participation rate is an age-based rate</w:t>
            </w:r>
          </w:p>
          <w:p w:rsidR="007B76C5" w:rsidRDefault="007B76C5" w:rsidP="00614276">
            <w:pPr>
              <w:pStyle w:val="BoxListBullet"/>
            </w:pPr>
            <w:r w:rsidRPr="007B76C5">
              <w:t>an overestimation of enrolment in some states and territories (for example, where enrolment rates exceed 100 per cent) may occur due to students: moving interstate during a school year, multiple enrolments by individual students or students residing in one jurisdiction enrolling in schools in another jurisdiction (as the measures are based on enrolled population as a proportion of the resident population). In particular, enrolment rates in the ACT exceed 100 per cent as a result of NSW residents from surrounding areas enrolling in ACT. This is referred to as cross-border enrolment.</w:t>
            </w:r>
          </w:p>
          <w:p w:rsidR="007B76C5" w:rsidRPr="00283EB4" w:rsidRDefault="007B76C5" w:rsidP="007B76C5">
            <w:pPr>
              <w:pStyle w:val="Box"/>
              <w:spacing w:before="0" w:line="200" w:lineRule="atLeast"/>
              <w:jc w:val="right"/>
              <w:rPr>
                <w:sz w:val="18"/>
                <w:szCs w:val="18"/>
              </w:rPr>
            </w:pPr>
            <w:r w:rsidRPr="00283EB4">
              <w:rPr>
                <w:sz w:val="18"/>
                <w:szCs w:val="18"/>
              </w:rPr>
              <w:t>(continued next page)</w:t>
            </w:r>
          </w:p>
        </w:tc>
      </w:tr>
      <w:tr w:rsidR="007B76C5" w:rsidTr="00720F21">
        <w:trPr>
          <w:cantSplit/>
        </w:trPr>
        <w:tc>
          <w:tcPr>
            <w:tcW w:w="8771" w:type="dxa"/>
            <w:tcBorders>
              <w:top w:val="nil"/>
              <w:left w:val="nil"/>
              <w:bottom w:val="single" w:sz="6" w:space="0" w:color="78A22F"/>
              <w:right w:val="nil"/>
            </w:tcBorders>
            <w:shd w:val="clear" w:color="auto" w:fill="F2F2F2"/>
          </w:tcPr>
          <w:p w:rsidR="007B76C5" w:rsidRDefault="007B76C5" w:rsidP="00614276">
            <w:pPr>
              <w:pStyle w:val="Box"/>
              <w:spacing w:before="0" w:line="20" w:lineRule="exact"/>
            </w:pPr>
          </w:p>
        </w:tc>
      </w:tr>
    </w:tbl>
    <w:p w:rsidR="007B76C5" w:rsidRDefault="007B76C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76C5" w:rsidTr="00720F21">
        <w:tc>
          <w:tcPr>
            <w:tcW w:w="8771" w:type="dxa"/>
            <w:tcBorders>
              <w:top w:val="single" w:sz="6" w:space="0" w:color="78A22F"/>
              <w:left w:val="nil"/>
              <w:bottom w:val="nil"/>
              <w:right w:val="nil"/>
            </w:tcBorders>
            <w:shd w:val="clear" w:color="auto" w:fill="F2F2F2"/>
          </w:tcPr>
          <w:p w:rsidR="007B76C5" w:rsidRDefault="007B76C5">
            <w:pPr>
              <w:pStyle w:val="BoxTitle"/>
            </w:pPr>
            <w:r>
              <w:rPr>
                <w:b w:val="0"/>
              </w:rPr>
              <w:t>Box 4.2</w:t>
            </w:r>
            <w:r>
              <w:tab/>
            </w:r>
            <w:r w:rsidRPr="0027264A">
              <w:rPr>
                <w:b w:val="0"/>
                <w:sz w:val="18"/>
                <w:szCs w:val="18"/>
              </w:rPr>
              <w:t>(continued)</w:t>
            </w:r>
          </w:p>
        </w:tc>
      </w:tr>
      <w:tr w:rsidR="007B76C5" w:rsidTr="00720F21">
        <w:trPr>
          <w:cantSplit/>
        </w:trPr>
        <w:tc>
          <w:tcPr>
            <w:tcW w:w="8771" w:type="dxa"/>
            <w:tcBorders>
              <w:top w:val="nil"/>
              <w:left w:val="nil"/>
              <w:bottom w:val="nil"/>
              <w:right w:val="nil"/>
            </w:tcBorders>
            <w:shd w:val="clear" w:color="auto" w:fill="F2F2F2"/>
          </w:tcPr>
          <w:p w:rsidR="007B76C5" w:rsidRPr="007B76C5" w:rsidRDefault="007B76C5" w:rsidP="007B76C5">
            <w:pPr>
              <w:pStyle w:val="Box"/>
              <w:numPr>
                <w:ilvl w:val="0"/>
                <w:numId w:val="1"/>
              </w:numPr>
            </w:pPr>
            <w:r w:rsidRPr="007B76C5">
              <w:t>The proportion of 15–19 year olds who have successfully completed at least one unit of competency as part of a Vocational Education and Training (VET) qualification at Australian Qualifications Framework (AQF) Certificate level II or above.</w:t>
            </w:r>
          </w:p>
          <w:p w:rsidR="007B76C5" w:rsidRPr="007B76C5" w:rsidRDefault="007B76C5" w:rsidP="007B76C5">
            <w:pPr>
              <w:pStyle w:val="Box"/>
            </w:pPr>
            <w:r w:rsidRPr="007B76C5">
              <w:t>These three measures do not provide information on young people who develop their talents and capacities through other options for delivering post-compulsory education and training — for example, work-based training and enrolment in a VET course. A broader participation indicator that accounts for some of these factors is reported in the Child care, education and training sector overview.</w:t>
            </w:r>
          </w:p>
          <w:p w:rsidR="007B76C5" w:rsidRPr="007B76C5" w:rsidRDefault="007B76C5" w:rsidP="007B76C5">
            <w:pPr>
              <w:pStyle w:val="Box"/>
            </w:pPr>
            <w:r w:rsidRPr="007B76C5">
              <w:t xml:space="preserve">Data reported for these three measures are </w:t>
            </w:r>
          </w:p>
          <w:p w:rsidR="007B76C5" w:rsidRPr="007B76C5" w:rsidRDefault="007B76C5" w:rsidP="007B76C5">
            <w:pPr>
              <w:pStyle w:val="Box"/>
              <w:numPr>
                <w:ilvl w:val="0"/>
                <w:numId w:val="1"/>
              </w:numPr>
            </w:pPr>
            <w:r w:rsidRPr="007B76C5">
              <w:t xml:space="preserve">comparable (subject to caveats) across jurisdictions and over time. </w:t>
            </w:r>
          </w:p>
          <w:p w:rsidR="007B76C5" w:rsidRPr="007B76C5" w:rsidRDefault="007B76C5" w:rsidP="007B76C5">
            <w:pPr>
              <w:pStyle w:val="Box"/>
              <w:numPr>
                <w:ilvl w:val="0"/>
                <w:numId w:val="1"/>
              </w:numPr>
            </w:pPr>
            <w:r w:rsidRPr="007B76C5">
              <w:t>complete for the current reporting period (subject to caveats). All required 2013 and 2014 data are available for all jurisdictions providing the service.</w:t>
            </w:r>
          </w:p>
          <w:p w:rsidR="007B76C5" w:rsidRPr="007B76C5" w:rsidRDefault="007B76C5" w:rsidP="007B76C5">
            <w:pPr>
              <w:pStyle w:val="Box"/>
            </w:pPr>
            <w:r w:rsidRPr="007B76C5">
              <w:t>Care should be exercised in relation to the data for Aboriginal and Torres Strait Islander students, particularly in some jurisdictions and in the non-government sectors, due to small population sizes.</w:t>
            </w:r>
          </w:p>
          <w:p w:rsidR="007B76C5" w:rsidRDefault="007B76C5" w:rsidP="007B76C5">
            <w:pPr>
              <w:pStyle w:val="Box"/>
            </w:pPr>
            <w:r w:rsidRPr="007B76C5">
              <w:t>Information about data quality for this indicator is at www.pc.gov.au/rogs/2016</w:t>
            </w:r>
          </w:p>
        </w:tc>
      </w:tr>
      <w:tr w:rsidR="007B76C5" w:rsidTr="00720F21">
        <w:trPr>
          <w:cantSplit/>
        </w:trPr>
        <w:tc>
          <w:tcPr>
            <w:tcW w:w="8771" w:type="dxa"/>
            <w:tcBorders>
              <w:top w:val="nil"/>
              <w:left w:val="nil"/>
              <w:bottom w:val="single" w:sz="6" w:space="0" w:color="78A22F"/>
              <w:right w:val="nil"/>
            </w:tcBorders>
            <w:shd w:val="clear" w:color="auto" w:fill="F2F2F2"/>
          </w:tcPr>
          <w:p w:rsidR="007B76C5" w:rsidRDefault="007B76C5">
            <w:pPr>
              <w:pStyle w:val="Box"/>
              <w:spacing w:before="0" w:line="120" w:lineRule="exact"/>
            </w:pPr>
          </w:p>
        </w:tc>
      </w:tr>
      <w:tr w:rsidR="007B76C5" w:rsidRPr="000863A5" w:rsidTr="00720F21">
        <w:tc>
          <w:tcPr>
            <w:tcW w:w="8771" w:type="dxa"/>
            <w:tcBorders>
              <w:top w:val="single" w:sz="6" w:space="0" w:color="78A22F"/>
              <w:left w:val="nil"/>
              <w:bottom w:val="nil"/>
              <w:right w:val="nil"/>
            </w:tcBorders>
          </w:tcPr>
          <w:p w:rsidR="007B76C5" w:rsidRPr="00626D32" w:rsidRDefault="007B76C5" w:rsidP="00720F21">
            <w:pPr>
              <w:pStyle w:val="BoxSpaceBelow"/>
            </w:pPr>
          </w:p>
        </w:tc>
      </w:tr>
    </w:tbl>
    <w:p w:rsidR="00CE5C75" w:rsidRDefault="00CE5C75" w:rsidP="005516D1">
      <w:pPr>
        <w:pStyle w:val="Heading5"/>
      </w:pPr>
      <w:r>
        <w:t>Attendance rate</w:t>
      </w:r>
    </w:p>
    <w:p w:rsidR="00CE5C75" w:rsidRPr="00666ECE" w:rsidRDefault="00CE5C75" w:rsidP="009D6C89">
      <w:pPr>
        <w:pStyle w:val="BodyText"/>
        <w:shd w:val="clear" w:color="auto" w:fill="FFFFFF" w:themeFill="background1"/>
      </w:pPr>
      <w:r w:rsidRPr="00666ECE">
        <w:t xml:space="preserve">For all students </w:t>
      </w:r>
      <w:r w:rsidRPr="00602605">
        <w:t>in 201</w:t>
      </w:r>
      <w:r>
        <w:t>5</w:t>
      </w:r>
      <w:r w:rsidRPr="00602605">
        <w:t xml:space="preserve">, </w:t>
      </w:r>
      <w:r>
        <w:t xml:space="preserve">the </w:t>
      </w:r>
      <w:r w:rsidRPr="00602605">
        <w:t>attendance</w:t>
      </w:r>
      <w:r w:rsidRPr="00666ECE">
        <w:t xml:space="preserve"> </w:t>
      </w:r>
      <w:r w:rsidRPr="005D5321">
        <w:t>rate</w:t>
      </w:r>
      <w:r w:rsidR="001F5425" w:rsidRPr="005D5321">
        <w:t>s</w:t>
      </w:r>
      <w:r w:rsidRPr="005D5321">
        <w:t xml:space="preserve"> w</w:t>
      </w:r>
      <w:r w:rsidR="001F5425" w:rsidRPr="005D5321">
        <w:t>ere</w:t>
      </w:r>
      <w:r w:rsidRPr="005D5321">
        <w:t xml:space="preserve"> </w:t>
      </w:r>
      <w:r w:rsidR="0022061D" w:rsidRPr="005D5321">
        <w:rPr>
          <w:shd w:val="clear" w:color="auto" w:fill="FFFFFF" w:themeFill="background1"/>
        </w:rPr>
        <w:t>similar</w:t>
      </w:r>
      <w:r w:rsidRPr="005D5321">
        <w:rPr>
          <w:shd w:val="clear" w:color="auto" w:fill="FFFFFF" w:themeFill="background1"/>
        </w:rPr>
        <w:t xml:space="preserve"> </w:t>
      </w:r>
      <w:r w:rsidR="001F5425" w:rsidRPr="005D5321">
        <w:rPr>
          <w:shd w:val="clear" w:color="auto" w:fill="FFFFFF" w:themeFill="background1"/>
        </w:rPr>
        <w:t xml:space="preserve">nationally and within each state and territory </w:t>
      </w:r>
      <w:r w:rsidR="009D6C89">
        <w:rPr>
          <w:shd w:val="clear" w:color="auto" w:fill="FFFFFF" w:themeFill="background1"/>
        </w:rPr>
        <w:t>across</w:t>
      </w:r>
      <w:r w:rsidRPr="005D5321">
        <w:rPr>
          <w:shd w:val="clear" w:color="auto" w:fill="FFFFFF" w:themeFill="background1"/>
        </w:rPr>
        <w:t xml:space="preserve"> years 1–</w:t>
      </w:r>
      <w:r w:rsidR="001F5425" w:rsidRPr="005D5321">
        <w:rPr>
          <w:shd w:val="clear" w:color="auto" w:fill="FFFFFF" w:themeFill="background1"/>
        </w:rPr>
        <w:t>6</w:t>
      </w:r>
      <w:r w:rsidRPr="005D5321">
        <w:rPr>
          <w:shd w:val="clear" w:color="auto" w:fill="FFFFFF" w:themeFill="background1"/>
        </w:rPr>
        <w:t xml:space="preserve">. In general, attendance </w:t>
      </w:r>
      <w:r w:rsidRPr="00E57D1B">
        <w:rPr>
          <w:shd w:val="clear" w:color="auto" w:fill="FFFFFF" w:themeFill="background1"/>
        </w:rPr>
        <w:t>gradually dec</w:t>
      </w:r>
      <w:r w:rsidR="0022061D" w:rsidRPr="00E57D1B">
        <w:rPr>
          <w:shd w:val="clear" w:color="auto" w:fill="FFFFFF" w:themeFill="background1"/>
        </w:rPr>
        <w:t>reas</w:t>
      </w:r>
      <w:r w:rsidRPr="00E57D1B">
        <w:rPr>
          <w:shd w:val="clear" w:color="auto" w:fill="FFFFFF" w:themeFill="background1"/>
        </w:rPr>
        <w:t xml:space="preserve">ed </w:t>
      </w:r>
      <w:r w:rsidR="00A259EC" w:rsidRPr="005D5321">
        <w:rPr>
          <w:shd w:val="clear" w:color="auto" w:fill="FFFFFF" w:themeFill="background1"/>
        </w:rPr>
        <w:t xml:space="preserve">from year 7 </w:t>
      </w:r>
      <w:r w:rsidRPr="00E57D1B">
        <w:rPr>
          <w:shd w:val="clear" w:color="auto" w:fill="FFFFFF" w:themeFill="background1"/>
        </w:rPr>
        <w:t>to year 10 (tables</w:t>
      </w:r>
      <w:r w:rsidRPr="007344D0">
        <w:t xml:space="preserve"> 4A.</w:t>
      </w:r>
      <w:r>
        <w:t>1</w:t>
      </w:r>
      <w:r w:rsidR="003F29F7">
        <w:t>3</w:t>
      </w:r>
      <w:r w:rsidR="003A0804">
        <w:t>1</w:t>
      </w:r>
      <w:r>
        <w:t>–1</w:t>
      </w:r>
      <w:r w:rsidR="003F29F7">
        <w:t>3</w:t>
      </w:r>
      <w:r w:rsidR="003A0804">
        <w:t>3</w:t>
      </w:r>
      <w:r w:rsidRPr="007344D0">
        <w:t>).</w:t>
      </w:r>
    </w:p>
    <w:p w:rsidR="003E3261" w:rsidRDefault="00CE5C75" w:rsidP="00E57D1B">
      <w:pPr>
        <w:pStyle w:val="BodyText"/>
        <w:shd w:val="clear" w:color="auto" w:fill="FFFFFF" w:themeFill="background1"/>
      </w:pPr>
      <w:r w:rsidRPr="00666ECE">
        <w:t xml:space="preserve">For </w:t>
      </w:r>
      <w:r w:rsidRPr="005D5321">
        <w:t xml:space="preserve">government schools, the total student attendance rate for 2015 ranged from </w:t>
      </w:r>
      <w:r w:rsidR="005D5321" w:rsidRPr="005D5321">
        <w:rPr>
          <w:shd w:val="clear" w:color="auto" w:fill="FFFFFF" w:themeFill="background1"/>
        </w:rPr>
        <w:t>75.0</w:t>
      </w:r>
      <w:r w:rsidR="003F29F7" w:rsidRPr="005D5321">
        <w:rPr>
          <w:shd w:val="clear" w:color="auto" w:fill="FFFFFF" w:themeFill="background1"/>
        </w:rPr>
        <w:t> </w:t>
      </w:r>
      <w:r w:rsidRPr="005D5321">
        <w:rPr>
          <w:shd w:val="clear" w:color="auto" w:fill="FFFFFF" w:themeFill="background1"/>
        </w:rPr>
        <w:t>per</w:t>
      </w:r>
      <w:r w:rsidR="003F29F7" w:rsidRPr="005D5321">
        <w:rPr>
          <w:shd w:val="clear" w:color="auto" w:fill="FFFFFF" w:themeFill="background1"/>
        </w:rPr>
        <w:t> </w:t>
      </w:r>
      <w:r w:rsidRPr="005D5321">
        <w:rPr>
          <w:shd w:val="clear" w:color="auto" w:fill="FFFFFF" w:themeFill="background1"/>
        </w:rPr>
        <w:t xml:space="preserve">cent to </w:t>
      </w:r>
      <w:r w:rsidR="005D5321" w:rsidRPr="005D5321">
        <w:rPr>
          <w:shd w:val="clear" w:color="auto" w:fill="FFFFFF" w:themeFill="background1"/>
        </w:rPr>
        <w:t>94.1</w:t>
      </w:r>
      <w:r w:rsidRPr="005D5321">
        <w:rPr>
          <w:shd w:val="clear" w:color="auto" w:fill="FFFFFF" w:themeFill="background1"/>
        </w:rPr>
        <w:t xml:space="preserve"> per cent </w:t>
      </w:r>
      <w:r w:rsidRPr="004E1CC2">
        <w:rPr>
          <w:shd w:val="clear" w:color="auto" w:fill="FFFFFF" w:themeFill="background1"/>
        </w:rPr>
        <w:t xml:space="preserve">across year levels </w:t>
      </w:r>
      <w:r w:rsidR="009D6C89">
        <w:rPr>
          <w:shd w:val="clear" w:color="auto" w:fill="FFFFFF" w:themeFill="background1"/>
        </w:rPr>
        <w:t xml:space="preserve">(1–10) </w:t>
      </w:r>
      <w:r w:rsidRPr="004E1CC2">
        <w:rPr>
          <w:shd w:val="clear" w:color="auto" w:fill="FFFFFF" w:themeFill="background1"/>
        </w:rPr>
        <w:t>and jurisdictions (figure 4.</w:t>
      </w:r>
      <w:r w:rsidR="0022061D">
        <w:rPr>
          <w:shd w:val="clear" w:color="auto" w:fill="FFFFFF" w:themeFill="background1"/>
        </w:rPr>
        <w:t>4</w:t>
      </w:r>
      <w:r w:rsidRPr="004E1CC2">
        <w:rPr>
          <w:shd w:val="clear" w:color="auto" w:fill="FFFFFF" w:themeFill="background1"/>
        </w:rPr>
        <w:t xml:space="preserve"> and table</w:t>
      </w:r>
      <w:r w:rsidR="003F29F7">
        <w:rPr>
          <w:shd w:val="clear" w:color="auto" w:fill="FFFFFF" w:themeFill="background1"/>
        </w:rPr>
        <w:t> </w:t>
      </w:r>
      <w:r w:rsidRPr="004E1CC2">
        <w:rPr>
          <w:shd w:val="clear" w:color="auto" w:fill="FFFFFF" w:themeFill="background1"/>
        </w:rPr>
        <w:t>4A</w:t>
      </w:r>
      <w:r w:rsidRPr="007344D0">
        <w:t>.1</w:t>
      </w:r>
      <w:r w:rsidR="003A0804">
        <w:t>3</w:t>
      </w:r>
      <w:r w:rsidR="001F5425">
        <w:t>1</w:t>
      </w:r>
      <w:r w:rsidRPr="007344D0">
        <w:t>).</w:t>
      </w:r>
      <w:r w:rsidRPr="00666ECE">
        <w:t xml:space="preserve"> </w:t>
      </w:r>
      <w:r w:rsidR="003E3261" w:rsidRPr="00666ECE">
        <w:t>D</w:t>
      </w:r>
      <w:r w:rsidR="003E3261">
        <w:t xml:space="preserve">ata for 2015 student </w:t>
      </w:r>
      <w:r w:rsidR="003E3261" w:rsidRPr="004E1CC2">
        <w:t xml:space="preserve">attendance rates for non-government </w:t>
      </w:r>
      <w:r w:rsidR="003E3261" w:rsidRPr="00E57D1B">
        <w:rPr>
          <w:shd w:val="clear" w:color="auto" w:fill="FFFFFF" w:themeFill="background1"/>
        </w:rPr>
        <w:t>schools</w:t>
      </w:r>
      <w:r w:rsidR="00CD704C">
        <w:rPr>
          <w:shd w:val="clear" w:color="auto" w:fill="FFFFFF" w:themeFill="background1"/>
        </w:rPr>
        <w:t xml:space="preserve"> and all schools</w:t>
      </w:r>
      <w:r w:rsidR="003E3261" w:rsidRPr="00E57D1B">
        <w:rPr>
          <w:shd w:val="clear" w:color="auto" w:fill="FFFFFF" w:themeFill="background1"/>
        </w:rPr>
        <w:t xml:space="preserve"> show similar trends (</w:t>
      </w:r>
      <w:r w:rsidR="003E3261" w:rsidRPr="004E1CC2">
        <w:t xml:space="preserve">tables </w:t>
      </w:r>
      <w:r w:rsidR="003E3261" w:rsidRPr="004E1CC2">
        <w:rPr>
          <w:shd w:val="clear" w:color="auto" w:fill="FFFFFF" w:themeFill="background1"/>
        </w:rPr>
        <w:t>4A.1</w:t>
      </w:r>
      <w:r w:rsidR="003F29F7">
        <w:rPr>
          <w:shd w:val="clear" w:color="auto" w:fill="FFFFFF" w:themeFill="background1"/>
        </w:rPr>
        <w:t>3</w:t>
      </w:r>
      <w:r w:rsidR="001F5425">
        <w:rPr>
          <w:shd w:val="clear" w:color="auto" w:fill="FFFFFF" w:themeFill="background1"/>
        </w:rPr>
        <w:t>2</w:t>
      </w:r>
      <w:r w:rsidR="003E3261" w:rsidRPr="004E1CC2">
        <w:rPr>
          <w:shd w:val="clear" w:color="auto" w:fill="FFFFFF" w:themeFill="background1"/>
        </w:rPr>
        <w:t xml:space="preserve"> and 4A.1</w:t>
      </w:r>
      <w:r w:rsidR="003F29F7">
        <w:rPr>
          <w:shd w:val="clear" w:color="auto" w:fill="FFFFFF" w:themeFill="background1"/>
        </w:rPr>
        <w:t>3</w:t>
      </w:r>
      <w:r w:rsidR="001F5425">
        <w:rPr>
          <w:shd w:val="clear" w:color="auto" w:fill="FFFFFF" w:themeFill="background1"/>
        </w:rPr>
        <w:t>3</w:t>
      </w:r>
      <w:r w:rsidR="003E3261" w:rsidRPr="004E1CC2">
        <w:rPr>
          <w:shd w:val="clear" w:color="auto" w:fill="FFFFFF" w:themeFill="background1"/>
        </w:rPr>
        <w:t>).</w:t>
      </w:r>
    </w:p>
    <w:p w:rsidR="003E3261" w:rsidRPr="00666ECE" w:rsidRDefault="003E3261" w:rsidP="003E3261">
      <w:pPr>
        <w:pStyle w:val="BodyText"/>
        <w:shd w:val="clear" w:color="auto" w:fill="FFFFFF" w:themeFill="background1"/>
      </w:pPr>
      <w:r>
        <w:t>Non-</w:t>
      </w:r>
      <w:r w:rsidRPr="00666ECE">
        <w:t xml:space="preserve">Indigenous students </w:t>
      </w:r>
      <w:r>
        <w:t xml:space="preserve">in government schools </w:t>
      </w:r>
      <w:r w:rsidRPr="00E57D1B">
        <w:rPr>
          <w:shd w:val="clear" w:color="auto" w:fill="FFFFFF" w:themeFill="background1"/>
        </w:rPr>
        <w:t>had higher attendance rates than Aboriginal and Torres Strait Islander students across all year levels in all jurisdictions in 2015 (figure 4.</w:t>
      </w:r>
      <w:r w:rsidR="00CF6F4E" w:rsidRPr="00E57D1B">
        <w:rPr>
          <w:shd w:val="clear" w:color="auto" w:fill="FFFFFF" w:themeFill="background1"/>
        </w:rPr>
        <w:t xml:space="preserve">5 </w:t>
      </w:r>
      <w:r w:rsidRPr="00E57D1B">
        <w:rPr>
          <w:shd w:val="clear" w:color="auto" w:fill="FFFFFF" w:themeFill="background1"/>
        </w:rPr>
        <w:t>and table 4A.</w:t>
      </w:r>
      <w:r w:rsidR="003F29F7" w:rsidRPr="00E57D1B">
        <w:rPr>
          <w:shd w:val="clear" w:color="auto" w:fill="FFFFFF" w:themeFill="background1"/>
        </w:rPr>
        <w:t>13</w:t>
      </w:r>
      <w:r w:rsidR="003A0804" w:rsidRPr="00E57D1B">
        <w:rPr>
          <w:shd w:val="clear" w:color="auto" w:fill="FFFFFF" w:themeFill="background1"/>
        </w:rPr>
        <w:t>1</w:t>
      </w:r>
      <w:r w:rsidRPr="00E57D1B">
        <w:rPr>
          <w:shd w:val="clear" w:color="auto" w:fill="FFFFFF" w:themeFill="background1"/>
        </w:rPr>
        <w:t>). The differences varied across states and territories. A similar pattern</w:t>
      </w:r>
      <w:r w:rsidRPr="00666ECE">
        <w:t xml:space="preserve"> was observed for non-government schools</w:t>
      </w:r>
      <w:r w:rsidR="00CD704C">
        <w:t xml:space="preserve"> and all schools</w:t>
      </w:r>
      <w:r w:rsidRPr="00666ECE">
        <w:t xml:space="preserve"> </w:t>
      </w:r>
      <w:r w:rsidRPr="00602605">
        <w:t>(tables 4A.</w:t>
      </w:r>
      <w:r>
        <w:t>1</w:t>
      </w:r>
      <w:r w:rsidR="003F29F7">
        <w:t>3</w:t>
      </w:r>
      <w:r w:rsidR="003A0804">
        <w:t>2</w:t>
      </w:r>
      <w:r w:rsidRPr="00602605">
        <w:t xml:space="preserve"> and 4A.</w:t>
      </w:r>
      <w:r>
        <w:t>1</w:t>
      </w:r>
      <w:r w:rsidR="003F29F7">
        <w:t>3</w:t>
      </w:r>
      <w:r w:rsidR="003A0804">
        <w:t>3</w:t>
      </w:r>
      <w:r w:rsidRPr="00602605">
        <w:t>).</w:t>
      </w:r>
    </w:p>
    <w:p w:rsidR="00CE5C75" w:rsidRDefault="00CE5C75" w:rsidP="00CE5C7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E5C75" w:rsidRPr="00EA799F" w:rsidTr="000C386B">
        <w:tc>
          <w:tcPr>
            <w:tcW w:w="8771" w:type="dxa"/>
            <w:tcBorders>
              <w:top w:val="single" w:sz="6" w:space="0" w:color="78A22F"/>
              <w:left w:val="nil"/>
              <w:bottom w:val="nil"/>
              <w:right w:val="nil"/>
            </w:tcBorders>
            <w:shd w:val="clear" w:color="auto" w:fill="auto"/>
          </w:tcPr>
          <w:p w:rsidR="00CE5C75" w:rsidRPr="00176D3F" w:rsidRDefault="00CE5C75" w:rsidP="00FE2E01">
            <w:pPr>
              <w:pStyle w:val="FigureTitle"/>
            </w:pPr>
            <w:r w:rsidRPr="00784A05">
              <w:rPr>
                <w:b w:val="0"/>
              </w:rPr>
              <w:t xml:space="preserve">Figure </w:t>
            </w:r>
            <w:r>
              <w:rPr>
                <w:b w:val="0"/>
              </w:rPr>
              <w:t>4.</w:t>
            </w:r>
            <w:r w:rsidR="00FF4FBD">
              <w:rPr>
                <w:b w:val="0"/>
                <w:noProof/>
              </w:rPr>
              <w:t>4</w:t>
            </w:r>
            <w:r>
              <w:tab/>
            </w:r>
            <w:r w:rsidRPr="00356C97">
              <w:t>Student attendance rate, all students, government schools, 201</w:t>
            </w:r>
            <w:r>
              <w:t>5</w:t>
            </w:r>
            <w:r w:rsidR="00703A74">
              <w:t xml:space="preserve"> (per cent)</w:t>
            </w:r>
            <w:r w:rsidR="007C767F" w:rsidRPr="007C767F">
              <w:rPr>
                <w:rStyle w:val="NoteLabel"/>
                <w:b/>
              </w:rPr>
              <w:t>a</w:t>
            </w:r>
            <w:r>
              <w:t xml:space="preserve"> </w:t>
            </w:r>
          </w:p>
        </w:tc>
      </w:tr>
      <w:tr w:rsidR="00CE5C75" w:rsidRPr="00EA799F" w:rsidTr="000C386B">
        <w:tc>
          <w:tcPr>
            <w:tcW w:w="8771" w:type="dxa"/>
            <w:tcBorders>
              <w:top w:val="nil"/>
              <w:left w:val="nil"/>
              <w:bottom w:val="nil"/>
              <w:right w:val="nil"/>
            </w:tcBorders>
            <w:shd w:val="clear" w:color="auto" w:fill="auto"/>
            <w:tcMar>
              <w:top w:w="28" w:type="dxa"/>
              <w:bottom w:w="28" w:type="dxa"/>
            </w:tcMar>
          </w:tcPr>
          <w:p w:rsidR="00CE5C75" w:rsidRDefault="00AB3077" w:rsidP="000C386B">
            <w:pPr>
              <w:pStyle w:val="Figure"/>
            </w:pPr>
            <w:r>
              <w:rPr>
                <w:noProof/>
              </w:rPr>
              <w:drawing>
                <wp:inline distT="0" distB="0" distL="0" distR="0">
                  <wp:extent cx="5381625" cy="2619375"/>
                  <wp:effectExtent l="0" t="0" r="9525" b="9525"/>
                  <wp:docPr id="4" name="Picture 4" descr="Figure 4.4 Student attendance rate, all students, government schools, 2015 (per c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1625" cy="2619375"/>
                          </a:xfrm>
                          <a:prstGeom prst="rect">
                            <a:avLst/>
                          </a:prstGeom>
                          <a:noFill/>
                          <a:ln>
                            <a:noFill/>
                          </a:ln>
                        </pic:spPr>
                      </pic:pic>
                    </a:graphicData>
                  </a:graphic>
                </wp:inline>
              </w:drawing>
            </w:r>
          </w:p>
        </w:tc>
      </w:tr>
      <w:tr w:rsidR="00CE5C75" w:rsidRPr="00176D3F" w:rsidTr="000C386B">
        <w:tc>
          <w:tcPr>
            <w:tcW w:w="8771" w:type="dxa"/>
            <w:tcBorders>
              <w:top w:val="nil"/>
              <w:left w:val="nil"/>
              <w:bottom w:val="nil"/>
              <w:right w:val="nil"/>
            </w:tcBorders>
            <w:shd w:val="clear" w:color="auto" w:fill="auto"/>
          </w:tcPr>
          <w:p w:rsidR="007C767F" w:rsidRDefault="007C767F" w:rsidP="003F29F7">
            <w:pPr>
              <w:pStyle w:val="Source"/>
            </w:pPr>
            <w:r w:rsidRPr="00953E9C">
              <w:rPr>
                <w:rStyle w:val="NoteLabel"/>
              </w:rPr>
              <w:t>a</w:t>
            </w:r>
            <w:r w:rsidRPr="00953E9C">
              <w:t xml:space="preserve"> </w:t>
            </w:r>
            <w:r w:rsidRPr="007C767F">
              <w:t xml:space="preserve">See </w:t>
            </w:r>
            <w:r w:rsidR="005B3EDD">
              <w:t xml:space="preserve">box 4.2 and </w:t>
            </w:r>
            <w:r w:rsidRPr="007C767F">
              <w:t xml:space="preserve">table </w:t>
            </w:r>
            <w:r>
              <w:t>4A.13</w:t>
            </w:r>
            <w:r w:rsidR="001F5425">
              <w:t>1</w:t>
            </w:r>
            <w:r w:rsidRPr="007C767F">
              <w:t xml:space="preserve"> for detailed</w:t>
            </w:r>
            <w:r w:rsidR="005B3EDD">
              <w:t xml:space="preserve"> </w:t>
            </w:r>
            <w:r w:rsidR="005B3EDD" w:rsidRPr="005B3EDD">
              <w:t>definitions, footnotes and caveats</w:t>
            </w:r>
            <w:r w:rsidRPr="007C767F">
              <w:t>.</w:t>
            </w:r>
          </w:p>
          <w:p w:rsidR="00CE5C75" w:rsidRPr="00176D3F" w:rsidRDefault="00CE5C75" w:rsidP="003A0804">
            <w:pPr>
              <w:pStyle w:val="Source"/>
            </w:pPr>
            <w:r>
              <w:rPr>
                <w:i/>
              </w:rPr>
              <w:t>S</w:t>
            </w:r>
            <w:r w:rsidRPr="00784A05">
              <w:rPr>
                <w:i/>
              </w:rPr>
              <w:t>ource</w:t>
            </w:r>
            <w:r w:rsidRPr="00176D3F">
              <w:t xml:space="preserve">: </w:t>
            </w:r>
            <w:r w:rsidRPr="00356C97">
              <w:t>Australian Curriculum and Assessment Reporting Authority (ACARA) (unpublished); table 4A.1</w:t>
            </w:r>
            <w:r w:rsidR="003F29F7">
              <w:t>3</w:t>
            </w:r>
            <w:r w:rsidR="003A0804">
              <w:t>1</w:t>
            </w:r>
            <w:r w:rsidRPr="00356C97">
              <w:t>.</w:t>
            </w:r>
          </w:p>
        </w:tc>
      </w:tr>
      <w:tr w:rsidR="00CE5C75" w:rsidTr="000C386B">
        <w:tc>
          <w:tcPr>
            <w:tcW w:w="8771" w:type="dxa"/>
            <w:tcBorders>
              <w:top w:val="nil"/>
              <w:left w:val="nil"/>
              <w:bottom w:val="single" w:sz="6" w:space="0" w:color="78A22F"/>
              <w:right w:val="nil"/>
            </w:tcBorders>
            <w:shd w:val="clear" w:color="auto" w:fill="auto"/>
          </w:tcPr>
          <w:p w:rsidR="00CE5C75" w:rsidRDefault="00CE5C75" w:rsidP="000C386B">
            <w:pPr>
              <w:pStyle w:val="Figurespace"/>
            </w:pPr>
          </w:p>
        </w:tc>
      </w:tr>
      <w:tr w:rsidR="00CE5C75" w:rsidRPr="000863A5" w:rsidTr="000C386B">
        <w:tc>
          <w:tcPr>
            <w:tcW w:w="8771" w:type="dxa"/>
            <w:tcBorders>
              <w:top w:val="single" w:sz="6" w:space="0" w:color="78A22F"/>
              <w:left w:val="nil"/>
              <w:bottom w:val="nil"/>
              <w:right w:val="nil"/>
            </w:tcBorders>
          </w:tcPr>
          <w:p w:rsidR="00CE5C75" w:rsidRPr="00626D32" w:rsidRDefault="00CE5C75" w:rsidP="000C386B">
            <w:pPr>
              <w:pStyle w:val="BoxSpaceBelow"/>
            </w:pPr>
          </w:p>
        </w:tc>
      </w:tr>
    </w:tbl>
    <w:p w:rsidR="00CE5C75" w:rsidRDefault="00CE5C75" w:rsidP="00CE5C7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E5C75" w:rsidTr="000C386B">
        <w:tc>
          <w:tcPr>
            <w:tcW w:w="8771" w:type="dxa"/>
            <w:tcBorders>
              <w:top w:val="single" w:sz="6" w:space="0" w:color="78A22F"/>
              <w:left w:val="nil"/>
              <w:bottom w:val="nil"/>
              <w:right w:val="nil"/>
            </w:tcBorders>
            <w:shd w:val="clear" w:color="auto" w:fill="auto"/>
          </w:tcPr>
          <w:p w:rsidR="00CE5C75" w:rsidRPr="00176D3F" w:rsidRDefault="00CE5C75" w:rsidP="00E41F99">
            <w:pPr>
              <w:pStyle w:val="FigureTitle"/>
            </w:pPr>
            <w:r w:rsidRPr="00784A05">
              <w:rPr>
                <w:b w:val="0"/>
              </w:rPr>
              <w:t xml:space="preserve">Figure </w:t>
            </w:r>
            <w:r>
              <w:rPr>
                <w:b w:val="0"/>
              </w:rPr>
              <w:t>4.</w:t>
            </w:r>
            <w:r w:rsidR="00FF4FBD">
              <w:rPr>
                <w:b w:val="0"/>
                <w:noProof/>
              </w:rPr>
              <w:t>5</w:t>
            </w:r>
            <w:r>
              <w:tab/>
            </w:r>
            <w:r w:rsidRPr="001435AF">
              <w:t xml:space="preserve">Student attendance rate, </w:t>
            </w:r>
            <w:r>
              <w:t>Aboriginal and Torres Strait Islander</w:t>
            </w:r>
            <w:r w:rsidRPr="001435AF">
              <w:t xml:space="preserve"> students, government schools, 201</w:t>
            </w:r>
            <w:r>
              <w:t>5</w:t>
            </w:r>
            <w:r w:rsidR="00703A74">
              <w:t xml:space="preserve"> (per cent)</w:t>
            </w:r>
            <w:r w:rsidR="007C767F" w:rsidRPr="007C767F">
              <w:rPr>
                <w:rStyle w:val="NoteLabel"/>
                <w:b/>
              </w:rPr>
              <w:t>a</w:t>
            </w:r>
          </w:p>
        </w:tc>
      </w:tr>
      <w:tr w:rsidR="00CE5C75" w:rsidTr="000C386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E5C75" w:rsidTr="000C386B">
              <w:trPr>
                <w:jc w:val="center"/>
              </w:trPr>
              <w:tc>
                <w:tcPr>
                  <w:tcW w:w="5000" w:type="pct"/>
                  <w:tcBorders>
                    <w:top w:val="nil"/>
                    <w:bottom w:val="nil"/>
                  </w:tcBorders>
                </w:tcPr>
                <w:p w:rsidR="00CE5C75" w:rsidRDefault="00AB3077" w:rsidP="000C386B">
                  <w:pPr>
                    <w:pStyle w:val="Figure"/>
                    <w:spacing w:before="60" w:after="60"/>
                  </w:pPr>
                  <w:r>
                    <w:rPr>
                      <w:noProof/>
                    </w:rPr>
                    <w:drawing>
                      <wp:inline distT="0" distB="0" distL="0" distR="0">
                        <wp:extent cx="5381625" cy="2647950"/>
                        <wp:effectExtent l="0" t="0" r="9525" b="0"/>
                        <wp:docPr id="5" name="Picture 5" descr="Figure 4.5 Student attendance rate, Aboriginal and Torres Strait Islander students, government schools, 2015 (per c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CE5C75" w:rsidRDefault="00CE5C75" w:rsidP="000C386B">
            <w:pPr>
              <w:pStyle w:val="Figure"/>
            </w:pPr>
          </w:p>
        </w:tc>
      </w:tr>
      <w:tr w:rsidR="00CE5C75" w:rsidRPr="00176D3F" w:rsidTr="000C386B">
        <w:tc>
          <w:tcPr>
            <w:tcW w:w="8771" w:type="dxa"/>
            <w:tcBorders>
              <w:top w:val="nil"/>
              <w:left w:val="nil"/>
              <w:bottom w:val="nil"/>
              <w:right w:val="nil"/>
            </w:tcBorders>
            <w:shd w:val="clear" w:color="auto" w:fill="auto"/>
          </w:tcPr>
          <w:p w:rsidR="005B3EDD" w:rsidRDefault="005B3EDD" w:rsidP="005B3EDD">
            <w:pPr>
              <w:pStyle w:val="Source"/>
            </w:pPr>
            <w:r w:rsidRPr="00953E9C">
              <w:rPr>
                <w:rStyle w:val="NoteLabel"/>
              </w:rPr>
              <w:t>a</w:t>
            </w:r>
            <w:r w:rsidRPr="00953E9C">
              <w:t xml:space="preserve"> </w:t>
            </w:r>
            <w:r w:rsidRPr="007C767F">
              <w:t xml:space="preserve">See </w:t>
            </w:r>
            <w:r>
              <w:t xml:space="preserve">box 4.2 and </w:t>
            </w:r>
            <w:r w:rsidRPr="007C767F">
              <w:t xml:space="preserve">table </w:t>
            </w:r>
            <w:r>
              <w:t>4A.13</w:t>
            </w:r>
            <w:r w:rsidR="001F5425">
              <w:t>1</w:t>
            </w:r>
            <w:r w:rsidRPr="007C767F">
              <w:t xml:space="preserve"> for detailed</w:t>
            </w:r>
            <w:r>
              <w:t xml:space="preserve"> </w:t>
            </w:r>
            <w:r w:rsidRPr="005B3EDD">
              <w:t>definitions, footnotes and caveats</w:t>
            </w:r>
            <w:r w:rsidRPr="007C767F">
              <w:t>.</w:t>
            </w:r>
          </w:p>
          <w:p w:rsidR="00CE5C75" w:rsidRPr="00176D3F" w:rsidRDefault="00CE5C75" w:rsidP="003A0804">
            <w:pPr>
              <w:pStyle w:val="Source"/>
            </w:pPr>
            <w:r>
              <w:rPr>
                <w:i/>
              </w:rPr>
              <w:t>S</w:t>
            </w:r>
            <w:r w:rsidRPr="00784A05">
              <w:rPr>
                <w:i/>
              </w:rPr>
              <w:t>ource</w:t>
            </w:r>
            <w:r w:rsidRPr="00176D3F">
              <w:t xml:space="preserve">: </w:t>
            </w:r>
            <w:r w:rsidRPr="001435AF">
              <w:t>ACARA (unpublished); table 4A.</w:t>
            </w:r>
            <w:r>
              <w:t>1</w:t>
            </w:r>
            <w:r w:rsidR="003F29F7">
              <w:t>3</w:t>
            </w:r>
            <w:r w:rsidR="003A0804">
              <w:t>1</w:t>
            </w:r>
          </w:p>
        </w:tc>
      </w:tr>
      <w:tr w:rsidR="00CE5C75" w:rsidTr="000C386B">
        <w:tc>
          <w:tcPr>
            <w:tcW w:w="8771" w:type="dxa"/>
            <w:tcBorders>
              <w:top w:val="nil"/>
              <w:left w:val="nil"/>
              <w:bottom w:val="single" w:sz="6" w:space="0" w:color="78A22F"/>
              <w:right w:val="nil"/>
            </w:tcBorders>
            <w:shd w:val="clear" w:color="auto" w:fill="auto"/>
          </w:tcPr>
          <w:p w:rsidR="00CE5C75" w:rsidRDefault="00CE5C75" w:rsidP="000C386B">
            <w:pPr>
              <w:pStyle w:val="Figurespace"/>
            </w:pPr>
          </w:p>
        </w:tc>
      </w:tr>
      <w:tr w:rsidR="00CE5C75" w:rsidRPr="000863A5" w:rsidTr="000C386B">
        <w:tc>
          <w:tcPr>
            <w:tcW w:w="8771" w:type="dxa"/>
            <w:tcBorders>
              <w:top w:val="single" w:sz="6" w:space="0" w:color="78A22F"/>
              <w:left w:val="nil"/>
              <w:bottom w:val="nil"/>
              <w:right w:val="nil"/>
            </w:tcBorders>
          </w:tcPr>
          <w:p w:rsidR="00CE5C75" w:rsidRPr="00626D32" w:rsidRDefault="00CE5C75" w:rsidP="000C386B">
            <w:pPr>
              <w:pStyle w:val="BoxSpaceBelow"/>
            </w:pPr>
          </w:p>
        </w:tc>
      </w:tr>
    </w:tbl>
    <w:p w:rsidR="00CE5C75" w:rsidRDefault="00CE5C75" w:rsidP="00CE5C75">
      <w:pPr>
        <w:pStyle w:val="BodyText"/>
      </w:pPr>
      <w:r>
        <w:lastRenderedPageBreak/>
        <w:t>Data for years 1–6</w:t>
      </w:r>
      <w:r w:rsidR="009D6C89">
        <w:t xml:space="preserve"> combined</w:t>
      </w:r>
      <w:r>
        <w:t xml:space="preserve">, 7–10 </w:t>
      </w:r>
      <w:r w:rsidR="009D6C89">
        <w:t xml:space="preserve">combined </w:t>
      </w:r>
      <w:r>
        <w:t xml:space="preserve">and 1–10 </w:t>
      </w:r>
      <w:r w:rsidR="009D6C89">
        <w:t xml:space="preserve">combined </w:t>
      </w:r>
      <w:r>
        <w:t>by geolocation and Indigenous status for 2015 are included in tables 4A.1</w:t>
      </w:r>
      <w:r w:rsidR="003F29F7">
        <w:t>3</w:t>
      </w:r>
      <w:r w:rsidR="003A0804">
        <w:t>1</w:t>
      </w:r>
      <w:r>
        <w:t>–1</w:t>
      </w:r>
      <w:r w:rsidR="003F29F7">
        <w:t>3</w:t>
      </w:r>
      <w:r w:rsidR="003A0804">
        <w:t>3</w:t>
      </w:r>
      <w:r>
        <w:t xml:space="preserve">. In general, for both </w:t>
      </w:r>
      <w:r w:rsidR="00A90335" w:rsidRPr="005D5321">
        <w:t xml:space="preserve">Aboriginal and </w:t>
      </w:r>
      <w:r w:rsidR="003E3261" w:rsidRPr="005D5321">
        <w:t>T</w:t>
      </w:r>
      <w:r w:rsidR="00A90335" w:rsidRPr="005D5321">
        <w:t>orres Strait Islander students</w:t>
      </w:r>
      <w:r w:rsidRPr="005D5321">
        <w:t xml:space="preserve"> and non-Indigenous students, attendance rates </w:t>
      </w:r>
      <w:r w:rsidRPr="005D5321">
        <w:rPr>
          <w:shd w:val="clear" w:color="auto" w:fill="FFFFFF" w:themeFill="background1"/>
        </w:rPr>
        <w:t xml:space="preserve">decline with increasing remoteness, but the </w:t>
      </w:r>
      <w:r w:rsidR="003E3261" w:rsidRPr="005D5321">
        <w:rPr>
          <w:shd w:val="clear" w:color="auto" w:fill="FFFFFF" w:themeFill="background1"/>
        </w:rPr>
        <w:t>decline is greater</w:t>
      </w:r>
      <w:r w:rsidRPr="005D5321">
        <w:rPr>
          <w:shd w:val="clear" w:color="auto" w:fill="FFFFFF" w:themeFill="background1"/>
        </w:rPr>
        <w:t xml:space="preserve"> for </w:t>
      </w:r>
      <w:r w:rsidR="003E3261" w:rsidRPr="005D5321">
        <w:rPr>
          <w:shd w:val="clear" w:color="auto" w:fill="FFFFFF" w:themeFill="background1"/>
        </w:rPr>
        <w:t xml:space="preserve">Aboriginal and Torres Strait </w:t>
      </w:r>
      <w:r w:rsidR="003E3261" w:rsidRPr="00E57D1B">
        <w:rPr>
          <w:shd w:val="clear" w:color="auto" w:fill="FFFFFF" w:themeFill="background1"/>
        </w:rPr>
        <w:t xml:space="preserve">Islander </w:t>
      </w:r>
      <w:r w:rsidRPr="00E57D1B">
        <w:rPr>
          <w:shd w:val="clear" w:color="auto" w:fill="FFFFFF" w:themeFill="background1"/>
        </w:rPr>
        <w:t>students</w:t>
      </w:r>
      <w:r>
        <w:t>.</w:t>
      </w:r>
    </w:p>
    <w:p w:rsidR="00D650D1" w:rsidRDefault="00CE5C75" w:rsidP="00D650D1">
      <w:pPr>
        <w:pStyle w:val="BodyText"/>
      </w:pPr>
      <w:r>
        <w:t xml:space="preserve">There has </w:t>
      </w:r>
      <w:r w:rsidRPr="00467ECF">
        <w:rPr>
          <w:shd w:val="clear" w:color="auto" w:fill="FFFFFF" w:themeFill="background1"/>
        </w:rPr>
        <w:t xml:space="preserve">not been a significant change in </w:t>
      </w:r>
      <w:r w:rsidRPr="005D5321">
        <w:rPr>
          <w:shd w:val="clear" w:color="auto" w:fill="FFFFFF" w:themeFill="background1"/>
        </w:rPr>
        <w:t xml:space="preserve">attendance rates from 2014 to 2015, for </w:t>
      </w:r>
      <w:r w:rsidR="00847B4C" w:rsidRPr="005D5321">
        <w:rPr>
          <w:shd w:val="clear" w:color="auto" w:fill="FFFFFF" w:themeFill="background1"/>
        </w:rPr>
        <w:br/>
      </w:r>
      <w:r w:rsidR="00467ECF" w:rsidRPr="005D5321">
        <w:rPr>
          <w:shd w:val="clear" w:color="auto" w:fill="FFFFFF" w:themeFill="background1"/>
        </w:rPr>
        <w:t>years</w:t>
      </w:r>
      <w:r w:rsidRPr="005D5321">
        <w:rPr>
          <w:shd w:val="clear" w:color="auto" w:fill="FFFFFF" w:themeFill="background1"/>
        </w:rPr>
        <w:t xml:space="preserve"> 7</w:t>
      </w:r>
      <w:r w:rsidR="00847B4C" w:rsidRPr="005D5321">
        <w:rPr>
          <w:shd w:val="clear" w:color="auto" w:fill="FFFFFF" w:themeFill="background1"/>
        </w:rPr>
        <w:t>–</w:t>
      </w:r>
      <w:r w:rsidRPr="005D5321">
        <w:rPr>
          <w:shd w:val="clear" w:color="auto" w:fill="FFFFFF" w:themeFill="background1"/>
        </w:rPr>
        <w:t xml:space="preserve">10 </w:t>
      </w:r>
      <w:r w:rsidR="009D6C89">
        <w:rPr>
          <w:shd w:val="clear" w:color="auto" w:fill="FFFFFF" w:themeFill="background1"/>
        </w:rPr>
        <w:t xml:space="preserve">combined </w:t>
      </w:r>
      <w:r w:rsidRPr="005D5321">
        <w:rPr>
          <w:shd w:val="clear" w:color="auto" w:fill="FFFFFF" w:themeFill="background1"/>
        </w:rPr>
        <w:t>for government schools (figure 4.</w:t>
      </w:r>
      <w:r w:rsidR="00CF6F4E" w:rsidRPr="005D5321">
        <w:rPr>
          <w:shd w:val="clear" w:color="auto" w:fill="FFFFFF" w:themeFill="background1"/>
        </w:rPr>
        <w:t>6</w:t>
      </w:r>
      <w:r w:rsidRPr="005D5321">
        <w:rPr>
          <w:shd w:val="clear" w:color="auto" w:fill="FFFFFF" w:themeFill="background1"/>
        </w:rPr>
        <w:t xml:space="preserve">). </w:t>
      </w:r>
      <w:r w:rsidR="003E3261" w:rsidRPr="005D5321">
        <w:rPr>
          <w:shd w:val="clear" w:color="auto" w:fill="FFFFFF" w:themeFill="background1"/>
        </w:rPr>
        <w:t>Si</w:t>
      </w:r>
      <w:r w:rsidR="003E3261" w:rsidRPr="00467ECF">
        <w:rPr>
          <w:shd w:val="clear" w:color="auto" w:fill="FFFFFF" w:themeFill="background1"/>
        </w:rPr>
        <w:t>milar patterns</w:t>
      </w:r>
      <w:r w:rsidR="003E3261">
        <w:t xml:space="preserve"> can be observed for non</w:t>
      </w:r>
      <w:r w:rsidR="003F29F7">
        <w:noBreakHyphen/>
      </w:r>
      <w:r w:rsidR="003E3261">
        <w:t>government and all schools (tables 4A</w:t>
      </w:r>
      <w:r w:rsidR="00CD704C">
        <w:t>.</w:t>
      </w:r>
      <w:r w:rsidR="003E3261">
        <w:t>1</w:t>
      </w:r>
      <w:r w:rsidR="00CD704C">
        <w:t>32-133</w:t>
      </w:r>
      <w:r w:rsidR="003E3261">
        <w:t xml:space="preserve"> and 4A.13</w:t>
      </w:r>
      <w:r w:rsidR="00CD704C">
        <w:t>5</w:t>
      </w:r>
      <w:r w:rsidR="003E3261">
        <w:t>-13</w:t>
      </w:r>
      <w:r w:rsidR="00CD704C">
        <w:t>6</w:t>
      </w:r>
      <w:r w:rsidR="003E3261">
        <w:t>).</w:t>
      </w:r>
      <w:r w:rsidR="00D650D1">
        <w:t xml:space="preserve"> Attendance rate data for 2014 for years 1–6 and 1–10 are in tables 4A.134–136.</w:t>
      </w:r>
    </w:p>
    <w:p w:rsidR="00CE5C75" w:rsidRDefault="00CE5C75" w:rsidP="00CE5C7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E5C75" w:rsidTr="000C386B">
        <w:tc>
          <w:tcPr>
            <w:tcW w:w="8771" w:type="dxa"/>
            <w:tcBorders>
              <w:top w:val="single" w:sz="6" w:space="0" w:color="78A22F"/>
              <w:left w:val="nil"/>
              <w:bottom w:val="nil"/>
              <w:right w:val="nil"/>
            </w:tcBorders>
            <w:shd w:val="clear" w:color="auto" w:fill="auto"/>
          </w:tcPr>
          <w:p w:rsidR="00CE5C75" w:rsidRPr="00176D3F" w:rsidRDefault="00CE5C75" w:rsidP="00D52982">
            <w:pPr>
              <w:pStyle w:val="FigureTitle"/>
            </w:pPr>
            <w:r w:rsidRPr="00784A05">
              <w:rPr>
                <w:b w:val="0"/>
              </w:rPr>
              <w:t xml:space="preserve">Figure </w:t>
            </w:r>
            <w:r>
              <w:rPr>
                <w:b w:val="0"/>
              </w:rPr>
              <w:t>4.</w:t>
            </w:r>
            <w:r w:rsidR="00FF4FBD">
              <w:rPr>
                <w:b w:val="0"/>
                <w:noProof/>
              </w:rPr>
              <w:t>6</w:t>
            </w:r>
            <w:r>
              <w:tab/>
              <w:t>Student attendance rat</w:t>
            </w:r>
            <w:r w:rsidR="00CD704C">
              <w:t>es, government schools, years 7–</w:t>
            </w:r>
            <w:r>
              <w:t>10</w:t>
            </w:r>
            <w:r w:rsidR="00703A74">
              <w:t>, (per cent)</w:t>
            </w:r>
            <w:r w:rsidR="007C767F" w:rsidRPr="007C767F">
              <w:rPr>
                <w:rStyle w:val="NoteLabel"/>
                <w:b/>
              </w:rPr>
              <w:t>a</w:t>
            </w:r>
            <w:r w:rsidR="003C66C1">
              <w:t xml:space="preserve"> </w:t>
            </w:r>
          </w:p>
        </w:tc>
      </w:tr>
      <w:tr w:rsidR="00CE5C75" w:rsidTr="000C386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E5C75" w:rsidTr="000C386B">
              <w:trPr>
                <w:jc w:val="center"/>
              </w:trPr>
              <w:tc>
                <w:tcPr>
                  <w:tcW w:w="5000" w:type="pct"/>
                  <w:tcBorders>
                    <w:top w:val="nil"/>
                    <w:bottom w:val="nil"/>
                  </w:tcBorders>
                </w:tcPr>
                <w:p w:rsidR="00CE5C75" w:rsidRDefault="00AB3077" w:rsidP="000C386B">
                  <w:pPr>
                    <w:pStyle w:val="Figure"/>
                    <w:spacing w:before="60" w:after="60"/>
                  </w:pPr>
                  <w:r>
                    <w:rPr>
                      <w:noProof/>
                    </w:rPr>
                    <w:drawing>
                      <wp:inline distT="0" distB="0" distL="0" distR="0">
                        <wp:extent cx="5381625" cy="2647950"/>
                        <wp:effectExtent l="0" t="0" r="9525" b="0"/>
                        <wp:docPr id="6" name="Picture 6" descr="Figure 4.6 Student attendance rates, government schools, years 7–10, (per c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CE5C75" w:rsidRDefault="00CE5C75" w:rsidP="000C386B">
            <w:pPr>
              <w:pStyle w:val="Figure"/>
            </w:pPr>
          </w:p>
        </w:tc>
      </w:tr>
      <w:tr w:rsidR="00CE5C75" w:rsidRPr="00176D3F" w:rsidTr="000C386B">
        <w:tc>
          <w:tcPr>
            <w:tcW w:w="8771" w:type="dxa"/>
            <w:tcBorders>
              <w:top w:val="nil"/>
              <w:left w:val="nil"/>
              <w:bottom w:val="nil"/>
              <w:right w:val="nil"/>
            </w:tcBorders>
            <w:shd w:val="clear" w:color="auto" w:fill="auto"/>
          </w:tcPr>
          <w:p w:rsidR="005B3EDD" w:rsidRDefault="005B3EDD" w:rsidP="005B3EDD">
            <w:pPr>
              <w:pStyle w:val="Source"/>
            </w:pPr>
            <w:r w:rsidRPr="00953E9C">
              <w:rPr>
                <w:rStyle w:val="NoteLabel"/>
              </w:rPr>
              <w:t>a</w:t>
            </w:r>
            <w:r w:rsidRPr="00953E9C">
              <w:t xml:space="preserve"> </w:t>
            </w:r>
            <w:r w:rsidRPr="007C767F">
              <w:t xml:space="preserve">See </w:t>
            </w:r>
            <w:r>
              <w:t xml:space="preserve">box 4.2 and </w:t>
            </w:r>
            <w:r w:rsidRPr="007C767F">
              <w:t>table</w:t>
            </w:r>
            <w:r w:rsidR="00CD704C">
              <w:t>s</w:t>
            </w:r>
            <w:r w:rsidRPr="007C767F">
              <w:t xml:space="preserve"> </w:t>
            </w:r>
            <w:r>
              <w:t>4A.13</w:t>
            </w:r>
            <w:r w:rsidR="003A0804">
              <w:t>1</w:t>
            </w:r>
            <w:r>
              <w:t xml:space="preserve"> and 4A.13</w:t>
            </w:r>
            <w:r w:rsidR="003A0804">
              <w:t>4</w:t>
            </w:r>
            <w:r w:rsidRPr="007C767F">
              <w:t xml:space="preserve"> for detailed</w:t>
            </w:r>
            <w:r>
              <w:t xml:space="preserve"> </w:t>
            </w:r>
            <w:r w:rsidRPr="005B3EDD">
              <w:t>definitions, footnotes and caveats</w:t>
            </w:r>
            <w:r w:rsidRPr="007C767F">
              <w:t>.</w:t>
            </w:r>
          </w:p>
          <w:p w:rsidR="00CE5C75" w:rsidRPr="00176D3F" w:rsidRDefault="00CE5C75" w:rsidP="003A0804">
            <w:pPr>
              <w:pStyle w:val="Source"/>
            </w:pPr>
            <w:r>
              <w:rPr>
                <w:i/>
              </w:rPr>
              <w:t>S</w:t>
            </w:r>
            <w:r w:rsidRPr="00784A05">
              <w:rPr>
                <w:i/>
              </w:rPr>
              <w:t>ource</w:t>
            </w:r>
            <w:r w:rsidRPr="00176D3F">
              <w:t xml:space="preserve">: </w:t>
            </w:r>
            <w:r w:rsidRPr="001435AF">
              <w:t>ACARA (unpublished); table</w:t>
            </w:r>
            <w:r>
              <w:t>s</w:t>
            </w:r>
            <w:r w:rsidRPr="001435AF">
              <w:t xml:space="preserve"> 4A.</w:t>
            </w:r>
            <w:r>
              <w:t>1</w:t>
            </w:r>
            <w:r w:rsidR="003F29F7">
              <w:t>3</w:t>
            </w:r>
            <w:r w:rsidR="003A0804">
              <w:t>1</w:t>
            </w:r>
            <w:r>
              <w:t xml:space="preserve"> and 4A.13</w:t>
            </w:r>
            <w:r w:rsidR="003A0804">
              <w:t>4</w:t>
            </w:r>
            <w:r w:rsidR="003F29F7">
              <w:t>.</w:t>
            </w:r>
          </w:p>
        </w:tc>
      </w:tr>
      <w:tr w:rsidR="00CE5C75" w:rsidTr="000C386B">
        <w:tc>
          <w:tcPr>
            <w:tcW w:w="8771" w:type="dxa"/>
            <w:tcBorders>
              <w:top w:val="nil"/>
              <w:left w:val="nil"/>
              <w:bottom w:val="single" w:sz="6" w:space="0" w:color="78A22F"/>
              <w:right w:val="nil"/>
            </w:tcBorders>
            <w:shd w:val="clear" w:color="auto" w:fill="auto"/>
          </w:tcPr>
          <w:p w:rsidR="00CE5C75" w:rsidRDefault="00CE5C75" w:rsidP="000C386B">
            <w:pPr>
              <w:pStyle w:val="Figurespace"/>
            </w:pPr>
          </w:p>
        </w:tc>
      </w:tr>
      <w:tr w:rsidR="00CE5C75" w:rsidRPr="000863A5" w:rsidTr="000C386B">
        <w:tc>
          <w:tcPr>
            <w:tcW w:w="8771" w:type="dxa"/>
            <w:tcBorders>
              <w:top w:val="single" w:sz="6" w:space="0" w:color="78A22F"/>
              <w:left w:val="nil"/>
              <w:bottom w:val="nil"/>
              <w:right w:val="nil"/>
            </w:tcBorders>
          </w:tcPr>
          <w:p w:rsidR="00CE5C75" w:rsidRPr="00626D32" w:rsidRDefault="00CE5C75" w:rsidP="000C386B">
            <w:pPr>
              <w:pStyle w:val="BoxSpaceBelow"/>
            </w:pPr>
          </w:p>
        </w:tc>
      </w:tr>
    </w:tbl>
    <w:p w:rsidR="00CE5C75" w:rsidRDefault="00CE5C75" w:rsidP="005516D1">
      <w:pPr>
        <w:pStyle w:val="Heading5"/>
      </w:pPr>
      <w:r>
        <w:t>Attendance level</w:t>
      </w:r>
    </w:p>
    <w:p w:rsidR="00CE5C75" w:rsidRPr="00666ECE" w:rsidRDefault="00CE5C75" w:rsidP="00A259EC">
      <w:pPr>
        <w:pStyle w:val="BodyText"/>
        <w:shd w:val="clear" w:color="auto" w:fill="FFFFFF" w:themeFill="background1"/>
      </w:pPr>
      <w:r w:rsidRPr="00666ECE">
        <w:t xml:space="preserve">For all students </w:t>
      </w:r>
      <w:r w:rsidRPr="00602605">
        <w:t>in 201</w:t>
      </w:r>
      <w:r>
        <w:t>5</w:t>
      </w:r>
      <w:r w:rsidRPr="00602605">
        <w:t xml:space="preserve">, </w:t>
      </w:r>
      <w:r>
        <w:t xml:space="preserve">the </w:t>
      </w:r>
      <w:r w:rsidRPr="00602605">
        <w:t>attendance</w:t>
      </w:r>
      <w:r w:rsidRPr="00666ECE">
        <w:t xml:space="preserve"> </w:t>
      </w:r>
      <w:r>
        <w:t xml:space="preserve">level (the proportion of students whose attendance rate </w:t>
      </w:r>
      <w:r w:rsidR="003E3261">
        <w:t xml:space="preserve">was </w:t>
      </w:r>
      <w:r>
        <w:t>90 per cent</w:t>
      </w:r>
      <w:r w:rsidR="003E3261">
        <w:t xml:space="preserve"> or greater</w:t>
      </w:r>
      <w:r>
        <w:t xml:space="preserve">) </w:t>
      </w:r>
      <w:r w:rsidR="009D6C89" w:rsidRPr="009D6C89">
        <w:t xml:space="preserve">were similar nationally </w:t>
      </w:r>
      <w:r w:rsidR="009D6C89" w:rsidRPr="009D6C89">
        <w:rPr>
          <w:shd w:val="clear" w:color="auto" w:fill="FFFFFF" w:themeFill="background1"/>
        </w:rPr>
        <w:t>and within each state and territory across years 1–6</w:t>
      </w:r>
      <w:r w:rsidRPr="009D6C89">
        <w:rPr>
          <w:shd w:val="clear" w:color="auto" w:fill="FFFFFF" w:themeFill="background1"/>
        </w:rPr>
        <w:t>. In general, the attendance level gradually d</w:t>
      </w:r>
      <w:r w:rsidR="00467ECF" w:rsidRPr="009D6C89">
        <w:rPr>
          <w:shd w:val="clear" w:color="auto" w:fill="FFFFFF" w:themeFill="background1"/>
        </w:rPr>
        <w:t>ecreased</w:t>
      </w:r>
      <w:r w:rsidRPr="009D6C89">
        <w:rPr>
          <w:shd w:val="clear" w:color="auto" w:fill="FFFFFF" w:themeFill="background1"/>
        </w:rPr>
        <w:t xml:space="preserve"> </w:t>
      </w:r>
      <w:r w:rsidR="00A259EC" w:rsidRPr="009D6C89">
        <w:rPr>
          <w:shd w:val="clear" w:color="auto" w:fill="FFFFFF" w:themeFill="background1"/>
        </w:rPr>
        <w:t xml:space="preserve">from year 7 </w:t>
      </w:r>
      <w:r w:rsidRPr="009D6C89">
        <w:rPr>
          <w:shd w:val="clear" w:color="auto" w:fill="FFFFFF" w:themeFill="background1"/>
        </w:rPr>
        <w:t>to year</w:t>
      </w:r>
      <w:r w:rsidR="00AB469E">
        <w:t> </w:t>
      </w:r>
      <w:r w:rsidRPr="00666ECE">
        <w:t xml:space="preserve">10 </w:t>
      </w:r>
      <w:r w:rsidRPr="007344D0">
        <w:t>(</w:t>
      </w:r>
      <w:r w:rsidRPr="003313ED">
        <w:rPr>
          <w:shd w:val="clear" w:color="auto" w:fill="FFFFFF" w:themeFill="background1"/>
        </w:rPr>
        <w:t>table 4A.13</w:t>
      </w:r>
      <w:r w:rsidR="003A0804">
        <w:rPr>
          <w:shd w:val="clear" w:color="auto" w:fill="FFFFFF" w:themeFill="background1"/>
        </w:rPr>
        <w:t>7</w:t>
      </w:r>
      <w:r w:rsidRPr="003313ED">
        <w:rPr>
          <w:shd w:val="clear" w:color="auto" w:fill="FFFFFF" w:themeFill="background1"/>
        </w:rPr>
        <w:t>).</w:t>
      </w:r>
    </w:p>
    <w:p w:rsidR="00BB23C2" w:rsidRPr="00666ECE" w:rsidRDefault="00CE5C75" w:rsidP="00BB23C2">
      <w:pPr>
        <w:pStyle w:val="BodyText"/>
      </w:pPr>
      <w:r w:rsidRPr="004E1CC2">
        <w:rPr>
          <w:shd w:val="clear" w:color="auto" w:fill="FFFFFF" w:themeFill="background1"/>
        </w:rPr>
        <w:t xml:space="preserve">For government schools, the total student attendance level </w:t>
      </w:r>
      <w:r w:rsidRPr="009D6C89">
        <w:rPr>
          <w:shd w:val="clear" w:color="auto" w:fill="FFFFFF" w:themeFill="background1"/>
        </w:rPr>
        <w:t xml:space="preserve">ranged from </w:t>
      </w:r>
      <w:r w:rsidR="009D6C89" w:rsidRPr="009D6C89">
        <w:rPr>
          <w:shd w:val="clear" w:color="auto" w:fill="FFFFFF" w:themeFill="background1"/>
        </w:rPr>
        <w:t>4</w:t>
      </w:r>
      <w:r w:rsidR="00C3749C">
        <w:rPr>
          <w:shd w:val="clear" w:color="auto" w:fill="FFFFFF" w:themeFill="background1"/>
        </w:rPr>
        <w:t>1</w:t>
      </w:r>
      <w:r w:rsidR="009D6C89" w:rsidRPr="009D6C89">
        <w:rPr>
          <w:shd w:val="clear" w:color="auto" w:fill="FFFFFF" w:themeFill="background1"/>
        </w:rPr>
        <w:t>.6</w:t>
      </w:r>
      <w:r w:rsidRPr="009D6C89">
        <w:rPr>
          <w:shd w:val="clear" w:color="auto" w:fill="FFFFFF" w:themeFill="background1"/>
        </w:rPr>
        <w:t xml:space="preserve"> per cent to </w:t>
      </w:r>
      <w:r w:rsidR="009D6C89" w:rsidRPr="009D6C89">
        <w:rPr>
          <w:shd w:val="clear" w:color="auto" w:fill="FFFFFF" w:themeFill="background1"/>
        </w:rPr>
        <w:t>83.0</w:t>
      </w:r>
      <w:r w:rsidRPr="009D6C89">
        <w:rPr>
          <w:shd w:val="clear" w:color="auto" w:fill="FFFFFF" w:themeFill="background1"/>
        </w:rPr>
        <w:t> per cent across y</w:t>
      </w:r>
      <w:r w:rsidRPr="00E57D1B">
        <w:rPr>
          <w:shd w:val="clear" w:color="auto" w:fill="FFFFFF" w:themeFill="background1"/>
        </w:rPr>
        <w:t xml:space="preserve">ear levels </w:t>
      </w:r>
      <w:r w:rsidR="009D6C89">
        <w:rPr>
          <w:shd w:val="clear" w:color="auto" w:fill="FFFFFF" w:themeFill="background1"/>
        </w:rPr>
        <w:t xml:space="preserve">(1–10) </w:t>
      </w:r>
      <w:r w:rsidRPr="00E57D1B">
        <w:rPr>
          <w:shd w:val="clear" w:color="auto" w:fill="FFFFFF" w:themeFill="background1"/>
        </w:rPr>
        <w:t>an</w:t>
      </w:r>
      <w:r w:rsidRPr="001D5AD2">
        <w:t xml:space="preserve">d jurisdictions (figure </w:t>
      </w:r>
      <w:r w:rsidRPr="00666ECE">
        <w:t>4.</w:t>
      </w:r>
      <w:r w:rsidR="00CF6F4E">
        <w:t>7</w:t>
      </w:r>
      <w:r w:rsidRPr="00666ECE">
        <w:t xml:space="preserve"> and </w:t>
      </w:r>
      <w:r w:rsidRPr="007344D0">
        <w:t>table 4A.1</w:t>
      </w:r>
      <w:r>
        <w:t>3</w:t>
      </w:r>
      <w:r w:rsidR="003A0804">
        <w:t>7</w:t>
      </w:r>
      <w:r w:rsidRPr="007344D0">
        <w:t>).</w:t>
      </w:r>
      <w:r w:rsidRPr="00666ECE">
        <w:t xml:space="preserve"> </w:t>
      </w:r>
      <w:r w:rsidR="00BB23C2">
        <w:t>Non-</w:t>
      </w:r>
      <w:r w:rsidR="00BB23C2" w:rsidRPr="00666ECE">
        <w:t xml:space="preserve">Indigenous students </w:t>
      </w:r>
      <w:r w:rsidR="00BB23C2">
        <w:t xml:space="preserve">in government schools </w:t>
      </w:r>
      <w:r w:rsidR="00BB23C2" w:rsidRPr="001E18F5">
        <w:t xml:space="preserve">had </w:t>
      </w:r>
      <w:r w:rsidR="00BB23C2" w:rsidRPr="001E18F5">
        <w:rPr>
          <w:shd w:val="clear" w:color="auto" w:fill="FFFFFF" w:themeFill="background1"/>
        </w:rPr>
        <w:t xml:space="preserve">higher attendance </w:t>
      </w:r>
      <w:r w:rsidR="00BB23C2" w:rsidRPr="00E57D1B">
        <w:rPr>
          <w:shd w:val="clear" w:color="auto" w:fill="FFFFFF" w:themeFill="background1"/>
        </w:rPr>
        <w:t>levels</w:t>
      </w:r>
      <w:r w:rsidR="00BB23C2" w:rsidRPr="00666ECE">
        <w:t xml:space="preserve"> than </w:t>
      </w:r>
      <w:r w:rsidR="00BB23C2">
        <w:t>Aboriginal and Torres Strait Islander</w:t>
      </w:r>
      <w:r w:rsidR="00BB23C2" w:rsidRPr="00666ECE">
        <w:t xml:space="preserve"> students across all year levels in all jurisdictions </w:t>
      </w:r>
      <w:r w:rsidR="00BB23C2">
        <w:t xml:space="preserve">in 2015 </w:t>
      </w:r>
      <w:r w:rsidR="00BB23C2" w:rsidRPr="00666ECE">
        <w:t>(figure 4.</w:t>
      </w:r>
      <w:r w:rsidR="00BB23C2">
        <w:t>8</w:t>
      </w:r>
      <w:r w:rsidR="00BB23C2" w:rsidRPr="00666ECE">
        <w:t xml:space="preserve"> </w:t>
      </w:r>
      <w:r w:rsidR="00BB23C2" w:rsidRPr="00E719E0">
        <w:rPr>
          <w:shd w:val="clear" w:color="auto" w:fill="FFFFFF" w:themeFill="background1"/>
        </w:rPr>
        <w:t>and table 4A.13</w:t>
      </w:r>
      <w:r w:rsidR="00BB23C2">
        <w:rPr>
          <w:shd w:val="clear" w:color="auto" w:fill="FFFFFF" w:themeFill="background1"/>
        </w:rPr>
        <w:t>7</w:t>
      </w:r>
      <w:r w:rsidR="00BB23C2" w:rsidRPr="00E719E0">
        <w:rPr>
          <w:shd w:val="clear" w:color="auto" w:fill="FFFFFF" w:themeFill="background1"/>
        </w:rPr>
        <w:t>).</w:t>
      </w:r>
      <w:r w:rsidR="00BB23C2" w:rsidRPr="00666ECE">
        <w:t xml:space="preserve"> The differences varied across states and territories.</w:t>
      </w:r>
      <w:r w:rsidR="00BB23C2">
        <w:t xml:space="preserve"> </w:t>
      </w:r>
    </w:p>
    <w:p w:rsidR="00CE5C75" w:rsidRDefault="00CE5C75" w:rsidP="00CE5C7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E5C75" w:rsidRPr="00EA799F" w:rsidTr="000C386B">
        <w:tc>
          <w:tcPr>
            <w:tcW w:w="8771" w:type="dxa"/>
            <w:tcBorders>
              <w:top w:val="single" w:sz="6" w:space="0" w:color="78A22F"/>
              <w:left w:val="nil"/>
              <w:bottom w:val="nil"/>
              <w:right w:val="nil"/>
            </w:tcBorders>
            <w:shd w:val="clear" w:color="auto" w:fill="auto"/>
          </w:tcPr>
          <w:p w:rsidR="00CE5C75" w:rsidRPr="00176D3F" w:rsidRDefault="00CE5C75" w:rsidP="00E41F99">
            <w:pPr>
              <w:pStyle w:val="FigureTitle"/>
            </w:pPr>
            <w:r w:rsidRPr="00784A05">
              <w:rPr>
                <w:b w:val="0"/>
              </w:rPr>
              <w:t xml:space="preserve">Figure </w:t>
            </w:r>
            <w:r>
              <w:rPr>
                <w:b w:val="0"/>
              </w:rPr>
              <w:t>4.</w:t>
            </w:r>
            <w:r w:rsidR="00FF4FBD">
              <w:rPr>
                <w:b w:val="0"/>
                <w:noProof/>
              </w:rPr>
              <w:t>7</w:t>
            </w:r>
            <w:r>
              <w:tab/>
            </w:r>
            <w:r w:rsidRPr="00356C97">
              <w:t xml:space="preserve">Student attendance </w:t>
            </w:r>
            <w:r>
              <w:t>level</w:t>
            </w:r>
            <w:r w:rsidRPr="00356C97">
              <w:t>, all students, government schools, 201</w:t>
            </w:r>
            <w:r>
              <w:t>5</w:t>
            </w:r>
            <w:r w:rsidR="00703A74">
              <w:t xml:space="preserve"> (per cent)</w:t>
            </w:r>
            <w:r w:rsidR="00BB23C2" w:rsidRPr="00BB23C2">
              <w:rPr>
                <w:rStyle w:val="NoteLabel"/>
                <w:b/>
              </w:rPr>
              <w:t>a</w:t>
            </w:r>
            <w:r w:rsidR="00BB23C2">
              <w:rPr>
                <w:rStyle w:val="NoteLabel"/>
                <w:b/>
              </w:rPr>
              <w:t>, b</w:t>
            </w:r>
            <w:r w:rsidRPr="00E719E0">
              <w:rPr>
                <w:rFonts w:ascii="Times New Roman" w:hAnsi="Times New Roman"/>
                <w:color w:val="FF0000"/>
              </w:rPr>
              <w:t xml:space="preserve"> </w:t>
            </w:r>
          </w:p>
        </w:tc>
      </w:tr>
      <w:tr w:rsidR="00CE5C75" w:rsidRPr="00EA799F" w:rsidTr="000C386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E5C75" w:rsidTr="000C386B">
              <w:trPr>
                <w:jc w:val="center"/>
              </w:trPr>
              <w:tc>
                <w:tcPr>
                  <w:tcW w:w="5000" w:type="pct"/>
                  <w:tcBorders>
                    <w:top w:val="nil"/>
                    <w:bottom w:val="nil"/>
                  </w:tcBorders>
                </w:tcPr>
                <w:p w:rsidR="00CE5C75" w:rsidRDefault="00494008" w:rsidP="000C386B">
                  <w:pPr>
                    <w:pStyle w:val="Figure"/>
                    <w:spacing w:before="60" w:after="60"/>
                  </w:pPr>
                  <w:r>
                    <w:rPr>
                      <w:noProof/>
                    </w:rPr>
                    <w:drawing>
                      <wp:inline distT="0" distB="0" distL="0" distR="0">
                        <wp:extent cx="5381625" cy="2619375"/>
                        <wp:effectExtent l="0" t="0" r="9525" b="9525"/>
                        <wp:docPr id="7" name="Picture 7" descr="Figure 4.7 Student attendance level, all students, government schools, 2015 (per c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1625" cy="2619375"/>
                                </a:xfrm>
                                <a:prstGeom prst="rect">
                                  <a:avLst/>
                                </a:prstGeom>
                                <a:noFill/>
                                <a:ln>
                                  <a:noFill/>
                                </a:ln>
                              </pic:spPr>
                            </pic:pic>
                          </a:graphicData>
                        </a:graphic>
                      </wp:inline>
                    </w:drawing>
                  </w:r>
                </w:p>
              </w:tc>
            </w:tr>
          </w:tbl>
          <w:p w:rsidR="00CE5C75" w:rsidRDefault="00CE5C75" w:rsidP="000C386B">
            <w:pPr>
              <w:pStyle w:val="Figure"/>
            </w:pPr>
          </w:p>
        </w:tc>
      </w:tr>
      <w:tr w:rsidR="00CE5C75" w:rsidRPr="00176D3F" w:rsidTr="000C386B">
        <w:tc>
          <w:tcPr>
            <w:tcW w:w="8771" w:type="dxa"/>
            <w:tcBorders>
              <w:top w:val="nil"/>
              <w:left w:val="nil"/>
              <w:bottom w:val="nil"/>
              <w:right w:val="nil"/>
            </w:tcBorders>
            <w:shd w:val="clear" w:color="auto" w:fill="auto"/>
          </w:tcPr>
          <w:p w:rsidR="00D650D1" w:rsidRPr="00D650D1" w:rsidRDefault="005B3EDD" w:rsidP="00D650D1">
            <w:pPr>
              <w:pStyle w:val="Source"/>
            </w:pPr>
            <w:r w:rsidRPr="00953E9C">
              <w:rPr>
                <w:rStyle w:val="NoteLabel"/>
              </w:rPr>
              <w:t>a</w:t>
            </w:r>
            <w:r w:rsidRPr="00953E9C">
              <w:t xml:space="preserve"> </w:t>
            </w:r>
            <w:r w:rsidRPr="007C767F">
              <w:t xml:space="preserve">See </w:t>
            </w:r>
            <w:r>
              <w:t xml:space="preserve">box 4.2 and </w:t>
            </w:r>
            <w:r w:rsidRPr="007C767F">
              <w:t xml:space="preserve">table </w:t>
            </w:r>
            <w:r>
              <w:t>4A.13</w:t>
            </w:r>
            <w:r w:rsidR="003A0804">
              <w:t>7</w:t>
            </w:r>
            <w:r w:rsidRPr="007C767F">
              <w:t xml:space="preserve"> for detailed</w:t>
            </w:r>
            <w:r>
              <w:t xml:space="preserve"> </w:t>
            </w:r>
            <w:r w:rsidRPr="005B3EDD">
              <w:t>definitions, footnotes and caveats</w:t>
            </w:r>
            <w:r w:rsidRPr="007C767F">
              <w:t>.</w:t>
            </w:r>
            <w:r w:rsidR="00BB23C2">
              <w:t xml:space="preserve"> </w:t>
            </w:r>
            <w:r w:rsidR="00BB23C2" w:rsidRPr="00BB23C2">
              <w:rPr>
                <w:rStyle w:val="NoteLabel"/>
              </w:rPr>
              <w:t>b</w:t>
            </w:r>
            <w:r w:rsidR="00BB23C2">
              <w:t xml:space="preserve"> Data for NSW are not available.</w:t>
            </w:r>
            <w:r w:rsidR="00D650D1">
              <w:t xml:space="preserve"> </w:t>
            </w:r>
            <w:r w:rsidR="00D650D1" w:rsidRPr="00D650D1">
              <w:t>The Australian total excludes NSW.</w:t>
            </w:r>
          </w:p>
          <w:p w:rsidR="00CE5C75" w:rsidRPr="00176D3F" w:rsidRDefault="00CE5C75" w:rsidP="003A0804">
            <w:pPr>
              <w:pStyle w:val="Source"/>
            </w:pPr>
            <w:r>
              <w:rPr>
                <w:i/>
              </w:rPr>
              <w:t>S</w:t>
            </w:r>
            <w:r w:rsidRPr="00784A05">
              <w:rPr>
                <w:i/>
              </w:rPr>
              <w:t>ource</w:t>
            </w:r>
            <w:r w:rsidRPr="00176D3F">
              <w:t xml:space="preserve">: </w:t>
            </w:r>
            <w:r>
              <w:t>ACARA</w:t>
            </w:r>
            <w:r w:rsidRPr="00356C97">
              <w:t xml:space="preserve"> (unpublished); table 4A.</w:t>
            </w:r>
            <w:r>
              <w:t>13</w:t>
            </w:r>
            <w:r w:rsidR="003A0804">
              <w:t>7</w:t>
            </w:r>
          </w:p>
        </w:tc>
      </w:tr>
      <w:tr w:rsidR="00CE5C75" w:rsidTr="000C386B">
        <w:tc>
          <w:tcPr>
            <w:tcW w:w="8771" w:type="dxa"/>
            <w:tcBorders>
              <w:top w:val="nil"/>
              <w:left w:val="nil"/>
              <w:bottom w:val="single" w:sz="6" w:space="0" w:color="78A22F"/>
              <w:right w:val="nil"/>
            </w:tcBorders>
            <w:shd w:val="clear" w:color="auto" w:fill="auto"/>
          </w:tcPr>
          <w:p w:rsidR="00CE5C75" w:rsidRDefault="00CE5C75" w:rsidP="000C386B">
            <w:pPr>
              <w:pStyle w:val="Figurespace"/>
            </w:pPr>
          </w:p>
        </w:tc>
      </w:tr>
      <w:tr w:rsidR="00CE5C75" w:rsidRPr="000863A5" w:rsidTr="000C386B">
        <w:trPr>
          <w:hidden/>
        </w:trPr>
        <w:tc>
          <w:tcPr>
            <w:tcW w:w="8771" w:type="dxa"/>
            <w:tcBorders>
              <w:top w:val="single" w:sz="6" w:space="0" w:color="78A22F"/>
              <w:left w:val="nil"/>
              <w:bottom w:val="nil"/>
              <w:right w:val="nil"/>
            </w:tcBorders>
          </w:tcPr>
          <w:p w:rsidR="00BB23C2" w:rsidRPr="00BB23C2" w:rsidRDefault="00BB23C2" w:rsidP="00BB23C2">
            <w:pPr>
              <w:pStyle w:val="BoxSpaceBelow"/>
              <w:rPr>
                <w:rFonts w:ascii="Times New Roman" w:hAnsi="Times New Roman"/>
                <w:b/>
                <w:vanish/>
                <w:color w:val="FF00FF"/>
              </w:rPr>
            </w:pPr>
          </w:p>
        </w:tc>
      </w:tr>
    </w:tbl>
    <w:p w:rsidR="00CE5C75" w:rsidRDefault="00CE5C75" w:rsidP="00CE5C7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E5C75" w:rsidTr="000C386B">
        <w:tc>
          <w:tcPr>
            <w:tcW w:w="8771" w:type="dxa"/>
            <w:tcBorders>
              <w:top w:val="single" w:sz="6" w:space="0" w:color="78A22F"/>
              <w:left w:val="nil"/>
              <w:bottom w:val="nil"/>
              <w:right w:val="nil"/>
            </w:tcBorders>
            <w:shd w:val="clear" w:color="auto" w:fill="auto"/>
          </w:tcPr>
          <w:p w:rsidR="00CE5C75" w:rsidRPr="00176D3F" w:rsidRDefault="00CE5C75" w:rsidP="00E41F99">
            <w:pPr>
              <w:pStyle w:val="FigureTitle"/>
            </w:pPr>
            <w:r w:rsidRPr="00784A05">
              <w:rPr>
                <w:b w:val="0"/>
              </w:rPr>
              <w:t xml:space="preserve">Figure </w:t>
            </w:r>
            <w:r>
              <w:rPr>
                <w:b w:val="0"/>
              </w:rPr>
              <w:t>4.</w:t>
            </w:r>
            <w:r w:rsidR="00FF4FBD">
              <w:rPr>
                <w:b w:val="0"/>
                <w:noProof/>
              </w:rPr>
              <w:t>8</w:t>
            </w:r>
            <w:r>
              <w:tab/>
            </w:r>
            <w:r w:rsidRPr="001435AF">
              <w:t xml:space="preserve">Student attendance </w:t>
            </w:r>
            <w:r>
              <w:t>level</w:t>
            </w:r>
            <w:r w:rsidRPr="001435AF">
              <w:t xml:space="preserve">, </w:t>
            </w:r>
            <w:r>
              <w:t>Aboriginal and Torres Strait Islander</w:t>
            </w:r>
            <w:r w:rsidRPr="001435AF">
              <w:t xml:space="preserve"> students, government schools, 201</w:t>
            </w:r>
            <w:r>
              <w:t>5</w:t>
            </w:r>
            <w:r w:rsidR="00703A74">
              <w:t xml:space="preserve"> (per cent)</w:t>
            </w:r>
            <w:r w:rsidR="00BB23C2" w:rsidRPr="00BB23C2">
              <w:rPr>
                <w:rStyle w:val="NoteLabel"/>
                <w:b/>
              </w:rPr>
              <w:t>a, b</w:t>
            </w:r>
          </w:p>
        </w:tc>
      </w:tr>
      <w:tr w:rsidR="00CE5C75" w:rsidTr="000C386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E5C75" w:rsidTr="00C90B4B">
              <w:trPr>
                <w:trHeight w:val="4021"/>
                <w:jc w:val="center"/>
              </w:trPr>
              <w:tc>
                <w:tcPr>
                  <w:tcW w:w="5000" w:type="pct"/>
                  <w:tcBorders>
                    <w:top w:val="nil"/>
                    <w:bottom w:val="nil"/>
                  </w:tcBorders>
                </w:tcPr>
                <w:p w:rsidR="00CE5C75" w:rsidRDefault="00494008" w:rsidP="000C386B">
                  <w:pPr>
                    <w:pStyle w:val="Figure"/>
                    <w:spacing w:before="60" w:after="60"/>
                  </w:pPr>
                  <w:r>
                    <w:rPr>
                      <w:noProof/>
                    </w:rPr>
                    <w:drawing>
                      <wp:inline distT="0" distB="0" distL="0" distR="0">
                        <wp:extent cx="5381625" cy="2647950"/>
                        <wp:effectExtent l="0" t="0" r="9525" b="0"/>
                        <wp:docPr id="8" name="Picture 8" descr="Figure 4.8 Student attendance level, Aboriginal and Torres Strait Islander students, government schools, 2015 (per c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CE5C75" w:rsidRDefault="00CE5C75" w:rsidP="000C386B">
            <w:pPr>
              <w:pStyle w:val="Figure"/>
            </w:pPr>
          </w:p>
        </w:tc>
      </w:tr>
      <w:tr w:rsidR="00CE5C75" w:rsidRPr="00176D3F" w:rsidTr="000C386B">
        <w:tc>
          <w:tcPr>
            <w:tcW w:w="8771" w:type="dxa"/>
            <w:tcBorders>
              <w:top w:val="nil"/>
              <w:left w:val="nil"/>
              <w:bottom w:val="nil"/>
              <w:right w:val="nil"/>
            </w:tcBorders>
            <w:shd w:val="clear" w:color="auto" w:fill="auto"/>
          </w:tcPr>
          <w:p w:rsidR="00BB23C2" w:rsidRDefault="005B3EDD" w:rsidP="00BB23C2">
            <w:pPr>
              <w:pStyle w:val="Source"/>
            </w:pPr>
            <w:r w:rsidRPr="00953E9C">
              <w:rPr>
                <w:rStyle w:val="NoteLabel"/>
              </w:rPr>
              <w:t>a</w:t>
            </w:r>
            <w:r w:rsidRPr="00953E9C">
              <w:t xml:space="preserve"> </w:t>
            </w:r>
            <w:r w:rsidRPr="007C767F">
              <w:t xml:space="preserve">See </w:t>
            </w:r>
            <w:r>
              <w:t xml:space="preserve">box 4.2 and </w:t>
            </w:r>
            <w:r w:rsidRPr="007C767F">
              <w:t xml:space="preserve">table </w:t>
            </w:r>
            <w:r>
              <w:t>4A.13</w:t>
            </w:r>
            <w:r w:rsidR="003A0804">
              <w:t>7</w:t>
            </w:r>
            <w:r w:rsidRPr="007C767F">
              <w:t xml:space="preserve"> for detailed</w:t>
            </w:r>
            <w:r>
              <w:t xml:space="preserve"> </w:t>
            </w:r>
            <w:r w:rsidRPr="005B3EDD">
              <w:t>definitions, footnotes and caveats</w:t>
            </w:r>
            <w:r w:rsidRPr="007C767F">
              <w:t>.</w:t>
            </w:r>
            <w:r w:rsidR="00BB23C2" w:rsidRPr="00BB23C2">
              <w:rPr>
                <w:rStyle w:val="NoteLabel"/>
              </w:rPr>
              <w:t xml:space="preserve"> b</w:t>
            </w:r>
            <w:r w:rsidR="00BB23C2">
              <w:t xml:space="preserve"> Data for NSW are not available.</w:t>
            </w:r>
            <w:r w:rsidR="00D650D1">
              <w:t xml:space="preserve"> The Australian total excludes NSW.</w:t>
            </w:r>
          </w:p>
          <w:p w:rsidR="00CE5C75" w:rsidRPr="00176D3F" w:rsidRDefault="00CE5C75" w:rsidP="003A0804">
            <w:pPr>
              <w:pStyle w:val="Source"/>
            </w:pPr>
            <w:r>
              <w:rPr>
                <w:i/>
              </w:rPr>
              <w:t>S</w:t>
            </w:r>
            <w:r w:rsidRPr="00784A05">
              <w:rPr>
                <w:i/>
              </w:rPr>
              <w:t>ource</w:t>
            </w:r>
            <w:r w:rsidRPr="00176D3F">
              <w:t xml:space="preserve">: </w:t>
            </w:r>
            <w:r w:rsidRPr="001435AF">
              <w:t>ACARA (unpublished); table 4A.</w:t>
            </w:r>
            <w:r>
              <w:t>13</w:t>
            </w:r>
            <w:r w:rsidR="003A0804">
              <w:t>7</w:t>
            </w:r>
            <w:r w:rsidRPr="001435AF">
              <w:t>.</w:t>
            </w:r>
          </w:p>
        </w:tc>
      </w:tr>
      <w:tr w:rsidR="00CE5C75" w:rsidTr="000C386B">
        <w:tc>
          <w:tcPr>
            <w:tcW w:w="8771" w:type="dxa"/>
            <w:tcBorders>
              <w:top w:val="nil"/>
              <w:left w:val="nil"/>
              <w:bottom w:val="single" w:sz="6" w:space="0" w:color="78A22F"/>
              <w:right w:val="nil"/>
            </w:tcBorders>
            <w:shd w:val="clear" w:color="auto" w:fill="auto"/>
          </w:tcPr>
          <w:p w:rsidR="00CE5C75" w:rsidRDefault="00CE5C75" w:rsidP="000C386B">
            <w:pPr>
              <w:pStyle w:val="Figurespace"/>
            </w:pPr>
          </w:p>
        </w:tc>
      </w:tr>
      <w:tr w:rsidR="00CE5C75" w:rsidRPr="000863A5" w:rsidTr="000C386B">
        <w:tc>
          <w:tcPr>
            <w:tcW w:w="8771" w:type="dxa"/>
            <w:tcBorders>
              <w:top w:val="single" w:sz="6" w:space="0" w:color="78A22F"/>
              <w:left w:val="nil"/>
              <w:bottom w:val="nil"/>
              <w:right w:val="nil"/>
            </w:tcBorders>
          </w:tcPr>
          <w:p w:rsidR="00CE5C75" w:rsidRPr="00626D32" w:rsidRDefault="00CE5C75" w:rsidP="000C386B">
            <w:pPr>
              <w:pStyle w:val="BoxSpaceBelow"/>
            </w:pPr>
          </w:p>
        </w:tc>
      </w:tr>
    </w:tbl>
    <w:p w:rsidR="00CE5C75" w:rsidRDefault="00CE5C75" w:rsidP="00CE5C75">
      <w:pPr>
        <w:pStyle w:val="BodyText"/>
      </w:pPr>
      <w:r>
        <w:lastRenderedPageBreak/>
        <w:t>Data for years 1–6</w:t>
      </w:r>
      <w:r w:rsidR="002D0071">
        <w:t xml:space="preserve"> combined</w:t>
      </w:r>
      <w:r>
        <w:t xml:space="preserve">, 7–10 </w:t>
      </w:r>
      <w:r w:rsidR="00BB23C2">
        <w:t xml:space="preserve">combined </w:t>
      </w:r>
      <w:r>
        <w:t xml:space="preserve">and 1–10 </w:t>
      </w:r>
      <w:r w:rsidR="00BB23C2">
        <w:t xml:space="preserve">combined </w:t>
      </w:r>
      <w:r>
        <w:t>by geolocation and Indigenous status for government schools in 2015 are included in table 4A.13</w:t>
      </w:r>
      <w:r w:rsidR="001E18F5">
        <w:t>7</w:t>
      </w:r>
      <w:r>
        <w:t xml:space="preserve">. In general, for both </w:t>
      </w:r>
      <w:r w:rsidR="003E3261">
        <w:t xml:space="preserve">Aboriginal and Torres Strait Islander </w:t>
      </w:r>
      <w:r>
        <w:t>and non-Indigenous students</w:t>
      </w:r>
      <w:r w:rsidRPr="00E57D1B">
        <w:rPr>
          <w:shd w:val="clear" w:color="auto" w:fill="FFFFFF" w:themeFill="background1"/>
        </w:rPr>
        <w:t xml:space="preserve">, </w:t>
      </w:r>
      <w:r w:rsidR="003E3261" w:rsidRPr="00E57D1B">
        <w:rPr>
          <w:shd w:val="clear" w:color="auto" w:fill="FFFFFF" w:themeFill="background1"/>
        </w:rPr>
        <w:t xml:space="preserve">the </w:t>
      </w:r>
      <w:r w:rsidRPr="001E18F5">
        <w:rPr>
          <w:shd w:val="clear" w:color="auto" w:fill="FFFFFF" w:themeFill="background1"/>
        </w:rPr>
        <w:t xml:space="preserve">attendance </w:t>
      </w:r>
      <w:r w:rsidR="003E3261" w:rsidRPr="001E18F5">
        <w:rPr>
          <w:shd w:val="clear" w:color="auto" w:fill="FFFFFF" w:themeFill="background1"/>
        </w:rPr>
        <w:t xml:space="preserve">level </w:t>
      </w:r>
      <w:r w:rsidRPr="001E18F5">
        <w:rPr>
          <w:shd w:val="clear" w:color="auto" w:fill="FFFFFF" w:themeFill="background1"/>
        </w:rPr>
        <w:t>decline</w:t>
      </w:r>
      <w:r w:rsidR="003E3261" w:rsidRPr="001E18F5">
        <w:rPr>
          <w:shd w:val="clear" w:color="auto" w:fill="FFFFFF" w:themeFill="background1"/>
        </w:rPr>
        <w:t>d</w:t>
      </w:r>
      <w:r w:rsidRPr="001E18F5">
        <w:rPr>
          <w:shd w:val="clear" w:color="auto" w:fill="FFFFFF" w:themeFill="background1"/>
        </w:rPr>
        <w:t xml:space="preserve"> with increasing remoteness, but </w:t>
      </w:r>
      <w:r w:rsidR="003E3261" w:rsidRPr="001E18F5">
        <w:rPr>
          <w:shd w:val="clear" w:color="auto" w:fill="FFFFFF" w:themeFill="background1"/>
        </w:rPr>
        <w:t>the decline was greater</w:t>
      </w:r>
      <w:r w:rsidRPr="001E18F5">
        <w:rPr>
          <w:shd w:val="clear" w:color="auto" w:fill="FFFFFF" w:themeFill="background1"/>
        </w:rPr>
        <w:t xml:space="preserve"> for </w:t>
      </w:r>
      <w:r w:rsidR="00A90335" w:rsidRPr="001E18F5">
        <w:rPr>
          <w:shd w:val="clear" w:color="auto" w:fill="FFFFFF" w:themeFill="background1"/>
        </w:rPr>
        <w:t xml:space="preserve">Aboriginal and </w:t>
      </w:r>
      <w:r w:rsidR="00A90335" w:rsidRPr="00E57D1B">
        <w:rPr>
          <w:shd w:val="clear" w:color="auto" w:fill="FFFFFF" w:themeFill="background1"/>
        </w:rPr>
        <w:t>Torres Strait Islander</w:t>
      </w:r>
      <w:r w:rsidRPr="00E57D1B">
        <w:rPr>
          <w:shd w:val="clear" w:color="auto" w:fill="FFFFFF" w:themeFill="background1"/>
        </w:rPr>
        <w:t xml:space="preserve"> students</w:t>
      </w:r>
      <w:r>
        <w:t>.</w:t>
      </w:r>
      <w:r w:rsidR="00393CC5">
        <w:t xml:space="preserve"> </w:t>
      </w:r>
      <w:r w:rsidR="00393CC5" w:rsidRPr="00614276">
        <w:rPr>
          <w:shd w:val="clear" w:color="auto" w:fill="FFFFFF" w:themeFill="background1"/>
        </w:rPr>
        <w:t>Data for non-government schools, collected on a different basis to data for government schools, are included in table 4A.138.</w:t>
      </w:r>
    </w:p>
    <w:p w:rsidR="00666ECE" w:rsidRPr="00602605" w:rsidRDefault="00666ECE" w:rsidP="007B0AE2">
      <w:pPr>
        <w:pStyle w:val="Heading5"/>
      </w:pPr>
      <w:r w:rsidRPr="00602605">
        <w:t>Participation — proportion of 6–15 year</w:t>
      </w:r>
      <w:r w:rsidR="003E3261">
        <w:t xml:space="preserve"> old</w:t>
      </w:r>
      <w:r w:rsidRPr="00602605">
        <w:t xml:space="preserve">s enrolled in school </w:t>
      </w:r>
    </w:p>
    <w:p w:rsidR="00666ECE" w:rsidRDefault="00666ECE" w:rsidP="00483D1F">
      <w:pPr>
        <w:pStyle w:val="BodyText"/>
      </w:pPr>
      <w:r w:rsidRPr="001D5AD2">
        <w:t>Nationally</w:t>
      </w:r>
      <w:r w:rsidR="003E3261">
        <w:t xml:space="preserve"> in 2014</w:t>
      </w:r>
      <w:r w:rsidRPr="001D5AD2">
        <w:t xml:space="preserve">, </w:t>
      </w:r>
      <w:r w:rsidR="00C56E90">
        <w:rPr>
          <w:shd w:val="clear" w:color="auto" w:fill="FFFFFF" w:themeFill="background1"/>
        </w:rPr>
        <w:t>100.4</w:t>
      </w:r>
      <w:r w:rsidRPr="001D5AD2">
        <w:t xml:space="preserve"> per cent </w:t>
      </w:r>
      <w:r w:rsidRPr="00602605">
        <w:t>of children aged 6–15 years were enrolled (either full or part time) in school (figure 4.</w:t>
      </w:r>
      <w:r w:rsidR="00CF6F4E">
        <w:t>9</w:t>
      </w:r>
      <w:r w:rsidRPr="00602605">
        <w:t xml:space="preserve">). </w:t>
      </w:r>
      <w:bookmarkStart w:id="21" w:name="OLE_LINK86"/>
      <w:bookmarkStart w:id="22" w:name="OLE_LINK87"/>
      <w:r w:rsidR="00817F8F">
        <w:t>(</w:t>
      </w:r>
      <w:r w:rsidR="00464ACE">
        <w:t>S</w:t>
      </w:r>
      <w:r w:rsidR="00BF53AE">
        <w:t>ee box 4.2</w:t>
      </w:r>
      <w:r w:rsidR="00817F8F">
        <w:t xml:space="preserve"> for an explanation of rates above 100</w:t>
      </w:r>
      <w:r w:rsidR="00A67DE1">
        <w:t> </w:t>
      </w:r>
      <w:r w:rsidR="00817F8F">
        <w:t>per</w:t>
      </w:r>
      <w:r w:rsidR="00A67DE1">
        <w:t> </w:t>
      </w:r>
      <w:r w:rsidR="00817F8F">
        <w:t xml:space="preserve">cent). </w:t>
      </w:r>
      <w:r w:rsidR="00214B63">
        <w:t>The proportion of 6</w:t>
      </w:r>
      <w:r w:rsidR="00817F8F">
        <w:t>–</w:t>
      </w:r>
      <w:r w:rsidR="00214B63">
        <w:t xml:space="preserve">15 year old Aboriginal and Torres Strait Islander students enrolled was </w:t>
      </w:r>
      <w:r w:rsidR="00C56E90">
        <w:t>97.8</w:t>
      </w:r>
      <w:r w:rsidR="00214B63">
        <w:t xml:space="preserve"> per cent </w:t>
      </w:r>
      <w:r w:rsidR="00E65701">
        <w:t xml:space="preserve">and </w:t>
      </w:r>
      <w:r w:rsidR="00C56E90">
        <w:t>100.6</w:t>
      </w:r>
      <w:r w:rsidR="00214B63">
        <w:t xml:space="preserve"> per cent of non-Indigenous 6–15 year old students were enrolled. </w:t>
      </w:r>
      <w:r w:rsidR="00A90335">
        <w:t>T</w:t>
      </w:r>
      <w:r w:rsidR="004D79BB">
        <w:t xml:space="preserve">hese proportions </w:t>
      </w:r>
      <w:r w:rsidR="004D79BB" w:rsidRPr="00C56E90">
        <w:rPr>
          <w:shd w:val="clear" w:color="auto" w:fill="FFFFFF" w:themeFill="background1"/>
        </w:rPr>
        <w:t>were similar to</w:t>
      </w:r>
      <w:r w:rsidR="004D79BB">
        <w:t xml:space="preserve"> those reported for 2013.</w:t>
      </w:r>
      <w:r w:rsidR="007B2E01">
        <w:t xml:space="preserve"> The proportion of Aboriginal and Torres Strait Islander students aged 6–15 enrolled has increased f</w:t>
      </w:r>
      <w:r w:rsidR="00467ECF">
        <w:t>ro</w:t>
      </w:r>
      <w:r w:rsidR="007B2E01">
        <w:t>m 84.1 per cent in 2008 (table 4A.11</w:t>
      </w:r>
      <w:r w:rsidR="003A0804">
        <w:t>6</w:t>
      </w:r>
      <w:r w:rsidR="007B2E01">
        <w:t>).</w:t>
      </w:r>
    </w:p>
    <w:p w:rsidR="00BE0005" w:rsidRDefault="00BE0005" w:rsidP="0052558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E0005" w:rsidTr="00525589">
        <w:tc>
          <w:tcPr>
            <w:tcW w:w="8771" w:type="dxa"/>
            <w:tcBorders>
              <w:top w:val="single" w:sz="6" w:space="0" w:color="78A22F"/>
              <w:left w:val="nil"/>
              <w:bottom w:val="nil"/>
              <w:right w:val="nil"/>
            </w:tcBorders>
            <w:shd w:val="clear" w:color="auto" w:fill="auto"/>
          </w:tcPr>
          <w:p w:rsidR="00BE0005" w:rsidRPr="00176D3F" w:rsidRDefault="00BE0005" w:rsidP="00B8116A">
            <w:pPr>
              <w:pStyle w:val="FigureTitle"/>
            </w:pPr>
            <w:r w:rsidRPr="00784A05">
              <w:rPr>
                <w:b w:val="0"/>
              </w:rPr>
              <w:t xml:space="preserve">Figure </w:t>
            </w:r>
            <w:r w:rsidR="00B70781">
              <w:rPr>
                <w:b w:val="0"/>
              </w:rPr>
              <w:t>4.</w:t>
            </w:r>
            <w:r w:rsidR="00FF4FBD">
              <w:rPr>
                <w:b w:val="0"/>
                <w:noProof/>
              </w:rPr>
              <w:t>9</w:t>
            </w:r>
            <w:r>
              <w:tab/>
            </w:r>
            <w:r w:rsidR="0086590D" w:rsidRPr="0086590D">
              <w:t>Proportion of children aged 6–15 years enrolled in school</w:t>
            </w:r>
            <w:r w:rsidR="0086590D">
              <w:t>, 201</w:t>
            </w:r>
            <w:r w:rsidR="004D79BB">
              <w:t>4</w:t>
            </w:r>
            <w:r w:rsidR="00703A74">
              <w:t xml:space="preserve"> (per cent)</w:t>
            </w:r>
            <w:r w:rsidR="00820CF9">
              <w:rPr>
                <w:rStyle w:val="NoteLabel"/>
                <w:b/>
              </w:rPr>
              <w:t>a</w:t>
            </w:r>
            <w:r w:rsidR="00767B23">
              <w:rPr>
                <w:rStyle w:val="NoteLabel"/>
                <w:b/>
              </w:rPr>
              <w:t xml:space="preserve"> </w:t>
            </w:r>
          </w:p>
        </w:tc>
      </w:tr>
      <w:tr w:rsidR="00BE0005" w:rsidTr="00A11734">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E0005" w:rsidTr="00525589">
              <w:trPr>
                <w:jc w:val="center"/>
              </w:trPr>
              <w:tc>
                <w:tcPr>
                  <w:tcW w:w="5000" w:type="pct"/>
                  <w:tcBorders>
                    <w:top w:val="nil"/>
                    <w:bottom w:val="nil"/>
                  </w:tcBorders>
                </w:tcPr>
                <w:p w:rsidR="00BE0005" w:rsidRDefault="00494008" w:rsidP="00B8116A">
                  <w:pPr>
                    <w:pStyle w:val="Figure"/>
                    <w:spacing w:before="60" w:after="60"/>
                  </w:pPr>
                  <w:r>
                    <w:rPr>
                      <w:noProof/>
                    </w:rPr>
                    <w:drawing>
                      <wp:inline distT="0" distB="0" distL="0" distR="0">
                        <wp:extent cx="5391150" cy="2867025"/>
                        <wp:effectExtent l="0" t="0" r="0" b="9525"/>
                        <wp:docPr id="9" name="Picture 9" descr="Figure 4.9 Proportion of children aged 6–15 years enrolled in school, 2014 (per c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BE0005" w:rsidRDefault="00BE0005" w:rsidP="00525589">
            <w:pPr>
              <w:pStyle w:val="Figure"/>
            </w:pPr>
          </w:p>
        </w:tc>
      </w:tr>
      <w:tr w:rsidR="00BE0005" w:rsidRPr="00176D3F" w:rsidTr="00A11734">
        <w:tc>
          <w:tcPr>
            <w:tcW w:w="8771" w:type="dxa"/>
            <w:tcBorders>
              <w:top w:val="nil"/>
              <w:left w:val="nil"/>
              <w:bottom w:val="nil"/>
              <w:right w:val="nil"/>
            </w:tcBorders>
            <w:shd w:val="clear" w:color="auto" w:fill="auto"/>
          </w:tcPr>
          <w:p w:rsidR="00BE0005" w:rsidRPr="00176D3F" w:rsidRDefault="005B3EDD" w:rsidP="003A0804">
            <w:pPr>
              <w:pStyle w:val="Source"/>
            </w:pPr>
            <w:r w:rsidRPr="00953E9C">
              <w:rPr>
                <w:rStyle w:val="NoteLabel"/>
              </w:rPr>
              <w:t>a</w:t>
            </w:r>
            <w:r w:rsidRPr="00953E9C">
              <w:t xml:space="preserve"> </w:t>
            </w:r>
            <w:r w:rsidRPr="007C767F">
              <w:t xml:space="preserve">See </w:t>
            </w:r>
            <w:r>
              <w:t xml:space="preserve">box 4.2 and </w:t>
            </w:r>
            <w:r w:rsidRPr="007C767F">
              <w:t xml:space="preserve">table </w:t>
            </w:r>
            <w:r>
              <w:t>4A.11</w:t>
            </w:r>
            <w:r w:rsidR="003A0804">
              <w:t>6</w:t>
            </w:r>
            <w:r w:rsidRPr="007C767F">
              <w:t xml:space="preserve"> for detailed</w:t>
            </w:r>
            <w:r>
              <w:t xml:space="preserve"> </w:t>
            </w:r>
            <w:r w:rsidRPr="005B3EDD">
              <w:t>definitions, footnotes and caveats</w:t>
            </w:r>
            <w:r w:rsidRPr="007C767F">
              <w:t>.</w:t>
            </w:r>
          </w:p>
        </w:tc>
      </w:tr>
      <w:tr w:rsidR="00BE0005" w:rsidRPr="00176D3F" w:rsidTr="006C62E8">
        <w:tc>
          <w:tcPr>
            <w:tcW w:w="8771" w:type="dxa"/>
            <w:tcBorders>
              <w:top w:val="nil"/>
              <w:left w:val="nil"/>
              <w:bottom w:val="nil"/>
              <w:right w:val="nil"/>
            </w:tcBorders>
            <w:shd w:val="clear" w:color="auto" w:fill="FFFFFF" w:themeFill="background1"/>
          </w:tcPr>
          <w:p w:rsidR="00BE0005" w:rsidRPr="006C62E8" w:rsidRDefault="00703A74" w:rsidP="003A0804">
            <w:pPr>
              <w:pStyle w:val="Source"/>
            </w:pPr>
            <w:r>
              <w:rPr>
                <w:i/>
              </w:rPr>
              <w:t>S</w:t>
            </w:r>
            <w:r w:rsidR="00BE0005" w:rsidRPr="006C62E8">
              <w:rPr>
                <w:i/>
              </w:rPr>
              <w:t>ource</w:t>
            </w:r>
            <w:r w:rsidR="00BE0005" w:rsidRPr="006C62E8">
              <w:t xml:space="preserve">: </w:t>
            </w:r>
            <w:r w:rsidR="0086590D" w:rsidRPr="006C62E8">
              <w:t>ABS (201</w:t>
            </w:r>
            <w:r w:rsidR="009C3987">
              <w:t>5</w:t>
            </w:r>
            <w:r w:rsidR="0086590D" w:rsidRPr="006C62E8">
              <w:t>)</w:t>
            </w:r>
            <w:r w:rsidR="0086590D" w:rsidRPr="006C62E8">
              <w:rPr>
                <w:i/>
              </w:rPr>
              <w:t xml:space="preserve"> Schools Australia, 201</w:t>
            </w:r>
            <w:r w:rsidR="009C3987">
              <w:rPr>
                <w:i/>
              </w:rPr>
              <w:t>4</w:t>
            </w:r>
            <w:r w:rsidR="0086590D" w:rsidRPr="006C62E8">
              <w:rPr>
                <w:i/>
              </w:rPr>
              <w:t xml:space="preserve">, </w:t>
            </w:r>
            <w:r w:rsidR="0086590D" w:rsidRPr="006C62E8">
              <w:t xml:space="preserve">Cat. no. </w:t>
            </w:r>
            <w:r w:rsidR="0086590D" w:rsidRPr="006C62E8">
              <w:rPr>
                <w:shd w:val="clear" w:color="auto" w:fill="FFFFFF" w:themeFill="background1"/>
              </w:rPr>
              <w:t>4221.0;</w:t>
            </w:r>
            <w:r w:rsidR="008A76CD" w:rsidRPr="006C62E8">
              <w:rPr>
                <w:shd w:val="clear" w:color="auto" w:fill="FFFFFF" w:themeFill="background1"/>
              </w:rPr>
              <w:t xml:space="preserve"> </w:t>
            </w:r>
            <w:r w:rsidR="0086590D" w:rsidRPr="006C62E8">
              <w:rPr>
                <w:shd w:val="clear" w:color="auto" w:fill="FFFFFF" w:themeFill="background1"/>
              </w:rPr>
              <w:t>ABS (201</w:t>
            </w:r>
            <w:r w:rsidR="009C3987">
              <w:rPr>
                <w:shd w:val="clear" w:color="auto" w:fill="FFFFFF" w:themeFill="background1"/>
              </w:rPr>
              <w:t>4</w:t>
            </w:r>
            <w:r w:rsidR="0086590D" w:rsidRPr="006C62E8">
              <w:rPr>
                <w:shd w:val="clear" w:color="auto" w:fill="FFFFFF" w:themeFill="background1"/>
              </w:rPr>
              <w:t>)</w:t>
            </w:r>
            <w:r w:rsidR="0086590D" w:rsidRPr="006C62E8">
              <w:rPr>
                <w:i/>
                <w:shd w:val="clear" w:color="auto" w:fill="FFFFFF" w:themeFill="background1"/>
              </w:rPr>
              <w:t xml:space="preserve"> Population by Age and Sex, Australian States and Territories, June 201</w:t>
            </w:r>
            <w:r w:rsidR="009C3987">
              <w:rPr>
                <w:i/>
                <w:shd w:val="clear" w:color="auto" w:fill="FFFFFF" w:themeFill="background1"/>
              </w:rPr>
              <w:t>4</w:t>
            </w:r>
            <w:r w:rsidR="0086590D" w:rsidRPr="006C62E8">
              <w:rPr>
                <w:i/>
                <w:shd w:val="clear" w:color="auto" w:fill="FFFFFF" w:themeFill="background1"/>
              </w:rPr>
              <w:t xml:space="preserve">, </w:t>
            </w:r>
            <w:r w:rsidR="0086590D" w:rsidRPr="006C62E8">
              <w:rPr>
                <w:shd w:val="clear" w:color="auto" w:fill="FFFFFF" w:themeFill="background1"/>
              </w:rPr>
              <w:t xml:space="preserve">Cat. no. 3101.0; </w:t>
            </w:r>
            <w:r w:rsidR="006C62E8" w:rsidRPr="006C62E8">
              <w:rPr>
                <w:shd w:val="clear" w:color="auto" w:fill="FFFFFF" w:themeFill="background1"/>
              </w:rPr>
              <w:t xml:space="preserve">ABS (2013) </w:t>
            </w:r>
            <w:r w:rsidR="006C62E8" w:rsidRPr="006C62E8">
              <w:rPr>
                <w:i/>
                <w:shd w:val="clear" w:color="auto" w:fill="FFFFFF" w:themeFill="background1"/>
              </w:rPr>
              <w:t>Estimates and Projections, Aboriginal and Torres Strait Islander Australians</w:t>
            </w:r>
            <w:r w:rsidR="006C62E8" w:rsidRPr="006C62E8">
              <w:rPr>
                <w:shd w:val="clear" w:color="auto" w:fill="FFFFFF" w:themeFill="background1"/>
              </w:rPr>
              <w:t xml:space="preserve">, 2001 to 2026, Cat. no. 3238.0; </w:t>
            </w:r>
            <w:r w:rsidR="0086590D" w:rsidRPr="006C62E8">
              <w:rPr>
                <w:shd w:val="clear" w:color="auto" w:fill="FFFFFF" w:themeFill="background1"/>
              </w:rPr>
              <w:t>table 4A.1</w:t>
            </w:r>
            <w:r w:rsidR="00002DCB">
              <w:rPr>
                <w:shd w:val="clear" w:color="auto" w:fill="FFFFFF" w:themeFill="background1"/>
              </w:rPr>
              <w:t>1</w:t>
            </w:r>
            <w:r w:rsidR="003A0804">
              <w:rPr>
                <w:shd w:val="clear" w:color="auto" w:fill="FFFFFF" w:themeFill="background1"/>
              </w:rPr>
              <w:t>6</w:t>
            </w:r>
            <w:r w:rsidR="0086590D" w:rsidRPr="006C62E8">
              <w:rPr>
                <w:shd w:val="clear" w:color="auto" w:fill="FFFFFF" w:themeFill="background1"/>
              </w:rPr>
              <w:t>.</w:t>
            </w:r>
          </w:p>
        </w:tc>
      </w:tr>
      <w:tr w:rsidR="00BE0005" w:rsidTr="00525589">
        <w:tc>
          <w:tcPr>
            <w:tcW w:w="8771" w:type="dxa"/>
            <w:tcBorders>
              <w:top w:val="nil"/>
              <w:left w:val="nil"/>
              <w:bottom w:val="single" w:sz="6" w:space="0" w:color="78A22F"/>
              <w:right w:val="nil"/>
            </w:tcBorders>
            <w:shd w:val="clear" w:color="auto" w:fill="auto"/>
          </w:tcPr>
          <w:p w:rsidR="00BE0005" w:rsidRDefault="00BE0005" w:rsidP="00525589">
            <w:pPr>
              <w:pStyle w:val="Figurespace"/>
            </w:pPr>
          </w:p>
        </w:tc>
      </w:tr>
      <w:tr w:rsidR="00BE0005" w:rsidRPr="000863A5" w:rsidTr="00525589">
        <w:tc>
          <w:tcPr>
            <w:tcW w:w="8771" w:type="dxa"/>
            <w:tcBorders>
              <w:top w:val="single" w:sz="6" w:space="0" w:color="78A22F"/>
              <w:left w:val="nil"/>
              <w:bottom w:val="nil"/>
              <w:right w:val="nil"/>
            </w:tcBorders>
          </w:tcPr>
          <w:p w:rsidR="00BE0005" w:rsidRPr="00626D32" w:rsidRDefault="00BE0005" w:rsidP="00525589">
            <w:pPr>
              <w:pStyle w:val="BoxSpaceBelow"/>
            </w:pPr>
          </w:p>
        </w:tc>
      </w:tr>
    </w:tbl>
    <w:bookmarkEnd w:id="21"/>
    <w:bookmarkEnd w:id="22"/>
    <w:p w:rsidR="00666ECE" w:rsidRPr="00666ECE" w:rsidRDefault="00666ECE" w:rsidP="007B0AE2">
      <w:pPr>
        <w:pStyle w:val="Heading5"/>
      </w:pPr>
      <w:r w:rsidRPr="00666ECE">
        <w:lastRenderedPageBreak/>
        <w:t xml:space="preserve">Participation — </w:t>
      </w:r>
      <w:r w:rsidR="003E3261">
        <w:t xml:space="preserve">proportion of </w:t>
      </w:r>
      <w:r w:rsidRPr="00666ECE">
        <w:t>1</w:t>
      </w:r>
      <w:r w:rsidR="009C3987">
        <w:t>5</w:t>
      </w:r>
      <w:r w:rsidRPr="00666ECE">
        <w:t>–19 year olds enrolled in school</w:t>
      </w:r>
      <w:r w:rsidR="006C62E8">
        <w:t xml:space="preserve"> </w:t>
      </w:r>
    </w:p>
    <w:p w:rsidR="00666ECE" w:rsidRPr="00666ECE" w:rsidRDefault="00666ECE" w:rsidP="00483D1F">
      <w:pPr>
        <w:pStyle w:val="BodyText"/>
        <w:rPr>
          <w:b/>
          <w:u w:val="dotted"/>
        </w:rPr>
      </w:pPr>
      <w:r w:rsidRPr="00B17604">
        <w:rPr>
          <w:shd w:val="clear" w:color="auto" w:fill="FFFFFF" w:themeFill="background1"/>
        </w:rPr>
        <w:t xml:space="preserve">Nationally, </w:t>
      </w:r>
      <w:r w:rsidR="007B2E01">
        <w:rPr>
          <w:shd w:val="clear" w:color="auto" w:fill="FFFFFF" w:themeFill="background1"/>
        </w:rPr>
        <w:t>57.1</w:t>
      </w:r>
      <w:r w:rsidRPr="00B17604">
        <w:rPr>
          <w:shd w:val="clear" w:color="auto" w:fill="FFFFFF" w:themeFill="background1"/>
        </w:rPr>
        <w:t xml:space="preserve"> per cent of 1</w:t>
      </w:r>
      <w:r w:rsidR="009C3987">
        <w:rPr>
          <w:shd w:val="clear" w:color="auto" w:fill="FFFFFF" w:themeFill="background1"/>
        </w:rPr>
        <w:t>5</w:t>
      </w:r>
      <w:r w:rsidRPr="00B17604">
        <w:rPr>
          <w:shd w:val="clear" w:color="auto" w:fill="FFFFFF" w:themeFill="background1"/>
        </w:rPr>
        <w:t>–19 year olds were enrolled in schools in 201</w:t>
      </w:r>
      <w:r w:rsidR="009C3987">
        <w:rPr>
          <w:shd w:val="clear" w:color="auto" w:fill="FFFFFF" w:themeFill="background1"/>
        </w:rPr>
        <w:t>4</w:t>
      </w:r>
      <w:r w:rsidRPr="00B17604">
        <w:rPr>
          <w:shd w:val="clear" w:color="auto" w:fill="FFFFFF" w:themeFill="background1"/>
        </w:rPr>
        <w:t xml:space="preserve"> (</w:t>
      </w:r>
      <w:r w:rsidR="001435AF" w:rsidRPr="00B17604">
        <w:rPr>
          <w:shd w:val="clear" w:color="auto" w:fill="FFFFFF" w:themeFill="background1"/>
        </w:rPr>
        <w:t>figure 4.</w:t>
      </w:r>
      <w:r w:rsidR="003E3261">
        <w:rPr>
          <w:shd w:val="clear" w:color="auto" w:fill="FFFFFF" w:themeFill="background1"/>
        </w:rPr>
        <w:t>1</w:t>
      </w:r>
      <w:r w:rsidR="00467ECF">
        <w:rPr>
          <w:shd w:val="clear" w:color="auto" w:fill="FFFFFF" w:themeFill="background1"/>
        </w:rPr>
        <w:t>0</w:t>
      </w:r>
      <w:r w:rsidRPr="00B17604">
        <w:rPr>
          <w:shd w:val="clear" w:color="auto" w:fill="FFFFFF" w:themeFill="background1"/>
        </w:rPr>
        <w:t xml:space="preserve">). School participation rates declined as students exceeded the maximum compulsory school age and varied by jurisdiction, age </w:t>
      </w:r>
      <w:r w:rsidR="00C24812" w:rsidRPr="00B17604">
        <w:rPr>
          <w:shd w:val="clear" w:color="auto" w:fill="FFFFFF" w:themeFill="background1"/>
        </w:rPr>
        <w:t xml:space="preserve">and sex </w:t>
      </w:r>
      <w:r w:rsidR="00670FC9" w:rsidRPr="00B17604">
        <w:rPr>
          <w:shd w:val="clear" w:color="auto" w:fill="FFFFFF" w:themeFill="background1"/>
        </w:rPr>
        <w:t>(figure 4.</w:t>
      </w:r>
      <w:r w:rsidR="00053F13">
        <w:rPr>
          <w:shd w:val="clear" w:color="auto" w:fill="FFFFFF" w:themeFill="background1"/>
        </w:rPr>
        <w:t>1</w:t>
      </w:r>
      <w:r w:rsidR="00CF6F4E">
        <w:rPr>
          <w:shd w:val="clear" w:color="auto" w:fill="FFFFFF" w:themeFill="background1"/>
        </w:rPr>
        <w:t>0</w:t>
      </w:r>
      <w:r w:rsidR="00C24812">
        <w:rPr>
          <w:shd w:val="clear" w:color="auto" w:fill="FFFFFF" w:themeFill="background1"/>
        </w:rPr>
        <w:t xml:space="preserve"> and </w:t>
      </w:r>
      <w:r w:rsidR="00F46196" w:rsidRPr="00B17604">
        <w:rPr>
          <w:shd w:val="clear" w:color="auto" w:fill="FFFFFF" w:themeFill="background1"/>
        </w:rPr>
        <w:t>table 4</w:t>
      </w:r>
      <w:r w:rsidR="00670FC9" w:rsidRPr="00B17604">
        <w:rPr>
          <w:shd w:val="clear" w:color="auto" w:fill="FFFFFF" w:themeFill="background1"/>
        </w:rPr>
        <w:t>A</w:t>
      </w:r>
      <w:r w:rsidR="00F46196" w:rsidRPr="00B17604">
        <w:rPr>
          <w:shd w:val="clear" w:color="auto" w:fill="FFFFFF" w:themeFill="background1"/>
        </w:rPr>
        <w:t>.</w:t>
      </w:r>
      <w:r w:rsidR="007B2E01">
        <w:rPr>
          <w:shd w:val="clear" w:color="auto" w:fill="FFFFFF" w:themeFill="background1"/>
        </w:rPr>
        <w:t>11</w:t>
      </w:r>
      <w:r w:rsidR="003A0804">
        <w:rPr>
          <w:shd w:val="clear" w:color="auto" w:fill="FFFFFF" w:themeFill="background1"/>
        </w:rPr>
        <w:t>7</w:t>
      </w:r>
      <w:r w:rsidR="00F46196" w:rsidRPr="00B17604">
        <w:rPr>
          <w:shd w:val="clear" w:color="auto" w:fill="FFFFFF" w:themeFill="background1"/>
        </w:rPr>
        <w:t>)</w:t>
      </w:r>
      <w:r w:rsidRPr="00B17604">
        <w:rPr>
          <w:shd w:val="clear" w:color="auto" w:fill="FFFFFF" w:themeFill="background1"/>
        </w:rPr>
        <w:t>. School participation rates for females (</w:t>
      </w:r>
      <w:r w:rsidR="007B2E01">
        <w:rPr>
          <w:shd w:val="clear" w:color="auto" w:fill="FFFFFF" w:themeFill="background1"/>
        </w:rPr>
        <w:t>57.5</w:t>
      </w:r>
      <w:r w:rsidRPr="00B17604">
        <w:rPr>
          <w:shd w:val="clear" w:color="auto" w:fill="FFFFFF" w:themeFill="background1"/>
        </w:rPr>
        <w:t xml:space="preserve"> </w:t>
      </w:r>
      <w:r w:rsidR="00AE1B64" w:rsidRPr="00B17604">
        <w:rPr>
          <w:shd w:val="clear" w:color="auto" w:fill="FFFFFF" w:themeFill="background1"/>
        </w:rPr>
        <w:t xml:space="preserve">per cent) </w:t>
      </w:r>
      <w:r w:rsidR="00AE1B64" w:rsidRPr="00B81EE1">
        <w:rPr>
          <w:shd w:val="clear" w:color="auto" w:fill="FFFFFF" w:themeFill="background1"/>
        </w:rPr>
        <w:t xml:space="preserve">were </w:t>
      </w:r>
      <w:r w:rsidR="00817F8F" w:rsidRPr="00B81EE1">
        <w:rPr>
          <w:shd w:val="clear" w:color="auto" w:fill="FFFFFF" w:themeFill="background1"/>
        </w:rPr>
        <w:t>slightly</w:t>
      </w:r>
      <w:r w:rsidRPr="00B81EE1">
        <w:rPr>
          <w:shd w:val="clear" w:color="auto" w:fill="FFFFFF" w:themeFill="background1"/>
        </w:rPr>
        <w:t xml:space="preserve"> higher than</w:t>
      </w:r>
      <w:r w:rsidRPr="00B17604">
        <w:rPr>
          <w:shd w:val="clear" w:color="auto" w:fill="FFFFFF" w:themeFill="background1"/>
        </w:rPr>
        <w:t xml:space="preserve"> those for males (</w:t>
      </w:r>
      <w:r w:rsidR="003C66C1">
        <w:rPr>
          <w:shd w:val="clear" w:color="auto" w:fill="FFFFFF" w:themeFill="background1"/>
        </w:rPr>
        <w:t>56.8</w:t>
      </w:r>
      <w:r w:rsidR="003A0804">
        <w:rPr>
          <w:shd w:val="clear" w:color="auto" w:fill="FFFFFF" w:themeFill="background1"/>
        </w:rPr>
        <w:t xml:space="preserve"> </w:t>
      </w:r>
      <w:r w:rsidRPr="00B17604">
        <w:rPr>
          <w:shd w:val="clear" w:color="auto" w:fill="FFFFFF" w:themeFill="background1"/>
        </w:rPr>
        <w:t>per</w:t>
      </w:r>
      <w:r w:rsidR="00C24812">
        <w:rPr>
          <w:shd w:val="clear" w:color="auto" w:fill="FFFFFF" w:themeFill="background1"/>
        </w:rPr>
        <w:t> </w:t>
      </w:r>
      <w:r w:rsidRPr="00B17604">
        <w:rPr>
          <w:shd w:val="clear" w:color="auto" w:fill="FFFFFF" w:themeFill="background1"/>
        </w:rPr>
        <w:t>cent) (table</w:t>
      </w:r>
      <w:r w:rsidR="00E40152" w:rsidRPr="00B17604">
        <w:rPr>
          <w:shd w:val="clear" w:color="auto" w:fill="FFFFFF" w:themeFill="background1"/>
        </w:rPr>
        <w:t> </w:t>
      </w:r>
      <w:r w:rsidRPr="00B17604">
        <w:rPr>
          <w:shd w:val="clear" w:color="auto" w:fill="FFFFFF" w:themeFill="background1"/>
        </w:rPr>
        <w:t>4A.</w:t>
      </w:r>
      <w:r w:rsidR="00BA1CEC" w:rsidRPr="00B17604">
        <w:rPr>
          <w:shd w:val="clear" w:color="auto" w:fill="FFFFFF" w:themeFill="background1"/>
        </w:rPr>
        <w:t>1</w:t>
      </w:r>
      <w:r w:rsidR="00002DCB">
        <w:rPr>
          <w:shd w:val="clear" w:color="auto" w:fill="FFFFFF" w:themeFill="background1"/>
        </w:rPr>
        <w:t>1</w:t>
      </w:r>
      <w:r w:rsidR="003A0804">
        <w:rPr>
          <w:shd w:val="clear" w:color="auto" w:fill="FFFFFF" w:themeFill="background1"/>
        </w:rPr>
        <w:t>7</w:t>
      </w:r>
      <w:r w:rsidRPr="00B17604">
        <w:rPr>
          <w:shd w:val="clear" w:color="auto" w:fill="FFFFFF" w:themeFill="background1"/>
        </w:rPr>
        <w:t>).</w:t>
      </w:r>
      <w:r w:rsidR="001D5AD2" w:rsidRPr="00B17604">
        <w:rPr>
          <w:shd w:val="clear" w:color="auto" w:fill="FFFFFF" w:themeFill="background1"/>
        </w:rPr>
        <w:t xml:space="preserve"> </w:t>
      </w:r>
      <w:r w:rsidR="00B81EE1">
        <w:rPr>
          <w:shd w:val="clear" w:color="auto" w:fill="FFFFFF" w:themeFill="background1"/>
        </w:rPr>
        <w:t>S</w:t>
      </w:r>
      <w:r w:rsidR="003C66C1">
        <w:rPr>
          <w:shd w:val="clear" w:color="auto" w:fill="FFFFFF" w:themeFill="background1"/>
        </w:rPr>
        <w:t>ingle year of age data</w:t>
      </w:r>
      <w:r w:rsidRPr="00B17604">
        <w:rPr>
          <w:shd w:val="clear" w:color="auto" w:fill="FFFFFF" w:themeFill="background1"/>
        </w:rPr>
        <w:t xml:space="preserve"> for </w:t>
      </w:r>
      <w:r w:rsidRPr="000F4F43">
        <w:rPr>
          <w:shd w:val="clear" w:color="auto" w:fill="FFFFFF" w:themeFill="background1"/>
        </w:rPr>
        <w:t>1</w:t>
      </w:r>
      <w:r w:rsidR="00467ECF" w:rsidRPr="000F4F43">
        <w:rPr>
          <w:shd w:val="clear" w:color="auto" w:fill="FFFFFF" w:themeFill="background1"/>
        </w:rPr>
        <w:t>5</w:t>
      </w:r>
      <w:r w:rsidRPr="00B17604">
        <w:rPr>
          <w:shd w:val="clear" w:color="auto" w:fill="FFFFFF" w:themeFill="background1"/>
        </w:rPr>
        <w:t>–19 year olds from 20</w:t>
      </w:r>
      <w:r w:rsidR="003C66C1">
        <w:rPr>
          <w:shd w:val="clear" w:color="auto" w:fill="FFFFFF" w:themeFill="background1"/>
        </w:rPr>
        <w:t>09</w:t>
      </w:r>
      <w:r w:rsidRPr="00B17604">
        <w:rPr>
          <w:shd w:val="clear" w:color="auto" w:fill="FFFFFF" w:themeFill="background1"/>
        </w:rPr>
        <w:t xml:space="preserve"> to</w:t>
      </w:r>
      <w:r w:rsidRPr="00666ECE">
        <w:t xml:space="preserve"> 201</w:t>
      </w:r>
      <w:r w:rsidR="009C3987">
        <w:t>4</w:t>
      </w:r>
      <w:r w:rsidRPr="00666ECE">
        <w:t xml:space="preserve"> are included in table 4A.</w:t>
      </w:r>
      <w:r w:rsidR="00BA1CEC">
        <w:t>1</w:t>
      </w:r>
      <w:r w:rsidR="00002DCB">
        <w:t>1</w:t>
      </w:r>
      <w:r w:rsidR="003A0804">
        <w:t>8</w:t>
      </w:r>
      <w:r w:rsidRPr="00666ECE">
        <w:t>.</w:t>
      </w:r>
    </w:p>
    <w:p w:rsidR="001435AF" w:rsidRDefault="001435AF" w:rsidP="00E41D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435AF" w:rsidTr="00E41D90">
        <w:tc>
          <w:tcPr>
            <w:tcW w:w="8771" w:type="dxa"/>
            <w:tcBorders>
              <w:top w:val="single" w:sz="6" w:space="0" w:color="78A22F"/>
              <w:left w:val="nil"/>
              <w:bottom w:val="nil"/>
              <w:right w:val="nil"/>
            </w:tcBorders>
            <w:shd w:val="clear" w:color="auto" w:fill="auto"/>
          </w:tcPr>
          <w:p w:rsidR="001435AF" w:rsidRPr="00176D3F" w:rsidRDefault="001435AF" w:rsidP="00B8116A">
            <w:pPr>
              <w:pStyle w:val="FigureTitle"/>
            </w:pPr>
            <w:r w:rsidRPr="00784A05">
              <w:rPr>
                <w:b w:val="0"/>
              </w:rPr>
              <w:t xml:space="preserve">Figure </w:t>
            </w:r>
            <w:r w:rsidR="00B70781">
              <w:rPr>
                <w:b w:val="0"/>
              </w:rPr>
              <w:t>4.</w:t>
            </w:r>
            <w:r w:rsidR="00FF4FBD">
              <w:rPr>
                <w:b w:val="0"/>
                <w:noProof/>
              </w:rPr>
              <w:t>10</w:t>
            </w:r>
            <w:r>
              <w:tab/>
            </w:r>
            <w:r w:rsidRPr="001435AF">
              <w:t>School participation rate of people aged 1</w:t>
            </w:r>
            <w:r w:rsidR="009C3987">
              <w:t>5</w:t>
            </w:r>
            <w:r w:rsidRPr="001435AF">
              <w:t>–19 years in school education, all schools, 201</w:t>
            </w:r>
            <w:r w:rsidR="009C3987">
              <w:t>4</w:t>
            </w:r>
            <w:r w:rsidR="008A76CD">
              <w:t xml:space="preserve"> </w:t>
            </w:r>
            <w:r w:rsidR="00703A74">
              <w:t>(per cent)</w:t>
            </w:r>
            <w:r w:rsidRPr="001435AF">
              <w:rPr>
                <w:rStyle w:val="NoteLabel"/>
                <w:b/>
              </w:rPr>
              <w:t>a</w:t>
            </w:r>
            <w:r w:rsidR="009C3987">
              <w:rPr>
                <w:rStyle w:val="NoteLabel"/>
                <w:b/>
              </w:rPr>
              <w:t xml:space="preserve"> </w:t>
            </w:r>
          </w:p>
        </w:tc>
      </w:tr>
      <w:tr w:rsidR="001435AF" w:rsidTr="000F4F43">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435AF" w:rsidTr="00E41D90">
              <w:trPr>
                <w:jc w:val="center"/>
              </w:trPr>
              <w:tc>
                <w:tcPr>
                  <w:tcW w:w="5000" w:type="pct"/>
                  <w:tcBorders>
                    <w:top w:val="nil"/>
                    <w:bottom w:val="nil"/>
                  </w:tcBorders>
                </w:tcPr>
                <w:p w:rsidR="001435AF" w:rsidRDefault="00494008" w:rsidP="00E41D90">
                  <w:pPr>
                    <w:pStyle w:val="Figure"/>
                    <w:spacing w:before="60" w:after="60"/>
                  </w:pPr>
                  <w:r>
                    <w:rPr>
                      <w:noProof/>
                    </w:rPr>
                    <w:drawing>
                      <wp:inline distT="0" distB="0" distL="0" distR="0">
                        <wp:extent cx="5381625" cy="2647950"/>
                        <wp:effectExtent l="0" t="0" r="9525" b="0"/>
                        <wp:docPr id="10" name="Picture 10" descr="Figure 4.10 School participation rate of people aged 15–19 years in school education, all schools, 2014 (per c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1435AF" w:rsidRDefault="001435AF" w:rsidP="00E41D90">
            <w:pPr>
              <w:pStyle w:val="Figure"/>
            </w:pPr>
          </w:p>
        </w:tc>
      </w:tr>
      <w:tr w:rsidR="001435AF" w:rsidRPr="00176D3F" w:rsidTr="00A11734">
        <w:tc>
          <w:tcPr>
            <w:tcW w:w="8771" w:type="dxa"/>
            <w:tcBorders>
              <w:top w:val="nil"/>
              <w:left w:val="nil"/>
              <w:bottom w:val="nil"/>
              <w:right w:val="nil"/>
            </w:tcBorders>
            <w:shd w:val="clear" w:color="auto" w:fill="auto"/>
          </w:tcPr>
          <w:p w:rsidR="001435AF" w:rsidRPr="00176D3F" w:rsidRDefault="005B3EDD" w:rsidP="003A0804">
            <w:pPr>
              <w:pStyle w:val="Source"/>
            </w:pPr>
            <w:r w:rsidRPr="00953E9C">
              <w:rPr>
                <w:rStyle w:val="NoteLabel"/>
              </w:rPr>
              <w:t>a</w:t>
            </w:r>
            <w:r w:rsidRPr="00953E9C">
              <w:t xml:space="preserve"> </w:t>
            </w:r>
            <w:r w:rsidRPr="007C767F">
              <w:t xml:space="preserve">See </w:t>
            </w:r>
            <w:r>
              <w:t xml:space="preserve">box 4.2 and </w:t>
            </w:r>
            <w:r w:rsidRPr="007C767F">
              <w:t xml:space="preserve">table </w:t>
            </w:r>
            <w:r>
              <w:t>4A.11</w:t>
            </w:r>
            <w:r w:rsidR="003A0804">
              <w:t>7</w:t>
            </w:r>
            <w:r w:rsidRPr="007C767F">
              <w:t xml:space="preserve"> for detailed</w:t>
            </w:r>
            <w:r>
              <w:t xml:space="preserve"> </w:t>
            </w:r>
            <w:r w:rsidRPr="005B3EDD">
              <w:t>definitions, footnotes and caveats</w:t>
            </w:r>
            <w:r w:rsidRPr="007C767F">
              <w:t>.</w:t>
            </w:r>
          </w:p>
        </w:tc>
      </w:tr>
      <w:tr w:rsidR="001435AF" w:rsidRPr="00176D3F" w:rsidTr="00E41D90">
        <w:tc>
          <w:tcPr>
            <w:tcW w:w="8771" w:type="dxa"/>
            <w:tcBorders>
              <w:top w:val="nil"/>
              <w:left w:val="nil"/>
              <w:bottom w:val="nil"/>
              <w:right w:val="nil"/>
            </w:tcBorders>
            <w:shd w:val="clear" w:color="auto" w:fill="auto"/>
          </w:tcPr>
          <w:p w:rsidR="001435AF" w:rsidRPr="00176D3F" w:rsidRDefault="00703A74" w:rsidP="00473292">
            <w:pPr>
              <w:pStyle w:val="Source"/>
            </w:pPr>
            <w:r>
              <w:rPr>
                <w:i/>
              </w:rPr>
              <w:t>S</w:t>
            </w:r>
            <w:r w:rsidR="001435AF" w:rsidRPr="00784A05">
              <w:rPr>
                <w:i/>
              </w:rPr>
              <w:t>ource</w:t>
            </w:r>
            <w:r w:rsidR="001435AF" w:rsidRPr="00176D3F">
              <w:t xml:space="preserve">: </w:t>
            </w:r>
            <w:r w:rsidR="001435AF" w:rsidRPr="005F1E51">
              <w:rPr>
                <w:shd w:val="clear" w:color="auto" w:fill="FFFFFF" w:themeFill="background1"/>
              </w:rPr>
              <w:t>ABS (201</w:t>
            </w:r>
            <w:r w:rsidR="009C3987">
              <w:rPr>
                <w:shd w:val="clear" w:color="auto" w:fill="FFFFFF" w:themeFill="background1"/>
              </w:rPr>
              <w:t>5</w:t>
            </w:r>
            <w:r w:rsidR="00473292">
              <w:rPr>
                <w:shd w:val="clear" w:color="auto" w:fill="FFFFFF" w:themeFill="background1"/>
              </w:rPr>
              <w:t xml:space="preserve"> and unpublished</w:t>
            </w:r>
            <w:r w:rsidR="001435AF" w:rsidRPr="005F1E51">
              <w:rPr>
                <w:shd w:val="clear" w:color="auto" w:fill="FFFFFF" w:themeFill="background1"/>
              </w:rPr>
              <w:t xml:space="preserve">) </w:t>
            </w:r>
            <w:r w:rsidR="001435AF" w:rsidRPr="005F1E51">
              <w:rPr>
                <w:i/>
                <w:shd w:val="clear" w:color="auto" w:fill="FFFFFF" w:themeFill="background1"/>
              </w:rPr>
              <w:t>Schools Australia 201</w:t>
            </w:r>
            <w:r w:rsidR="009C3987">
              <w:rPr>
                <w:i/>
                <w:shd w:val="clear" w:color="auto" w:fill="FFFFFF" w:themeFill="background1"/>
              </w:rPr>
              <w:t>4</w:t>
            </w:r>
            <w:r w:rsidR="001435AF" w:rsidRPr="005F1E51">
              <w:rPr>
                <w:shd w:val="clear" w:color="auto" w:fill="FFFFFF" w:themeFill="background1"/>
              </w:rPr>
              <w:t>, Cat. no. 4221.0; table</w:t>
            </w:r>
            <w:r w:rsidR="007C767F">
              <w:rPr>
                <w:shd w:val="clear" w:color="auto" w:fill="FFFFFF" w:themeFill="background1"/>
              </w:rPr>
              <w:t> </w:t>
            </w:r>
            <w:r w:rsidR="001435AF" w:rsidRPr="005F1E51">
              <w:rPr>
                <w:shd w:val="clear" w:color="auto" w:fill="FFFFFF" w:themeFill="background1"/>
              </w:rPr>
              <w:t>4A.1</w:t>
            </w:r>
            <w:r w:rsidR="00002DCB">
              <w:rPr>
                <w:shd w:val="clear" w:color="auto" w:fill="FFFFFF" w:themeFill="background1"/>
              </w:rPr>
              <w:t>1</w:t>
            </w:r>
            <w:r w:rsidR="003A0804">
              <w:rPr>
                <w:shd w:val="clear" w:color="auto" w:fill="FFFFFF" w:themeFill="background1"/>
              </w:rPr>
              <w:t>7</w:t>
            </w:r>
            <w:r w:rsidR="001435AF" w:rsidRPr="005F1E51">
              <w:rPr>
                <w:shd w:val="clear" w:color="auto" w:fill="FFFFFF" w:themeFill="background1"/>
              </w:rPr>
              <w:t>.</w:t>
            </w:r>
          </w:p>
        </w:tc>
      </w:tr>
      <w:tr w:rsidR="001435AF" w:rsidTr="00E41D90">
        <w:tc>
          <w:tcPr>
            <w:tcW w:w="8771" w:type="dxa"/>
            <w:tcBorders>
              <w:top w:val="nil"/>
              <w:left w:val="nil"/>
              <w:bottom w:val="single" w:sz="6" w:space="0" w:color="78A22F"/>
              <w:right w:val="nil"/>
            </w:tcBorders>
            <w:shd w:val="clear" w:color="auto" w:fill="auto"/>
          </w:tcPr>
          <w:p w:rsidR="001435AF" w:rsidRDefault="001435AF" w:rsidP="00E41D90">
            <w:pPr>
              <w:pStyle w:val="Figurespace"/>
            </w:pPr>
          </w:p>
        </w:tc>
      </w:tr>
      <w:tr w:rsidR="001435AF" w:rsidRPr="000863A5" w:rsidTr="00E41D90">
        <w:tc>
          <w:tcPr>
            <w:tcW w:w="8771" w:type="dxa"/>
            <w:tcBorders>
              <w:top w:val="single" w:sz="6" w:space="0" w:color="78A22F"/>
              <w:left w:val="nil"/>
              <w:bottom w:val="nil"/>
              <w:right w:val="nil"/>
            </w:tcBorders>
          </w:tcPr>
          <w:p w:rsidR="001435AF" w:rsidRPr="00626D32" w:rsidRDefault="001435AF" w:rsidP="00E41D90">
            <w:pPr>
              <w:pStyle w:val="BoxSpaceBelow"/>
            </w:pPr>
          </w:p>
        </w:tc>
      </w:tr>
    </w:tbl>
    <w:p w:rsidR="00666ECE" w:rsidRPr="00666ECE" w:rsidRDefault="00666ECE" w:rsidP="007B0AE2">
      <w:pPr>
        <w:pStyle w:val="Heading5"/>
      </w:pPr>
      <w:r w:rsidRPr="00666ECE">
        <w:t>Participation — achievement of VET competencies</w:t>
      </w:r>
    </w:p>
    <w:p w:rsidR="00666ECE" w:rsidRPr="00666ECE" w:rsidRDefault="008B5ED3" w:rsidP="00483D1F">
      <w:pPr>
        <w:pStyle w:val="BodyText"/>
      </w:pPr>
      <w:r>
        <w:t>In</w:t>
      </w:r>
      <w:r w:rsidRPr="00666ECE">
        <w:t xml:space="preserve"> </w:t>
      </w:r>
      <w:r w:rsidRPr="00C97555">
        <w:rPr>
          <w:shd w:val="clear" w:color="auto" w:fill="FFFFFF" w:themeFill="background1"/>
        </w:rPr>
        <w:t>201</w:t>
      </w:r>
      <w:r w:rsidR="009C3987">
        <w:rPr>
          <w:shd w:val="clear" w:color="auto" w:fill="FFFFFF" w:themeFill="background1"/>
        </w:rPr>
        <w:t>3</w:t>
      </w:r>
      <w:r>
        <w:rPr>
          <w:shd w:val="clear" w:color="auto" w:fill="FFFFFF" w:themeFill="background1"/>
        </w:rPr>
        <w:t>,</w:t>
      </w:r>
      <w:r w:rsidR="00666ECE" w:rsidRPr="00666ECE">
        <w:t xml:space="preserve"> </w:t>
      </w:r>
      <w:r w:rsidR="00F67FA3">
        <w:rPr>
          <w:shd w:val="clear" w:color="auto" w:fill="FFFFFF" w:themeFill="background1"/>
        </w:rPr>
        <w:t>453 400</w:t>
      </w:r>
      <w:r w:rsidR="008771B2" w:rsidRPr="00F848EE">
        <w:t xml:space="preserve"> </w:t>
      </w:r>
      <w:r w:rsidRPr="00666ECE">
        <w:t xml:space="preserve">young people </w:t>
      </w:r>
      <w:r w:rsidRPr="00C97555">
        <w:rPr>
          <w:shd w:val="clear" w:color="auto" w:fill="FFFFFF" w:themeFill="background1"/>
        </w:rPr>
        <w:t>w</w:t>
      </w:r>
      <w:r>
        <w:rPr>
          <w:shd w:val="clear" w:color="auto" w:fill="FFFFFF" w:themeFill="background1"/>
        </w:rPr>
        <w:t>ere</w:t>
      </w:r>
      <w:r w:rsidRPr="00C97555">
        <w:rPr>
          <w:shd w:val="clear" w:color="auto" w:fill="FFFFFF" w:themeFill="background1"/>
        </w:rPr>
        <w:t xml:space="preserve"> </w:t>
      </w:r>
      <w:r w:rsidRPr="00666ECE">
        <w:t xml:space="preserve">undertaking VET in Schools programs </w:t>
      </w:r>
      <w:r w:rsidR="00666ECE" w:rsidRPr="00F848EE">
        <w:t>(NCVER</w:t>
      </w:r>
      <w:r w:rsidR="007D34B7">
        <w:t> </w:t>
      </w:r>
      <w:r w:rsidR="00666ECE" w:rsidRPr="00F848EE">
        <w:t>20</w:t>
      </w:r>
      <w:r w:rsidR="00214B63">
        <w:t>1</w:t>
      </w:r>
      <w:r w:rsidR="009C3987">
        <w:t>4</w:t>
      </w:r>
      <w:r w:rsidR="00666ECE" w:rsidRPr="00F848EE">
        <w:t>). The proportion of 15–19</w:t>
      </w:r>
      <w:r w:rsidR="0019719B" w:rsidRPr="00F848EE">
        <w:t> </w:t>
      </w:r>
      <w:r w:rsidR="00666ECE" w:rsidRPr="00F848EE">
        <w:t xml:space="preserve">year olds who had successfully </w:t>
      </w:r>
      <w:r w:rsidR="00666ECE" w:rsidRPr="00666ECE">
        <w:t xml:space="preserve">completed at least one unit of competency as part of a VET qualification at AQF Certificate II or above </w:t>
      </w:r>
      <w:r w:rsidR="00666ECE" w:rsidRPr="008A76CD">
        <w:rPr>
          <w:shd w:val="clear" w:color="auto" w:fill="FFFFFF" w:themeFill="background1"/>
        </w:rPr>
        <w:t xml:space="preserve">was </w:t>
      </w:r>
      <w:r w:rsidR="00C94CE1">
        <w:rPr>
          <w:shd w:val="clear" w:color="auto" w:fill="FFFFFF" w:themeFill="background1"/>
        </w:rPr>
        <w:t>27.0</w:t>
      </w:r>
      <w:r w:rsidR="00666ECE" w:rsidRPr="008A76CD">
        <w:rPr>
          <w:shd w:val="clear" w:color="auto" w:fill="FFFFFF" w:themeFill="background1"/>
        </w:rPr>
        <w:t xml:space="preserve"> per</w:t>
      </w:r>
      <w:r w:rsidR="00666ECE" w:rsidRPr="00666ECE">
        <w:t xml:space="preserve"> cent </w:t>
      </w:r>
      <w:r w:rsidR="00666ECE" w:rsidRPr="008E7623">
        <w:rPr>
          <w:shd w:val="clear" w:color="auto" w:fill="FFFFFF" w:themeFill="background1"/>
        </w:rPr>
        <w:t>nationally in 20</w:t>
      </w:r>
      <w:r w:rsidR="0055265A" w:rsidRPr="008E7623">
        <w:rPr>
          <w:shd w:val="clear" w:color="auto" w:fill="FFFFFF" w:themeFill="background1"/>
        </w:rPr>
        <w:t>1</w:t>
      </w:r>
      <w:r w:rsidR="009C3987" w:rsidRPr="008E7623">
        <w:rPr>
          <w:shd w:val="clear" w:color="auto" w:fill="FFFFFF" w:themeFill="background1"/>
        </w:rPr>
        <w:t>3</w:t>
      </w:r>
      <w:r w:rsidR="00666ECE" w:rsidRPr="008E7623">
        <w:rPr>
          <w:shd w:val="clear" w:color="auto" w:fill="FFFFFF" w:themeFill="background1"/>
        </w:rPr>
        <w:t xml:space="preserve"> (figure 4.</w:t>
      </w:r>
      <w:r w:rsidR="007275F7" w:rsidRPr="008E7623">
        <w:rPr>
          <w:shd w:val="clear" w:color="auto" w:fill="FFFFFF" w:themeFill="background1"/>
        </w:rPr>
        <w:t>1</w:t>
      </w:r>
      <w:r w:rsidR="00CF6F4E">
        <w:rPr>
          <w:shd w:val="clear" w:color="auto" w:fill="FFFFFF" w:themeFill="background1"/>
        </w:rPr>
        <w:t>1</w:t>
      </w:r>
      <w:r w:rsidR="00666ECE" w:rsidRPr="008E7623">
        <w:rPr>
          <w:shd w:val="clear" w:color="auto" w:fill="FFFFFF" w:themeFill="background1"/>
        </w:rPr>
        <w:t xml:space="preserve">). </w:t>
      </w:r>
      <w:r w:rsidR="009C3987" w:rsidRPr="008E7623">
        <w:rPr>
          <w:shd w:val="clear" w:color="auto" w:fill="FFFFFF" w:themeFill="background1"/>
        </w:rPr>
        <w:t xml:space="preserve">This proportion </w:t>
      </w:r>
      <w:r w:rsidR="00681DD0" w:rsidRPr="008E7623">
        <w:rPr>
          <w:shd w:val="clear" w:color="auto" w:fill="FFFFFF" w:themeFill="background1"/>
        </w:rPr>
        <w:t>has</w:t>
      </w:r>
      <w:r w:rsidR="009C3987" w:rsidRPr="008E7623">
        <w:rPr>
          <w:shd w:val="clear" w:color="auto" w:fill="FFFFFF" w:themeFill="background1"/>
        </w:rPr>
        <w:t xml:space="preserve"> increase</w:t>
      </w:r>
      <w:r w:rsidR="00681DD0" w:rsidRPr="008E7623">
        <w:rPr>
          <w:shd w:val="clear" w:color="auto" w:fill="FFFFFF" w:themeFill="background1"/>
        </w:rPr>
        <w:t>d</w:t>
      </w:r>
      <w:r w:rsidR="009C3987" w:rsidRPr="008E7623">
        <w:rPr>
          <w:shd w:val="clear" w:color="auto" w:fill="FFFFFF" w:themeFill="background1"/>
        </w:rPr>
        <w:t xml:space="preserve"> </w:t>
      </w:r>
      <w:r w:rsidR="00681DD0" w:rsidRPr="008E7623">
        <w:rPr>
          <w:shd w:val="clear" w:color="auto" w:fill="FFFFFF" w:themeFill="background1"/>
        </w:rPr>
        <w:t xml:space="preserve">steadily </w:t>
      </w:r>
      <w:r w:rsidR="009C3987" w:rsidRPr="008E7623">
        <w:rPr>
          <w:shd w:val="clear" w:color="auto" w:fill="FFFFFF" w:themeFill="background1"/>
        </w:rPr>
        <w:t>since</w:t>
      </w:r>
      <w:r w:rsidR="009C3987">
        <w:t xml:space="preserve"> 2009</w:t>
      </w:r>
      <w:r w:rsidR="008E7623">
        <w:t xml:space="preserve"> but decreased from 2012 to 2013</w:t>
      </w:r>
      <w:r w:rsidR="009C3987">
        <w:t xml:space="preserve"> (table 4A.1</w:t>
      </w:r>
      <w:r w:rsidR="00C94CE1">
        <w:t>3</w:t>
      </w:r>
      <w:r w:rsidR="003A0804">
        <w:t>0</w:t>
      </w:r>
      <w:r w:rsidR="009C3987">
        <w:t>). It</w:t>
      </w:r>
      <w:r w:rsidR="00666ECE" w:rsidRPr="00666ECE">
        <w:t xml:space="preserve"> includes both VET in Schools students and school-aged students who have left school but are still engaged in education through a campus of </w:t>
      </w:r>
      <w:r w:rsidR="007C3D5B">
        <w:t>technical and further education (</w:t>
      </w:r>
      <w:r w:rsidR="00666ECE" w:rsidRPr="00666ECE">
        <w:t>TAFE</w:t>
      </w:r>
      <w:r w:rsidR="007C3D5B">
        <w:t>)</w:t>
      </w:r>
      <w:r w:rsidR="00666ECE" w:rsidRPr="00666ECE">
        <w:t xml:space="preserve"> or other VET Register</w:t>
      </w:r>
      <w:r w:rsidR="00817F8F">
        <w:t>ed Training Organisation (RTO).</w:t>
      </w:r>
    </w:p>
    <w:p w:rsidR="002349F8" w:rsidRDefault="002349F8" w:rsidP="00E41D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349F8" w:rsidTr="00E41D90">
        <w:tc>
          <w:tcPr>
            <w:tcW w:w="8771" w:type="dxa"/>
            <w:tcBorders>
              <w:top w:val="single" w:sz="6" w:space="0" w:color="78A22F"/>
              <w:left w:val="nil"/>
              <w:bottom w:val="nil"/>
              <w:right w:val="nil"/>
            </w:tcBorders>
            <w:shd w:val="clear" w:color="auto" w:fill="auto"/>
          </w:tcPr>
          <w:p w:rsidR="002349F8" w:rsidRPr="00176D3F" w:rsidRDefault="002349F8" w:rsidP="003C66C1">
            <w:pPr>
              <w:pStyle w:val="FigureTitle"/>
            </w:pPr>
            <w:r w:rsidRPr="00784A05">
              <w:rPr>
                <w:b w:val="0"/>
              </w:rPr>
              <w:t xml:space="preserve">Figure </w:t>
            </w:r>
            <w:r w:rsidR="00B70781">
              <w:rPr>
                <w:b w:val="0"/>
              </w:rPr>
              <w:t>4.</w:t>
            </w:r>
            <w:r w:rsidR="00FF4FBD">
              <w:rPr>
                <w:b w:val="0"/>
                <w:noProof/>
              </w:rPr>
              <w:t>11</w:t>
            </w:r>
            <w:r>
              <w:tab/>
            </w:r>
            <w:r w:rsidRPr="002349F8">
              <w:t>Proportion of 15–19 year olds who have successfully completed at least one unit of competency as part of a VET qualification at AQF Certificate II or above</w:t>
            </w:r>
            <w:r w:rsidR="003C66C1">
              <w:t xml:space="preserve"> </w:t>
            </w:r>
            <w:r w:rsidR="00703A74">
              <w:t>(per cent)</w:t>
            </w:r>
            <w:r w:rsidR="00847B4C" w:rsidRPr="00C90B4B">
              <w:rPr>
                <w:rStyle w:val="NoteLabel"/>
                <w:b/>
              </w:rPr>
              <w:t>a</w:t>
            </w:r>
          </w:p>
        </w:tc>
      </w:tr>
      <w:tr w:rsidR="002349F8" w:rsidTr="00E41D9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349F8" w:rsidTr="00E41D90">
              <w:trPr>
                <w:jc w:val="center"/>
              </w:trPr>
              <w:tc>
                <w:tcPr>
                  <w:tcW w:w="5000" w:type="pct"/>
                  <w:tcBorders>
                    <w:top w:val="nil"/>
                    <w:bottom w:val="nil"/>
                  </w:tcBorders>
                </w:tcPr>
                <w:p w:rsidR="002349F8" w:rsidRDefault="00494008" w:rsidP="00E41D90">
                  <w:pPr>
                    <w:pStyle w:val="Figure"/>
                    <w:spacing w:before="60" w:after="60"/>
                  </w:pPr>
                  <w:r>
                    <w:rPr>
                      <w:noProof/>
                    </w:rPr>
                    <w:drawing>
                      <wp:inline distT="0" distB="0" distL="0" distR="0">
                        <wp:extent cx="5391150" cy="2857500"/>
                        <wp:effectExtent l="0" t="0" r="0" b="0"/>
                        <wp:docPr id="11" name="Picture 11" descr="Figure 4.11 Proportion of 15–19 year olds who have successfully completed at least one unit of competency as part of a VET qualification at AQF Certificate II or above (per c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2857500"/>
                                </a:xfrm>
                                <a:prstGeom prst="rect">
                                  <a:avLst/>
                                </a:prstGeom>
                                <a:noFill/>
                                <a:ln>
                                  <a:noFill/>
                                </a:ln>
                              </pic:spPr>
                            </pic:pic>
                          </a:graphicData>
                        </a:graphic>
                      </wp:inline>
                    </w:drawing>
                  </w:r>
                </w:p>
              </w:tc>
            </w:tr>
          </w:tbl>
          <w:p w:rsidR="002349F8" w:rsidRDefault="002349F8" w:rsidP="00E41D90">
            <w:pPr>
              <w:pStyle w:val="Figure"/>
            </w:pPr>
          </w:p>
        </w:tc>
      </w:tr>
      <w:tr w:rsidR="00847B4C" w:rsidRPr="00176D3F" w:rsidTr="00E41D90">
        <w:tc>
          <w:tcPr>
            <w:tcW w:w="8771" w:type="dxa"/>
            <w:tcBorders>
              <w:top w:val="nil"/>
              <w:left w:val="nil"/>
              <w:bottom w:val="nil"/>
              <w:right w:val="nil"/>
            </w:tcBorders>
            <w:shd w:val="clear" w:color="auto" w:fill="auto"/>
          </w:tcPr>
          <w:p w:rsidR="00847B4C" w:rsidRDefault="00847B4C" w:rsidP="00C90B4B">
            <w:pPr>
              <w:pStyle w:val="Note"/>
              <w:rPr>
                <w:i/>
              </w:rPr>
            </w:pPr>
            <w:r w:rsidRPr="00C90B4B">
              <w:rPr>
                <w:rStyle w:val="NoteLabel"/>
              </w:rPr>
              <w:t>a</w:t>
            </w:r>
            <w:r>
              <w:rPr>
                <w:i/>
              </w:rPr>
              <w:t xml:space="preserve"> </w:t>
            </w:r>
            <w:r w:rsidRPr="007C767F">
              <w:t xml:space="preserve">See </w:t>
            </w:r>
            <w:r>
              <w:t xml:space="preserve">box 4.2 and </w:t>
            </w:r>
            <w:r w:rsidRPr="007C767F">
              <w:t xml:space="preserve">table </w:t>
            </w:r>
            <w:r>
              <w:t>4A.130</w:t>
            </w:r>
            <w:r w:rsidRPr="007C767F">
              <w:t xml:space="preserve"> for detailed</w:t>
            </w:r>
            <w:r>
              <w:t xml:space="preserve"> </w:t>
            </w:r>
            <w:r w:rsidRPr="005B3EDD">
              <w:t>definitions, footnotes and caveats</w:t>
            </w:r>
            <w:r w:rsidRPr="007C767F">
              <w:t>.</w:t>
            </w:r>
          </w:p>
        </w:tc>
      </w:tr>
      <w:tr w:rsidR="002349F8" w:rsidRPr="00176D3F" w:rsidTr="00E41D90">
        <w:tc>
          <w:tcPr>
            <w:tcW w:w="8771" w:type="dxa"/>
            <w:tcBorders>
              <w:top w:val="nil"/>
              <w:left w:val="nil"/>
              <w:bottom w:val="nil"/>
              <w:right w:val="nil"/>
            </w:tcBorders>
            <w:shd w:val="clear" w:color="auto" w:fill="auto"/>
          </w:tcPr>
          <w:p w:rsidR="002349F8" w:rsidRPr="00176D3F" w:rsidRDefault="002349F8" w:rsidP="0083616F">
            <w:pPr>
              <w:pStyle w:val="Source"/>
            </w:pPr>
            <w:r>
              <w:rPr>
                <w:i/>
              </w:rPr>
              <w:t>S</w:t>
            </w:r>
            <w:r w:rsidRPr="00784A05">
              <w:rPr>
                <w:i/>
              </w:rPr>
              <w:t>ource</w:t>
            </w:r>
            <w:r w:rsidRPr="00176D3F">
              <w:t xml:space="preserve">: </w:t>
            </w:r>
            <w:r w:rsidR="007C3D5B" w:rsidRPr="007C3D5B">
              <w:t>National C</w:t>
            </w:r>
            <w:r w:rsidR="0083616F">
              <w:t>entre</w:t>
            </w:r>
            <w:r w:rsidR="007C3D5B" w:rsidRPr="007C3D5B">
              <w:t xml:space="preserve"> for Vocational Education Research </w:t>
            </w:r>
            <w:r w:rsidR="007C3D5B">
              <w:t>(</w:t>
            </w:r>
            <w:r w:rsidRPr="002349F8">
              <w:t>NCVER</w:t>
            </w:r>
            <w:r w:rsidR="007C3D5B">
              <w:t>)</w:t>
            </w:r>
            <w:r w:rsidRPr="002349F8">
              <w:rPr>
                <w:i/>
              </w:rPr>
              <w:t xml:space="preserve">, National VET Provider Collection </w:t>
            </w:r>
            <w:r w:rsidRPr="002349F8">
              <w:t>(various years); NCVER</w:t>
            </w:r>
            <w:r w:rsidRPr="002349F8">
              <w:rPr>
                <w:i/>
              </w:rPr>
              <w:t>, National VET in Schools Collection</w:t>
            </w:r>
            <w:r w:rsidRPr="002349F8">
              <w:t xml:space="preserve"> </w:t>
            </w:r>
            <w:r w:rsidR="00C97555" w:rsidRPr="002349F8">
              <w:t>(various years)</w:t>
            </w:r>
            <w:r w:rsidRPr="002349F8">
              <w:t xml:space="preserve">; ABS </w:t>
            </w:r>
            <w:r w:rsidR="00C97555" w:rsidRPr="00C97555">
              <w:rPr>
                <w:i/>
              </w:rPr>
              <w:t xml:space="preserve">Australian Demographic Statistics, </w:t>
            </w:r>
            <w:r w:rsidR="0068677C" w:rsidRPr="0068677C">
              <w:t>(various years)</w:t>
            </w:r>
            <w:r w:rsidRPr="002349F8">
              <w:t xml:space="preserve"> (Cat. no. 3</w:t>
            </w:r>
            <w:r w:rsidR="00C97555">
              <w:t>1</w:t>
            </w:r>
            <w:r w:rsidRPr="002349F8">
              <w:t>01.0); table 4A.1</w:t>
            </w:r>
            <w:r w:rsidR="00002DCB">
              <w:t>3</w:t>
            </w:r>
            <w:r w:rsidR="003A0804">
              <w:t>0</w:t>
            </w:r>
            <w:r>
              <w:t>.</w:t>
            </w:r>
          </w:p>
        </w:tc>
      </w:tr>
      <w:tr w:rsidR="002349F8" w:rsidTr="00E41D90">
        <w:tc>
          <w:tcPr>
            <w:tcW w:w="8771" w:type="dxa"/>
            <w:tcBorders>
              <w:top w:val="nil"/>
              <w:left w:val="nil"/>
              <w:bottom w:val="single" w:sz="6" w:space="0" w:color="78A22F"/>
              <w:right w:val="nil"/>
            </w:tcBorders>
            <w:shd w:val="clear" w:color="auto" w:fill="auto"/>
          </w:tcPr>
          <w:p w:rsidR="002349F8" w:rsidRDefault="002349F8" w:rsidP="00E41D90">
            <w:pPr>
              <w:pStyle w:val="Figurespace"/>
            </w:pPr>
          </w:p>
        </w:tc>
      </w:tr>
      <w:tr w:rsidR="002349F8" w:rsidRPr="000863A5" w:rsidTr="00E41D90">
        <w:tc>
          <w:tcPr>
            <w:tcW w:w="8771" w:type="dxa"/>
            <w:tcBorders>
              <w:top w:val="single" w:sz="6" w:space="0" w:color="78A22F"/>
              <w:left w:val="nil"/>
              <w:bottom w:val="nil"/>
              <w:right w:val="nil"/>
            </w:tcBorders>
          </w:tcPr>
          <w:p w:rsidR="002349F8" w:rsidRPr="00626D32" w:rsidRDefault="002349F8" w:rsidP="00E41D90">
            <w:pPr>
              <w:pStyle w:val="BoxSpaceBelow"/>
            </w:pPr>
          </w:p>
        </w:tc>
      </w:tr>
    </w:tbl>
    <w:p w:rsidR="00666ECE" w:rsidRPr="00666ECE" w:rsidRDefault="005516D1" w:rsidP="005516D1">
      <w:pPr>
        <w:pStyle w:val="Heading4"/>
      </w:pPr>
      <w:r>
        <w:t xml:space="preserve">Access and equity — </w:t>
      </w:r>
      <w:r w:rsidR="00666ECE" w:rsidRPr="00666ECE">
        <w:t>Retention</w:t>
      </w:r>
    </w:p>
    <w:p w:rsidR="00666ECE" w:rsidRDefault="00666ECE" w:rsidP="00483D1F">
      <w:pPr>
        <w:pStyle w:val="BodyText"/>
      </w:pPr>
      <w:r w:rsidRPr="00666ECE">
        <w:t xml:space="preserve">‘Retention’ to the final years of schooling is an indicator of governments’ objective that all students have access to high quality education and training necessary to </w:t>
      </w:r>
      <w:r w:rsidR="0019719B" w:rsidRPr="00666ECE">
        <w:t>compl</w:t>
      </w:r>
      <w:r w:rsidR="0019719B">
        <w:t>et</w:t>
      </w:r>
      <w:r w:rsidR="0019719B" w:rsidRPr="00666ECE">
        <w:t>e</w:t>
      </w:r>
      <w:r w:rsidRPr="00666ECE">
        <w:t xml:space="preserve"> education to year 12 or its equivalent (box 4.</w:t>
      </w:r>
      <w:r w:rsidR="00DB7304">
        <w:t>3</w:t>
      </w:r>
      <w:r w:rsidRPr="00666ECE">
        <w:t>).</w:t>
      </w:r>
    </w:p>
    <w:p w:rsidR="00CD37FD" w:rsidRDefault="00CD37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D37FD" w:rsidTr="00751345">
        <w:tc>
          <w:tcPr>
            <w:tcW w:w="8771" w:type="dxa"/>
            <w:tcBorders>
              <w:top w:val="single" w:sz="6" w:space="0" w:color="78A22F"/>
              <w:left w:val="nil"/>
              <w:bottom w:val="nil"/>
              <w:right w:val="nil"/>
            </w:tcBorders>
            <w:shd w:val="clear" w:color="auto" w:fill="F2F2F2"/>
          </w:tcPr>
          <w:p w:rsidR="00CD37FD" w:rsidRDefault="00CD37FD" w:rsidP="00CD37FD">
            <w:pPr>
              <w:pStyle w:val="BoxTitle"/>
            </w:pPr>
            <w:r w:rsidRPr="007275F7">
              <w:rPr>
                <w:b w:val="0"/>
              </w:rPr>
              <w:t xml:space="preserve">Box </w:t>
            </w:r>
            <w:r w:rsidR="00B70781" w:rsidRPr="007275F7">
              <w:rPr>
                <w:b w:val="0"/>
              </w:rPr>
              <w:t>4.</w:t>
            </w:r>
            <w:r w:rsidR="00FF4FBD">
              <w:rPr>
                <w:b w:val="0"/>
                <w:noProof/>
              </w:rPr>
              <w:t>3</w:t>
            </w:r>
            <w:r>
              <w:tab/>
            </w:r>
            <w:r w:rsidRPr="00CD37FD">
              <w:t>Retention</w:t>
            </w:r>
          </w:p>
        </w:tc>
      </w:tr>
      <w:tr w:rsidR="00CD37FD" w:rsidTr="00751345">
        <w:trPr>
          <w:cantSplit/>
        </w:trPr>
        <w:tc>
          <w:tcPr>
            <w:tcW w:w="8771" w:type="dxa"/>
            <w:tcBorders>
              <w:top w:val="nil"/>
              <w:left w:val="nil"/>
              <w:bottom w:val="nil"/>
              <w:right w:val="nil"/>
            </w:tcBorders>
            <w:shd w:val="clear" w:color="auto" w:fill="F2F2F2"/>
          </w:tcPr>
          <w:p w:rsidR="00CD37FD" w:rsidRPr="00CD37FD" w:rsidRDefault="00703A74" w:rsidP="00CD37FD">
            <w:pPr>
              <w:pStyle w:val="Box"/>
            </w:pPr>
            <w:r>
              <w:t>‘</w:t>
            </w:r>
            <w:r w:rsidR="00CD37FD" w:rsidRPr="00CD37FD">
              <w:t>Retention’ (apparent retention rate) is defined as the number of full time school students in a designated level/year of education as a percentage of their respective cohort group (either at the commencement of their secondary schooling at year 7 or 8</w:t>
            </w:r>
            <w:r w:rsidR="00F57E88">
              <w:t xml:space="preserve"> (figure 4.1</w:t>
            </w:r>
            <w:r w:rsidR="001445EC">
              <w:t xml:space="preserve"> shows the starting year across jurisdictions)</w:t>
            </w:r>
            <w:r w:rsidR="00CD37FD" w:rsidRPr="00CD37FD">
              <w:t>, or at year 10). Data are reported for:</w:t>
            </w:r>
          </w:p>
          <w:p w:rsidR="00CD37FD" w:rsidRPr="00CD37FD" w:rsidRDefault="00CD37FD" w:rsidP="00DF4FC0">
            <w:pPr>
              <w:pStyle w:val="BoxListBullet"/>
            </w:pPr>
            <w:r w:rsidRPr="00CD37FD">
              <w:t>the proportion of students commencing secondary school at year 7 or 8 and continuing to year 10</w:t>
            </w:r>
          </w:p>
          <w:p w:rsidR="00CD37FD" w:rsidRPr="00CD37FD" w:rsidRDefault="00CD37FD" w:rsidP="00DF4FC0">
            <w:pPr>
              <w:pStyle w:val="BoxListBullet"/>
            </w:pPr>
            <w:r w:rsidRPr="00CD37FD">
              <w:t>the proportion of students commencing secondary school at year 7 or 8 and continuing to year 12</w:t>
            </w:r>
          </w:p>
          <w:p w:rsidR="00CD37FD" w:rsidRPr="00CD37FD" w:rsidRDefault="00CD37FD" w:rsidP="00DF4FC0">
            <w:pPr>
              <w:pStyle w:val="BoxListBullet"/>
            </w:pPr>
            <w:r w:rsidRPr="00CD37FD">
              <w:t>the proportion of year 10 students continuing to year 12.</w:t>
            </w:r>
          </w:p>
          <w:p w:rsidR="00CD37FD" w:rsidRPr="00CD37FD" w:rsidRDefault="00CD37FD" w:rsidP="00CD37FD">
            <w:pPr>
              <w:pStyle w:val="Box"/>
            </w:pPr>
            <w:r w:rsidRPr="00CD37FD">
              <w:t>Data are reported for all students</w:t>
            </w:r>
            <w:r w:rsidR="00703A74">
              <w:t xml:space="preserve"> and by Indigenous status</w:t>
            </w:r>
            <w:r w:rsidRPr="00CD37FD">
              <w:t>, and for students in government and non-government schools.</w:t>
            </w:r>
          </w:p>
          <w:p w:rsidR="00CD37FD" w:rsidRPr="00CD37FD" w:rsidRDefault="00CD37FD" w:rsidP="00CD37FD">
            <w:pPr>
              <w:pStyle w:val="Box"/>
            </w:pPr>
            <w:r w:rsidRPr="00CD37FD">
              <w:t>A higher or increasing apparent retention rate suggests that a larger proportion of students are continuing to participate in school education, which is likely to result in improved educational outcomes.</w:t>
            </w:r>
          </w:p>
          <w:p w:rsidR="00CD37FD" w:rsidRPr="00CD37FD" w:rsidRDefault="00CD37FD" w:rsidP="00CD37FD">
            <w:pPr>
              <w:pStyle w:val="Box"/>
            </w:pPr>
            <w:r w:rsidRPr="00CD37FD">
              <w:t xml:space="preserve">This indicator does not include part time students </w:t>
            </w:r>
            <w:r w:rsidR="00DF4FC0">
              <w:t>(</w:t>
            </w:r>
            <w:r w:rsidR="00DF4FC0" w:rsidRPr="00937F52">
              <w:t xml:space="preserve">which has implications for the interpretation of results for all jurisdictions </w:t>
            </w:r>
            <w:r w:rsidR="00DF4FC0">
              <w:t xml:space="preserve">— see </w:t>
            </w:r>
            <w:r w:rsidR="00DF4FC0" w:rsidRPr="00937F52">
              <w:t>table</w:t>
            </w:r>
            <w:r w:rsidR="00F57E88">
              <w:t>s</w:t>
            </w:r>
            <w:r w:rsidR="00DF4FC0" w:rsidRPr="00937F52">
              <w:t xml:space="preserve"> 4</w:t>
            </w:r>
            <w:r w:rsidR="00F57E88">
              <w:t>A</w:t>
            </w:r>
            <w:r w:rsidR="00DF4FC0" w:rsidRPr="00937F52">
              <w:t>.</w:t>
            </w:r>
            <w:r w:rsidR="00F57E88">
              <w:t>1–3</w:t>
            </w:r>
            <w:r w:rsidR="00DF4FC0" w:rsidRPr="00937F52">
              <w:t>)</w:t>
            </w:r>
            <w:r w:rsidR="00DF4FC0">
              <w:t xml:space="preserve"> </w:t>
            </w:r>
            <w:r w:rsidRPr="00CD37FD">
              <w:t>or provide information on students who pursue year 12 (or equivalent qualifications) through non-school pathways.</w:t>
            </w:r>
            <w:r w:rsidR="00DF4FC0" w:rsidRPr="00937F52">
              <w:t xml:space="preserve"> Ungraded students are not included in the calculation of apparent retention rates.</w:t>
            </w:r>
          </w:p>
          <w:p w:rsidR="00CD37FD" w:rsidRPr="00CD37FD" w:rsidRDefault="00CD37FD" w:rsidP="001445EC">
            <w:pPr>
              <w:pStyle w:val="Box"/>
            </w:pPr>
            <w:r w:rsidRPr="00CD37FD">
              <w:t xml:space="preserve">The term ‘apparent’ is used because the </w:t>
            </w:r>
            <w:r w:rsidR="00703A74">
              <w:t>measure</w:t>
            </w:r>
            <w:r w:rsidR="00703A74" w:rsidRPr="00CD37FD">
              <w:t xml:space="preserve"> </w:t>
            </w:r>
            <w:r w:rsidRPr="00CD37FD">
              <w:t>is derived from total numbers of students in each of the relevant year levels, not by tracking the retention of individual students. Care needs be taken in interpret</w:t>
            </w:r>
            <w:r w:rsidR="00703A74">
              <w:t>ing this measure as</w:t>
            </w:r>
            <w:r w:rsidR="001445EC">
              <w:t xml:space="preserve"> </w:t>
            </w:r>
            <w:r w:rsidR="00703A74">
              <w:t>it</w:t>
            </w:r>
            <w:r w:rsidRPr="00CD37FD">
              <w:t xml:space="preserve"> does not take account of factors such as:</w:t>
            </w:r>
          </w:p>
          <w:p w:rsidR="00CD37FD" w:rsidRPr="00CD37FD" w:rsidRDefault="00CD37FD" w:rsidP="001445EC">
            <w:pPr>
              <w:pStyle w:val="BoxListBullet"/>
            </w:pPr>
            <w:r w:rsidRPr="00CD37FD">
              <w:t>students repeating a year of education or returning to education after a period of absence</w:t>
            </w:r>
          </w:p>
          <w:p w:rsidR="00CD37FD" w:rsidRPr="00CD37FD" w:rsidRDefault="00CD37FD" w:rsidP="001445EC">
            <w:pPr>
              <w:pStyle w:val="BoxListBullet"/>
            </w:pPr>
            <w:r w:rsidRPr="00CD37FD">
              <w:t>movement or migration of students between school sectors, between states/territories and between countries</w:t>
            </w:r>
          </w:p>
          <w:p w:rsidR="00CD37FD" w:rsidRDefault="00CD37FD" w:rsidP="001445EC">
            <w:pPr>
              <w:pStyle w:val="BoxListBullet"/>
            </w:pPr>
            <w:r w:rsidRPr="00CD37FD">
              <w:t>the impact of full fee paying overseas students.</w:t>
            </w:r>
          </w:p>
          <w:p w:rsidR="00813CE9" w:rsidRPr="00CD37FD" w:rsidRDefault="00813CE9" w:rsidP="00813CE9">
            <w:pPr>
              <w:pStyle w:val="Box"/>
            </w:pPr>
            <w:r w:rsidRPr="00813CE9">
              <w:t>These</w:t>
            </w:r>
            <w:r>
              <w:t xml:space="preserve"> factors may lead to apparent retention rates that exceed 100 per cent.</w:t>
            </w:r>
          </w:p>
          <w:p w:rsidR="00DF4FC0" w:rsidRDefault="00DF4FC0" w:rsidP="00CD37FD">
            <w:pPr>
              <w:pStyle w:val="Box"/>
            </w:pPr>
            <w:r w:rsidRPr="00937F52">
              <w:t xml:space="preserve">Apparent retention rates are affected by factors that vary across jurisdictions. For this reason, variations in apparent retention rates over time within jurisdictions may be more useful than comparisons across jurisdictions. </w:t>
            </w:r>
          </w:p>
          <w:p w:rsidR="00CD37FD" w:rsidRPr="00CD37FD" w:rsidRDefault="00CD37FD" w:rsidP="00CD37FD">
            <w:pPr>
              <w:pStyle w:val="Box"/>
            </w:pPr>
            <w:r w:rsidRPr="00CD37FD">
              <w:t>Data reported for all measures in this indicator a</w:t>
            </w:r>
            <w:r w:rsidR="008B5ED3">
              <w:t>re:</w:t>
            </w:r>
          </w:p>
          <w:p w:rsidR="00CD37FD" w:rsidRPr="00CD37FD" w:rsidRDefault="00CD37FD" w:rsidP="00DF4FC0">
            <w:pPr>
              <w:pStyle w:val="BoxListBullet"/>
            </w:pPr>
            <w:r w:rsidRPr="00CD37FD">
              <w:t>comparable (subject to caveats) across jurisdictions and over time</w:t>
            </w:r>
          </w:p>
          <w:p w:rsidR="00CD37FD" w:rsidRPr="00CD37FD" w:rsidRDefault="00CD37FD" w:rsidP="00DF4FC0">
            <w:pPr>
              <w:pStyle w:val="BoxListBullet"/>
            </w:pPr>
            <w:r w:rsidRPr="00CD37FD">
              <w:t>complete for the current reporting period (subject to caveats). All required 201</w:t>
            </w:r>
            <w:r w:rsidR="00DF4FC0">
              <w:t>4</w:t>
            </w:r>
            <w:r w:rsidRPr="00CD37FD">
              <w:t xml:space="preserve"> data are available for all jurisdictions providing the service.</w:t>
            </w:r>
          </w:p>
          <w:p w:rsidR="00DF4FC0" w:rsidRPr="00DF4FC0" w:rsidRDefault="00CD37FD" w:rsidP="00DF4FC0">
            <w:pPr>
              <w:pStyle w:val="Box"/>
              <w:rPr>
                <w:color w:val="0000FF"/>
                <w:u w:val="single"/>
              </w:rPr>
            </w:pPr>
            <w:r w:rsidRPr="00CD37FD">
              <w:t xml:space="preserve">Information about data quality for this indicator is at </w:t>
            </w:r>
            <w:r w:rsidR="00DF4FC0" w:rsidRPr="00C90B4B">
              <w:t>www.pc.gov.au/rogs/2016</w:t>
            </w:r>
            <w:r w:rsidR="00723DDD" w:rsidRPr="00C90B4B">
              <w:t>.</w:t>
            </w:r>
          </w:p>
        </w:tc>
      </w:tr>
      <w:tr w:rsidR="00CD37FD" w:rsidTr="00751345">
        <w:trPr>
          <w:cantSplit/>
        </w:trPr>
        <w:tc>
          <w:tcPr>
            <w:tcW w:w="8771" w:type="dxa"/>
            <w:tcBorders>
              <w:top w:val="nil"/>
              <w:left w:val="nil"/>
              <w:bottom w:val="single" w:sz="6" w:space="0" w:color="78A22F"/>
              <w:right w:val="nil"/>
            </w:tcBorders>
            <w:shd w:val="clear" w:color="auto" w:fill="F2F2F2"/>
          </w:tcPr>
          <w:p w:rsidR="00CD37FD" w:rsidRDefault="00CD37FD">
            <w:pPr>
              <w:pStyle w:val="Box"/>
              <w:spacing w:before="0" w:line="120" w:lineRule="exact"/>
            </w:pPr>
          </w:p>
        </w:tc>
      </w:tr>
      <w:tr w:rsidR="00CD37FD" w:rsidRPr="000863A5" w:rsidTr="00751345">
        <w:tc>
          <w:tcPr>
            <w:tcW w:w="8771" w:type="dxa"/>
            <w:tcBorders>
              <w:top w:val="single" w:sz="6" w:space="0" w:color="78A22F"/>
              <w:left w:val="nil"/>
              <w:bottom w:val="nil"/>
              <w:right w:val="nil"/>
            </w:tcBorders>
          </w:tcPr>
          <w:p w:rsidR="00CD37FD" w:rsidRPr="00626D32" w:rsidRDefault="00CD37FD" w:rsidP="00751345">
            <w:pPr>
              <w:pStyle w:val="BoxSpaceBelow"/>
            </w:pPr>
          </w:p>
        </w:tc>
      </w:tr>
    </w:tbl>
    <w:p w:rsidR="000B4834" w:rsidRDefault="000B4834" w:rsidP="005516D1">
      <w:pPr>
        <w:pStyle w:val="Heading5"/>
      </w:pPr>
      <w:r>
        <w:t>Year 7 or 8 to year 10</w:t>
      </w:r>
    </w:p>
    <w:p w:rsidR="00666ECE" w:rsidRPr="00666ECE" w:rsidRDefault="00666ECE" w:rsidP="00483D1F">
      <w:pPr>
        <w:pStyle w:val="BodyText"/>
      </w:pPr>
      <w:r w:rsidRPr="00666ECE">
        <w:t xml:space="preserve">In most </w:t>
      </w:r>
      <w:r w:rsidRPr="001D5AD2">
        <w:t>jurisdictions in 201</w:t>
      </w:r>
      <w:r w:rsidR="000B4834">
        <w:t>4</w:t>
      </w:r>
      <w:r w:rsidRPr="001D5AD2">
        <w:t xml:space="preserve">, apparent retention rates from the commencement of </w:t>
      </w:r>
      <w:r w:rsidRPr="000F4F43">
        <w:rPr>
          <w:shd w:val="clear" w:color="auto" w:fill="FFFFFF" w:themeFill="background1"/>
        </w:rPr>
        <w:t xml:space="preserve">secondary school at year 7 or 8 to year 10, were </w:t>
      </w:r>
      <w:r w:rsidR="00422161" w:rsidRPr="000F4F43">
        <w:rPr>
          <w:shd w:val="clear" w:color="auto" w:fill="FFFFFF" w:themeFill="background1"/>
        </w:rPr>
        <w:t>above 98</w:t>
      </w:r>
      <w:r w:rsidRPr="000F4F43">
        <w:rPr>
          <w:shd w:val="clear" w:color="auto" w:fill="FFFFFF" w:themeFill="background1"/>
        </w:rPr>
        <w:t xml:space="preserve"> per cent, with a national rate of </w:t>
      </w:r>
      <w:r w:rsidR="00F47D1B" w:rsidRPr="000F4F43">
        <w:rPr>
          <w:shd w:val="clear" w:color="auto" w:fill="FFFFFF" w:themeFill="background1"/>
        </w:rPr>
        <w:t>101.7</w:t>
      </w:r>
      <w:r w:rsidRPr="000F4F43">
        <w:rPr>
          <w:shd w:val="clear" w:color="auto" w:fill="FFFFFF" w:themeFill="background1"/>
        </w:rPr>
        <w:t> per cent</w:t>
      </w:r>
      <w:r w:rsidRPr="001D5AD2">
        <w:t xml:space="preserve"> (figure</w:t>
      </w:r>
      <w:r w:rsidR="00C97555">
        <w:t> </w:t>
      </w:r>
      <w:r w:rsidRPr="001D5AD2">
        <w:t>4.1</w:t>
      </w:r>
      <w:r w:rsidR="008114E1">
        <w:t>2</w:t>
      </w:r>
      <w:r w:rsidRPr="001D5AD2">
        <w:t xml:space="preserve">). </w:t>
      </w:r>
    </w:p>
    <w:p w:rsidR="00666ECE" w:rsidRPr="00666ECE" w:rsidRDefault="001445EC" w:rsidP="00483D1F">
      <w:pPr>
        <w:pStyle w:val="BodyText"/>
      </w:pPr>
      <w:r>
        <w:lastRenderedPageBreak/>
        <w:t>Nationally, the r</w:t>
      </w:r>
      <w:r w:rsidR="00666ECE" w:rsidRPr="00666ECE">
        <w:t xml:space="preserve">etention rate to year 10 for </w:t>
      </w:r>
      <w:r w:rsidR="005E564E">
        <w:t>Aboriginal and Torres Strait Islander</w:t>
      </w:r>
      <w:r w:rsidR="00666ECE" w:rsidRPr="00666ECE">
        <w:t xml:space="preserve"> students </w:t>
      </w:r>
      <w:r w:rsidR="00666ECE" w:rsidRPr="00422161">
        <w:rPr>
          <w:shd w:val="clear" w:color="auto" w:fill="FFFFFF" w:themeFill="background1"/>
        </w:rPr>
        <w:t>w</w:t>
      </w:r>
      <w:r w:rsidRPr="00422161">
        <w:rPr>
          <w:shd w:val="clear" w:color="auto" w:fill="FFFFFF" w:themeFill="background1"/>
        </w:rPr>
        <w:t>as</w:t>
      </w:r>
      <w:r w:rsidR="00666ECE" w:rsidRPr="00422161">
        <w:rPr>
          <w:shd w:val="clear" w:color="auto" w:fill="FFFFFF" w:themeFill="background1"/>
        </w:rPr>
        <w:t xml:space="preserve"> lower</w:t>
      </w:r>
      <w:r w:rsidR="00666ECE" w:rsidRPr="00666ECE">
        <w:t xml:space="preserve"> than </w:t>
      </w:r>
      <w:r w:rsidRPr="00666ECE">
        <w:t>t</w:t>
      </w:r>
      <w:r>
        <w:t>hat</w:t>
      </w:r>
      <w:r w:rsidRPr="00666ECE">
        <w:t xml:space="preserve"> </w:t>
      </w:r>
      <w:r w:rsidR="00666ECE" w:rsidRPr="00666ECE">
        <w:t>for non-Indigenous students</w:t>
      </w:r>
      <w:r>
        <w:t xml:space="preserve"> (</w:t>
      </w:r>
      <w:r w:rsidR="00422161">
        <w:t>98.2</w:t>
      </w:r>
      <w:r>
        <w:t xml:space="preserve"> per cent compared to </w:t>
      </w:r>
      <w:r w:rsidR="00422161">
        <w:t>101.9 </w:t>
      </w:r>
      <w:r>
        <w:t>per</w:t>
      </w:r>
      <w:r w:rsidR="00422161">
        <w:t> </w:t>
      </w:r>
      <w:r>
        <w:t>cent), but this varied across jurisdictions</w:t>
      </w:r>
      <w:r w:rsidR="00666ECE" w:rsidRPr="00EF1CE5">
        <w:t xml:space="preserve"> (figure 4.1</w:t>
      </w:r>
      <w:r w:rsidR="00CF6F4E">
        <w:t>2</w:t>
      </w:r>
      <w:r w:rsidR="00666ECE" w:rsidRPr="00EF1CE5">
        <w:t>).</w:t>
      </w:r>
    </w:p>
    <w:p w:rsidR="00937F52" w:rsidRDefault="00937F52" w:rsidP="007803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7F52" w:rsidTr="0078036C">
        <w:tc>
          <w:tcPr>
            <w:tcW w:w="8771" w:type="dxa"/>
            <w:tcBorders>
              <w:top w:val="single" w:sz="6" w:space="0" w:color="78A22F"/>
              <w:left w:val="nil"/>
              <w:bottom w:val="nil"/>
              <w:right w:val="nil"/>
            </w:tcBorders>
            <w:shd w:val="clear" w:color="auto" w:fill="auto"/>
          </w:tcPr>
          <w:p w:rsidR="00937F52" w:rsidRPr="00176D3F" w:rsidRDefault="00937F52" w:rsidP="00B002E5">
            <w:pPr>
              <w:pStyle w:val="FigureTitle"/>
            </w:pPr>
            <w:r w:rsidRPr="00784A05">
              <w:rPr>
                <w:b w:val="0"/>
              </w:rPr>
              <w:t xml:space="preserve">Figure </w:t>
            </w:r>
            <w:r w:rsidR="00B70781">
              <w:rPr>
                <w:b w:val="0"/>
              </w:rPr>
              <w:t>4.</w:t>
            </w:r>
            <w:r w:rsidR="00FF4FBD">
              <w:rPr>
                <w:b w:val="0"/>
                <w:noProof/>
              </w:rPr>
              <w:t>12</w:t>
            </w:r>
            <w:r>
              <w:tab/>
            </w:r>
            <w:r w:rsidRPr="00937F52">
              <w:t>Apparent retention rate from year 7 or 8 to year 10, full time secondary students, all schools, 201</w:t>
            </w:r>
            <w:r w:rsidR="000B4834">
              <w:t>4</w:t>
            </w:r>
            <w:r w:rsidR="007C767F" w:rsidRPr="007C767F">
              <w:rPr>
                <w:rStyle w:val="NoteLabel"/>
                <w:b/>
              </w:rPr>
              <w:t>a</w:t>
            </w:r>
          </w:p>
        </w:tc>
      </w:tr>
      <w:tr w:rsidR="00937F52" w:rsidTr="000F4F43">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37F52" w:rsidTr="0078036C">
              <w:trPr>
                <w:jc w:val="center"/>
              </w:trPr>
              <w:tc>
                <w:tcPr>
                  <w:tcW w:w="5000" w:type="pct"/>
                  <w:tcBorders>
                    <w:top w:val="nil"/>
                    <w:bottom w:val="nil"/>
                  </w:tcBorders>
                </w:tcPr>
                <w:p w:rsidR="00937F52" w:rsidRDefault="00494008" w:rsidP="0078036C">
                  <w:pPr>
                    <w:pStyle w:val="Figure"/>
                    <w:spacing w:before="60" w:after="60"/>
                  </w:pPr>
                  <w:r>
                    <w:rPr>
                      <w:noProof/>
                    </w:rPr>
                    <w:drawing>
                      <wp:inline distT="0" distB="0" distL="0" distR="0">
                        <wp:extent cx="5391150" cy="2686050"/>
                        <wp:effectExtent l="0" t="0" r="0" b="0"/>
                        <wp:docPr id="12" name="Picture 12" descr="Figure 4.12 Apparent retention rate from year 7 or 8 to year 10, full time secondary students, all schools,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937F52" w:rsidRDefault="00937F52" w:rsidP="0078036C">
            <w:pPr>
              <w:pStyle w:val="Figure"/>
            </w:pPr>
          </w:p>
        </w:tc>
      </w:tr>
      <w:tr w:rsidR="00937F52" w:rsidRPr="00176D3F" w:rsidTr="0078036C">
        <w:tc>
          <w:tcPr>
            <w:tcW w:w="8771" w:type="dxa"/>
            <w:tcBorders>
              <w:top w:val="nil"/>
              <w:left w:val="nil"/>
              <w:bottom w:val="nil"/>
              <w:right w:val="nil"/>
            </w:tcBorders>
            <w:shd w:val="clear" w:color="auto" w:fill="auto"/>
          </w:tcPr>
          <w:p w:rsidR="005B3EDD" w:rsidRDefault="005B3EDD" w:rsidP="005B3EDD">
            <w:pPr>
              <w:pStyle w:val="Source"/>
            </w:pPr>
            <w:r w:rsidRPr="00953E9C">
              <w:rPr>
                <w:rStyle w:val="NoteLabel"/>
              </w:rPr>
              <w:t>a</w:t>
            </w:r>
            <w:r w:rsidRPr="00953E9C">
              <w:t xml:space="preserve"> </w:t>
            </w:r>
            <w:r w:rsidRPr="007C767F">
              <w:t xml:space="preserve">See </w:t>
            </w:r>
            <w:r>
              <w:t xml:space="preserve">box 4.3 and </w:t>
            </w:r>
            <w:r w:rsidRPr="007C767F">
              <w:t xml:space="preserve">table </w:t>
            </w:r>
            <w:r>
              <w:t>4A.1</w:t>
            </w:r>
            <w:r w:rsidR="003A0804">
              <w:t>19</w:t>
            </w:r>
            <w:r w:rsidRPr="007C767F">
              <w:t xml:space="preserve"> for detailed</w:t>
            </w:r>
            <w:r>
              <w:t xml:space="preserve"> </w:t>
            </w:r>
            <w:r w:rsidRPr="005B3EDD">
              <w:t>definitions, footnotes and caveats</w:t>
            </w:r>
            <w:r w:rsidRPr="007C767F">
              <w:t>.</w:t>
            </w:r>
          </w:p>
          <w:p w:rsidR="00937F52" w:rsidRPr="00176D3F" w:rsidRDefault="00937F52" w:rsidP="003A0804">
            <w:pPr>
              <w:pStyle w:val="Source"/>
            </w:pPr>
            <w:r>
              <w:rPr>
                <w:i/>
              </w:rPr>
              <w:t>S</w:t>
            </w:r>
            <w:r w:rsidRPr="00784A05">
              <w:rPr>
                <w:i/>
              </w:rPr>
              <w:t>ource</w:t>
            </w:r>
            <w:r w:rsidRPr="00176D3F">
              <w:t xml:space="preserve">: </w:t>
            </w:r>
            <w:r w:rsidRPr="00937F52">
              <w:t>ABS (201</w:t>
            </w:r>
            <w:r w:rsidR="000B4834">
              <w:t>5</w:t>
            </w:r>
            <w:r w:rsidRPr="00937F52">
              <w:t xml:space="preserve">) </w:t>
            </w:r>
            <w:r w:rsidRPr="00937F52">
              <w:rPr>
                <w:i/>
              </w:rPr>
              <w:t>Schools Australia 201</w:t>
            </w:r>
            <w:r w:rsidR="000B4834">
              <w:rPr>
                <w:i/>
              </w:rPr>
              <w:t>4,</w:t>
            </w:r>
            <w:r w:rsidRPr="00937F52">
              <w:t xml:space="preserve"> Cat. no. 4221.0; table 4A.</w:t>
            </w:r>
            <w:r w:rsidR="00002DCB">
              <w:t>1</w:t>
            </w:r>
            <w:r w:rsidR="003A0804">
              <w:t>19</w:t>
            </w:r>
            <w:r>
              <w:t>.</w:t>
            </w:r>
          </w:p>
        </w:tc>
      </w:tr>
      <w:tr w:rsidR="00937F52" w:rsidTr="0078036C">
        <w:tc>
          <w:tcPr>
            <w:tcW w:w="8771" w:type="dxa"/>
            <w:tcBorders>
              <w:top w:val="nil"/>
              <w:left w:val="nil"/>
              <w:bottom w:val="single" w:sz="6" w:space="0" w:color="78A22F"/>
              <w:right w:val="nil"/>
            </w:tcBorders>
            <w:shd w:val="clear" w:color="auto" w:fill="auto"/>
          </w:tcPr>
          <w:p w:rsidR="00937F52" w:rsidRDefault="00937F52" w:rsidP="0078036C">
            <w:pPr>
              <w:pStyle w:val="Figurespace"/>
            </w:pPr>
          </w:p>
        </w:tc>
      </w:tr>
      <w:tr w:rsidR="00937F52" w:rsidRPr="000863A5" w:rsidTr="0078036C">
        <w:tc>
          <w:tcPr>
            <w:tcW w:w="8771" w:type="dxa"/>
            <w:tcBorders>
              <w:top w:val="single" w:sz="6" w:space="0" w:color="78A22F"/>
              <w:left w:val="nil"/>
              <w:bottom w:val="nil"/>
              <w:right w:val="nil"/>
            </w:tcBorders>
          </w:tcPr>
          <w:p w:rsidR="00937F52" w:rsidRPr="00626D32" w:rsidRDefault="00937F52" w:rsidP="0078036C">
            <w:pPr>
              <w:pStyle w:val="BoxSpaceBelow"/>
            </w:pPr>
          </w:p>
        </w:tc>
      </w:tr>
    </w:tbl>
    <w:p w:rsidR="00666ECE" w:rsidRPr="00666ECE" w:rsidRDefault="001445EC" w:rsidP="00483D1F">
      <w:pPr>
        <w:pStyle w:val="BodyText"/>
      </w:pPr>
      <w:r>
        <w:t>Since 200</w:t>
      </w:r>
      <w:r w:rsidR="004A2ADB">
        <w:t>6</w:t>
      </w:r>
      <w:r>
        <w:t>, t</w:t>
      </w:r>
      <w:r w:rsidR="00666ECE" w:rsidRPr="00666ECE">
        <w:t xml:space="preserve">he national apparent retention rate from the commencement of secondary schooling at year 7 or year </w:t>
      </w:r>
      <w:r w:rsidR="00666ECE" w:rsidRPr="00EB7A11">
        <w:t xml:space="preserve">8 to year 10 for all full time students </w:t>
      </w:r>
      <w:r>
        <w:t xml:space="preserve">has increased — from </w:t>
      </w:r>
      <w:r w:rsidR="009F2FAB">
        <w:t>98.6 </w:t>
      </w:r>
      <w:r w:rsidR="00666ECE" w:rsidRPr="00EB7A11">
        <w:t>per cent in 200</w:t>
      </w:r>
      <w:r w:rsidR="004A2ADB">
        <w:t>6</w:t>
      </w:r>
      <w:r>
        <w:t xml:space="preserve"> </w:t>
      </w:r>
      <w:r w:rsidRPr="000F4F43">
        <w:rPr>
          <w:shd w:val="clear" w:color="auto" w:fill="FFFFFF" w:themeFill="background1"/>
        </w:rPr>
        <w:t xml:space="preserve">to </w:t>
      </w:r>
      <w:r w:rsidR="00F47D1B" w:rsidRPr="000F4F43">
        <w:rPr>
          <w:shd w:val="clear" w:color="auto" w:fill="FFFFFF" w:themeFill="background1"/>
        </w:rPr>
        <w:t xml:space="preserve">101.7 </w:t>
      </w:r>
      <w:r w:rsidR="00666ECE" w:rsidRPr="000F4F43">
        <w:rPr>
          <w:shd w:val="clear" w:color="auto" w:fill="FFFFFF" w:themeFill="background1"/>
        </w:rPr>
        <w:t>per cent</w:t>
      </w:r>
      <w:r w:rsidR="00666ECE" w:rsidRPr="00EB7A11">
        <w:t xml:space="preserve"> in 201</w:t>
      </w:r>
      <w:r w:rsidR="000B4834">
        <w:t>4</w:t>
      </w:r>
      <w:r w:rsidR="00666ECE" w:rsidRPr="00EB7A11">
        <w:t xml:space="preserve"> (figure 4.1</w:t>
      </w:r>
      <w:r w:rsidR="00CF6F4E">
        <w:t>3</w:t>
      </w:r>
      <w:r w:rsidR="00666ECE" w:rsidRPr="00EB7A11">
        <w:t xml:space="preserve">). Data for intervening years and by Indigenous status are in </w:t>
      </w:r>
      <w:r w:rsidR="00666ECE" w:rsidRPr="00666ECE">
        <w:t>table</w:t>
      </w:r>
      <w:r w:rsidR="008B5ED3">
        <w:t> </w:t>
      </w:r>
      <w:r w:rsidR="00666ECE" w:rsidRPr="00666ECE">
        <w:t>4A.1</w:t>
      </w:r>
      <w:r w:rsidR="00002DCB">
        <w:t>2</w:t>
      </w:r>
      <w:r w:rsidR="003A0804">
        <w:t>1</w:t>
      </w:r>
      <w:r w:rsidR="00666ECE" w:rsidRPr="00666ECE">
        <w:t>. Data for government schools and non</w:t>
      </w:r>
      <w:r w:rsidR="00666ECE" w:rsidRPr="00666ECE">
        <w:noBreakHyphen/>
        <w:t>government schools are in tables 4A.1</w:t>
      </w:r>
      <w:r w:rsidR="00002DCB">
        <w:t>2</w:t>
      </w:r>
      <w:r w:rsidR="003A0804">
        <w:t>2</w:t>
      </w:r>
      <w:r w:rsidR="00666ECE" w:rsidRPr="00666ECE">
        <w:t xml:space="preserve"> and 4A.</w:t>
      </w:r>
      <w:r w:rsidR="008A76CD">
        <w:t>1</w:t>
      </w:r>
      <w:r w:rsidR="00002DCB">
        <w:t>2</w:t>
      </w:r>
      <w:r w:rsidR="003A0804">
        <w:t>3</w:t>
      </w:r>
      <w:r w:rsidR="00666ECE" w:rsidRPr="00666ECE">
        <w:t>.</w:t>
      </w:r>
    </w:p>
    <w:p w:rsidR="00937F52" w:rsidRDefault="00937F52" w:rsidP="007803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7F52" w:rsidTr="0078036C">
        <w:tc>
          <w:tcPr>
            <w:tcW w:w="8771" w:type="dxa"/>
            <w:tcBorders>
              <w:top w:val="single" w:sz="6" w:space="0" w:color="78A22F"/>
              <w:left w:val="nil"/>
              <w:bottom w:val="nil"/>
              <w:right w:val="nil"/>
            </w:tcBorders>
            <w:shd w:val="clear" w:color="auto" w:fill="auto"/>
          </w:tcPr>
          <w:p w:rsidR="00937F52" w:rsidRPr="00176D3F" w:rsidRDefault="00937F52" w:rsidP="00B002E5">
            <w:pPr>
              <w:pStyle w:val="FigureTitle"/>
            </w:pPr>
            <w:r w:rsidRPr="00784A05">
              <w:rPr>
                <w:b w:val="0"/>
              </w:rPr>
              <w:t xml:space="preserve">Figure </w:t>
            </w:r>
            <w:r w:rsidR="00B70781">
              <w:rPr>
                <w:b w:val="0"/>
              </w:rPr>
              <w:t>4.</w:t>
            </w:r>
            <w:r w:rsidR="00FF4FBD">
              <w:rPr>
                <w:b w:val="0"/>
                <w:noProof/>
              </w:rPr>
              <w:t>13</w:t>
            </w:r>
            <w:r>
              <w:tab/>
            </w:r>
            <w:r w:rsidRPr="00937F52">
              <w:t>Apparent retention rate from year 7 or 8 to year 10, full time secondary students, all schools</w:t>
            </w:r>
            <w:r w:rsidR="00C133C6" w:rsidRPr="00C133C6">
              <w:rPr>
                <w:rStyle w:val="NoteLabel"/>
                <w:b/>
              </w:rPr>
              <w:t>a</w:t>
            </w:r>
            <w:r w:rsidR="00285523">
              <w:t xml:space="preserve"> </w:t>
            </w:r>
          </w:p>
        </w:tc>
      </w:tr>
      <w:tr w:rsidR="00937F52" w:rsidTr="000F4F43">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37F52" w:rsidTr="0078036C">
              <w:trPr>
                <w:jc w:val="center"/>
              </w:trPr>
              <w:tc>
                <w:tcPr>
                  <w:tcW w:w="5000" w:type="pct"/>
                  <w:tcBorders>
                    <w:top w:val="nil"/>
                    <w:bottom w:val="nil"/>
                  </w:tcBorders>
                </w:tcPr>
                <w:p w:rsidR="00937F52" w:rsidRDefault="00494008" w:rsidP="0078036C">
                  <w:pPr>
                    <w:pStyle w:val="Figure"/>
                    <w:spacing w:before="60" w:after="60"/>
                  </w:pPr>
                  <w:r>
                    <w:rPr>
                      <w:noProof/>
                    </w:rPr>
                    <w:drawing>
                      <wp:inline distT="0" distB="0" distL="0" distR="0">
                        <wp:extent cx="5391150" cy="2686050"/>
                        <wp:effectExtent l="0" t="0" r="0" b="0"/>
                        <wp:docPr id="13" name="Picture 13" descr="Figure 4.13 Apparent retention rate from year 7 or 8 to year 10, full time secondary students, all school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937F52" w:rsidRDefault="00937F52" w:rsidP="0078036C">
            <w:pPr>
              <w:pStyle w:val="Figure"/>
            </w:pPr>
          </w:p>
        </w:tc>
      </w:tr>
      <w:tr w:rsidR="00937F52" w:rsidRPr="00176D3F" w:rsidTr="0078036C">
        <w:tc>
          <w:tcPr>
            <w:tcW w:w="8771" w:type="dxa"/>
            <w:tcBorders>
              <w:top w:val="nil"/>
              <w:left w:val="nil"/>
              <w:bottom w:val="nil"/>
              <w:right w:val="nil"/>
            </w:tcBorders>
            <w:shd w:val="clear" w:color="auto" w:fill="auto"/>
          </w:tcPr>
          <w:p w:rsidR="005B3EDD" w:rsidRDefault="005B3EDD" w:rsidP="005B3EDD">
            <w:pPr>
              <w:pStyle w:val="Source"/>
            </w:pPr>
            <w:r w:rsidRPr="00953E9C">
              <w:rPr>
                <w:rStyle w:val="NoteLabel"/>
              </w:rPr>
              <w:t>a</w:t>
            </w:r>
            <w:r w:rsidRPr="00953E9C">
              <w:t xml:space="preserve"> </w:t>
            </w:r>
            <w:r w:rsidRPr="007C767F">
              <w:t xml:space="preserve">See </w:t>
            </w:r>
            <w:r>
              <w:t xml:space="preserve">box 4.3 and </w:t>
            </w:r>
            <w:r w:rsidRPr="007C767F">
              <w:t xml:space="preserve">table </w:t>
            </w:r>
            <w:r>
              <w:t>4A.12</w:t>
            </w:r>
            <w:r w:rsidR="003A0804">
              <w:t>1</w:t>
            </w:r>
            <w:r w:rsidRPr="007C767F">
              <w:t xml:space="preserve"> for detailed</w:t>
            </w:r>
            <w:r>
              <w:t xml:space="preserve"> </w:t>
            </w:r>
            <w:r w:rsidRPr="005B3EDD">
              <w:t>definitions, footnotes and caveats</w:t>
            </w:r>
            <w:r w:rsidRPr="007C767F">
              <w:t>.</w:t>
            </w:r>
          </w:p>
          <w:p w:rsidR="00937F52" w:rsidRPr="00176D3F" w:rsidRDefault="00937F52" w:rsidP="003A0804">
            <w:pPr>
              <w:pStyle w:val="Source"/>
            </w:pPr>
            <w:r>
              <w:rPr>
                <w:i/>
              </w:rPr>
              <w:t>S</w:t>
            </w:r>
            <w:r w:rsidRPr="00784A05">
              <w:rPr>
                <w:i/>
              </w:rPr>
              <w:t>ource</w:t>
            </w:r>
            <w:r w:rsidRPr="00176D3F">
              <w:t xml:space="preserve">: </w:t>
            </w:r>
            <w:r w:rsidRPr="00937F52">
              <w:t>ABS (201</w:t>
            </w:r>
            <w:r w:rsidR="000B4834">
              <w:t>5</w:t>
            </w:r>
            <w:r w:rsidRPr="00937F52">
              <w:t xml:space="preserve">) </w:t>
            </w:r>
            <w:r w:rsidRPr="00937F52">
              <w:rPr>
                <w:i/>
              </w:rPr>
              <w:t>Schools Australia 201</w:t>
            </w:r>
            <w:r w:rsidR="000B4834">
              <w:rPr>
                <w:i/>
              </w:rPr>
              <w:t>4</w:t>
            </w:r>
            <w:r w:rsidRPr="00937F52">
              <w:t>, Cat. no. 4221.0; table 4A.1</w:t>
            </w:r>
            <w:r w:rsidR="00002DCB">
              <w:t>2</w:t>
            </w:r>
            <w:r w:rsidR="003A0804">
              <w:t>1</w:t>
            </w:r>
            <w:r w:rsidRPr="00937F52">
              <w:t>.</w:t>
            </w:r>
          </w:p>
        </w:tc>
      </w:tr>
      <w:tr w:rsidR="00937F52" w:rsidTr="0078036C">
        <w:tc>
          <w:tcPr>
            <w:tcW w:w="8771" w:type="dxa"/>
            <w:tcBorders>
              <w:top w:val="nil"/>
              <w:left w:val="nil"/>
              <w:bottom w:val="single" w:sz="6" w:space="0" w:color="78A22F"/>
              <w:right w:val="nil"/>
            </w:tcBorders>
            <w:shd w:val="clear" w:color="auto" w:fill="auto"/>
          </w:tcPr>
          <w:p w:rsidR="00937F52" w:rsidRDefault="00937F52" w:rsidP="0078036C">
            <w:pPr>
              <w:pStyle w:val="Figurespace"/>
            </w:pPr>
          </w:p>
        </w:tc>
      </w:tr>
      <w:tr w:rsidR="00937F52" w:rsidRPr="000863A5" w:rsidTr="0078036C">
        <w:tc>
          <w:tcPr>
            <w:tcW w:w="8771" w:type="dxa"/>
            <w:tcBorders>
              <w:top w:val="single" w:sz="6" w:space="0" w:color="78A22F"/>
              <w:left w:val="nil"/>
              <w:bottom w:val="nil"/>
              <w:right w:val="nil"/>
            </w:tcBorders>
          </w:tcPr>
          <w:p w:rsidR="00937F52" w:rsidRPr="00626D32" w:rsidRDefault="00937F52" w:rsidP="0078036C">
            <w:pPr>
              <w:pStyle w:val="BoxSpaceBelow"/>
            </w:pPr>
          </w:p>
        </w:tc>
      </w:tr>
    </w:tbl>
    <w:p w:rsidR="000B4834" w:rsidRDefault="000B4834" w:rsidP="005516D1">
      <w:pPr>
        <w:pStyle w:val="Heading5"/>
      </w:pPr>
      <w:r>
        <w:t>Year 7 or 8 to year 12</w:t>
      </w:r>
    </w:p>
    <w:p w:rsidR="00666ECE" w:rsidRDefault="00666ECE" w:rsidP="00483D1F">
      <w:pPr>
        <w:pStyle w:val="BodyText"/>
      </w:pPr>
      <w:r w:rsidRPr="00F52F4D">
        <w:t xml:space="preserve">The </w:t>
      </w:r>
      <w:r w:rsidRPr="000F4F43">
        <w:rPr>
          <w:shd w:val="clear" w:color="auto" w:fill="FFFFFF" w:themeFill="background1"/>
        </w:rPr>
        <w:t>national apparent retention rate, from the commencement of secondary school at year</w:t>
      </w:r>
      <w:r w:rsidR="00813CE9" w:rsidRPr="000F4F43">
        <w:rPr>
          <w:shd w:val="clear" w:color="auto" w:fill="FFFFFF" w:themeFill="background1"/>
        </w:rPr>
        <w:t> </w:t>
      </w:r>
      <w:r w:rsidRPr="000F4F43">
        <w:rPr>
          <w:shd w:val="clear" w:color="auto" w:fill="FFFFFF" w:themeFill="background1"/>
        </w:rPr>
        <w:t xml:space="preserve">7 or 8 to year 12, for all full time students was </w:t>
      </w:r>
      <w:r w:rsidR="009F2FAB" w:rsidRPr="000F4F43">
        <w:rPr>
          <w:shd w:val="clear" w:color="auto" w:fill="FFFFFF" w:themeFill="background1"/>
        </w:rPr>
        <w:t>74.7</w:t>
      </w:r>
      <w:r w:rsidRPr="000F4F43">
        <w:rPr>
          <w:shd w:val="clear" w:color="auto" w:fill="FFFFFF" w:themeFill="background1"/>
        </w:rPr>
        <w:t xml:space="preserve"> per cent in 200</w:t>
      </w:r>
      <w:r w:rsidR="000B4834" w:rsidRPr="000F4F43">
        <w:rPr>
          <w:shd w:val="clear" w:color="auto" w:fill="FFFFFF" w:themeFill="background1"/>
        </w:rPr>
        <w:t>6</w:t>
      </w:r>
      <w:r w:rsidRPr="000F4F43">
        <w:rPr>
          <w:shd w:val="clear" w:color="auto" w:fill="FFFFFF" w:themeFill="background1"/>
        </w:rPr>
        <w:t xml:space="preserve">, rising to </w:t>
      </w:r>
      <w:r w:rsidR="009F2FAB" w:rsidRPr="000F4F43">
        <w:rPr>
          <w:shd w:val="clear" w:color="auto" w:fill="FFFFFF" w:themeFill="background1"/>
        </w:rPr>
        <w:t>8</w:t>
      </w:r>
      <w:r w:rsidR="00F47D1B" w:rsidRPr="000F4F43">
        <w:rPr>
          <w:shd w:val="clear" w:color="auto" w:fill="FFFFFF" w:themeFill="background1"/>
        </w:rPr>
        <w:t>3</w:t>
      </w:r>
      <w:r w:rsidR="009F2FAB" w:rsidRPr="000F4F43">
        <w:rPr>
          <w:shd w:val="clear" w:color="auto" w:fill="FFFFFF" w:themeFill="background1"/>
        </w:rPr>
        <w:t>.6 </w:t>
      </w:r>
      <w:r w:rsidRPr="000F4F43">
        <w:rPr>
          <w:shd w:val="clear" w:color="auto" w:fill="FFFFFF" w:themeFill="background1"/>
        </w:rPr>
        <w:t>per</w:t>
      </w:r>
      <w:r w:rsidR="009F2FAB" w:rsidRPr="000F4F43">
        <w:rPr>
          <w:shd w:val="clear" w:color="auto" w:fill="FFFFFF" w:themeFill="background1"/>
        </w:rPr>
        <w:t> </w:t>
      </w:r>
      <w:r w:rsidRPr="000F4F43">
        <w:rPr>
          <w:shd w:val="clear" w:color="auto" w:fill="FFFFFF" w:themeFill="background1"/>
        </w:rPr>
        <w:t>cent</w:t>
      </w:r>
      <w:r w:rsidRPr="00EB7A11">
        <w:t xml:space="preserve"> </w:t>
      </w:r>
      <w:r w:rsidRPr="00F52F4D">
        <w:t>in 201</w:t>
      </w:r>
      <w:r w:rsidR="000B4834">
        <w:t>4</w:t>
      </w:r>
      <w:r w:rsidRPr="00F52F4D">
        <w:t xml:space="preserve"> (figure</w:t>
      </w:r>
      <w:r w:rsidR="003F0641">
        <w:t> </w:t>
      </w:r>
      <w:r w:rsidRPr="00F52F4D">
        <w:t>4.1</w:t>
      </w:r>
      <w:r w:rsidR="002E5EAF">
        <w:t>4</w:t>
      </w:r>
      <w:r w:rsidRPr="00F52F4D">
        <w:t>). Data for intervening years and by Indigenous status are in table 4A.1</w:t>
      </w:r>
      <w:r w:rsidR="00002DCB">
        <w:t>2</w:t>
      </w:r>
      <w:r w:rsidR="003A0804">
        <w:t>1</w:t>
      </w:r>
      <w:r w:rsidRPr="00F52F4D">
        <w:t>. Data for government schools and non-government schools are in tables</w:t>
      </w:r>
      <w:r w:rsidR="00002DCB">
        <w:t> </w:t>
      </w:r>
      <w:r w:rsidRPr="00F52F4D">
        <w:t>4A.1</w:t>
      </w:r>
      <w:r w:rsidR="00002DCB">
        <w:t>2</w:t>
      </w:r>
      <w:r w:rsidR="003A0804">
        <w:t>2</w:t>
      </w:r>
      <w:r w:rsidRPr="00F52F4D">
        <w:t xml:space="preserve"> and 4A.1</w:t>
      </w:r>
      <w:r w:rsidR="00002DCB">
        <w:t>2</w:t>
      </w:r>
      <w:r w:rsidR="003A0804">
        <w:t>3</w:t>
      </w:r>
      <w:r w:rsidRPr="00F52F4D">
        <w:t>.</w:t>
      </w:r>
    </w:p>
    <w:p w:rsidR="00514EB2" w:rsidRPr="00666ECE" w:rsidRDefault="00514EB2" w:rsidP="00A11734">
      <w:pPr>
        <w:pStyle w:val="BodyText"/>
        <w:shd w:val="clear" w:color="auto" w:fill="FFFFFF" w:themeFill="background1"/>
      </w:pPr>
      <w:r w:rsidRPr="00666ECE">
        <w:t xml:space="preserve">Retention rates </w:t>
      </w:r>
      <w:r w:rsidR="008B5ED3">
        <w:t xml:space="preserve">from year 7 or </w:t>
      </w:r>
      <w:r>
        <w:t xml:space="preserve">8 </w:t>
      </w:r>
      <w:r w:rsidRPr="00666ECE">
        <w:t>to year 1</w:t>
      </w:r>
      <w:r>
        <w:t>2</w:t>
      </w:r>
      <w:r w:rsidRPr="00666ECE">
        <w:t xml:space="preserve"> for </w:t>
      </w:r>
      <w:r w:rsidR="000401F1">
        <w:t>Aboriginal and Torres Strait Islander</w:t>
      </w:r>
      <w:r w:rsidRPr="00666ECE">
        <w:t xml:space="preserve"> students </w:t>
      </w:r>
      <w:r>
        <w:t xml:space="preserve">in all schools </w:t>
      </w:r>
      <w:r w:rsidRPr="009F2FAB">
        <w:rPr>
          <w:shd w:val="clear" w:color="auto" w:fill="FFFFFF" w:themeFill="background1"/>
        </w:rPr>
        <w:t>were lower</w:t>
      </w:r>
      <w:r w:rsidRPr="00666ECE">
        <w:t xml:space="preserve"> than those for non-Indigenous students in </w:t>
      </w:r>
      <w:r w:rsidR="004A253D">
        <w:t>all</w:t>
      </w:r>
      <w:r w:rsidRPr="00666ECE">
        <w:t xml:space="preserve"> jurisdictions</w:t>
      </w:r>
      <w:r w:rsidR="004A253D">
        <w:t xml:space="preserve"> in 201</w:t>
      </w:r>
      <w:r w:rsidR="000B4834">
        <w:t>4</w:t>
      </w:r>
      <w:r w:rsidRPr="00666ECE">
        <w:t xml:space="preserve">, with </w:t>
      </w:r>
      <w:r>
        <w:t xml:space="preserve">a </w:t>
      </w:r>
      <w:r w:rsidRPr="00666ECE">
        <w:t xml:space="preserve">national retention rate for </w:t>
      </w:r>
      <w:r w:rsidR="00530C4B">
        <w:t>Aboriginal and Torres Strait Islander</w:t>
      </w:r>
      <w:r w:rsidRPr="00666ECE">
        <w:t xml:space="preserve"> </w:t>
      </w:r>
      <w:r w:rsidRPr="009762F7">
        <w:t xml:space="preserve">students of </w:t>
      </w:r>
      <w:r w:rsidR="009F2FAB">
        <w:t>59.4</w:t>
      </w:r>
      <w:r w:rsidRPr="009762F7">
        <w:t xml:space="preserve"> per cent, </w:t>
      </w:r>
      <w:r w:rsidR="009F2FAB">
        <w:rPr>
          <w:shd w:val="clear" w:color="auto" w:fill="FFFFFF" w:themeFill="background1"/>
        </w:rPr>
        <w:t>25.4</w:t>
      </w:r>
      <w:r w:rsidR="00137849" w:rsidRPr="00A11734">
        <w:rPr>
          <w:shd w:val="clear" w:color="auto" w:fill="FFFFFF" w:themeFill="background1"/>
        </w:rPr>
        <w:t xml:space="preserve"> </w:t>
      </w:r>
      <w:r w:rsidRPr="00A11734">
        <w:rPr>
          <w:shd w:val="clear" w:color="auto" w:fill="FFFFFF" w:themeFill="background1"/>
        </w:rPr>
        <w:t>percentage points lower than that for non</w:t>
      </w:r>
      <w:r w:rsidR="0025099B" w:rsidRPr="00A11734">
        <w:rPr>
          <w:shd w:val="clear" w:color="auto" w:fill="FFFFFF" w:themeFill="background1"/>
        </w:rPr>
        <w:noBreakHyphen/>
      </w:r>
      <w:r w:rsidRPr="00A11734">
        <w:rPr>
          <w:shd w:val="clear" w:color="auto" w:fill="FFFFFF" w:themeFill="background1"/>
        </w:rPr>
        <w:t xml:space="preserve">Indigenous students </w:t>
      </w:r>
      <w:r w:rsidR="008B5ED3" w:rsidRPr="00A11734">
        <w:rPr>
          <w:shd w:val="clear" w:color="auto" w:fill="FFFFFF" w:themeFill="background1"/>
        </w:rPr>
        <w:t>(</w:t>
      </w:r>
      <w:r w:rsidR="009F2FAB">
        <w:rPr>
          <w:shd w:val="clear" w:color="auto" w:fill="FFFFFF" w:themeFill="background1"/>
        </w:rPr>
        <w:t>84.8</w:t>
      </w:r>
      <w:r w:rsidR="008B5ED3" w:rsidRPr="00A11734">
        <w:rPr>
          <w:shd w:val="clear" w:color="auto" w:fill="FFFFFF" w:themeFill="background1"/>
        </w:rPr>
        <w:t xml:space="preserve"> per cent)</w:t>
      </w:r>
      <w:r w:rsidR="008B5ED3" w:rsidRPr="00813CE9">
        <w:t xml:space="preserve"> </w:t>
      </w:r>
      <w:r w:rsidRPr="00813CE9">
        <w:t>(</w:t>
      </w:r>
      <w:r w:rsidR="00DE74EC" w:rsidRPr="00813CE9">
        <w:t>table</w:t>
      </w:r>
      <w:r w:rsidR="0025099B">
        <w:t> </w:t>
      </w:r>
      <w:r w:rsidR="00DE74EC">
        <w:t>4A.1</w:t>
      </w:r>
      <w:r w:rsidR="00002DCB">
        <w:t>2</w:t>
      </w:r>
      <w:r w:rsidR="003A0804">
        <w:t>1</w:t>
      </w:r>
      <w:r w:rsidRPr="00EF1CE5">
        <w:t>).</w:t>
      </w:r>
    </w:p>
    <w:p w:rsidR="00937F52" w:rsidRDefault="00937F52" w:rsidP="007803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7F52" w:rsidTr="0078036C">
        <w:tc>
          <w:tcPr>
            <w:tcW w:w="8771" w:type="dxa"/>
            <w:tcBorders>
              <w:top w:val="single" w:sz="6" w:space="0" w:color="78A22F"/>
              <w:left w:val="nil"/>
              <w:bottom w:val="nil"/>
              <w:right w:val="nil"/>
            </w:tcBorders>
            <w:shd w:val="clear" w:color="auto" w:fill="auto"/>
          </w:tcPr>
          <w:p w:rsidR="00937F52" w:rsidRPr="00176D3F" w:rsidRDefault="00937F52" w:rsidP="00B002E5">
            <w:pPr>
              <w:pStyle w:val="FigureTitle"/>
            </w:pPr>
            <w:r w:rsidRPr="00784A05">
              <w:rPr>
                <w:b w:val="0"/>
              </w:rPr>
              <w:t xml:space="preserve">Figure </w:t>
            </w:r>
            <w:r w:rsidR="00B70781">
              <w:rPr>
                <w:b w:val="0"/>
              </w:rPr>
              <w:t>4.</w:t>
            </w:r>
            <w:r w:rsidR="00FF4FBD">
              <w:rPr>
                <w:b w:val="0"/>
                <w:noProof/>
              </w:rPr>
              <w:t>14</w:t>
            </w:r>
            <w:r>
              <w:tab/>
            </w:r>
            <w:r w:rsidRPr="00937F52">
              <w:t>Apparent retention rate from year 7 or 8 to year 12, full time secondary students, all schools</w:t>
            </w:r>
            <w:r w:rsidR="000A4258" w:rsidRPr="00C90B4B">
              <w:rPr>
                <w:rStyle w:val="NoteLabel"/>
                <w:b/>
              </w:rPr>
              <w:t>a</w:t>
            </w:r>
            <w:r w:rsidR="00285523">
              <w:t xml:space="preserve"> </w:t>
            </w:r>
          </w:p>
        </w:tc>
      </w:tr>
      <w:tr w:rsidR="00937F52" w:rsidTr="000F4F43">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37F52" w:rsidTr="0078036C">
              <w:trPr>
                <w:jc w:val="center"/>
              </w:trPr>
              <w:tc>
                <w:tcPr>
                  <w:tcW w:w="5000" w:type="pct"/>
                  <w:tcBorders>
                    <w:top w:val="nil"/>
                    <w:bottom w:val="nil"/>
                  </w:tcBorders>
                </w:tcPr>
                <w:p w:rsidR="00937F52" w:rsidRDefault="00494008" w:rsidP="0078036C">
                  <w:pPr>
                    <w:pStyle w:val="Figure"/>
                    <w:spacing w:before="60" w:after="60"/>
                  </w:pPr>
                  <w:r>
                    <w:rPr>
                      <w:noProof/>
                    </w:rPr>
                    <w:drawing>
                      <wp:inline distT="0" distB="0" distL="0" distR="0">
                        <wp:extent cx="5391150" cy="2676525"/>
                        <wp:effectExtent l="0" t="0" r="0" b="9525"/>
                        <wp:docPr id="14" name="Picture 14" descr="Figure 4.14 Apparent retention rate from year 7 or 8 to year 12, full time secondary students, all school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676525"/>
                                </a:xfrm>
                                <a:prstGeom prst="rect">
                                  <a:avLst/>
                                </a:prstGeom>
                                <a:noFill/>
                                <a:ln>
                                  <a:noFill/>
                                </a:ln>
                              </pic:spPr>
                            </pic:pic>
                          </a:graphicData>
                        </a:graphic>
                      </wp:inline>
                    </w:drawing>
                  </w:r>
                </w:p>
              </w:tc>
            </w:tr>
          </w:tbl>
          <w:p w:rsidR="00937F52" w:rsidRDefault="00937F52" w:rsidP="0078036C">
            <w:pPr>
              <w:pStyle w:val="Figure"/>
            </w:pPr>
          </w:p>
        </w:tc>
      </w:tr>
      <w:tr w:rsidR="00937F52" w:rsidRPr="00176D3F" w:rsidTr="0078036C">
        <w:tc>
          <w:tcPr>
            <w:tcW w:w="8771" w:type="dxa"/>
            <w:tcBorders>
              <w:top w:val="nil"/>
              <w:left w:val="nil"/>
              <w:bottom w:val="nil"/>
              <w:right w:val="nil"/>
            </w:tcBorders>
            <w:shd w:val="clear" w:color="auto" w:fill="auto"/>
          </w:tcPr>
          <w:p w:rsidR="005B3EDD" w:rsidRDefault="005B3EDD" w:rsidP="005B3EDD">
            <w:pPr>
              <w:pStyle w:val="Source"/>
            </w:pPr>
            <w:r w:rsidRPr="00953E9C">
              <w:rPr>
                <w:rStyle w:val="NoteLabel"/>
              </w:rPr>
              <w:t>a</w:t>
            </w:r>
            <w:r w:rsidRPr="00953E9C">
              <w:t xml:space="preserve"> </w:t>
            </w:r>
            <w:r w:rsidRPr="007C767F">
              <w:t xml:space="preserve">See </w:t>
            </w:r>
            <w:r>
              <w:t xml:space="preserve">box 4.3 and </w:t>
            </w:r>
            <w:r w:rsidRPr="007C767F">
              <w:t xml:space="preserve">table </w:t>
            </w:r>
            <w:r>
              <w:t>4A.12</w:t>
            </w:r>
            <w:r w:rsidR="003A0804">
              <w:t>1</w:t>
            </w:r>
            <w:r w:rsidRPr="007C767F">
              <w:t xml:space="preserve"> for detailed</w:t>
            </w:r>
            <w:r>
              <w:t xml:space="preserve"> </w:t>
            </w:r>
            <w:r w:rsidRPr="005B3EDD">
              <w:t>definitions, footnotes and caveats</w:t>
            </w:r>
            <w:r w:rsidRPr="007C767F">
              <w:t>.</w:t>
            </w:r>
          </w:p>
          <w:p w:rsidR="00937F52" w:rsidRPr="00176D3F" w:rsidRDefault="00937F52" w:rsidP="003A0804">
            <w:pPr>
              <w:pStyle w:val="Source"/>
            </w:pPr>
            <w:r>
              <w:rPr>
                <w:i/>
              </w:rPr>
              <w:t>S</w:t>
            </w:r>
            <w:r w:rsidRPr="00784A05">
              <w:rPr>
                <w:i/>
              </w:rPr>
              <w:t>ource</w:t>
            </w:r>
            <w:r w:rsidRPr="00176D3F">
              <w:t xml:space="preserve">: </w:t>
            </w:r>
            <w:r w:rsidRPr="00937F52">
              <w:t>ABS (201</w:t>
            </w:r>
            <w:r w:rsidR="000B4834">
              <w:t>5</w:t>
            </w:r>
            <w:r w:rsidRPr="00937F52">
              <w:t xml:space="preserve">) </w:t>
            </w:r>
            <w:r w:rsidRPr="00937F52">
              <w:rPr>
                <w:i/>
              </w:rPr>
              <w:t>Schools Australia 201</w:t>
            </w:r>
            <w:r w:rsidR="000B4834">
              <w:rPr>
                <w:i/>
              </w:rPr>
              <w:t>4</w:t>
            </w:r>
            <w:r w:rsidRPr="00937F52">
              <w:t>, Cat. no. 4221.0; table 4A.1</w:t>
            </w:r>
            <w:r w:rsidR="00002DCB">
              <w:t>2</w:t>
            </w:r>
            <w:r w:rsidR="003A0804">
              <w:t>1</w:t>
            </w:r>
            <w:r w:rsidRPr="00937F52">
              <w:t>.</w:t>
            </w:r>
          </w:p>
        </w:tc>
      </w:tr>
      <w:tr w:rsidR="00937F52" w:rsidTr="0078036C">
        <w:tc>
          <w:tcPr>
            <w:tcW w:w="8771" w:type="dxa"/>
            <w:tcBorders>
              <w:top w:val="nil"/>
              <w:left w:val="nil"/>
              <w:bottom w:val="single" w:sz="6" w:space="0" w:color="78A22F"/>
              <w:right w:val="nil"/>
            </w:tcBorders>
            <w:shd w:val="clear" w:color="auto" w:fill="auto"/>
          </w:tcPr>
          <w:p w:rsidR="00937F52" w:rsidRDefault="00937F52" w:rsidP="0078036C">
            <w:pPr>
              <w:pStyle w:val="Figurespace"/>
            </w:pPr>
          </w:p>
        </w:tc>
      </w:tr>
      <w:tr w:rsidR="00937F52" w:rsidRPr="000863A5" w:rsidTr="0078036C">
        <w:tc>
          <w:tcPr>
            <w:tcW w:w="8771" w:type="dxa"/>
            <w:tcBorders>
              <w:top w:val="single" w:sz="6" w:space="0" w:color="78A22F"/>
              <w:left w:val="nil"/>
              <w:bottom w:val="nil"/>
              <w:right w:val="nil"/>
            </w:tcBorders>
          </w:tcPr>
          <w:p w:rsidR="00937F52" w:rsidRPr="00626D32" w:rsidRDefault="00937F52" w:rsidP="0078036C">
            <w:pPr>
              <w:pStyle w:val="BoxSpaceBelow"/>
            </w:pPr>
          </w:p>
        </w:tc>
      </w:tr>
    </w:tbl>
    <w:p w:rsidR="000B4834" w:rsidRDefault="000B4834" w:rsidP="005516D1">
      <w:pPr>
        <w:pStyle w:val="Heading5"/>
      </w:pPr>
      <w:r>
        <w:t>Year 10 to year 12</w:t>
      </w:r>
    </w:p>
    <w:p w:rsidR="00666ECE" w:rsidRPr="00666ECE" w:rsidRDefault="00666ECE" w:rsidP="00483D1F">
      <w:pPr>
        <w:pStyle w:val="BodyText"/>
      </w:pPr>
      <w:r w:rsidRPr="00666ECE">
        <w:t xml:space="preserve">The apparent rate of retention from year 10 to year 12 </w:t>
      </w:r>
      <w:r w:rsidR="00681DD0">
        <w:t>expresses</w:t>
      </w:r>
      <w:r w:rsidRPr="00666ECE">
        <w:t xml:space="preserve"> the number of full time school students enrolled in year 12 in 201</w:t>
      </w:r>
      <w:r w:rsidR="000B4834">
        <w:t>4</w:t>
      </w:r>
      <w:r w:rsidRPr="00666ECE">
        <w:t xml:space="preserve"> as a proportion of the number of full time school students enrolled in year 10 in 20</w:t>
      </w:r>
      <w:r w:rsidR="00643280">
        <w:t>1</w:t>
      </w:r>
      <w:r w:rsidR="000B4834">
        <w:t>2</w:t>
      </w:r>
      <w:r w:rsidRPr="00666ECE">
        <w:t xml:space="preserve">. </w:t>
      </w:r>
    </w:p>
    <w:p w:rsidR="00666ECE" w:rsidRPr="00483D1F" w:rsidRDefault="00666ECE" w:rsidP="00A0570A">
      <w:pPr>
        <w:pStyle w:val="BodyText"/>
      </w:pPr>
      <w:r w:rsidRPr="00666ECE">
        <w:t xml:space="preserve">Factors affecting apparent retention can combine to result in a year 12 cohort that is substantially different in composition from the corresponding year 10 cohort </w:t>
      </w:r>
      <w:r w:rsidR="00285523">
        <w:t>(see box 4.3)</w:t>
      </w:r>
      <w:r w:rsidRPr="00483D1F">
        <w:t xml:space="preserve">. </w:t>
      </w:r>
    </w:p>
    <w:p w:rsidR="00666ECE" w:rsidRPr="00666ECE" w:rsidRDefault="00666ECE" w:rsidP="00483D1F">
      <w:pPr>
        <w:pStyle w:val="BodyText"/>
      </w:pPr>
      <w:r w:rsidRPr="0065269E">
        <w:t>Nationally</w:t>
      </w:r>
      <w:r w:rsidRPr="00EB7A11">
        <w:t xml:space="preserve">, the </w:t>
      </w:r>
      <w:r w:rsidRPr="000F4F43">
        <w:rPr>
          <w:shd w:val="clear" w:color="auto" w:fill="FFFFFF" w:themeFill="background1"/>
        </w:rPr>
        <w:t xml:space="preserve">apparent retention rate from year 10 to year 12 for all schools was </w:t>
      </w:r>
      <w:r w:rsidR="00F05EFD" w:rsidRPr="000F4F43">
        <w:rPr>
          <w:shd w:val="clear" w:color="auto" w:fill="FFFFFF" w:themeFill="background1"/>
        </w:rPr>
        <w:t>8</w:t>
      </w:r>
      <w:r w:rsidR="00F47D1B" w:rsidRPr="000F4F43">
        <w:rPr>
          <w:shd w:val="clear" w:color="auto" w:fill="FFFFFF" w:themeFill="background1"/>
        </w:rPr>
        <w:t>2</w:t>
      </w:r>
      <w:r w:rsidR="00F05EFD" w:rsidRPr="000F4F43">
        <w:rPr>
          <w:shd w:val="clear" w:color="auto" w:fill="FFFFFF" w:themeFill="background1"/>
        </w:rPr>
        <w:t>.5</w:t>
      </w:r>
      <w:r w:rsidR="0025099B" w:rsidRPr="000F4F43">
        <w:rPr>
          <w:shd w:val="clear" w:color="auto" w:fill="FFFFFF" w:themeFill="background1"/>
        </w:rPr>
        <w:t> </w:t>
      </w:r>
      <w:r w:rsidRPr="000F4F43">
        <w:rPr>
          <w:shd w:val="clear" w:color="auto" w:fill="FFFFFF" w:themeFill="background1"/>
        </w:rPr>
        <w:t>per</w:t>
      </w:r>
      <w:r w:rsidR="0025099B" w:rsidRPr="000F4F43">
        <w:rPr>
          <w:shd w:val="clear" w:color="auto" w:fill="FFFFFF" w:themeFill="background1"/>
        </w:rPr>
        <w:t> </w:t>
      </w:r>
      <w:r w:rsidRPr="000F4F43">
        <w:rPr>
          <w:shd w:val="clear" w:color="auto" w:fill="FFFFFF" w:themeFill="background1"/>
        </w:rPr>
        <w:t>cent in 201</w:t>
      </w:r>
      <w:r w:rsidR="000B4834" w:rsidRPr="000F4F43">
        <w:rPr>
          <w:shd w:val="clear" w:color="auto" w:fill="FFFFFF" w:themeFill="background1"/>
        </w:rPr>
        <w:t>4</w:t>
      </w:r>
      <w:r w:rsidRPr="000F4F43">
        <w:rPr>
          <w:shd w:val="clear" w:color="auto" w:fill="FFFFFF" w:themeFill="background1"/>
        </w:rPr>
        <w:t>. T</w:t>
      </w:r>
      <w:r w:rsidRPr="00EB7A11">
        <w:t xml:space="preserve">he rate for government schools was </w:t>
      </w:r>
      <w:r w:rsidR="00F05EFD">
        <w:t>78.6</w:t>
      </w:r>
      <w:r w:rsidR="0065269E" w:rsidRPr="00EB7A11">
        <w:t xml:space="preserve"> </w:t>
      </w:r>
      <w:r w:rsidRPr="00EB7A11">
        <w:t>per cent, and for non</w:t>
      </w:r>
      <w:r w:rsidR="0025099B">
        <w:noBreakHyphen/>
      </w:r>
      <w:r w:rsidRPr="00EB7A11">
        <w:t xml:space="preserve">government schools was </w:t>
      </w:r>
      <w:r w:rsidR="00F05EFD">
        <w:t>88.</w:t>
      </w:r>
      <w:r w:rsidR="0060292B">
        <w:t>6</w:t>
      </w:r>
      <w:r w:rsidR="00AF7181" w:rsidRPr="00EB7A11">
        <w:t xml:space="preserve"> </w:t>
      </w:r>
      <w:r w:rsidRPr="00EB7A11">
        <w:t>per</w:t>
      </w:r>
      <w:r w:rsidR="00AF7181" w:rsidRPr="00EB7A11">
        <w:t xml:space="preserve"> </w:t>
      </w:r>
      <w:r w:rsidRPr="00EB7A11">
        <w:t xml:space="preserve">cent. The apparent </w:t>
      </w:r>
      <w:r w:rsidRPr="0065269E">
        <w:t>retention rates for both government schools and non</w:t>
      </w:r>
      <w:r w:rsidRPr="0065269E">
        <w:noBreakHyphen/>
        <w:t>government</w:t>
      </w:r>
      <w:r w:rsidRPr="00666ECE">
        <w:t xml:space="preserve"> schools varied across jurisdictions (figure 4.1</w:t>
      </w:r>
      <w:r w:rsidR="002E5EAF">
        <w:t>5</w:t>
      </w:r>
      <w:r w:rsidRPr="00666ECE">
        <w:t>).</w:t>
      </w:r>
    </w:p>
    <w:p w:rsidR="0099070E" w:rsidRDefault="0099070E" w:rsidP="007803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070E" w:rsidTr="0078036C">
        <w:tc>
          <w:tcPr>
            <w:tcW w:w="8771" w:type="dxa"/>
            <w:tcBorders>
              <w:top w:val="single" w:sz="6" w:space="0" w:color="78A22F"/>
              <w:left w:val="nil"/>
              <w:bottom w:val="nil"/>
              <w:right w:val="nil"/>
            </w:tcBorders>
            <w:shd w:val="clear" w:color="auto" w:fill="auto"/>
          </w:tcPr>
          <w:p w:rsidR="0099070E" w:rsidRPr="00176D3F" w:rsidRDefault="0099070E" w:rsidP="00B002E5">
            <w:pPr>
              <w:pStyle w:val="FigureTitle"/>
            </w:pPr>
            <w:r w:rsidRPr="00784A05">
              <w:rPr>
                <w:b w:val="0"/>
              </w:rPr>
              <w:t xml:space="preserve">Figure </w:t>
            </w:r>
            <w:r w:rsidR="00B70781">
              <w:rPr>
                <w:b w:val="0"/>
              </w:rPr>
              <w:t>4.</w:t>
            </w:r>
            <w:r w:rsidR="00FF4FBD">
              <w:rPr>
                <w:b w:val="0"/>
                <w:noProof/>
              </w:rPr>
              <w:t>15</w:t>
            </w:r>
            <w:r>
              <w:tab/>
            </w:r>
            <w:r w:rsidRPr="0099070E">
              <w:t>Apparent retention rate from year 10 to year 12, full time secondary students, 201</w:t>
            </w:r>
            <w:r w:rsidR="000B4834">
              <w:t>4</w:t>
            </w:r>
            <w:r w:rsidR="00F470B0" w:rsidRPr="00C90B4B">
              <w:rPr>
                <w:rStyle w:val="NoteLabel"/>
                <w:b/>
              </w:rPr>
              <w:t>a</w:t>
            </w:r>
            <w:r w:rsidR="00285523">
              <w:t xml:space="preserve"> </w:t>
            </w:r>
          </w:p>
        </w:tc>
      </w:tr>
      <w:tr w:rsidR="0099070E" w:rsidTr="000F4F43">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9070E" w:rsidTr="0078036C">
              <w:trPr>
                <w:jc w:val="center"/>
              </w:trPr>
              <w:tc>
                <w:tcPr>
                  <w:tcW w:w="5000" w:type="pct"/>
                  <w:tcBorders>
                    <w:top w:val="nil"/>
                    <w:bottom w:val="nil"/>
                  </w:tcBorders>
                </w:tcPr>
                <w:p w:rsidR="0099070E" w:rsidRDefault="00494008" w:rsidP="0078036C">
                  <w:pPr>
                    <w:pStyle w:val="Figure"/>
                    <w:spacing w:before="60" w:after="60"/>
                  </w:pPr>
                  <w:r>
                    <w:rPr>
                      <w:noProof/>
                    </w:rPr>
                    <w:drawing>
                      <wp:inline distT="0" distB="0" distL="0" distR="0">
                        <wp:extent cx="5391150" cy="2676525"/>
                        <wp:effectExtent l="0" t="0" r="0" b="9525"/>
                        <wp:docPr id="15" name="Picture 15" descr="Figure 4.15 Apparent retention rate from year 10 to year 12, full time secondary students,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1150" cy="2676525"/>
                                </a:xfrm>
                                <a:prstGeom prst="rect">
                                  <a:avLst/>
                                </a:prstGeom>
                                <a:noFill/>
                                <a:ln>
                                  <a:noFill/>
                                </a:ln>
                              </pic:spPr>
                            </pic:pic>
                          </a:graphicData>
                        </a:graphic>
                      </wp:inline>
                    </w:drawing>
                  </w:r>
                </w:p>
              </w:tc>
            </w:tr>
          </w:tbl>
          <w:p w:rsidR="0099070E" w:rsidRDefault="0099070E" w:rsidP="0078036C">
            <w:pPr>
              <w:pStyle w:val="Figure"/>
            </w:pPr>
          </w:p>
        </w:tc>
      </w:tr>
      <w:tr w:rsidR="0099070E" w:rsidRPr="00176D3F" w:rsidTr="0078036C">
        <w:tc>
          <w:tcPr>
            <w:tcW w:w="8771" w:type="dxa"/>
            <w:tcBorders>
              <w:top w:val="nil"/>
              <w:left w:val="nil"/>
              <w:bottom w:val="nil"/>
              <w:right w:val="nil"/>
            </w:tcBorders>
            <w:shd w:val="clear" w:color="auto" w:fill="auto"/>
          </w:tcPr>
          <w:p w:rsidR="005B3EDD" w:rsidRDefault="005B3EDD" w:rsidP="005B3EDD">
            <w:pPr>
              <w:pStyle w:val="Source"/>
            </w:pPr>
            <w:r w:rsidRPr="00953E9C">
              <w:rPr>
                <w:rStyle w:val="NoteLabel"/>
              </w:rPr>
              <w:t>a</w:t>
            </w:r>
            <w:r w:rsidRPr="00953E9C">
              <w:t xml:space="preserve"> </w:t>
            </w:r>
            <w:r w:rsidRPr="007C767F">
              <w:t xml:space="preserve">See </w:t>
            </w:r>
            <w:r>
              <w:t xml:space="preserve">box 4.3 and </w:t>
            </w:r>
            <w:r w:rsidRPr="007C767F">
              <w:t xml:space="preserve">table </w:t>
            </w:r>
            <w:r w:rsidR="007077FB">
              <w:t>4A.120</w:t>
            </w:r>
            <w:r w:rsidRPr="007C767F">
              <w:t xml:space="preserve"> for detailed</w:t>
            </w:r>
            <w:r>
              <w:t xml:space="preserve"> </w:t>
            </w:r>
            <w:r w:rsidRPr="005B3EDD">
              <w:t>definitions, footnotes and caveats</w:t>
            </w:r>
            <w:r w:rsidRPr="007C767F">
              <w:t>.</w:t>
            </w:r>
          </w:p>
          <w:p w:rsidR="0099070E" w:rsidRPr="00176D3F" w:rsidRDefault="0099070E" w:rsidP="003A0804">
            <w:pPr>
              <w:pStyle w:val="Source"/>
            </w:pPr>
            <w:r>
              <w:rPr>
                <w:i/>
              </w:rPr>
              <w:t>S</w:t>
            </w:r>
            <w:r w:rsidRPr="00784A05">
              <w:rPr>
                <w:i/>
              </w:rPr>
              <w:t>ource</w:t>
            </w:r>
            <w:r w:rsidRPr="00176D3F">
              <w:t xml:space="preserve">: </w:t>
            </w:r>
            <w:r w:rsidRPr="0099070E">
              <w:t>ABS (201</w:t>
            </w:r>
            <w:r w:rsidR="00DF4FC0">
              <w:t>5</w:t>
            </w:r>
            <w:r w:rsidRPr="0099070E">
              <w:t xml:space="preserve">) </w:t>
            </w:r>
            <w:r w:rsidRPr="0099070E">
              <w:rPr>
                <w:i/>
              </w:rPr>
              <w:t>Schools Australia 201</w:t>
            </w:r>
            <w:r w:rsidR="00DF4FC0">
              <w:rPr>
                <w:i/>
              </w:rPr>
              <w:t>4</w:t>
            </w:r>
            <w:r w:rsidRPr="0099070E">
              <w:t>, Cat. no. 4221.0; table 4A.1</w:t>
            </w:r>
            <w:r w:rsidR="00002DCB">
              <w:t>2</w:t>
            </w:r>
            <w:r w:rsidR="003A0804">
              <w:t>0</w:t>
            </w:r>
            <w:r w:rsidRPr="0099070E">
              <w:t>.</w:t>
            </w:r>
          </w:p>
        </w:tc>
      </w:tr>
      <w:tr w:rsidR="0099070E" w:rsidTr="0078036C">
        <w:tc>
          <w:tcPr>
            <w:tcW w:w="8771" w:type="dxa"/>
            <w:tcBorders>
              <w:top w:val="nil"/>
              <w:left w:val="nil"/>
              <w:bottom w:val="single" w:sz="6" w:space="0" w:color="78A22F"/>
              <w:right w:val="nil"/>
            </w:tcBorders>
            <w:shd w:val="clear" w:color="auto" w:fill="auto"/>
          </w:tcPr>
          <w:p w:rsidR="0099070E" w:rsidRDefault="0099070E" w:rsidP="0078036C">
            <w:pPr>
              <w:pStyle w:val="Figurespace"/>
            </w:pPr>
          </w:p>
        </w:tc>
      </w:tr>
      <w:tr w:rsidR="0099070E" w:rsidRPr="000863A5" w:rsidTr="0078036C">
        <w:tc>
          <w:tcPr>
            <w:tcW w:w="8771" w:type="dxa"/>
            <w:tcBorders>
              <w:top w:val="single" w:sz="6" w:space="0" w:color="78A22F"/>
              <w:left w:val="nil"/>
              <w:bottom w:val="nil"/>
              <w:right w:val="nil"/>
            </w:tcBorders>
          </w:tcPr>
          <w:p w:rsidR="0099070E" w:rsidRPr="00626D32" w:rsidRDefault="0099070E" w:rsidP="0078036C">
            <w:pPr>
              <w:pStyle w:val="BoxSpaceBelow"/>
            </w:pPr>
          </w:p>
        </w:tc>
      </w:tr>
    </w:tbl>
    <w:p w:rsidR="00666ECE" w:rsidRDefault="00666ECE" w:rsidP="00483D1F">
      <w:pPr>
        <w:pStyle w:val="BodyText"/>
      </w:pPr>
      <w:r w:rsidRPr="00EB7A11">
        <w:t xml:space="preserve">For government and non-government schools, apparent rates of retention from year 10 to year 12 for </w:t>
      </w:r>
      <w:r w:rsidR="00790630">
        <w:t>Aboriginal and Torres Strait Islander</w:t>
      </w:r>
      <w:r w:rsidRPr="00EB7A11">
        <w:t xml:space="preserve"> students in 20</w:t>
      </w:r>
      <w:r w:rsidR="0055265A" w:rsidRPr="00EB7A11">
        <w:t>1</w:t>
      </w:r>
      <w:r w:rsidR="000B4834">
        <w:t>4</w:t>
      </w:r>
      <w:r w:rsidRPr="00EB7A11">
        <w:t xml:space="preserve"> </w:t>
      </w:r>
      <w:r w:rsidRPr="0060292B">
        <w:rPr>
          <w:shd w:val="clear" w:color="auto" w:fill="FFFFFF" w:themeFill="background1"/>
        </w:rPr>
        <w:t xml:space="preserve">were </w:t>
      </w:r>
      <w:r w:rsidR="0060292B" w:rsidRPr="0060292B">
        <w:rPr>
          <w:shd w:val="clear" w:color="auto" w:fill="FFFFFF" w:themeFill="background1"/>
        </w:rPr>
        <w:t>generall</w:t>
      </w:r>
      <w:r w:rsidRPr="0060292B">
        <w:rPr>
          <w:shd w:val="clear" w:color="auto" w:fill="FFFFFF" w:themeFill="background1"/>
        </w:rPr>
        <w:t>y low</w:t>
      </w:r>
      <w:r w:rsidR="004856D3" w:rsidRPr="0060292B">
        <w:rPr>
          <w:shd w:val="clear" w:color="auto" w:fill="FFFFFF" w:themeFill="background1"/>
        </w:rPr>
        <w:t>er</w:t>
      </w:r>
      <w:r w:rsidR="004856D3">
        <w:t xml:space="preserve"> than rates for all students </w:t>
      </w:r>
      <w:r w:rsidRPr="00EB7A11">
        <w:t>but varied across jurisdictions. Nationally</w:t>
      </w:r>
      <w:r w:rsidR="00285523">
        <w:t xml:space="preserve"> in 2014</w:t>
      </w:r>
      <w:r w:rsidRPr="00EB7A11">
        <w:t xml:space="preserve">, </w:t>
      </w:r>
      <w:r w:rsidR="00790630">
        <w:t>Aboriginal and Torres Strait Islander</w:t>
      </w:r>
      <w:r w:rsidRPr="00EB7A11">
        <w:t xml:space="preserve"> retention from year 10 to year 12 for all schools was </w:t>
      </w:r>
      <w:r w:rsidR="0060292B">
        <w:t>60.4 </w:t>
      </w:r>
      <w:r w:rsidRPr="00EB7A11">
        <w:t>per</w:t>
      </w:r>
      <w:r w:rsidR="0060292B">
        <w:t> </w:t>
      </w:r>
      <w:r w:rsidRPr="00EB7A11">
        <w:t>cent (figure 4.1</w:t>
      </w:r>
      <w:r w:rsidR="002E5EAF">
        <w:t>6</w:t>
      </w:r>
      <w:r w:rsidRPr="00EB7A11">
        <w:t xml:space="preserve">), compared with </w:t>
      </w:r>
      <w:r w:rsidR="0060292B">
        <w:t>83.6</w:t>
      </w:r>
      <w:r w:rsidR="003F0641" w:rsidRPr="00EB7A11">
        <w:t xml:space="preserve"> per </w:t>
      </w:r>
      <w:r w:rsidRPr="00EB7A11">
        <w:t>cent for non</w:t>
      </w:r>
      <w:r w:rsidR="0025099B">
        <w:noBreakHyphen/>
      </w:r>
      <w:r w:rsidRPr="00EB7A11">
        <w:t>Indigenous students (table</w:t>
      </w:r>
      <w:r w:rsidR="0060292B">
        <w:t> </w:t>
      </w:r>
      <w:r w:rsidRPr="00EB7A11">
        <w:t>4A.1</w:t>
      </w:r>
      <w:r w:rsidR="00002DCB">
        <w:t>2</w:t>
      </w:r>
      <w:r w:rsidR="003A0804">
        <w:t>1</w:t>
      </w:r>
      <w:r w:rsidRPr="00EB7A11">
        <w:t xml:space="preserve">). However, </w:t>
      </w:r>
      <w:r w:rsidR="00790630">
        <w:t>Aboriginal and Torres Strait Islander</w:t>
      </w:r>
      <w:r w:rsidRPr="00EB7A11">
        <w:t xml:space="preserve"> retention from year 10 to year 12 for all schools </w:t>
      </w:r>
      <w:r w:rsidRPr="0060292B">
        <w:rPr>
          <w:shd w:val="clear" w:color="auto" w:fill="FFFFFF" w:themeFill="background1"/>
        </w:rPr>
        <w:t>has risen</w:t>
      </w:r>
      <w:r w:rsidRPr="00EB7A11">
        <w:t xml:space="preserve"> from </w:t>
      </w:r>
      <w:r w:rsidR="0060292B">
        <w:t>46.8</w:t>
      </w:r>
      <w:r w:rsidR="00746562" w:rsidRPr="00EB7A11">
        <w:t xml:space="preserve"> </w:t>
      </w:r>
      <w:r w:rsidRPr="00EB7A11">
        <w:t>per</w:t>
      </w:r>
      <w:r w:rsidR="00746562" w:rsidRPr="00EB7A11">
        <w:t xml:space="preserve"> </w:t>
      </w:r>
      <w:r w:rsidRPr="00EB7A11">
        <w:t>cent in 200</w:t>
      </w:r>
      <w:r w:rsidR="00F05C2C">
        <w:t>6</w:t>
      </w:r>
      <w:r w:rsidRPr="00EB7A11">
        <w:t xml:space="preserve">, with the gap between </w:t>
      </w:r>
      <w:r w:rsidR="00530C4B">
        <w:t>Aboriginal and Torres Strait Islander</w:t>
      </w:r>
      <w:r w:rsidRPr="00EB7A11">
        <w:t xml:space="preserve"> students and non-Indigenous students </w:t>
      </w:r>
      <w:r w:rsidRPr="0060292B">
        <w:rPr>
          <w:shd w:val="clear" w:color="auto" w:fill="FFFFFF" w:themeFill="background1"/>
        </w:rPr>
        <w:t xml:space="preserve">decreasing from </w:t>
      </w:r>
      <w:r w:rsidR="0060292B" w:rsidRPr="0060292B">
        <w:rPr>
          <w:shd w:val="clear" w:color="auto" w:fill="FFFFFF" w:themeFill="background1"/>
        </w:rPr>
        <w:t xml:space="preserve">30.3 </w:t>
      </w:r>
      <w:r w:rsidRPr="0060292B">
        <w:rPr>
          <w:shd w:val="clear" w:color="auto" w:fill="FFFFFF" w:themeFill="background1"/>
        </w:rPr>
        <w:t>percentage points in 200</w:t>
      </w:r>
      <w:r w:rsidR="00F05C2C" w:rsidRPr="0060292B">
        <w:rPr>
          <w:shd w:val="clear" w:color="auto" w:fill="FFFFFF" w:themeFill="background1"/>
        </w:rPr>
        <w:t>6</w:t>
      </w:r>
      <w:r w:rsidRPr="0060292B">
        <w:rPr>
          <w:shd w:val="clear" w:color="auto" w:fill="FFFFFF" w:themeFill="background1"/>
        </w:rPr>
        <w:t xml:space="preserve"> to </w:t>
      </w:r>
      <w:r w:rsidR="0060292B" w:rsidRPr="0060292B">
        <w:rPr>
          <w:shd w:val="clear" w:color="auto" w:fill="FFFFFF" w:themeFill="background1"/>
        </w:rPr>
        <w:t>23.2</w:t>
      </w:r>
      <w:r w:rsidRPr="0060292B">
        <w:rPr>
          <w:shd w:val="clear" w:color="auto" w:fill="FFFFFF" w:themeFill="background1"/>
        </w:rPr>
        <w:t xml:space="preserve"> percentage points in 201</w:t>
      </w:r>
      <w:r w:rsidR="00F05C2C" w:rsidRPr="0060292B">
        <w:rPr>
          <w:shd w:val="clear" w:color="auto" w:fill="FFFFFF" w:themeFill="background1"/>
        </w:rPr>
        <w:t>4</w:t>
      </w:r>
      <w:r w:rsidRPr="0060292B">
        <w:rPr>
          <w:shd w:val="clear" w:color="auto" w:fill="FFFFFF" w:themeFill="background1"/>
        </w:rPr>
        <w:t xml:space="preserve"> (table 4A</w:t>
      </w:r>
      <w:r w:rsidRPr="00666ECE">
        <w:t>.1</w:t>
      </w:r>
      <w:r w:rsidR="00002DCB">
        <w:t>2</w:t>
      </w:r>
      <w:r w:rsidR="003A0804">
        <w:t>1</w:t>
      </w:r>
      <w:r w:rsidRPr="00666ECE">
        <w:t>).</w:t>
      </w:r>
    </w:p>
    <w:p w:rsidR="00285523" w:rsidRPr="00EB7A11" w:rsidRDefault="00285523" w:rsidP="00285523">
      <w:pPr>
        <w:pStyle w:val="BodyText"/>
      </w:pPr>
      <w:r w:rsidRPr="00EB7A11">
        <w:t xml:space="preserve">In interpreting </w:t>
      </w:r>
      <w:r>
        <w:t>Aboriginal and Torres Strait Islander</w:t>
      </w:r>
      <w:r w:rsidRPr="00EB7A11">
        <w:t xml:space="preserve"> apparent retention rates, it should be noted that, nationally, </w:t>
      </w:r>
      <w:r w:rsidR="0060292B">
        <w:t>1.8</w:t>
      </w:r>
      <w:r w:rsidRPr="00EB7A11">
        <w:t xml:space="preserve"> per cent of </w:t>
      </w:r>
      <w:r>
        <w:t>Aboriginal and Torres Strait Islander</w:t>
      </w:r>
      <w:r w:rsidRPr="00EB7A11">
        <w:t xml:space="preserve"> students left school before year 10 (figure 4.1</w:t>
      </w:r>
      <w:r w:rsidR="002E5EAF">
        <w:t>2</w:t>
      </w:r>
      <w:r w:rsidRPr="00EB7A11">
        <w:t xml:space="preserve"> and table 4A.1</w:t>
      </w:r>
      <w:r w:rsidR="00002DCB">
        <w:t>2</w:t>
      </w:r>
      <w:r w:rsidR="003A0804">
        <w:t>1</w:t>
      </w:r>
      <w:r w:rsidRPr="00EB7A11">
        <w:t xml:space="preserve">), and so are not included in the base year for retention from year 10 to year 12. Further, </w:t>
      </w:r>
      <w:r>
        <w:t>Aboriginal and Torres Strait Islander</w:t>
      </w:r>
      <w:r w:rsidRPr="00EB7A11">
        <w:t xml:space="preserve"> students made </w:t>
      </w:r>
      <w:r w:rsidRPr="005E564E">
        <w:rPr>
          <w:shd w:val="clear" w:color="auto" w:fill="FFFFFF" w:themeFill="background1"/>
        </w:rPr>
        <w:t xml:space="preserve">up </w:t>
      </w:r>
      <w:r w:rsidR="00C06C52">
        <w:rPr>
          <w:shd w:val="clear" w:color="auto" w:fill="FFFFFF" w:themeFill="background1"/>
        </w:rPr>
        <w:t>6.7</w:t>
      </w:r>
      <w:r w:rsidRPr="00EB7A11">
        <w:t xml:space="preserve"> per cent of all students in government schools compared with </w:t>
      </w:r>
      <w:r w:rsidR="00C06C52">
        <w:t>2.4</w:t>
      </w:r>
      <w:r w:rsidRPr="00EB7A11">
        <w:t xml:space="preserve"> per cent in non-government schools and some jurisdictions have very low numbers of </w:t>
      </w:r>
      <w:r>
        <w:t>Aboriginal and Torres Strait Islander</w:t>
      </w:r>
      <w:r w:rsidRPr="00EB7A11">
        <w:t xml:space="preserve"> students (table 4.5).</w:t>
      </w:r>
    </w:p>
    <w:p w:rsidR="00285523" w:rsidRPr="00666ECE" w:rsidRDefault="00285523" w:rsidP="000F4F43">
      <w:pPr>
        <w:pStyle w:val="BodyText"/>
      </w:pPr>
      <w:r w:rsidRPr="00666ECE">
        <w:t xml:space="preserve">Nationally, apparent </w:t>
      </w:r>
      <w:r w:rsidRPr="00A33EA2">
        <w:t xml:space="preserve">rates </w:t>
      </w:r>
      <w:r w:rsidRPr="00EB7A11">
        <w:t xml:space="preserve">of retention for all full time students from year 10 to year 12 </w:t>
      </w:r>
      <w:r w:rsidR="001671A0">
        <w:rPr>
          <w:shd w:val="clear" w:color="auto" w:fill="FFFFFF" w:themeFill="background1"/>
        </w:rPr>
        <w:t>increased</w:t>
      </w:r>
      <w:r w:rsidRPr="0060292B">
        <w:rPr>
          <w:shd w:val="clear" w:color="auto" w:fill="FFFFFF" w:themeFill="background1"/>
        </w:rPr>
        <w:t xml:space="preserve"> </w:t>
      </w:r>
      <w:r w:rsidRPr="00EB7A11">
        <w:t xml:space="preserve">from </w:t>
      </w:r>
      <w:r w:rsidR="0060292B">
        <w:t>76.2</w:t>
      </w:r>
      <w:r w:rsidRPr="00EB7A11">
        <w:t xml:space="preserve"> per cent in 200</w:t>
      </w:r>
      <w:r>
        <w:t>6</w:t>
      </w:r>
      <w:r w:rsidRPr="00EB7A11">
        <w:t xml:space="preserve"> to </w:t>
      </w:r>
      <w:r w:rsidR="0060292B" w:rsidRPr="000F4F43">
        <w:rPr>
          <w:shd w:val="clear" w:color="auto" w:fill="FFFFFF" w:themeFill="background1"/>
        </w:rPr>
        <w:t>8</w:t>
      </w:r>
      <w:r w:rsidR="00F47D1B" w:rsidRPr="000F4F43">
        <w:rPr>
          <w:shd w:val="clear" w:color="auto" w:fill="FFFFFF" w:themeFill="background1"/>
        </w:rPr>
        <w:t>2</w:t>
      </w:r>
      <w:r w:rsidR="0060292B" w:rsidRPr="000F4F43">
        <w:rPr>
          <w:shd w:val="clear" w:color="auto" w:fill="FFFFFF" w:themeFill="background1"/>
        </w:rPr>
        <w:t>.5</w:t>
      </w:r>
      <w:r w:rsidRPr="00EB7A11">
        <w:t xml:space="preserve"> per cent in 201</w:t>
      </w:r>
      <w:r>
        <w:t>4</w:t>
      </w:r>
      <w:r w:rsidRPr="00EB7A11">
        <w:t xml:space="preserve"> (figure 4.1</w:t>
      </w:r>
      <w:r w:rsidR="002E5EAF">
        <w:t>7</w:t>
      </w:r>
      <w:r w:rsidRPr="00EB7A11">
        <w:t>). Data for intervening years and by Indigenous status are in table</w:t>
      </w:r>
      <w:r>
        <w:t xml:space="preserve"> </w:t>
      </w:r>
      <w:r w:rsidRPr="00EB7A11">
        <w:t>4A.</w:t>
      </w:r>
      <w:r w:rsidRPr="003A0804">
        <w:t>1</w:t>
      </w:r>
      <w:r w:rsidR="003A0804" w:rsidRPr="003A0804">
        <w:t>21</w:t>
      </w:r>
      <w:r w:rsidRPr="00EB7A11">
        <w:t xml:space="preserve">. Data for government schools and </w:t>
      </w:r>
      <w:r w:rsidRPr="00666ECE">
        <w:t>non</w:t>
      </w:r>
      <w:r w:rsidR="001671A0">
        <w:t>-</w:t>
      </w:r>
      <w:r w:rsidRPr="00666ECE">
        <w:t>government schools are in tables 4A.1</w:t>
      </w:r>
      <w:r w:rsidR="00002DCB">
        <w:t>2</w:t>
      </w:r>
      <w:r w:rsidR="003A0804">
        <w:t>2</w:t>
      </w:r>
      <w:r w:rsidRPr="00666ECE">
        <w:t xml:space="preserve"> and 4A.1</w:t>
      </w:r>
      <w:r w:rsidR="00002DCB">
        <w:t>2</w:t>
      </w:r>
      <w:r w:rsidR="003A0804">
        <w:t>3</w:t>
      </w:r>
      <w:r w:rsidRPr="00666ECE">
        <w:t>.</w:t>
      </w:r>
    </w:p>
    <w:p w:rsidR="00285523" w:rsidRPr="00666ECE" w:rsidRDefault="00285523" w:rsidP="00483D1F">
      <w:pPr>
        <w:pStyle w:val="BodyText"/>
      </w:pPr>
    </w:p>
    <w:p w:rsidR="00937F52" w:rsidRDefault="00937F52" w:rsidP="007803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7F52" w:rsidTr="0078036C">
        <w:tc>
          <w:tcPr>
            <w:tcW w:w="8771" w:type="dxa"/>
            <w:tcBorders>
              <w:top w:val="single" w:sz="6" w:space="0" w:color="78A22F"/>
              <w:left w:val="nil"/>
              <w:bottom w:val="nil"/>
              <w:right w:val="nil"/>
            </w:tcBorders>
            <w:shd w:val="clear" w:color="auto" w:fill="auto"/>
          </w:tcPr>
          <w:p w:rsidR="00937F52" w:rsidRPr="00176D3F" w:rsidRDefault="00937F52" w:rsidP="00B002E5">
            <w:pPr>
              <w:pStyle w:val="FigureTitle"/>
            </w:pPr>
            <w:r w:rsidRPr="00784A05">
              <w:rPr>
                <w:b w:val="0"/>
              </w:rPr>
              <w:t xml:space="preserve">Figure </w:t>
            </w:r>
            <w:r w:rsidR="00B70781">
              <w:rPr>
                <w:b w:val="0"/>
              </w:rPr>
              <w:t>4.</w:t>
            </w:r>
            <w:r w:rsidR="00FF4FBD">
              <w:rPr>
                <w:b w:val="0"/>
                <w:noProof/>
              </w:rPr>
              <w:t>16</w:t>
            </w:r>
            <w:r>
              <w:tab/>
            </w:r>
            <w:r w:rsidRPr="00937F52">
              <w:t xml:space="preserve">Apparent retention rates from year 10 to year 12, </w:t>
            </w:r>
            <w:r w:rsidR="007B3ABE">
              <w:t>Aboriginal and Torres Strait Islander</w:t>
            </w:r>
            <w:r w:rsidRPr="00937F52">
              <w:t xml:space="preserve"> full time secondary students, 201</w:t>
            </w:r>
            <w:r w:rsidR="00F05C2C">
              <w:t>4</w:t>
            </w:r>
            <w:r w:rsidR="00F470B0" w:rsidRPr="00C90B4B">
              <w:rPr>
                <w:rStyle w:val="NoteLabel"/>
                <w:b/>
              </w:rPr>
              <w:t>a</w:t>
            </w:r>
            <w:r w:rsidR="00285523">
              <w:t xml:space="preserve"> </w:t>
            </w:r>
          </w:p>
        </w:tc>
      </w:tr>
      <w:tr w:rsidR="00937F52" w:rsidTr="000F4F43">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37F52" w:rsidTr="0078036C">
              <w:trPr>
                <w:jc w:val="center"/>
              </w:trPr>
              <w:tc>
                <w:tcPr>
                  <w:tcW w:w="5000" w:type="pct"/>
                  <w:tcBorders>
                    <w:top w:val="nil"/>
                    <w:bottom w:val="nil"/>
                  </w:tcBorders>
                </w:tcPr>
                <w:p w:rsidR="00937F52" w:rsidRDefault="00494008" w:rsidP="0078036C">
                  <w:pPr>
                    <w:pStyle w:val="Figure"/>
                    <w:spacing w:before="60" w:after="60"/>
                  </w:pPr>
                  <w:r>
                    <w:rPr>
                      <w:noProof/>
                    </w:rPr>
                    <w:drawing>
                      <wp:inline distT="0" distB="0" distL="0" distR="0">
                        <wp:extent cx="5391150" cy="2867025"/>
                        <wp:effectExtent l="0" t="0" r="0" b="9525"/>
                        <wp:docPr id="16" name="Picture 16" descr="Figure 4.16 Apparent retention rates from year 10 to year 12, Aboriginal and Torres Strait Islander full time secondary students,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937F52" w:rsidRDefault="00937F52" w:rsidP="0078036C">
            <w:pPr>
              <w:pStyle w:val="Figure"/>
            </w:pPr>
          </w:p>
        </w:tc>
      </w:tr>
      <w:tr w:rsidR="00937F52" w:rsidRPr="00176D3F" w:rsidTr="0078036C">
        <w:tc>
          <w:tcPr>
            <w:tcW w:w="8771" w:type="dxa"/>
            <w:tcBorders>
              <w:top w:val="nil"/>
              <w:left w:val="nil"/>
              <w:bottom w:val="nil"/>
              <w:right w:val="nil"/>
            </w:tcBorders>
            <w:shd w:val="clear" w:color="auto" w:fill="auto"/>
          </w:tcPr>
          <w:p w:rsidR="005B3EDD" w:rsidRDefault="005B3EDD" w:rsidP="005B3EDD">
            <w:pPr>
              <w:pStyle w:val="Source"/>
            </w:pPr>
            <w:r w:rsidRPr="00953E9C">
              <w:rPr>
                <w:rStyle w:val="NoteLabel"/>
              </w:rPr>
              <w:t>a</w:t>
            </w:r>
            <w:r w:rsidRPr="00953E9C">
              <w:t xml:space="preserve"> </w:t>
            </w:r>
            <w:r w:rsidRPr="007C767F">
              <w:t xml:space="preserve">See </w:t>
            </w:r>
            <w:r>
              <w:t xml:space="preserve">box 4.3 and </w:t>
            </w:r>
            <w:r w:rsidRPr="007C767F">
              <w:t>table</w:t>
            </w:r>
            <w:r>
              <w:t>s</w:t>
            </w:r>
            <w:r w:rsidRPr="007C767F">
              <w:t xml:space="preserve"> </w:t>
            </w:r>
            <w:r>
              <w:t>4A.12</w:t>
            </w:r>
            <w:r w:rsidR="003A0804">
              <w:t>1</w:t>
            </w:r>
            <w:r>
              <w:t>–12</w:t>
            </w:r>
            <w:r w:rsidR="003A0804">
              <w:t>3</w:t>
            </w:r>
            <w:r w:rsidRPr="007C767F">
              <w:t xml:space="preserve"> for detailed</w:t>
            </w:r>
            <w:r>
              <w:t xml:space="preserve"> </w:t>
            </w:r>
            <w:r w:rsidRPr="005B3EDD">
              <w:t>definitions, footnotes and caveats</w:t>
            </w:r>
            <w:r w:rsidRPr="007C767F">
              <w:t>.</w:t>
            </w:r>
          </w:p>
          <w:p w:rsidR="00937F52" w:rsidRPr="00176D3F" w:rsidRDefault="00937F52" w:rsidP="003A0804">
            <w:pPr>
              <w:pStyle w:val="Source"/>
            </w:pPr>
            <w:r>
              <w:rPr>
                <w:i/>
              </w:rPr>
              <w:t>S</w:t>
            </w:r>
            <w:r w:rsidRPr="00784A05">
              <w:rPr>
                <w:i/>
              </w:rPr>
              <w:t>ource</w:t>
            </w:r>
            <w:r w:rsidRPr="00176D3F">
              <w:t xml:space="preserve">: </w:t>
            </w:r>
            <w:r w:rsidRPr="00937F52">
              <w:t>ABS (201</w:t>
            </w:r>
            <w:r w:rsidR="002C7EF2">
              <w:t>5</w:t>
            </w:r>
            <w:r w:rsidRPr="00937F52">
              <w:t xml:space="preserve">) </w:t>
            </w:r>
            <w:r w:rsidRPr="00937F52">
              <w:rPr>
                <w:i/>
              </w:rPr>
              <w:t>Schools Australia 201</w:t>
            </w:r>
            <w:r w:rsidR="002C7EF2">
              <w:rPr>
                <w:i/>
              </w:rPr>
              <w:t>4</w:t>
            </w:r>
            <w:r w:rsidRPr="00937F52">
              <w:t>, Cat. no. 4221.0; tables 4A.</w:t>
            </w:r>
            <w:r w:rsidR="00002DCB">
              <w:t>12</w:t>
            </w:r>
            <w:r w:rsidR="003A0804">
              <w:t>1</w:t>
            </w:r>
            <w:r w:rsidRPr="00937F52">
              <w:t>–1</w:t>
            </w:r>
            <w:r w:rsidR="00002DCB">
              <w:t>2</w:t>
            </w:r>
            <w:r w:rsidR="003A0804">
              <w:t>3</w:t>
            </w:r>
            <w:r w:rsidRPr="00937F52">
              <w:t>.</w:t>
            </w:r>
          </w:p>
        </w:tc>
      </w:tr>
      <w:tr w:rsidR="00937F52" w:rsidTr="0078036C">
        <w:tc>
          <w:tcPr>
            <w:tcW w:w="8771" w:type="dxa"/>
            <w:tcBorders>
              <w:top w:val="nil"/>
              <w:left w:val="nil"/>
              <w:bottom w:val="single" w:sz="6" w:space="0" w:color="78A22F"/>
              <w:right w:val="nil"/>
            </w:tcBorders>
            <w:shd w:val="clear" w:color="auto" w:fill="auto"/>
          </w:tcPr>
          <w:p w:rsidR="00937F52" w:rsidRDefault="00937F52" w:rsidP="0078036C">
            <w:pPr>
              <w:pStyle w:val="Figurespace"/>
            </w:pPr>
          </w:p>
        </w:tc>
      </w:tr>
      <w:tr w:rsidR="00937F52" w:rsidRPr="000863A5" w:rsidTr="0078036C">
        <w:tc>
          <w:tcPr>
            <w:tcW w:w="8771" w:type="dxa"/>
            <w:tcBorders>
              <w:top w:val="single" w:sz="6" w:space="0" w:color="78A22F"/>
              <w:left w:val="nil"/>
              <w:bottom w:val="nil"/>
              <w:right w:val="nil"/>
            </w:tcBorders>
          </w:tcPr>
          <w:p w:rsidR="00937F52" w:rsidRPr="00626D32" w:rsidRDefault="00937F52" w:rsidP="0078036C">
            <w:pPr>
              <w:pStyle w:val="BoxSpaceBelow"/>
            </w:pPr>
          </w:p>
        </w:tc>
      </w:tr>
    </w:tbl>
    <w:p w:rsidR="0099070E" w:rsidRDefault="0099070E" w:rsidP="007803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070E" w:rsidTr="0078036C">
        <w:tc>
          <w:tcPr>
            <w:tcW w:w="8771" w:type="dxa"/>
            <w:tcBorders>
              <w:top w:val="single" w:sz="6" w:space="0" w:color="78A22F"/>
              <w:left w:val="nil"/>
              <w:bottom w:val="nil"/>
              <w:right w:val="nil"/>
            </w:tcBorders>
            <w:shd w:val="clear" w:color="auto" w:fill="auto"/>
          </w:tcPr>
          <w:p w:rsidR="0099070E" w:rsidRPr="00176D3F" w:rsidRDefault="0099070E" w:rsidP="00B002E5">
            <w:pPr>
              <w:pStyle w:val="FigureTitle"/>
            </w:pPr>
            <w:r w:rsidRPr="00784A05">
              <w:rPr>
                <w:b w:val="0"/>
              </w:rPr>
              <w:t xml:space="preserve">Figure </w:t>
            </w:r>
            <w:r w:rsidR="00B70781">
              <w:rPr>
                <w:b w:val="0"/>
              </w:rPr>
              <w:t>4.</w:t>
            </w:r>
            <w:r w:rsidR="00FF4FBD">
              <w:rPr>
                <w:b w:val="0"/>
                <w:noProof/>
              </w:rPr>
              <w:t>17</w:t>
            </w:r>
            <w:r>
              <w:tab/>
            </w:r>
            <w:r w:rsidR="00E724E6" w:rsidRPr="00E724E6">
              <w:t xml:space="preserve">Apparent retention </w:t>
            </w:r>
            <w:r w:rsidR="007B3ABE">
              <w:t xml:space="preserve">rates </w:t>
            </w:r>
            <w:r w:rsidR="00E724E6" w:rsidRPr="00E724E6">
              <w:t>from year 10 to year 12, full time secondary students, all schools</w:t>
            </w:r>
            <w:r w:rsidR="00F470B0" w:rsidRPr="00C90B4B">
              <w:rPr>
                <w:rStyle w:val="NoteLabel"/>
                <w:b/>
              </w:rPr>
              <w:t>a</w:t>
            </w:r>
            <w:r w:rsidR="00A0570A">
              <w:t xml:space="preserve"> </w:t>
            </w:r>
          </w:p>
        </w:tc>
      </w:tr>
      <w:tr w:rsidR="0099070E" w:rsidTr="000F4F43">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9070E" w:rsidTr="0078036C">
              <w:trPr>
                <w:jc w:val="center"/>
              </w:trPr>
              <w:tc>
                <w:tcPr>
                  <w:tcW w:w="5000" w:type="pct"/>
                  <w:tcBorders>
                    <w:top w:val="nil"/>
                    <w:bottom w:val="nil"/>
                  </w:tcBorders>
                </w:tcPr>
                <w:p w:rsidR="0099070E" w:rsidRDefault="00494008" w:rsidP="0078036C">
                  <w:pPr>
                    <w:pStyle w:val="Figure"/>
                    <w:spacing w:before="60" w:after="60"/>
                  </w:pPr>
                  <w:r>
                    <w:rPr>
                      <w:noProof/>
                    </w:rPr>
                    <w:drawing>
                      <wp:inline distT="0" distB="0" distL="0" distR="0">
                        <wp:extent cx="5391150" cy="2676525"/>
                        <wp:effectExtent l="0" t="0" r="0" b="9525"/>
                        <wp:docPr id="17" name="Picture 17" descr="Figure 4.17 Apparent retention rates from year 10 to year 12, full time secondary students, all school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50" cy="2676525"/>
                                </a:xfrm>
                                <a:prstGeom prst="rect">
                                  <a:avLst/>
                                </a:prstGeom>
                                <a:noFill/>
                                <a:ln>
                                  <a:noFill/>
                                </a:ln>
                              </pic:spPr>
                            </pic:pic>
                          </a:graphicData>
                        </a:graphic>
                      </wp:inline>
                    </w:drawing>
                  </w:r>
                </w:p>
              </w:tc>
            </w:tr>
          </w:tbl>
          <w:p w:rsidR="0099070E" w:rsidRDefault="0099070E" w:rsidP="0078036C">
            <w:pPr>
              <w:pStyle w:val="Figure"/>
            </w:pPr>
          </w:p>
        </w:tc>
      </w:tr>
      <w:tr w:rsidR="0099070E" w:rsidRPr="00176D3F" w:rsidTr="0078036C">
        <w:tc>
          <w:tcPr>
            <w:tcW w:w="8771" w:type="dxa"/>
            <w:tcBorders>
              <w:top w:val="nil"/>
              <w:left w:val="nil"/>
              <w:bottom w:val="nil"/>
              <w:right w:val="nil"/>
            </w:tcBorders>
            <w:shd w:val="clear" w:color="auto" w:fill="auto"/>
          </w:tcPr>
          <w:p w:rsidR="005B3EDD" w:rsidRDefault="005B3EDD" w:rsidP="005B3EDD">
            <w:pPr>
              <w:pStyle w:val="Source"/>
            </w:pPr>
            <w:r w:rsidRPr="00953E9C">
              <w:rPr>
                <w:rStyle w:val="NoteLabel"/>
              </w:rPr>
              <w:t>a</w:t>
            </w:r>
            <w:r w:rsidRPr="00953E9C">
              <w:t xml:space="preserve"> </w:t>
            </w:r>
            <w:r w:rsidRPr="007C767F">
              <w:t xml:space="preserve">See </w:t>
            </w:r>
            <w:r>
              <w:t xml:space="preserve">box 4.3 and </w:t>
            </w:r>
            <w:r w:rsidRPr="007C767F">
              <w:t xml:space="preserve">table </w:t>
            </w:r>
            <w:r>
              <w:t>4A.12</w:t>
            </w:r>
            <w:r w:rsidR="003A0804">
              <w:t>1</w:t>
            </w:r>
            <w:r w:rsidRPr="007C767F">
              <w:t xml:space="preserve"> for detailed</w:t>
            </w:r>
            <w:r>
              <w:t xml:space="preserve"> </w:t>
            </w:r>
            <w:r w:rsidRPr="005B3EDD">
              <w:t>definitions, footnotes and caveats</w:t>
            </w:r>
            <w:r w:rsidRPr="007C767F">
              <w:t>.</w:t>
            </w:r>
          </w:p>
          <w:p w:rsidR="0099070E" w:rsidRPr="00176D3F" w:rsidRDefault="00E724E6" w:rsidP="003A0804">
            <w:pPr>
              <w:pStyle w:val="Source"/>
            </w:pPr>
            <w:r>
              <w:rPr>
                <w:i/>
              </w:rPr>
              <w:t>S</w:t>
            </w:r>
            <w:r w:rsidR="0099070E" w:rsidRPr="00784A05">
              <w:rPr>
                <w:i/>
              </w:rPr>
              <w:t>ource</w:t>
            </w:r>
            <w:r w:rsidR="0099070E" w:rsidRPr="00176D3F">
              <w:t xml:space="preserve">: </w:t>
            </w:r>
            <w:r w:rsidRPr="00E724E6">
              <w:t>ABS (201</w:t>
            </w:r>
            <w:r w:rsidR="00F05C2C">
              <w:t>5</w:t>
            </w:r>
            <w:r w:rsidRPr="00E724E6">
              <w:t xml:space="preserve">) </w:t>
            </w:r>
            <w:r w:rsidRPr="00E724E6">
              <w:rPr>
                <w:i/>
              </w:rPr>
              <w:t>Schools Australia 201</w:t>
            </w:r>
            <w:r w:rsidR="00F05C2C">
              <w:rPr>
                <w:i/>
              </w:rPr>
              <w:t>4</w:t>
            </w:r>
            <w:r w:rsidRPr="00E724E6">
              <w:t>, Cat. no. 4221.0; table 4A.1</w:t>
            </w:r>
            <w:r w:rsidR="00002DCB">
              <w:t>2</w:t>
            </w:r>
            <w:r w:rsidR="003A0804">
              <w:t>1</w:t>
            </w:r>
            <w:r>
              <w:t>.</w:t>
            </w:r>
          </w:p>
        </w:tc>
      </w:tr>
      <w:tr w:rsidR="0099070E" w:rsidTr="0078036C">
        <w:tc>
          <w:tcPr>
            <w:tcW w:w="8771" w:type="dxa"/>
            <w:tcBorders>
              <w:top w:val="nil"/>
              <w:left w:val="nil"/>
              <w:bottom w:val="single" w:sz="6" w:space="0" w:color="78A22F"/>
              <w:right w:val="nil"/>
            </w:tcBorders>
            <w:shd w:val="clear" w:color="auto" w:fill="auto"/>
          </w:tcPr>
          <w:p w:rsidR="0099070E" w:rsidRDefault="0099070E" w:rsidP="0078036C">
            <w:pPr>
              <w:pStyle w:val="Figurespace"/>
            </w:pPr>
          </w:p>
        </w:tc>
      </w:tr>
      <w:tr w:rsidR="0099070E" w:rsidRPr="000863A5" w:rsidTr="0078036C">
        <w:tc>
          <w:tcPr>
            <w:tcW w:w="8771" w:type="dxa"/>
            <w:tcBorders>
              <w:top w:val="single" w:sz="6" w:space="0" w:color="78A22F"/>
              <w:left w:val="nil"/>
              <w:bottom w:val="nil"/>
              <w:right w:val="nil"/>
            </w:tcBorders>
          </w:tcPr>
          <w:p w:rsidR="0099070E" w:rsidRPr="00626D32" w:rsidRDefault="0099070E" w:rsidP="0078036C">
            <w:pPr>
              <w:pStyle w:val="BoxSpaceBelow"/>
            </w:pPr>
          </w:p>
        </w:tc>
      </w:tr>
    </w:tbl>
    <w:p w:rsidR="00DB7304" w:rsidRPr="00666ECE" w:rsidRDefault="005516D1" w:rsidP="005516D1">
      <w:pPr>
        <w:pStyle w:val="Heading4"/>
      </w:pPr>
      <w:r>
        <w:lastRenderedPageBreak/>
        <w:t xml:space="preserve">Student learning — </w:t>
      </w:r>
      <w:r w:rsidR="00DB7304">
        <w:t>Student engagement</w:t>
      </w:r>
    </w:p>
    <w:p w:rsidR="00DB7304" w:rsidRDefault="00DB7304" w:rsidP="00DB7304">
      <w:pPr>
        <w:pStyle w:val="BodyText"/>
      </w:pPr>
      <w:r w:rsidRPr="00666ECE">
        <w:t>‘</w:t>
      </w:r>
      <w:r>
        <w:t>Student engagement</w:t>
      </w:r>
      <w:r w:rsidRPr="00666ECE">
        <w:t xml:space="preserve">’ is an indicator of governments’ objective that all students </w:t>
      </w:r>
      <w:r>
        <w:t xml:space="preserve">are able to </w:t>
      </w:r>
      <w:r w:rsidR="00681DD0">
        <w:t>improve</w:t>
      </w:r>
      <w:r>
        <w:t xml:space="preserve"> educational outcomes through high or increasing levels of behavioural, emotional and cognitive engagement with schooling</w:t>
      </w:r>
      <w:r w:rsidRPr="00666ECE">
        <w:t xml:space="preserve"> (box 4.</w:t>
      </w:r>
      <w:r w:rsidR="00A90BEF">
        <w:t>4</w:t>
      </w:r>
      <w:r w:rsidRPr="00666ECE">
        <w:t>).</w:t>
      </w:r>
    </w:p>
    <w:p w:rsidR="00733468" w:rsidRDefault="0073346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33468" w:rsidTr="002C69DA">
        <w:tc>
          <w:tcPr>
            <w:tcW w:w="8771" w:type="dxa"/>
            <w:tcBorders>
              <w:top w:val="single" w:sz="6" w:space="0" w:color="78A22F"/>
              <w:left w:val="nil"/>
              <w:bottom w:val="nil"/>
              <w:right w:val="nil"/>
            </w:tcBorders>
            <w:shd w:val="clear" w:color="auto" w:fill="F2F2F2"/>
          </w:tcPr>
          <w:p w:rsidR="00733468" w:rsidRDefault="00733468">
            <w:pPr>
              <w:pStyle w:val="BoxTitle"/>
            </w:pPr>
            <w:r>
              <w:rPr>
                <w:b w:val="0"/>
              </w:rPr>
              <w:t>Box 4.</w:t>
            </w:r>
            <w:r w:rsidR="00FF4FBD">
              <w:rPr>
                <w:b w:val="0"/>
                <w:noProof/>
              </w:rPr>
              <w:t>4</w:t>
            </w:r>
            <w:r>
              <w:tab/>
              <w:t>Student engagement</w:t>
            </w:r>
          </w:p>
        </w:tc>
      </w:tr>
      <w:tr w:rsidR="00733468" w:rsidTr="002C69DA">
        <w:trPr>
          <w:cantSplit/>
        </w:trPr>
        <w:tc>
          <w:tcPr>
            <w:tcW w:w="8771" w:type="dxa"/>
            <w:tcBorders>
              <w:top w:val="nil"/>
              <w:left w:val="nil"/>
              <w:bottom w:val="nil"/>
              <w:right w:val="nil"/>
            </w:tcBorders>
            <w:shd w:val="clear" w:color="auto" w:fill="F2F2F2"/>
          </w:tcPr>
          <w:p w:rsidR="00F470B0" w:rsidRPr="002E13DF" w:rsidRDefault="002E13DF" w:rsidP="000F4F43">
            <w:pPr>
              <w:pStyle w:val="Box"/>
            </w:pPr>
            <w:r>
              <w:rPr>
                <w:bCs/>
              </w:rPr>
              <w:t>‘</w:t>
            </w:r>
            <w:r w:rsidR="00733468">
              <w:rPr>
                <w:bCs/>
              </w:rPr>
              <w:t>Student engagement</w:t>
            </w:r>
            <w:r>
              <w:rPr>
                <w:bCs/>
              </w:rPr>
              <w:t>’</w:t>
            </w:r>
            <w:r w:rsidR="00733468">
              <w:rPr>
                <w:bCs/>
              </w:rPr>
              <w:t xml:space="preserve"> is yet to be defined and this indicator is </w:t>
            </w:r>
            <w:r w:rsidR="00733468" w:rsidRPr="00DB7304">
              <w:t xml:space="preserve">under </w:t>
            </w:r>
            <w:r w:rsidR="00733468" w:rsidRPr="000F4F43">
              <w:rPr>
                <w:shd w:val="clear" w:color="auto" w:fill="F2F2F2" w:themeFill="background1" w:themeFillShade="F2"/>
              </w:rPr>
              <w:t>development.</w:t>
            </w:r>
            <w:r w:rsidR="00F470B0" w:rsidRPr="000F4F43">
              <w:rPr>
                <w:shd w:val="clear" w:color="auto" w:fill="F2F2F2" w:themeFill="background1" w:themeFillShade="F2"/>
              </w:rPr>
              <w:t xml:space="preserve"> Further research into the drivers and outcomes of student engagement will continue to inform this area.</w:t>
            </w:r>
          </w:p>
          <w:p w:rsidR="00733468" w:rsidRDefault="00733468" w:rsidP="000F4F43">
            <w:pPr>
              <w:pStyle w:val="Box"/>
              <w:rPr>
                <w:szCs w:val="24"/>
              </w:rPr>
            </w:pPr>
            <w:r>
              <w:t>Student engagement is regarded as relevant to student outcomes</w:t>
            </w:r>
            <w:r w:rsidR="00F470B0">
              <w:t>, and</w:t>
            </w:r>
            <w:r w:rsidRPr="00733468">
              <w:t xml:space="preserve"> </w:t>
            </w:r>
            <w:r w:rsidR="00681DD0">
              <w:t>is closely connected to learning</w:t>
            </w:r>
            <w:r w:rsidR="002E13DF">
              <w:t>. T</w:t>
            </w:r>
            <w:r w:rsidR="00681DD0">
              <w:t>here are also important l</w:t>
            </w:r>
            <w:r w:rsidRPr="00733468">
              <w:t>inks with student wellbeing</w:t>
            </w:r>
            <w:r w:rsidR="00B33EFE">
              <w:t xml:space="preserve">, </w:t>
            </w:r>
            <w:r w:rsidR="00B33EFE" w:rsidRPr="000F4F43">
              <w:rPr>
                <w:shd w:val="clear" w:color="auto" w:fill="F2F2F2" w:themeFill="background1" w:themeFillShade="F2"/>
              </w:rPr>
              <w:t>although the Australian evidence base on this is inconclusive</w:t>
            </w:r>
            <w:r w:rsidRPr="000F4F43">
              <w:rPr>
                <w:shd w:val="clear" w:color="auto" w:fill="F2F2F2" w:themeFill="background1" w:themeFillShade="F2"/>
              </w:rPr>
              <w:t>.</w:t>
            </w:r>
          </w:p>
          <w:p w:rsidR="00FE6EA7" w:rsidRDefault="00FE6EA7" w:rsidP="000F4F43">
            <w:pPr>
              <w:pStyle w:val="Box"/>
            </w:pPr>
            <w:r>
              <w:t>A</w:t>
            </w:r>
            <w:r w:rsidR="00733468" w:rsidRPr="00733468">
              <w:t xml:space="preserve">ttendance has </w:t>
            </w:r>
            <w:r w:rsidR="00B33EFE" w:rsidRPr="000F4F43">
              <w:rPr>
                <w:shd w:val="clear" w:color="auto" w:fill="F2F2F2" w:themeFill="background1" w:themeFillShade="F2"/>
              </w:rPr>
              <w:t xml:space="preserve">sometimes </w:t>
            </w:r>
            <w:r w:rsidR="00733468" w:rsidRPr="000F4F43">
              <w:rPr>
                <w:shd w:val="clear" w:color="auto" w:fill="F2F2F2" w:themeFill="background1" w:themeFillShade="F2"/>
              </w:rPr>
              <w:t xml:space="preserve">been regarded as a proxy for student engagement and there is evidence of the relationship between poor attendance and poor student outcomes, particularly once patterns </w:t>
            </w:r>
            <w:r w:rsidR="00B33EFE" w:rsidRPr="000F4F43">
              <w:rPr>
                <w:shd w:val="clear" w:color="auto" w:fill="F2F2F2" w:themeFill="background1" w:themeFillShade="F2"/>
              </w:rPr>
              <w:t xml:space="preserve">of non-attendance </w:t>
            </w:r>
            <w:r w:rsidR="00733468" w:rsidRPr="000F4F43">
              <w:rPr>
                <w:shd w:val="clear" w:color="auto" w:fill="F2F2F2" w:themeFill="background1" w:themeFillShade="F2"/>
              </w:rPr>
              <w:t>are established (Hancock</w:t>
            </w:r>
            <w:r w:rsidR="00F470B0" w:rsidRPr="000F4F43">
              <w:rPr>
                <w:shd w:val="clear" w:color="auto" w:fill="F2F2F2" w:themeFill="background1" w:themeFillShade="F2"/>
              </w:rPr>
              <w:t xml:space="preserve"> et al. </w:t>
            </w:r>
            <w:r w:rsidR="00733468" w:rsidRPr="000F4F43">
              <w:rPr>
                <w:shd w:val="clear" w:color="auto" w:fill="F2F2F2" w:themeFill="background1" w:themeFillShade="F2"/>
              </w:rPr>
              <w:t xml:space="preserve">2013). However, measurement of attendance </w:t>
            </w:r>
            <w:r w:rsidRPr="000F4F43">
              <w:rPr>
                <w:shd w:val="clear" w:color="auto" w:fill="F2F2F2" w:themeFill="background1" w:themeFillShade="F2"/>
              </w:rPr>
              <w:t>alone</w:t>
            </w:r>
            <w:r w:rsidR="00733468" w:rsidRPr="000F4F43">
              <w:rPr>
                <w:shd w:val="clear" w:color="auto" w:fill="F2F2F2" w:themeFill="background1" w:themeFillShade="F2"/>
              </w:rPr>
              <w:t xml:space="preserve"> </w:t>
            </w:r>
            <w:r w:rsidR="001671A0" w:rsidRPr="000F4F43">
              <w:rPr>
                <w:shd w:val="clear" w:color="auto" w:fill="F2F2F2" w:themeFill="background1" w:themeFillShade="F2"/>
              </w:rPr>
              <w:t>is</w:t>
            </w:r>
            <w:r w:rsidR="00733468" w:rsidRPr="000F4F43">
              <w:rPr>
                <w:shd w:val="clear" w:color="auto" w:fill="F2F2F2" w:themeFill="background1" w:themeFillShade="F2"/>
              </w:rPr>
              <w:t xml:space="preserve"> not an adequate proxy for engagement</w:t>
            </w:r>
            <w:r w:rsidR="00B33EFE" w:rsidRPr="000F4F43">
              <w:rPr>
                <w:shd w:val="clear" w:color="auto" w:fill="F2F2F2" w:themeFill="background1" w:themeFillShade="F2"/>
              </w:rPr>
              <w:t xml:space="preserve"> with learning</w:t>
            </w:r>
            <w:r w:rsidR="00733468" w:rsidRPr="000F4F43">
              <w:rPr>
                <w:shd w:val="clear" w:color="auto" w:fill="F2F2F2" w:themeFill="background1" w:themeFillShade="F2"/>
              </w:rPr>
              <w:t xml:space="preserve">. </w:t>
            </w:r>
            <w:r w:rsidR="001671A0" w:rsidRPr="000F4F43">
              <w:rPr>
                <w:shd w:val="clear" w:color="auto" w:fill="F2F2F2" w:themeFill="background1" w:themeFillShade="F2"/>
              </w:rPr>
              <w:t>The performance of students with poor engagement may be</w:t>
            </w:r>
            <w:r w:rsidRPr="000F4F43">
              <w:rPr>
                <w:shd w:val="clear" w:color="auto" w:fill="F2F2F2" w:themeFill="background1" w:themeFillShade="F2"/>
              </w:rPr>
              <w:t xml:space="preserve"> affected in such a way that they may n</w:t>
            </w:r>
            <w:r w:rsidRPr="00733468">
              <w:t>ot reach the end of compulsory schooling satisfactorily, or who may not reach their potential.</w:t>
            </w:r>
          </w:p>
          <w:p w:rsidR="002E13DF" w:rsidRDefault="00733468" w:rsidP="000F4F43">
            <w:pPr>
              <w:pStyle w:val="Box"/>
              <w:rPr>
                <w:shd w:val="clear" w:color="auto" w:fill="FFFF00"/>
              </w:rPr>
            </w:pPr>
            <w:r w:rsidRPr="00733468">
              <w:t xml:space="preserve">Engagement may be considered more broadly, </w:t>
            </w:r>
            <w:r w:rsidR="00FE6EA7">
              <w:t xml:space="preserve">covering behavioural, emotional and cognitive engagement. </w:t>
            </w:r>
            <w:r w:rsidRPr="00733468">
              <w:t xml:space="preserve">Behavioural engagement may be measured by identifiable behaviours and by attendance, attainment and retention. Emotional engagement may be analysed by seeking students’ attitude to learning and school. Cognitive </w:t>
            </w:r>
            <w:r w:rsidRPr="000F4F43">
              <w:rPr>
                <w:shd w:val="clear" w:color="auto" w:fill="F2F2F2" w:themeFill="background1" w:themeFillShade="F2"/>
              </w:rPr>
              <w:t xml:space="preserve">engagement </w:t>
            </w:r>
            <w:r w:rsidR="00B33EFE" w:rsidRPr="000F4F43">
              <w:rPr>
                <w:shd w:val="clear" w:color="auto" w:fill="F2F2F2" w:themeFill="background1" w:themeFillShade="F2"/>
              </w:rPr>
              <w:t>has been less frequently measured in a classroom setting</w:t>
            </w:r>
            <w:r w:rsidRPr="000F4F43">
              <w:rPr>
                <w:shd w:val="clear" w:color="auto" w:fill="F2F2F2" w:themeFill="background1" w:themeFillShade="F2"/>
              </w:rPr>
              <w:t>, but</w:t>
            </w:r>
            <w:r w:rsidR="00B33EFE" w:rsidRPr="000F4F43">
              <w:rPr>
                <w:shd w:val="clear" w:color="auto" w:fill="F2F2F2" w:themeFill="background1" w:themeFillShade="F2"/>
              </w:rPr>
              <w:t xml:space="preserve"> research studies have used measures such as inattention, distraction and off-task behaviour</w:t>
            </w:r>
            <w:r w:rsidRPr="000F4F43">
              <w:rPr>
                <w:shd w:val="clear" w:color="auto" w:fill="F2F2F2" w:themeFill="background1" w:themeFillShade="F2"/>
              </w:rPr>
              <w:t>.</w:t>
            </w:r>
            <w:r w:rsidR="00FE6EA7" w:rsidRPr="000F4F43">
              <w:rPr>
                <w:shd w:val="clear" w:color="auto" w:fill="F2F2F2" w:themeFill="background1" w:themeFillShade="F2"/>
              </w:rPr>
              <w:t xml:space="preserve"> </w:t>
            </w:r>
          </w:p>
          <w:p w:rsidR="00733468" w:rsidRPr="00733468" w:rsidRDefault="00733468" w:rsidP="002C69DA">
            <w:pPr>
              <w:pStyle w:val="Box"/>
            </w:pPr>
            <w:r>
              <w:t>The report on the 2012 PISA survey (see also box 4.</w:t>
            </w:r>
            <w:r w:rsidR="00AC3104">
              <w:t>13</w:t>
            </w:r>
            <w:r>
              <w:t xml:space="preserve">) </w:t>
            </w:r>
            <w:r w:rsidRPr="00733468">
              <w:t>includes the results of the student questionnaire, collected from the sample of 15 year-old students. A range of measures is presented in the general area of ‘school climate</w:t>
            </w:r>
            <w:r>
              <w:t>’</w:t>
            </w:r>
            <w:r w:rsidR="00FE6EA7">
              <w:t>, which relates to the concept of emotional engagement</w:t>
            </w:r>
            <w:r w:rsidRPr="00733468">
              <w:t>.</w:t>
            </w:r>
            <w:r w:rsidR="00D37062">
              <w:t xml:space="preserve"> </w:t>
            </w:r>
            <w:r w:rsidRPr="00733468">
              <w:t>Students were asked to assess their sense of belonging at school by responding to the following statements (percentages are the national response and relate to the proportion of students who “agree”/“strongly agree” or “disagree”/”strongly disagree” — these data are also published at state and territory level</w:t>
            </w:r>
            <w:r w:rsidR="00565D74">
              <w:t xml:space="preserve"> in the 2012 survey report</w:t>
            </w:r>
            <w:r w:rsidRPr="00733468">
              <w:t>).</w:t>
            </w:r>
          </w:p>
          <w:p w:rsidR="00733468" w:rsidRPr="00733468" w:rsidRDefault="00733468" w:rsidP="002C69DA">
            <w:pPr>
              <w:pStyle w:val="BoxListBullet"/>
            </w:pPr>
            <w:r w:rsidRPr="00733468">
              <w:t xml:space="preserve">I feel like an outsider (or left out of things) at school — </w:t>
            </w:r>
            <w:r w:rsidR="00565D74">
              <w:t>1</w:t>
            </w:r>
            <w:r w:rsidRPr="00733468">
              <w:t>5 per cent agree</w:t>
            </w:r>
          </w:p>
          <w:p w:rsidR="00733468" w:rsidRPr="00733468" w:rsidRDefault="00733468" w:rsidP="002C69DA">
            <w:pPr>
              <w:pStyle w:val="BoxListBullet"/>
            </w:pPr>
            <w:r w:rsidRPr="00733468">
              <w:t>I make friends easily at school — 85 per cent agree</w:t>
            </w:r>
          </w:p>
          <w:p w:rsidR="00733468" w:rsidRPr="00733468" w:rsidRDefault="00733468" w:rsidP="002C69DA">
            <w:pPr>
              <w:pStyle w:val="BoxListBullet"/>
            </w:pPr>
            <w:r w:rsidRPr="00733468">
              <w:t>I feel like I belong at school— 78 per cent agree</w:t>
            </w:r>
          </w:p>
          <w:p w:rsidR="00733468" w:rsidRPr="00733468" w:rsidRDefault="00733468" w:rsidP="002C69DA">
            <w:pPr>
              <w:pStyle w:val="BoxListBullet"/>
            </w:pPr>
            <w:r w:rsidRPr="00733468">
              <w:t xml:space="preserve">I feel awkward and out of place at my school— </w:t>
            </w:r>
            <w:r w:rsidR="00565D74">
              <w:t>1</w:t>
            </w:r>
            <w:r w:rsidRPr="00733468">
              <w:t>5 per cent agree</w:t>
            </w:r>
          </w:p>
          <w:p w:rsidR="00733468" w:rsidRPr="00733468" w:rsidRDefault="00733468" w:rsidP="002C69DA">
            <w:pPr>
              <w:pStyle w:val="BoxListBullet"/>
            </w:pPr>
            <w:r w:rsidRPr="00733468">
              <w:t>Other students seem to like me — 92 per cent agree</w:t>
            </w:r>
          </w:p>
          <w:p w:rsidR="00733468" w:rsidRPr="00733468" w:rsidRDefault="00733468" w:rsidP="002C69DA">
            <w:pPr>
              <w:pStyle w:val="BoxListBullet"/>
            </w:pPr>
            <w:r w:rsidRPr="00733468">
              <w:t xml:space="preserve">I feel lonely at school— </w:t>
            </w:r>
            <w:r w:rsidR="00565D74">
              <w:t>12</w:t>
            </w:r>
            <w:r w:rsidRPr="00733468">
              <w:t xml:space="preserve"> per cent agree</w:t>
            </w:r>
          </w:p>
          <w:p w:rsidR="00733468" w:rsidRPr="00733468" w:rsidRDefault="00733468" w:rsidP="002C69DA">
            <w:pPr>
              <w:pStyle w:val="BoxListBullet"/>
            </w:pPr>
            <w:r w:rsidRPr="00733468">
              <w:t>I feel happy at school — 80 per cent agree</w:t>
            </w:r>
          </w:p>
          <w:p w:rsidR="00733468" w:rsidRPr="00733468" w:rsidRDefault="00733468" w:rsidP="002C69DA">
            <w:pPr>
              <w:pStyle w:val="BoxListBullet"/>
            </w:pPr>
            <w:r w:rsidRPr="00733468">
              <w:t>Things are ideal at my school — 69 per cent agree</w:t>
            </w:r>
          </w:p>
          <w:p w:rsidR="00733468" w:rsidRPr="00733468" w:rsidRDefault="00733468" w:rsidP="002C69DA">
            <w:pPr>
              <w:pStyle w:val="BoxListBullet"/>
            </w:pPr>
            <w:r w:rsidRPr="00733468">
              <w:t>I am satisfied with my school— 79 per cent agree</w:t>
            </w:r>
          </w:p>
          <w:p w:rsidR="00733468" w:rsidRPr="00733468" w:rsidRDefault="00733468" w:rsidP="002C69DA">
            <w:pPr>
              <w:pStyle w:val="Box"/>
            </w:pPr>
            <w:r w:rsidRPr="00733468">
              <w:t xml:space="preserve">An index of sense of belonging (OECD average = 0) is also reported. Australia measures </w:t>
            </w:r>
            <w:r w:rsidRPr="00733468">
              <w:br/>
              <w:t>-0.15</w:t>
            </w:r>
            <w:r w:rsidR="00565D74">
              <w:t>, indicating a lesser sense of belonging compared to the OECD average</w:t>
            </w:r>
            <w:r w:rsidRPr="00733468">
              <w:t>.</w:t>
            </w:r>
          </w:p>
          <w:p w:rsidR="00733468" w:rsidRPr="00733468" w:rsidRDefault="00733468" w:rsidP="00F470B0">
            <w:pPr>
              <w:pStyle w:val="Box"/>
            </w:pPr>
            <w:r>
              <w:t xml:space="preserve">Some items from the </w:t>
            </w:r>
            <w:r w:rsidR="00A43986">
              <w:t>N</w:t>
            </w:r>
            <w:r>
              <w:t>ational School Survey</w:t>
            </w:r>
            <w:r w:rsidR="00A43986">
              <w:t xml:space="preserve"> developed by ACARA</w:t>
            </w:r>
            <w:r>
              <w:t xml:space="preserve"> are also used by some states and territories to collect information on student engagement.</w:t>
            </w:r>
          </w:p>
        </w:tc>
      </w:tr>
      <w:tr w:rsidR="00733468" w:rsidTr="00AC3104">
        <w:trPr>
          <w:cantSplit/>
        </w:trPr>
        <w:tc>
          <w:tcPr>
            <w:tcW w:w="8771" w:type="dxa"/>
            <w:tcBorders>
              <w:top w:val="nil"/>
              <w:left w:val="nil"/>
              <w:bottom w:val="nil"/>
              <w:right w:val="nil"/>
            </w:tcBorders>
            <w:shd w:val="clear" w:color="auto" w:fill="F2F2F2" w:themeFill="background1" w:themeFillShade="F2"/>
          </w:tcPr>
          <w:p w:rsidR="00733468" w:rsidRDefault="00733468" w:rsidP="0037462C">
            <w:pPr>
              <w:pStyle w:val="BoxSource"/>
            </w:pPr>
            <w:r>
              <w:rPr>
                <w:i/>
              </w:rPr>
              <w:t>Source</w:t>
            </w:r>
            <w:r w:rsidRPr="00167F06">
              <w:t xml:space="preserve">: </w:t>
            </w:r>
            <w:r w:rsidR="0037462C" w:rsidRPr="0037462C">
              <w:t>Hancock, Shepherd, Lawrence and Zubrick</w:t>
            </w:r>
            <w:r w:rsidR="00AC3104" w:rsidRPr="00AC3104">
              <w:t xml:space="preserve">, </w:t>
            </w:r>
            <w:r w:rsidR="0037462C">
              <w:t>(</w:t>
            </w:r>
            <w:r w:rsidR="00AC3104" w:rsidRPr="00AC3104">
              <w:t>201</w:t>
            </w:r>
            <w:r w:rsidR="00AC3104">
              <w:t xml:space="preserve">3); </w:t>
            </w:r>
            <w:r w:rsidR="00AC3104" w:rsidRPr="00AC3104">
              <w:t>Australian Council for Educational Research (ACER 2013).</w:t>
            </w:r>
          </w:p>
        </w:tc>
      </w:tr>
      <w:tr w:rsidR="00733468" w:rsidTr="002C69DA">
        <w:trPr>
          <w:cantSplit/>
        </w:trPr>
        <w:tc>
          <w:tcPr>
            <w:tcW w:w="8771" w:type="dxa"/>
            <w:tcBorders>
              <w:top w:val="nil"/>
              <w:left w:val="nil"/>
              <w:bottom w:val="single" w:sz="6" w:space="0" w:color="78A22F"/>
              <w:right w:val="nil"/>
            </w:tcBorders>
            <w:shd w:val="clear" w:color="auto" w:fill="F2F2F2"/>
          </w:tcPr>
          <w:p w:rsidR="00733468" w:rsidRDefault="00733468">
            <w:pPr>
              <w:pStyle w:val="Box"/>
              <w:spacing w:before="0" w:line="120" w:lineRule="exact"/>
            </w:pPr>
          </w:p>
        </w:tc>
      </w:tr>
      <w:tr w:rsidR="00733468" w:rsidRPr="000863A5" w:rsidTr="002C69DA">
        <w:tc>
          <w:tcPr>
            <w:tcW w:w="8771" w:type="dxa"/>
            <w:tcBorders>
              <w:top w:val="single" w:sz="6" w:space="0" w:color="78A22F"/>
              <w:left w:val="nil"/>
              <w:bottom w:val="nil"/>
              <w:right w:val="nil"/>
            </w:tcBorders>
          </w:tcPr>
          <w:p w:rsidR="00733468" w:rsidRPr="00626D32" w:rsidRDefault="00733468" w:rsidP="007656BB">
            <w:pPr>
              <w:pStyle w:val="BoxSpaceBelow"/>
              <w:spacing w:before="0" w:after="0"/>
            </w:pPr>
          </w:p>
        </w:tc>
      </w:tr>
    </w:tbl>
    <w:p w:rsidR="00B169F1" w:rsidRPr="00B169F1" w:rsidRDefault="00981DEB" w:rsidP="00B169F1">
      <w:pPr>
        <w:pStyle w:val="Heading4"/>
      </w:pPr>
      <w:r>
        <w:lastRenderedPageBreak/>
        <w:t>Mini-case study</w:t>
      </w:r>
      <w:r w:rsidR="00B169F1" w:rsidRPr="00B169F1">
        <w:t>: Measuring student wellbeing to improve learning and life outcomes</w:t>
      </w:r>
    </w:p>
    <w:p w:rsidR="00B169F1" w:rsidRDefault="00843E12" w:rsidP="00B169F1">
      <w:pPr>
        <w:pStyle w:val="BodyText"/>
      </w:pPr>
      <w:r>
        <w:t xml:space="preserve">In 2013, the SA Government commenced its Middle </w:t>
      </w:r>
      <w:r w:rsidR="00375613" w:rsidRPr="00375613">
        <w:t>Years Development Instrument (MDI)</w:t>
      </w:r>
      <w:r>
        <w:t xml:space="preserve">, to </w:t>
      </w:r>
      <w:r w:rsidR="00375613" w:rsidRPr="00375613">
        <w:t>improve the evidence available to the education system and the broader community concerning the developmental health and wellbeing of South Aus</w:t>
      </w:r>
      <w:r w:rsidR="00375613">
        <w:t xml:space="preserve">tralian middle years students. </w:t>
      </w:r>
      <w:r w:rsidR="00B169F1" w:rsidRPr="00146838">
        <w:t>This initiative and results of the initial evaluation are described in box 4.</w:t>
      </w:r>
      <w:r w:rsidR="00375613">
        <w:t>5</w:t>
      </w:r>
      <w:r w:rsidR="00B169F1" w:rsidRPr="00146838">
        <w:t>.</w:t>
      </w:r>
    </w:p>
    <w:p w:rsidR="00375613" w:rsidRDefault="0037561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5613" w:rsidTr="00375613">
        <w:tc>
          <w:tcPr>
            <w:tcW w:w="8771" w:type="dxa"/>
            <w:tcBorders>
              <w:top w:val="single" w:sz="6" w:space="0" w:color="78A22F"/>
              <w:left w:val="nil"/>
              <w:bottom w:val="nil"/>
              <w:right w:val="nil"/>
            </w:tcBorders>
            <w:shd w:val="clear" w:color="auto" w:fill="F2F2F2"/>
          </w:tcPr>
          <w:p w:rsidR="00375613" w:rsidRDefault="00375613" w:rsidP="00EF0F2C">
            <w:pPr>
              <w:pStyle w:val="BoxTitle"/>
            </w:pPr>
            <w:r>
              <w:rPr>
                <w:b w:val="0"/>
              </w:rPr>
              <w:t xml:space="preserve">Box </w:t>
            </w:r>
            <w:r w:rsidR="00DD725D">
              <w:rPr>
                <w:b w:val="0"/>
              </w:rPr>
              <w:t>4.</w:t>
            </w:r>
            <w:r w:rsidR="00FF4FBD">
              <w:rPr>
                <w:b w:val="0"/>
                <w:noProof/>
              </w:rPr>
              <w:t>5</w:t>
            </w:r>
            <w:r>
              <w:tab/>
            </w:r>
            <w:r w:rsidR="00EF0F2C">
              <w:t xml:space="preserve">South Australia’s </w:t>
            </w:r>
            <w:r w:rsidR="00EF0F2C" w:rsidRPr="00EF0F2C">
              <w:t xml:space="preserve">Middle Years Development Instrument </w:t>
            </w:r>
          </w:p>
        </w:tc>
      </w:tr>
      <w:tr w:rsidR="00375613" w:rsidTr="00375613">
        <w:trPr>
          <w:cantSplit/>
        </w:trPr>
        <w:tc>
          <w:tcPr>
            <w:tcW w:w="8771" w:type="dxa"/>
            <w:tcBorders>
              <w:top w:val="nil"/>
              <w:left w:val="nil"/>
              <w:bottom w:val="nil"/>
              <w:right w:val="nil"/>
            </w:tcBorders>
            <w:shd w:val="clear" w:color="auto" w:fill="F2F2F2"/>
          </w:tcPr>
          <w:p w:rsidR="00375613" w:rsidRDefault="00375613" w:rsidP="00375613">
            <w:pPr>
              <w:pStyle w:val="Box"/>
            </w:pPr>
            <w:r>
              <w:t>Students’ wellbeing is critical to ensuring that they attend school, engage in their learning and transition into adulthood successfully.</w:t>
            </w:r>
            <w:r w:rsidR="00331761">
              <w:t xml:space="preserve"> </w:t>
            </w:r>
            <w:r>
              <w:t>The South Australian Department for Education and Child Development (SA DECD) has undertaken a program of work with the aim of improving the evidence available to the education system and the broader community concerning the developmental health and wellbeing of South Australian middle years students. It was predicted that a common wellbeing measure which could be used across the middle years student population would provide a means of better understanding the needs of students and improve the evidence base concerning policies, programs and services which aim to improve wellbeing.</w:t>
            </w:r>
          </w:p>
          <w:p w:rsidR="00375613" w:rsidRDefault="00375613" w:rsidP="00375613">
            <w:pPr>
              <w:pStyle w:val="Box"/>
            </w:pPr>
            <w:r>
              <w:t>The MDI survey was undertaken in South Australian government and non</w:t>
            </w:r>
            <w:r w:rsidR="00DD725D">
              <w:t>-</w:t>
            </w:r>
            <w:r>
              <w:t xml:space="preserve">government schools as a research study in 2013 and as an implementation trial in 2014. In 2015, the survey was made available to all schools on a voluntary basis. Primary school students in Years 6 and 7 and secondary school students in </w:t>
            </w:r>
            <w:r w:rsidR="008A37ED">
              <w:t xml:space="preserve">Years </w:t>
            </w:r>
            <w:r>
              <w:t>8 and 9 were invited to participate.</w:t>
            </w:r>
          </w:p>
          <w:p w:rsidR="008A37ED" w:rsidRDefault="008A37ED" w:rsidP="008A37ED">
            <w:pPr>
              <w:pStyle w:val="BoxHeading1"/>
            </w:pPr>
            <w:r>
              <w:t>Background on the wellbeing survey</w:t>
            </w:r>
          </w:p>
          <w:p w:rsidR="008A37ED" w:rsidRDefault="008A37ED" w:rsidP="008A37ED">
            <w:pPr>
              <w:pStyle w:val="Box"/>
            </w:pPr>
            <w:r>
              <w:t xml:space="preserve">The MDI is one of the first surveys to be used in Australia to collect information across a whole education system about young people’s social and emotional development as well as their activities and perceptions </w:t>
            </w:r>
            <w:r w:rsidR="00E31E4A">
              <w:t>of</w:t>
            </w:r>
            <w:r>
              <w:t xml:space="preserve"> life, both inside and outside the school environment. The MDI is a validated, robust survey that was developed in Canada for use as a population measure which captures both positive and negative aspects of wellbeing and has been extensively validated for use with students aged between 9 and 14 years.</w:t>
            </w:r>
          </w:p>
          <w:p w:rsidR="008A37ED" w:rsidRDefault="008A37ED" w:rsidP="008A37ED">
            <w:pPr>
              <w:pStyle w:val="Box"/>
            </w:pPr>
            <w:r>
              <w:t>The survey includes 80 questions and focuses on five areas of development: s</w:t>
            </w:r>
            <w:r w:rsidRPr="00375613">
              <w:t xml:space="preserve">ocial and </w:t>
            </w:r>
            <w:r>
              <w:t>e</w:t>
            </w:r>
            <w:r w:rsidRPr="00375613">
              <w:t>motional development</w:t>
            </w:r>
            <w:r>
              <w:t>; c</w:t>
            </w:r>
            <w:r w:rsidRPr="00375613">
              <w:t>onnectedness (with parents, adults in and out of school)</w:t>
            </w:r>
            <w:r>
              <w:t>; s</w:t>
            </w:r>
            <w:r w:rsidRPr="00375613">
              <w:t>chool experiences</w:t>
            </w:r>
            <w:r>
              <w:t>; physical health and wellbeing; constructive use of after school time.</w:t>
            </w:r>
          </w:p>
          <w:p w:rsidR="00097825" w:rsidRDefault="008A37ED" w:rsidP="008A37ED">
            <w:pPr>
              <w:pStyle w:val="Box"/>
            </w:pPr>
            <w:r>
              <w:t xml:space="preserve">Students complete the survey via an online portal. Data are analysed and compiled into customised school, community and school partnership reports. </w:t>
            </w:r>
          </w:p>
          <w:p w:rsidR="00331761" w:rsidRDefault="00331761" w:rsidP="00331761">
            <w:pPr>
              <w:pStyle w:val="BoxHeading1"/>
            </w:pPr>
            <w:r>
              <w:t>Participation</w:t>
            </w:r>
          </w:p>
          <w:p w:rsidR="00331761" w:rsidRDefault="00331761" w:rsidP="008A37ED">
            <w:pPr>
              <w:pStyle w:val="Box"/>
            </w:pPr>
            <w:r>
              <w:t xml:space="preserve">In 2013, the research trial focused mainly on Year 6 students and the survey was undertaken by 5379 students across 167 </w:t>
            </w:r>
            <w:r w:rsidRPr="0024434B">
              <w:t>South Australian schools. In 2014, the scope of the survey was expanded to Year 6–9 students, with 17 620 students across 189 schools participating. In 2015, 29 </w:t>
            </w:r>
            <w:r w:rsidR="00E31E4A" w:rsidRPr="0024434B">
              <w:t>510</w:t>
            </w:r>
            <w:r w:rsidRPr="0024434B">
              <w:t xml:space="preserve"> students in Year 6-–9 across 3</w:t>
            </w:r>
            <w:r w:rsidR="007656BB" w:rsidRPr="0024434B">
              <w:t>68</w:t>
            </w:r>
            <w:r w:rsidRPr="0024434B">
              <w:t xml:space="preserve"> schools participated. Participation</w:t>
            </w:r>
            <w:r>
              <w:t xml:space="preserve"> rates among students are high. In schools which chose to proceed with the collection, in excess of 95</w:t>
            </w:r>
            <w:r w:rsidR="00E31E4A">
              <w:t> </w:t>
            </w:r>
            <w:r>
              <w:t>per</w:t>
            </w:r>
            <w:r w:rsidR="00E31E4A">
              <w:t> </w:t>
            </w:r>
            <w:r>
              <w:t>cent of students at school on the day of the survey chose to participate.</w:t>
            </w:r>
          </w:p>
          <w:p w:rsidR="00375613" w:rsidRPr="008A37ED" w:rsidRDefault="008217B8" w:rsidP="008217B8">
            <w:pPr>
              <w:pStyle w:val="Box"/>
              <w:jc w:val="right"/>
              <w:rPr>
                <w:sz w:val="18"/>
                <w:szCs w:val="18"/>
              </w:rPr>
            </w:pPr>
            <w:r w:rsidRPr="008A37ED">
              <w:rPr>
                <w:sz w:val="18"/>
                <w:szCs w:val="18"/>
              </w:rPr>
              <w:t>(continued next page)</w:t>
            </w:r>
          </w:p>
        </w:tc>
      </w:tr>
      <w:tr w:rsidR="00375613" w:rsidTr="00375613">
        <w:trPr>
          <w:cantSplit/>
        </w:trPr>
        <w:tc>
          <w:tcPr>
            <w:tcW w:w="8771" w:type="dxa"/>
            <w:tcBorders>
              <w:top w:val="nil"/>
              <w:left w:val="nil"/>
              <w:bottom w:val="single" w:sz="6" w:space="0" w:color="78A22F"/>
              <w:right w:val="nil"/>
            </w:tcBorders>
            <w:shd w:val="clear" w:color="auto" w:fill="F2F2F2"/>
          </w:tcPr>
          <w:p w:rsidR="00375613" w:rsidRDefault="00375613">
            <w:pPr>
              <w:pStyle w:val="Box"/>
              <w:spacing w:before="0" w:line="120" w:lineRule="exact"/>
            </w:pPr>
          </w:p>
        </w:tc>
      </w:tr>
      <w:tr w:rsidR="00375613" w:rsidRPr="000863A5" w:rsidTr="00375613">
        <w:tc>
          <w:tcPr>
            <w:tcW w:w="8771" w:type="dxa"/>
            <w:tcBorders>
              <w:top w:val="single" w:sz="6" w:space="0" w:color="78A22F"/>
              <w:left w:val="nil"/>
              <w:bottom w:val="nil"/>
              <w:right w:val="nil"/>
            </w:tcBorders>
          </w:tcPr>
          <w:p w:rsidR="00375613" w:rsidRPr="00626D32" w:rsidRDefault="00375613" w:rsidP="00375613">
            <w:pPr>
              <w:pStyle w:val="BoxSpaceBelow"/>
            </w:pPr>
          </w:p>
        </w:tc>
      </w:tr>
    </w:tbl>
    <w:p w:rsidR="00375613" w:rsidRDefault="0037561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5613" w:rsidTr="00283EB4">
        <w:tc>
          <w:tcPr>
            <w:tcW w:w="8771" w:type="dxa"/>
            <w:tcBorders>
              <w:top w:val="single" w:sz="6" w:space="0" w:color="78A22F"/>
              <w:left w:val="nil"/>
              <w:bottom w:val="nil"/>
              <w:right w:val="nil"/>
            </w:tcBorders>
            <w:shd w:val="clear" w:color="auto" w:fill="F2F2F2"/>
          </w:tcPr>
          <w:p w:rsidR="00375613" w:rsidRDefault="00375613" w:rsidP="00DD725D">
            <w:pPr>
              <w:pStyle w:val="BoxTitle"/>
            </w:pPr>
            <w:r>
              <w:rPr>
                <w:b w:val="0"/>
              </w:rPr>
              <w:t xml:space="preserve">Box </w:t>
            </w:r>
            <w:r w:rsidR="00DD725D">
              <w:rPr>
                <w:b w:val="0"/>
              </w:rPr>
              <w:t>4.5</w:t>
            </w:r>
            <w:r w:rsidR="008217B8">
              <w:tab/>
            </w:r>
            <w:r w:rsidR="008217B8" w:rsidRPr="000E6D56">
              <w:rPr>
                <w:rStyle w:val="ContinuedChar"/>
                <w:b w:val="0"/>
              </w:rPr>
              <w:t>(continued)</w:t>
            </w:r>
          </w:p>
        </w:tc>
      </w:tr>
      <w:tr w:rsidR="00375613" w:rsidTr="00283EB4">
        <w:trPr>
          <w:cantSplit/>
        </w:trPr>
        <w:tc>
          <w:tcPr>
            <w:tcW w:w="8771" w:type="dxa"/>
            <w:tcBorders>
              <w:top w:val="nil"/>
              <w:left w:val="nil"/>
              <w:bottom w:val="nil"/>
              <w:right w:val="nil"/>
            </w:tcBorders>
            <w:shd w:val="clear" w:color="auto" w:fill="F2F2F2"/>
          </w:tcPr>
          <w:p w:rsidR="008A37ED" w:rsidRDefault="008A37ED" w:rsidP="00714593">
            <w:pPr>
              <w:pStyle w:val="BoxHeading1"/>
            </w:pPr>
            <w:r>
              <w:t>Outcomes to date</w:t>
            </w:r>
          </w:p>
          <w:p w:rsidR="00DD725D" w:rsidRDefault="008217B8" w:rsidP="00DD725D">
            <w:pPr>
              <w:pStyle w:val="Box"/>
            </w:pPr>
            <w:r>
              <w:t>An internal e</w:t>
            </w:r>
            <w:r w:rsidR="0094693D">
              <w:t xml:space="preserve">valuation of the project has been conducted by the SA DECD. </w:t>
            </w:r>
            <w:r w:rsidR="00DD725D">
              <w:t xml:space="preserve">The implementation of the survey has demonstrated that this model of data collection can deliver </w:t>
            </w:r>
            <w:r w:rsidR="00097825">
              <w:t>cost-effective</w:t>
            </w:r>
            <w:r w:rsidR="00DD725D">
              <w:t xml:space="preserve"> wellbeing data at scale across the schooling system. The marginal cost per student in 2014 for collecting the MDI was less than $5 per student. The marginal cost of collecting wellbeing information from middle years students in 2015, 2016 and 2017 has been estimated at $2.00 to $2.50 per student. The cost of data collection is lower on a per student basis than other whole-population collections such as the National Assessment Program – Literacy and Numeracy </w:t>
            </w:r>
            <w:r>
              <w:t xml:space="preserve">(NAPLAN) </w:t>
            </w:r>
            <w:r w:rsidR="00DD725D">
              <w:t>and the Australian Early Development Census (AEDC).</w:t>
            </w:r>
          </w:p>
          <w:p w:rsidR="00DD6C8D" w:rsidRDefault="00DD6C8D" w:rsidP="002E5EAF">
            <w:pPr>
              <w:pStyle w:val="Box"/>
            </w:pPr>
            <w:r w:rsidRPr="00DD6C8D">
              <w:t xml:space="preserve">Preliminary work has been undertaken to demonstrate the value of linking the wellbeing data at an individual level with other datasets relevant to learning and participation. The analysis of linked academic achievement and wellbeing data indicates that students who had higher levels of achievement in NAPLAN Year 7 Reading in 2014 were more likely to have high perseverance skills, to have high academic self-concept, and to eat breakfast regularly </w:t>
            </w:r>
            <w:r>
              <w:t>(</w:t>
            </w:r>
            <w:r w:rsidRPr="00DD6C8D">
              <w:t>figure</w:t>
            </w:r>
            <w:r w:rsidR="00812A5B">
              <w:t> </w:t>
            </w:r>
            <w:r w:rsidRPr="00DD6C8D">
              <w:t>4.18).</w:t>
            </w:r>
          </w:p>
          <w:p w:rsidR="00097825" w:rsidRDefault="00097825" w:rsidP="00714593">
            <w:pPr>
              <w:pStyle w:val="Figurespace"/>
              <w:rPr>
                <w:szCs w:val="24"/>
              </w:rPr>
            </w:pPr>
          </w:p>
          <w:tbl>
            <w:tblPr>
              <w:tblW w:w="9095" w:type="dxa"/>
              <w:tblBorders>
                <w:top w:val="single" w:sz="6" w:space="0" w:color="78A22F"/>
                <w:bottom w:val="single" w:sz="6" w:space="0" w:color="78A22F"/>
              </w:tblBorders>
              <w:tblLayout w:type="fixed"/>
              <w:tblCellMar>
                <w:left w:w="142" w:type="dxa"/>
                <w:right w:w="142" w:type="dxa"/>
              </w:tblCellMar>
              <w:tblLook w:val="0000" w:firstRow="0" w:lastRow="0" w:firstColumn="0" w:lastColumn="0" w:noHBand="0" w:noVBand="0"/>
            </w:tblPr>
            <w:tblGrid>
              <w:gridCol w:w="22"/>
              <w:gridCol w:w="8767"/>
              <w:gridCol w:w="306"/>
            </w:tblGrid>
            <w:tr w:rsidR="00097825" w:rsidRPr="00176D3F" w:rsidTr="002E5D79">
              <w:trPr>
                <w:gridAfter w:val="1"/>
                <w:wAfter w:w="306" w:type="dxa"/>
              </w:trPr>
              <w:tc>
                <w:tcPr>
                  <w:tcW w:w="8789" w:type="dxa"/>
                  <w:gridSpan w:val="2"/>
                  <w:tcBorders>
                    <w:top w:val="single" w:sz="4" w:space="0" w:color="78A22F"/>
                    <w:bottom w:val="nil"/>
                  </w:tcBorders>
                  <w:shd w:val="clear" w:color="auto" w:fill="auto"/>
                </w:tcPr>
                <w:p w:rsidR="00097825" w:rsidRPr="00176D3F" w:rsidRDefault="00097825" w:rsidP="00E61D8B">
                  <w:pPr>
                    <w:pStyle w:val="FigureTitle"/>
                  </w:pPr>
                  <w:r w:rsidRPr="00117BF3">
                    <w:rPr>
                      <w:b w:val="0"/>
                    </w:rPr>
                    <w:t>Figure 4.</w:t>
                  </w:r>
                  <w:r w:rsidR="00FF4FBD">
                    <w:rPr>
                      <w:b w:val="0"/>
                      <w:noProof/>
                    </w:rPr>
                    <w:t>18</w:t>
                  </w:r>
                  <w:r>
                    <w:tab/>
                  </w:r>
                  <w:r w:rsidR="00812A5B" w:rsidRPr="00812A5B">
                    <w:t>Relationship of selected wellbeing domains (2014 wellbeing data) with Year 7 government school students mean scale scores in NAPLAN reading, SA.</w:t>
                  </w:r>
                </w:p>
              </w:tc>
            </w:tr>
            <w:tr w:rsidR="00DD6C8D" w:rsidTr="002E5D79">
              <w:tblPrEx>
                <w:tblCellMar>
                  <w:left w:w="108" w:type="dxa"/>
                  <w:right w:w="108" w:type="dxa"/>
                </w:tblCellMar>
              </w:tblPrEx>
              <w:trPr>
                <w:gridBefore w:val="1"/>
                <w:wBefore w:w="22" w:type="dxa"/>
                <w:trHeight w:val="6633"/>
              </w:trPr>
              <w:tc>
                <w:tcPr>
                  <w:tcW w:w="9073" w:type="dxa"/>
                  <w:gridSpan w:val="2"/>
                  <w:tcBorders>
                    <w:top w:val="nil"/>
                    <w:bottom w:val="single" w:sz="4" w:space="0" w:color="78A22F"/>
                  </w:tcBorders>
                  <w:shd w:val="clear" w:color="auto" w:fill="auto"/>
                </w:tcPr>
                <w:p w:rsidR="00812A5B" w:rsidRDefault="00494008" w:rsidP="00812A5B">
                  <w:pPr>
                    <w:pStyle w:val="Box"/>
                    <w:jc w:val="center"/>
                  </w:pPr>
                  <w:r>
                    <w:rPr>
                      <w:noProof/>
                    </w:rPr>
                    <w:drawing>
                      <wp:inline distT="0" distB="0" distL="0" distR="0">
                        <wp:extent cx="2447925" cy="1971675"/>
                        <wp:effectExtent l="0" t="0" r="9525" b="9525"/>
                        <wp:docPr id="21" name="Picture 21" descr="Figure 4.18 Relationship of selected wellbeing domains (2014 wellbeing data) with Year 7 government school students mean scale scores in NAPLAN reading, SA.&#10;&#10;High academic self-concep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ore details can be found within the text surrounding this imag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47925" cy="1971675"/>
                                </a:xfrm>
                                <a:prstGeom prst="rect">
                                  <a:avLst/>
                                </a:prstGeom>
                                <a:noFill/>
                                <a:ln>
                                  <a:noFill/>
                                </a:ln>
                              </pic:spPr>
                            </pic:pic>
                          </a:graphicData>
                        </a:graphic>
                      </wp:inline>
                    </w:drawing>
                  </w:r>
                  <w:r>
                    <w:rPr>
                      <w:noProof/>
                    </w:rPr>
                    <w:drawing>
                      <wp:inline distT="0" distB="0" distL="0" distR="0">
                        <wp:extent cx="2514600" cy="1971675"/>
                        <wp:effectExtent l="0" t="0" r="0" b="9525"/>
                        <wp:docPr id="19" name="Picture 19" descr="Figure 4.18 Relationship of selected wellbeing domains (2014 wellbeing data) with Year 7 government school students mean scale scores in NAPLAN reading, SA.&#10;&#10;High perserveran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14600" cy="1971675"/>
                                </a:xfrm>
                                <a:prstGeom prst="rect">
                                  <a:avLst/>
                                </a:prstGeom>
                                <a:noFill/>
                                <a:ln>
                                  <a:noFill/>
                                </a:ln>
                              </pic:spPr>
                            </pic:pic>
                          </a:graphicData>
                        </a:graphic>
                      </wp:inline>
                    </w:drawing>
                  </w:r>
                  <w:r>
                    <w:rPr>
                      <w:noProof/>
                    </w:rPr>
                    <w:drawing>
                      <wp:inline distT="0" distB="0" distL="0" distR="0">
                        <wp:extent cx="2838450" cy="1971675"/>
                        <wp:effectExtent l="0" t="0" r="0" b="9525"/>
                        <wp:docPr id="20" name="Picture 20" descr="Figure 4.18 Relationship of selected wellbeing domains (2014 wellbeing data) with Year 7 government school students mean scale scores in NAPLAN reading, SA.&#10;&#10;Eating breakfast 5+ times/wee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38450" cy="1971675"/>
                                </a:xfrm>
                                <a:prstGeom prst="rect">
                                  <a:avLst/>
                                </a:prstGeom>
                                <a:noFill/>
                                <a:ln>
                                  <a:noFill/>
                                </a:ln>
                              </pic:spPr>
                            </pic:pic>
                          </a:graphicData>
                        </a:graphic>
                      </wp:inline>
                    </w:drawing>
                  </w:r>
                </w:p>
                <w:p w:rsidR="00DD6C8D" w:rsidRPr="00646CE4" w:rsidRDefault="00DD6C8D" w:rsidP="00812A5B">
                  <w:pPr>
                    <w:pStyle w:val="Box"/>
                    <w:ind w:right="482"/>
                    <w:jc w:val="right"/>
                    <w:rPr>
                      <w:rFonts w:cs="Arial"/>
                      <w:b/>
                      <w:sz w:val="18"/>
                      <w:szCs w:val="18"/>
                    </w:rPr>
                  </w:pPr>
                </w:p>
              </w:tc>
            </w:tr>
          </w:tbl>
          <w:p w:rsidR="00097825" w:rsidRDefault="00097825" w:rsidP="002E5EAF">
            <w:pPr>
              <w:pStyle w:val="Box"/>
            </w:pPr>
          </w:p>
        </w:tc>
      </w:tr>
      <w:tr w:rsidR="00283EB4" w:rsidTr="002E5D79">
        <w:trPr>
          <w:cantSplit/>
        </w:trPr>
        <w:tc>
          <w:tcPr>
            <w:tcW w:w="8771" w:type="dxa"/>
            <w:tcBorders>
              <w:top w:val="nil"/>
              <w:left w:val="nil"/>
              <w:bottom w:val="nil"/>
              <w:right w:val="nil"/>
            </w:tcBorders>
            <w:shd w:val="clear" w:color="auto" w:fill="F2F2F2"/>
          </w:tcPr>
          <w:p w:rsidR="00283EB4" w:rsidRDefault="00283EB4" w:rsidP="00283EB4">
            <w:pPr>
              <w:pStyle w:val="Box"/>
              <w:spacing w:line="120" w:lineRule="exact"/>
              <w:jc w:val="right"/>
            </w:pPr>
            <w:r w:rsidRPr="00646CE4">
              <w:rPr>
                <w:sz w:val="18"/>
                <w:szCs w:val="18"/>
              </w:rPr>
              <w:t>(continued next page)</w:t>
            </w:r>
          </w:p>
          <w:p w:rsidR="00283EB4" w:rsidRDefault="00283EB4">
            <w:pPr>
              <w:pStyle w:val="Box"/>
              <w:spacing w:before="0" w:line="120" w:lineRule="exact"/>
            </w:pPr>
          </w:p>
        </w:tc>
      </w:tr>
      <w:tr w:rsidR="00375613" w:rsidTr="00283EB4">
        <w:trPr>
          <w:cantSplit/>
        </w:trPr>
        <w:tc>
          <w:tcPr>
            <w:tcW w:w="8771" w:type="dxa"/>
            <w:tcBorders>
              <w:top w:val="nil"/>
              <w:left w:val="nil"/>
              <w:bottom w:val="single" w:sz="6" w:space="0" w:color="78A22F"/>
              <w:right w:val="nil"/>
            </w:tcBorders>
            <w:shd w:val="clear" w:color="auto" w:fill="F2F2F2"/>
          </w:tcPr>
          <w:p w:rsidR="00375613" w:rsidRDefault="00375613">
            <w:pPr>
              <w:pStyle w:val="Box"/>
              <w:spacing w:before="0" w:line="120" w:lineRule="exact"/>
            </w:pPr>
          </w:p>
        </w:tc>
      </w:tr>
    </w:tbl>
    <w:p w:rsidR="00812A5B" w:rsidRDefault="00812A5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12A5B" w:rsidTr="00812A5B">
        <w:tc>
          <w:tcPr>
            <w:tcW w:w="8771" w:type="dxa"/>
            <w:tcBorders>
              <w:top w:val="single" w:sz="6" w:space="0" w:color="78A22F"/>
              <w:left w:val="nil"/>
              <w:bottom w:val="nil"/>
              <w:right w:val="nil"/>
            </w:tcBorders>
            <w:shd w:val="clear" w:color="auto" w:fill="F2F2F2"/>
          </w:tcPr>
          <w:p w:rsidR="00812A5B" w:rsidRDefault="00812A5B" w:rsidP="000F4F43">
            <w:pPr>
              <w:pStyle w:val="BoxTitle"/>
            </w:pPr>
            <w:r>
              <w:rPr>
                <w:b w:val="0"/>
              </w:rPr>
              <w:t>Box 4.5</w:t>
            </w:r>
            <w:r>
              <w:tab/>
            </w:r>
            <w:r w:rsidRPr="000E6D56">
              <w:rPr>
                <w:rStyle w:val="ContinuedChar"/>
                <w:b w:val="0"/>
              </w:rPr>
              <w:t>(continued)</w:t>
            </w:r>
          </w:p>
        </w:tc>
      </w:tr>
      <w:tr w:rsidR="00812A5B" w:rsidTr="00812A5B">
        <w:trPr>
          <w:cantSplit/>
        </w:trPr>
        <w:tc>
          <w:tcPr>
            <w:tcW w:w="8771" w:type="dxa"/>
            <w:tcBorders>
              <w:top w:val="nil"/>
              <w:left w:val="nil"/>
              <w:bottom w:val="nil"/>
              <w:right w:val="nil"/>
            </w:tcBorders>
            <w:shd w:val="clear" w:color="auto" w:fill="F2F2F2"/>
          </w:tcPr>
          <w:p w:rsidR="00812A5B" w:rsidRPr="00812A5B" w:rsidRDefault="00812A5B" w:rsidP="00812A5B">
            <w:pPr>
              <w:pStyle w:val="Box"/>
            </w:pPr>
            <w:r w:rsidRPr="00812A5B">
              <w:t>This evidence will be built upon by linking the wellbeing data to other administrative data collections, including outcomes in senior secondary school. Once further data collections have been undertaken, it will be possible to link MDI data to AEDC data collected in 2009 to better understand the young people’s developmental trajectories between the start of formal schooling and the middle years.</w:t>
            </w:r>
          </w:p>
          <w:p w:rsidR="00812A5B" w:rsidRDefault="00812A5B" w:rsidP="00812A5B">
            <w:pPr>
              <w:pStyle w:val="Box"/>
            </w:pPr>
            <w:r w:rsidRPr="00812A5B">
              <w:t>Requests for access to the data and related reports for research and statistical purposes can be made through SA DECD’s research application process.</w:t>
            </w:r>
          </w:p>
        </w:tc>
      </w:tr>
      <w:tr w:rsidR="00812A5B" w:rsidTr="00812A5B">
        <w:trPr>
          <w:cantSplit/>
        </w:trPr>
        <w:tc>
          <w:tcPr>
            <w:tcW w:w="8771" w:type="dxa"/>
            <w:tcBorders>
              <w:top w:val="nil"/>
              <w:left w:val="nil"/>
              <w:bottom w:val="nil"/>
              <w:right w:val="nil"/>
            </w:tcBorders>
            <w:shd w:val="clear" w:color="auto" w:fill="F2F2F2"/>
          </w:tcPr>
          <w:p w:rsidR="00812A5B" w:rsidRDefault="00812A5B" w:rsidP="000F4F43">
            <w:pPr>
              <w:pStyle w:val="BoxSource"/>
              <w:keepNext/>
              <w:keepLines w:val="0"/>
              <w:jc w:val="left"/>
              <w:rPr>
                <w:i/>
              </w:rPr>
            </w:pPr>
            <w:r>
              <w:rPr>
                <w:i/>
              </w:rPr>
              <w:t>S</w:t>
            </w:r>
            <w:r w:rsidRPr="00784A05">
              <w:rPr>
                <w:i/>
              </w:rPr>
              <w:t>ource</w:t>
            </w:r>
            <w:r w:rsidRPr="00176D3F">
              <w:t xml:space="preserve">: </w:t>
            </w:r>
            <w:r>
              <w:t>SA Government Department for Education and Child Development.</w:t>
            </w:r>
          </w:p>
        </w:tc>
      </w:tr>
      <w:tr w:rsidR="00812A5B" w:rsidTr="00812A5B">
        <w:trPr>
          <w:cantSplit/>
        </w:trPr>
        <w:tc>
          <w:tcPr>
            <w:tcW w:w="8771" w:type="dxa"/>
            <w:tcBorders>
              <w:top w:val="nil"/>
              <w:left w:val="nil"/>
              <w:bottom w:val="single" w:sz="6" w:space="0" w:color="78A22F"/>
              <w:right w:val="nil"/>
            </w:tcBorders>
            <w:shd w:val="clear" w:color="auto" w:fill="F2F2F2"/>
          </w:tcPr>
          <w:p w:rsidR="00812A5B" w:rsidRDefault="00812A5B">
            <w:pPr>
              <w:pStyle w:val="Box"/>
              <w:spacing w:before="0" w:line="120" w:lineRule="exact"/>
            </w:pPr>
          </w:p>
        </w:tc>
      </w:tr>
      <w:tr w:rsidR="00812A5B" w:rsidRPr="000863A5" w:rsidTr="00812A5B">
        <w:tc>
          <w:tcPr>
            <w:tcW w:w="8771" w:type="dxa"/>
            <w:tcBorders>
              <w:top w:val="single" w:sz="6" w:space="0" w:color="78A22F"/>
              <w:left w:val="nil"/>
              <w:bottom w:val="nil"/>
              <w:right w:val="nil"/>
            </w:tcBorders>
          </w:tcPr>
          <w:p w:rsidR="00812A5B" w:rsidRPr="00626D32" w:rsidRDefault="00812A5B" w:rsidP="000F4F43">
            <w:pPr>
              <w:pStyle w:val="BoxSpaceBelow"/>
            </w:pPr>
          </w:p>
        </w:tc>
      </w:tr>
    </w:tbl>
    <w:p w:rsidR="00666ECE" w:rsidRPr="00666ECE" w:rsidRDefault="00666ECE" w:rsidP="005516D1">
      <w:pPr>
        <w:pStyle w:val="Heading3"/>
      </w:pPr>
      <w:r w:rsidRPr="00666ECE">
        <w:t>Efficiency</w:t>
      </w:r>
    </w:p>
    <w:p w:rsidR="00B74B71" w:rsidRDefault="00666ECE" w:rsidP="0089766B">
      <w:pPr>
        <w:pStyle w:val="BodyText"/>
      </w:pPr>
      <w:r w:rsidRPr="00666ECE">
        <w:t xml:space="preserve">Governments have an interest in achieving the best results from their expenditure on schooling, both as owners and operators of government schools, and as major providers of funds to the non-government school sector. An objective of the Steering Committee is to publish comparable estimates of costs. Ideally, such comparison should include the full range of costs to government. Where the full costs cannot </w:t>
      </w:r>
      <w:r w:rsidRPr="00E97CD0">
        <w:t>be measured, estimating costs on a consistent basis is the best approach. Table 4A.</w:t>
      </w:r>
      <w:r w:rsidR="009807CA">
        <w:t>21</w:t>
      </w:r>
      <w:r w:rsidRPr="00E97CD0">
        <w:t xml:space="preserve"> shows the treatment of assets by school education agencies. Table 4A.1</w:t>
      </w:r>
      <w:r w:rsidR="0013774C">
        <w:t>1</w:t>
      </w:r>
      <w:r w:rsidRPr="00E97CD0">
        <w:t xml:space="preserve"> shows</w:t>
      </w:r>
      <w:r w:rsidRPr="00666ECE">
        <w:t xml:space="preserve"> information on the comparability of the source expenditure data for government schools used for this chapter. </w:t>
      </w:r>
      <w:r w:rsidR="009110FE">
        <w:t>Box 4.</w:t>
      </w:r>
      <w:r w:rsidR="002E5EAF">
        <w:t>6</w:t>
      </w:r>
      <w:r w:rsidR="009110FE">
        <w:t xml:space="preserve"> includes information on identification and allocation of funding for the Report.</w:t>
      </w:r>
      <w:r w:rsidR="00C279A5">
        <w:t xml:space="preserve"> </w:t>
      </w:r>
    </w:p>
    <w:p w:rsidR="008A1B07" w:rsidRDefault="008A1B07" w:rsidP="0089766B">
      <w:pPr>
        <w:pStyle w:val="BodyText"/>
      </w:pPr>
      <w:r w:rsidRPr="009A0722">
        <w:t>Governments contribute to the funding of non</w:t>
      </w:r>
      <w:r>
        <w:noBreakHyphen/>
      </w:r>
      <w:r w:rsidRPr="009A0722">
        <w:t>government schools. However, this chapter does not report on non</w:t>
      </w:r>
      <w:r w:rsidRPr="009A0722">
        <w:noBreakHyphen/>
        <w:t>government sources of funding, and so does not compare the efficiency of government and non</w:t>
      </w:r>
      <w:r>
        <w:noBreakHyphen/>
      </w:r>
      <w:r w:rsidRPr="009A0722">
        <w:t>government schools.</w:t>
      </w:r>
    </w:p>
    <w:p w:rsidR="00CD37FD" w:rsidRDefault="00CD37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D37FD" w:rsidTr="00751345">
        <w:tc>
          <w:tcPr>
            <w:tcW w:w="8771" w:type="dxa"/>
            <w:tcBorders>
              <w:top w:val="single" w:sz="6" w:space="0" w:color="78A22F"/>
              <w:left w:val="nil"/>
              <w:bottom w:val="nil"/>
              <w:right w:val="nil"/>
            </w:tcBorders>
            <w:shd w:val="clear" w:color="auto" w:fill="F2F2F2"/>
          </w:tcPr>
          <w:p w:rsidR="00CD37FD" w:rsidRDefault="00CD37FD">
            <w:pPr>
              <w:pStyle w:val="BoxTitle"/>
            </w:pPr>
            <w:r>
              <w:rPr>
                <w:b w:val="0"/>
              </w:rPr>
              <w:t xml:space="preserve">Box </w:t>
            </w:r>
            <w:r w:rsidR="00B70781">
              <w:rPr>
                <w:b w:val="0"/>
              </w:rPr>
              <w:t>4.</w:t>
            </w:r>
            <w:r w:rsidR="00FF4FBD">
              <w:rPr>
                <w:b w:val="0"/>
                <w:noProof/>
              </w:rPr>
              <w:t>6</w:t>
            </w:r>
            <w:r>
              <w:tab/>
            </w:r>
            <w:r w:rsidRPr="00CD37FD">
              <w:t>School expenditure data reported in this chapter</w:t>
            </w:r>
          </w:p>
        </w:tc>
      </w:tr>
      <w:tr w:rsidR="00CD37FD" w:rsidTr="00751345">
        <w:trPr>
          <w:cantSplit/>
        </w:trPr>
        <w:tc>
          <w:tcPr>
            <w:tcW w:w="8771" w:type="dxa"/>
            <w:tcBorders>
              <w:top w:val="nil"/>
              <w:left w:val="nil"/>
              <w:bottom w:val="nil"/>
              <w:right w:val="nil"/>
            </w:tcBorders>
            <w:shd w:val="clear" w:color="auto" w:fill="F2F2F2"/>
          </w:tcPr>
          <w:p w:rsidR="00CD37FD" w:rsidRPr="00CD37FD" w:rsidRDefault="00CD37FD" w:rsidP="00CD37FD">
            <w:pPr>
              <w:pStyle w:val="Box"/>
            </w:pPr>
            <w:r w:rsidRPr="00CD37FD">
              <w:t>Efficiency indicators in this chapter are based on financial year recurrent expenditure on government and non</w:t>
            </w:r>
            <w:r w:rsidRPr="00CD37FD">
              <w:noBreakHyphen/>
              <w:t>government schools by the Australian Government and State and Territory governments. Capital expenditure is generally excluded, but as the National Schools SPP cannot be separated into capital and recurrent expenditure, the SPP is treated as recurrent expenditure in this chapter. Expenditure relating to funding sources other than government (such as parent contributions and fees) are excluded.</w:t>
            </w:r>
          </w:p>
          <w:p w:rsidR="00CD37FD" w:rsidRPr="00EC4AB8" w:rsidRDefault="00CD37FD" w:rsidP="00CD37FD">
            <w:pPr>
              <w:pStyle w:val="BoxHeading1"/>
            </w:pPr>
            <w:r w:rsidRPr="00EC4AB8">
              <w:t>Sources of data — government recurrent expenditure on government schools</w:t>
            </w:r>
          </w:p>
          <w:p w:rsidR="00CD37FD" w:rsidRPr="00EC4AB8" w:rsidRDefault="00CD37FD" w:rsidP="00CD37FD">
            <w:pPr>
              <w:pStyle w:val="Box"/>
            </w:pPr>
            <w:r w:rsidRPr="00EC4AB8">
              <w:t xml:space="preserve">Total recurrent expenditure on government schools is unpublished data sourced from the </w:t>
            </w:r>
            <w:r w:rsidR="00364AF6">
              <w:t>NSSC</w:t>
            </w:r>
            <w:r w:rsidRPr="00EC4AB8">
              <w:t>, under the auspices of t</w:t>
            </w:r>
            <w:r>
              <w:t>he Education Council</w:t>
            </w:r>
            <w:r w:rsidR="008B5ED3">
              <w:t>.</w:t>
            </w:r>
          </w:p>
          <w:p w:rsidR="00CD37FD" w:rsidRPr="00CD37FD" w:rsidRDefault="00CD37FD" w:rsidP="00CD37FD">
            <w:pPr>
              <w:pStyle w:val="BoxListBullet"/>
            </w:pPr>
            <w:r w:rsidRPr="00CD37FD">
              <w:t xml:space="preserve">Each State and Territory government reports to the </w:t>
            </w:r>
            <w:r>
              <w:t>Education Council</w:t>
            </w:r>
            <w:r w:rsidRPr="00CD37FD">
              <w:t xml:space="preserve"> on its expenditure on government schools (see table 4A.10).</w:t>
            </w:r>
          </w:p>
          <w:p w:rsidR="00CD37FD" w:rsidRPr="00CD37FD" w:rsidRDefault="00CD37FD" w:rsidP="00CD37FD">
            <w:pPr>
              <w:pStyle w:val="BoxListBullet"/>
            </w:pPr>
            <w:r w:rsidRPr="00CD37FD">
              <w:t xml:space="preserve">The Australian Government reports its allocation to each State and Territory for government schools, consistent with Treasury Final Budget Outcomes (including the National Schools SPP and a range of National Partnership (NP) payments (see table 4A.9). </w:t>
            </w:r>
            <w:r w:rsidR="003A3EA4">
              <w:t>NP payments fluctuate from year to year.</w:t>
            </w:r>
          </w:p>
          <w:p w:rsidR="00CD37FD" w:rsidRPr="00CD37FD" w:rsidRDefault="00CD37FD" w:rsidP="00CD37FD">
            <w:pPr>
              <w:pStyle w:val="BoxListBullet"/>
            </w:pPr>
            <w:r w:rsidRPr="00CD37FD">
              <w:t>To avoid double counting, Australian Government allocations are subtracted from the State and Territory expenditure to identify ‘net’ State and Territory government expenditure (tables 4A.7</w:t>
            </w:r>
            <w:r w:rsidR="00B213DA">
              <w:t>-</w:t>
            </w:r>
            <w:r w:rsidRPr="00CD37FD">
              <w:t xml:space="preserve">8). </w:t>
            </w:r>
          </w:p>
          <w:p w:rsidR="00CD37FD" w:rsidRPr="00EC4AB8" w:rsidRDefault="00CD37FD" w:rsidP="00CD37FD">
            <w:pPr>
              <w:pStyle w:val="Box"/>
            </w:pPr>
            <w:r w:rsidRPr="00EC4AB8">
              <w:t xml:space="preserve">The </w:t>
            </w:r>
            <w:r>
              <w:t>Education Council</w:t>
            </w:r>
            <w:r w:rsidRPr="00EC4AB8">
              <w:t xml:space="preserve"> provides unpublished data on the user cost of capital for government schools, imputed as 8 per cent of the written down value of assets (table 4A.1</w:t>
            </w:r>
            <w:r>
              <w:t>9</w:t>
            </w:r>
            <w:r w:rsidRPr="00EC4AB8">
              <w:t xml:space="preserve">). </w:t>
            </w:r>
          </w:p>
          <w:p w:rsidR="00CD37FD" w:rsidRPr="00EC4AB8" w:rsidRDefault="00CD37FD" w:rsidP="00CD37FD">
            <w:pPr>
              <w:pStyle w:val="BoxHeading1"/>
            </w:pPr>
            <w:r w:rsidRPr="00EC4AB8">
              <w:t>Sources of data — government recurrent expenditure on non-government schools.</w:t>
            </w:r>
          </w:p>
          <w:p w:rsidR="00CD37FD" w:rsidRPr="00EC4AB8" w:rsidRDefault="00CD37FD" w:rsidP="00CD37FD">
            <w:pPr>
              <w:pStyle w:val="Box"/>
            </w:pPr>
            <w:r w:rsidRPr="00EC4AB8">
              <w:t xml:space="preserve">Total recurrent expenditure on non-government schools is a combination of unpublished data from the NSSC and unpublished data sourced directly from </w:t>
            </w:r>
            <w:r w:rsidR="008B5ED3">
              <w:t>State and Territory governments.</w:t>
            </w:r>
          </w:p>
          <w:p w:rsidR="00CD37FD" w:rsidRPr="00CD37FD" w:rsidRDefault="00CD37FD" w:rsidP="00CD37FD">
            <w:pPr>
              <w:pStyle w:val="BoxListBullet"/>
            </w:pPr>
            <w:r w:rsidRPr="00CD37FD">
              <w:t>Each State and Territory government provides unpublished data on its contributions to non</w:t>
            </w:r>
            <w:r w:rsidR="00C37AC5">
              <w:noBreakHyphen/>
            </w:r>
            <w:r w:rsidRPr="00CD37FD">
              <w:t>government schools (tables 4A.7</w:t>
            </w:r>
            <w:r w:rsidR="00B213DA">
              <w:t>-</w:t>
            </w:r>
            <w:r w:rsidRPr="00CD37FD">
              <w:t xml:space="preserve">8). </w:t>
            </w:r>
          </w:p>
          <w:p w:rsidR="00CD37FD" w:rsidRPr="00CD37FD" w:rsidRDefault="00CD37FD" w:rsidP="003A3EA4">
            <w:pPr>
              <w:pStyle w:val="BoxListBullet"/>
            </w:pPr>
            <w:r w:rsidRPr="00CD37FD">
              <w:t>The Australian Government reports its allocation to each State and Territory for non</w:t>
            </w:r>
            <w:r w:rsidRPr="00CD37FD">
              <w:noBreakHyphen/>
              <w:t>government schools, consistent with Treasury Final Budget Outcomes (including the National Schools SPP and a range of NP payments [see table</w:t>
            </w:r>
            <w:r w:rsidR="00B213DA">
              <w:t> </w:t>
            </w:r>
            <w:r w:rsidRPr="00CD37FD">
              <w:t xml:space="preserve">4A.9]). </w:t>
            </w:r>
            <w:r w:rsidR="003A3EA4" w:rsidRPr="003A3EA4">
              <w:t>NP payments fluctuate from year to year.</w:t>
            </w:r>
          </w:p>
          <w:p w:rsidR="00CD37FD" w:rsidRPr="00CD37FD" w:rsidRDefault="00CD37FD" w:rsidP="00CD37FD">
            <w:pPr>
              <w:pStyle w:val="BoxListBullet"/>
            </w:pPr>
            <w:r w:rsidRPr="00CD37FD">
              <w:t>Together these comprise total government recurrent expenditure on non</w:t>
            </w:r>
            <w:r w:rsidRPr="00CD37FD">
              <w:noBreakHyphen/>
              <w:t>government schools (tables 4A.7</w:t>
            </w:r>
            <w:r w:rsidR="00B213DA">
              <w:t>-8</w:t>
            </w:r>
            <w:r w:rsidRPr="00CD37FD">
              <w:t>).</w:t>
            </w:r>
          </w:p>
          <w:p w:rsidR="00CD37FD" w:rsidRPr="00EC4AB8" w:rsidRDefault="0028714B" w:rsidP="00CD37FD">
            <w:pPr>
              <w:pStyle w:val="Box"/>
            </w:pPr>
            <w:r>
              <w:t xml:space="preserve">Government recurrent expenditure on non-government schools does not include user cost of capital. </w:t>
            </w:r>
            <w:r w:rsidR="00CD37FD" w:rsidRPr="00EC4AB8">
              <w:t>Table</w:t>
            </w:r>
            <w:r w:rsidR="00CD37FD">
              <w:t>s</w:t>
            </w:r>
            <w:r w:rsidR="00CD37FD" w:rsidRPr="00EC4AB8">
              <w:t xml:space="preserve"> 4A.7</w:t>
            </w:r>
            <w:r w:rsidR="00CD37FD">
              <w:t xml:space="preserve">–8 </w:t>
            </w:r>
            <w:r w:rsidR="00CD37FD" w:rsidRPr="00EC4AB8">
              <w:t xml:space="preserve">also include expenditure </w:t>
            </w:r>
            <w:r w:rsidR="00CD37FD">
              <w:t xml:space="preserve">data from government sources </w:t>
            </w:r>
            <w:r w:rsidR="00CD37FD" w:rsidRPr="00EC4AB8">
              <w:t xml:space="preserve">for all schools. </w:t>
            </w:r>
          </w:p>
          <w:p w:rsidR="00CD37FD" w:rsidRPr="00EC4AB8" w:rsidRDefault="00CD37FD" w:rsidP="00CD37FD">
            <w:pPr>
              <w:pStyle w:val="BoxHeading1"/>
            </w:pPr>
            <w:r w:rsidRPr="00EC4AB8">
              <w:t>Derivation of performance indicators</w:t>
            </w:r>
          </w:p>
          <w:p w:rsidR="008A1B07" w:rsidRDefault="00CD37FD" w:rsidP="00CD37FD">
            <w:pPr>
              <w:pStyle w:val="Box"/>
            </w:pPr>
            <w:r w:rsidRPr="00CD37FD">
              <w:t>Expenditure in the various categories identified above is divided by the numbers of FTE students to derive measures of cost per FTE student (tables 4A.12–18 and figures 4.</w:t>
            </w:r>
            <w:r w:rsidR="00646CE4">
              <w:t>19</w:t>
            </w:r>
            <w:r w:rsidRPr="00CD37FD">
              <w:t>–</w:t>
            </w:r>
            <w:r w:rsidR="008B5ED3">
              <w:t>2</w:t>
            </w:r>
            <w:r w:rsidR="00646CE4">
              <w:t>2</w:t>
            </w:r>
            <w:r w:rsidRPr="00CD37FD">
              <w:t>).</w:t>
            </w:r>
            <w:r w:rsidR="00364AF6">
              <w:t xml:space="preserve"> </w:t>
            </w:r>
            <w:r w:rsidR="00364AF6" w:rsidRPr="00CD37FD">
              <w:t xml:space="preserve">The numbers of FTE students (table 4A.6) are drawn from the ABS publication </w:t>
            </w:r>
            <w:r w:rsidR="00364AF6" w:rsidRPr="00885E20">
              <w:rPr>
                <w:i/>
              </w:rPr>
              <w:t xml:space="preserve">Schools Australia 2014 </w:t>
            </w:r>
            <w:r w:rsidR="00364AF6" w:rsidRPr="00CD37FD">
              <w:t>(ABS 201</w:t>
            </w:r>
            <w:r w:rsidR="00364AF6">
              <w:t>5</w:t>
            </w:r>
            <w:r w:rsidR="00364AF6" w:rsidRPr="00CD37FD">
              <w:t>) and averaged over two calendar years to match the financial year expenditure data.</w:t>
            </w:r>
            <w:r w:rsidRPr="00CD37FD">
              <w:t xml:space="preserve"> </w:t>
            </w:r>
          </w:p>
          <w:p w:rsidR="00315070" w:rsidRPr="00315070" w:rsidRDefault="00315070" w:rsidP="00315070">
            <w:pPr>
              <w:pStyle w:val="Box"/>
              <w:spacing w:before="0"/>
              <w:jc w:val="right"/>
              <w:rPr>
                <w:sz w:val="18"/>
                <w:szCs w:val="18"/>
              </w:rPr>
            </w:pPr>
            <w:r w:rsidRPr="00315070">
              <w:rPr>
                <w:sz w:val="18"/>
                <w:szCs w:val="18"/>
              </w:rPr>
              <w:t>(continued next page)</w:t>
            </w:r>
          </w:p>
        </w:tc>
      </w:tr>
      <w:tr w:rsidR="00CD37FD" w:rsidTr="00751345">
        <w:trPr>
          <w:cantSplit/>
        </w:trPr>
        <w:tc>
          <w:tcPr>
            <w:tcW w:w="8771" w:type="dxa"/>
            <w:tcBorders>
              <w:top w:val="nil"/>
              <w:left w:val="nil"/>
              <w:bottom w:val="single" w:sz="6" w:space="0" w:color="78A22F"/>
              <w:right w:val="nil"/>
            </w:tcBorders>
            <w:shd w:val="clear" w:color="auto" w:fill="F2F2F2"/>
          </w:tcPr>
          <w:p w:rsidR="00CD37FD" w:rsidRDefault="00CD37FD">
            <w:pPr>
              <w:pStyle w:val="Box"/>
              <w:spacing w:before="0" w:line="120" w:lineRule="exact"/>
            </w:pPr>
          </w:p>
        </w:tc>
      </w:tr>
    </w:tbl>
    <w:p w:rsidR="00CD37FD" w:rsidRDefault="00CD37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D37FD" w:rsidTr="00751345">
        <w:tc>
          <w:tcPr>
            <w:tcW w:w="8771" w:type="dxa"/>
            <w:tcBorders>
              <w:top w:val="single" w:sz="6" w:space="0" w:color="78A22F"/>
              <w:left w:val="nil"/>
              <w:bottom w:val="nil"/>
              <w:right w:val="nil"/>
            </w:tcBorders>
            <w:shd w:val="clear" w:color="auto" w:fill="F2F2F2"/>
          </w:tcPr>
          <w:p w:rsidR="00011CA6" w:rsidRPr="00011CA6" w:rsidRDefault="00CD37FD" w:rsidP="006419E8">
            <w:pPr>
              <w:pStyle w:val="BoxTitle"/>
              <w:rPr>
                <w:rStyle w:val="DraftingNote"/>
                <w:rFonts w:ascii="Times New Roman" w:hAnsi="Times New Roman"/>
              </w:rPr>
            </w:pPr>
            <w:r>
              <w:rPr>
                <w:b w:val="0"/>
              </w:rPr>
              <w:t xml:space="preserve">Box </w:t>
            </w:r>
            <w:r w:rsidR="00B70781">
              <w:rPr>
                <w:b w:val="0"/>
              </w:rPr>
              <w:t>4.</w:t>
            </w:r>
            <w:r w:rsidR="002E5EAF">
              <w:rPr>
                <w:b w:val="0"/>
              </w:rPr>
              <w:t>6</w:t>
            </w:r>
            <w:r>
              <w:tab/>
            </w:r>
            <w:r w:rsidR="00315070" w:rsidRPr="00315070">
              <w:rPr>
                <w:b w:val="0"/>
                <w:sz w:val="18"/>
                <w:szCs w:val="18"/>
              </w:rPr>
              <w:t>(</w:t>
            </w:r>
            <w:r w:rsidRPr="00315070">
              <w:rPr>
                <w:b w:val="0"/>
                <w:sz w:val="18"/>
                <w:szCs w:val="18"/>
              </w:rPr>
              <w:t>continued</w:t>
            </w:r>
            <w:r w:rsidR="00315070">
              <w:rPr>
                <w:b w:val="0"/>
                <w:sz w:val="18"/>
                <w:szCs w:val="18"/>
              </w:rPr>
              <w:t>)</w:t>
            </w:r>
            <w:r w:rsidR="00364AF6">
              <w:rPr>
                <w:b w:val="0"/>
                <w:sz w:val="18"/>
                <w:szCs w:val="18"/>
              </w:rPr>
              <w:t xml:space="preserve"> </w:t>
            </w:r>
          </w:p>
        </w:tc>
      </w:tr>
      <w:tr w:rsidR="00CD37FD" w:rsidTr="00751345">
        <w:trPr>
          <w:cantSplit/>
        </w:trPr>
        <w:tc>
          <w:tcPr>
            <w:tcW w:w="8771" w:type="dxa"/>
            <w:tcBorders>
              <w:top w:val="nil"/>
              <w:left w:val="nil"/>
              <w:bottom w:val="nil"/>
              <w:right w:val="nil"/>
            </w:tcBorders>
            <w:shd w:val="clear" w:color="auto" w:fill="F2F2F2"/>
          </w:tcPr>
          <w:p w:rsidR="00CD37FD" w:rsidRPr="00CD37FD" w:rsidRDefault="00CD37FD" w:rsidP="00CD37FD">
            <w:pPr>
              <w:pStyle w:val="BoxHeading1"/>
            </w:pPr>
            <w:r w:rsidRPr="00CD37FD">
              <w:t xml:space="preserve">Legislative framework </w:t>
            </w:r>
          </w:p>
          <w:p w:rsidR="00D717D7" w:rsidRDefault="00D717D7" w:rsidP="00D717D7">
            <w:pPr>
              <w:pStyle w:val="Box"/>
            </w:pPr>
            <w:r>
              <w:t xml:space="preserve">In 2009, </w:t>
            </w:r>
            <w:r w:rsidR="000445E2">
              <w:t>the Council of Australian Governments (</w:t>
            </w:r>
            <w:r>
              <w:t>COAG</w:t>
            </w:r>
            <w:r w:rsidR="000445E2">
              <w:t>)</w:t>
            </w:r>
            <w:r>
              <w:t xml:space="preserve"> agreed to a new framework for federal financial relations. Australian Government funding to 31 December 2013 was provided through the National Schools Specific Purpose Payment (SPP) under the Intergovernmental Agreement on Federal Financial Relations, and State and Territory governments had discretion as to how to apply the National Schools SPP to achieve the agreed outcomes. The non</w:t>
            </w:r>
            <w:r w:rsidR="00EA224B">
              <w:t>-</w:t>
            </w:r>
            <w:r>
              <w:t xml:space="preserve">government schools funding component of the National Schools SPP was determined by the </w:t>
            </w:r>
            <w:r w:rsidRPr="003A35C3">
              <w:rPr>
                <w:i/>
              </w:rPr>
              <w:t>Schools Assistance Act 2008</w:t>
            </w:r>
            <w:r>
              <w:t>. States and territories funded school education under their own legislation.</w:t>
            </w:r>
          </w:p>
          <w:p w:rsidR="00D717D7" w:rsidRDefault="00D717D7" w:rsidP="00E51CBF">
            <w:pPr>
              <w:pStyle w:val="Box"/>
            </w:pPr>
            <w:r>
              <w:t>Australian Government funding for government and non</w:t>
            </w:r>
            <w:r w:rsidR="00EA224B">
              <w:t>-</w:t>
            </w:r>
            <w:r>
              <w:t xml:space="preserve">government schools from 1 January 2014 is determined by the </w:t>
            </w:r>
            <w:r w:rsidRPr="003A35C3">
              <w:rPr>
                <w:i/>
              </w:rPr>
              <w:t>Australian Education Act 2013</w:t>
            </w:r>
            <w:r>
              <w:t>. This funding is provided through the Students First funding arrangements, which replaced the National Schools SPP. States and territories continue to fund school education under their own legislation.</w:t>
            </w:r>
          </w:p>
          <w:p w:rsidR="00CD37FD" w:rsidRPr="00CD37FD" w:rsidRDefault="00D717D7" w:rsidP="003C0DFA">
            <w:pPr>
              <w:pStyle w:val="BoxHeading1"/>
            </w:pPr>
            <w:r>
              <w:t>Annual c</w:t>
            </w:r>
            <w:r w:rsidR="00CD37FD" w:rsidRPr="00CD37FD">
              <w:t xml:space="preserve">hanges in recurrent expenditure </w:t>
            </w:r>
            <w:r>
              <w:t>to 31 December 2013</w:t>
            </w:r>
            <w:r w:rsidR="00CD37FD" w:rsidRPr="00CD37FD">
              <w:t xml:space="preserve"> — Australian Government</w:t>
            </w:r>
          </w:p>
          <w:p w:rsidR="00D717D7" w:rsidRDefault="00D717D7" w:rsidP="00D717D7">
            <w:pPr>
              <w:pStyle w:val="Box"/>
            </w:pPr>
            <w:r>
              <w:t>Average Government School Recurrent Costs (AGSRC) was the benchmark for Australian Government recurrent funding levels for both government and non</w:t>
            </w:r>
            <w:r w:rsidR="003C0DFA">
              <w:t>-</w:t>
            </w:r>
            <w:r>
              <w:t>government schools until 1 January 2014, when funding under the Students First programme commenced</w:t>
            </w:r>
            <w:r w:rsidR="0025000B">
              <w:t xml:space="preserve"> (see below)</w:t>
            </w:r>
            <w:r>
              <w:t>.</w:t>
            </w:r>
          </w:p>
          <w:p w:rsidR="00D717D7" w:rsidRDefault="00D717D7" w:rsidP="00D717D7">
            <w:pPr>
              <w:pStyle w:val="Box"/>
            </w:pPr>
            <w:r>
              <w:t>The primary and secondary AGSRC amounts were the national averages based on total recurrent State and Territory expenditure per government primary school student and secondary school student, for expenditure data submitted to the Education Council. Capital related costs such as user cost of capital and depreciation were excluded from AGSRC, and accrual expenses were also adjusted to a cash basis. These AGSRC amounts were changed annually to reflect movements in the data.</w:t>
            </w:r>
          </w:p>
          <w:p w:rsidR="00D717D7" w:rsidRDefault="00D717D7" w:rsidP="00D717D7">
            <w:pPr>
              <w:pStyle w:val="Box"/>
            </w:pPr>
            <w:r>
              <w:t>For government schools, annual changes in Australian Government recurrent payments reflected the changes to the AGSRC and the changes in full time equivalent enrolments in government schools. These payments were included in the National Schools SPP allocated to states and territories.</w:t>
            </w:r>
          </w:p>
          <w:p w:rsidR="00D717D7" w:rsidRDefault="00D717D7" w:rsidP="00D717D7">
            <w:pPr>
              <w:pStyle w:val="Box"/>
            </w:pPr>
            <w:r>
              <w:t>For non-government schools, Australian Government recurrent payments were also based on enrolments and a proportion of AGSRC calculated for each school (taking account of the school’s socio</w:t>
            </w:r>
            <w:r w:rsidR="003C0DFA">
              <w:t>-</w:t>
            </w:r>
            <w:r>
              <w:t>economic status based on student location and other funding arrangements). These payments were included in the National Schools SPP and were paid to non</w:t>
            </w:r>
            <w:r w:rsidR="003C0DFA">
              <w:t>-</w:t>
            </w:r>
            <w:r>
              <w:t>government schools and systems through the states and territories.</w:t>
            </w:r>
          </w:p>
          <w:p w:rsidR="00CD37FD" w:rsidRDefault="00D717D7" w:rsidP="003C0DFA">
            <w:pPr>
              <w:pStyle w:val="Box"/>
            </w:pPr>
            <w:r>
              <w:t>For both government and non</w:t>
            </w:r>
            <w:r w:rsidR="003C0DFA">
              <w:t>-</w:t>
            </w:r>
            <w:r>
              <w:t xml:space="preserve">government schools, Australian Government </w:t>
            </w:r>
            <w:r w:rsidR="003C0DFA">
              <w:t xml:space="preserve">NP </w:t>
            </w:r>
            <w:r>
              <w:t>allocations were also used to calculate expenditure in this Report. These payments fluctuated annually in line with funding arrangements. Some schools</w:t>
            </w:r>
            <w:r w:rsidR="003C0DFA">
              <w:t>-</w:t>
            </w:r>
            <w:r>
              <w:t>related N</w:t>
            </w:r>
            <w:r w:rsidR="003C0DFA">
              <w:t>P</w:t>
            </w:r>
            <w:r>
              <w:t xml:space="preserve"> allocations ceased on 31 December 2013 and funding was instead provided through the Students First programme.</w:t>
            </w:r>
          </w:p>
          <w:p w:rsidR="0025000B" w:rsidRDefault="0025000B" w:rsidP="003C0DFA">
            <w:pPr>
              <w:pStyle w:val="Box"/>
            </w:pPr>
            <w:r>
              <w:t>The base amounts may be discounted by the anticipated ability of a school community to contribute towards their school’s costs. This discount does not apply to government schools, special schools, special assistance schools, sole provider schools and majority Aboriginal and Torres Strait Islander schools. All loadings to target student disadvantage are fully publicly funded regardless of a school community’s anticipated capacity to contribute.</w:t>
            </w:r>
          </w:p>
          <w:p w:rsidR="003C0DFA" w:rsidRDefault="003C0DFA" w:rsidP="006574D7">
            <w:pPr>
              <w:pStyle w:val="Box"/>
              <w:jc w:val="right"/>
              <w:rPr>
                <w:szCs w:val="24"/>
              </w:rPr>
            </w:pPr>
            <w:r w:rsidRPr="00315070">
              <w:rPr>
                <w:sz w:val="18"/>
                <w:szCs w:val="18"/>
              </w:rPr>
              <w:t>(continued next page)</w:t>
            </w:r>
          </w:p>
        </w:tc>
      </w:tr>
      <w:tr w:rsidR="00CD37FD" w:rsidTr="00751345">
        <w:trPr>
          <w:cantSplit/>
        </w:trPr>
        <w:tc>
          <w:tcPr>
            <w:tcW w:w="8771" w:type="dxa"/>
            <w:tcBorders>
              <w:top w:val="nil"/>
              <w:left w:val="nil"/>
              <w:bottom w:val="single" w:sz="6" w:space="0" w:color="78A22F"/>
              <w:right w:val="nil"/>
            </w:tcBorders>
            <w:shd w:val="clear" w:color="auto" w:fill="F2F2F2"/>
          </w:tcPr>
          <w:p w:rsidR="00CD37FD" w:rsidRDefault="00CD37FD">
            <w:pPr>
              <w:pStyle w:val="Box"/>
              <w:spacing w:before="0" w:line="120" w:lineRule="exact"/>
            </w:pPr>
          </w:p>
        </w:tc>
      </w:tr>
      <w:tr w:rsidR="00CD37FD" w:rsidRPr="000863A5" w:rsidTr="00751345">
        <w:tc>
          <w:tcPr>
            <w:tcW w:w="8771" w:type="dxa"/>
            <w:tcBorders>
              <w:top w:val="single" w:sz="6" w:space="0" w:color="78A22F"/>
              <w:left w:val="nil"/>
              <w:bottom w:val="nil"/>
              <w:right w:val="nil"/>
            </w:tcBorders>
          </w:tcPr>
          <w:p w:rsidR="00CD37FD" w:rsidRPr="00626D32" w:rsidRDefault="00CD37FD" w:rsidP="00751345">
            <w:pPr>
              <w:pStyle w:val="BoxSpaceBelow"/>
            </w:pPr>
          </w:p>
        </w:tc>
      </w:tr>
    </w:tbl>
    <w:p w:rsidR="00D717D7" w:rsidRDefault="00D717D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717D7" w:rsidTr="00D717D7">
        <w:tc>
          <w:tcPr>
            <w:tcW w:w="8771" w:type="dxa"/>
            <w:tcBorders>
              <w:top w:val="single" w:sz="6" w:space="0" w:color="78A22F"/>
              <w:left w:val="nil"/>
              <w:bottom w:val="nil"/>
              <w:right w:val="nil"/>
            </w:tcBorders>
            <w:shd w:val="clear" w:color="auto" w:fill="F2F2F2"/>
          </w:tcPr>
          <w:p w:rsidR="00D717D7" w:rsidRDefault="00D717D7" w:rsidP="002E5EAF">
            <w:pPr>
              <w:pStyle w:val="BoxTitle"/>
            </w:pPr>
            <w:r>
              <w:rPr>
                <w:b w:val="0"/>
              </w:rPr>
              <w:t>Box 4.</w:t>
            </w:r>
            <w:r w:rsidR="002E5EAF">
              <w:rPr>
                <w:b w:val="0"/>
              </w:rPr>
              <w:t>6</w:t>
            </w:r>
            <w:r>
              <w:tab/>
            </w:r>
            <w:r w:rsidRPr="00315070">
              <w:rPr>
                <w:b w:val="0"/>
                <w:sz w:val="18"/>
                <w:szCs w:val="18"/>
              </w:rPr>
              <w:t>(continued</w:t>
            </w:r>
            <w:r>
              <w:rPr>
                <w:b w:val="0"/>
                <w:sz w:val="18"/>
                <w:szCs w:val="18"/>
              </w:rPr>
              <w:t>)</w:t>
            </w:r>
          </w:p>
        </w:tc>
      </w:tr>
      <w:tr w:rsidR="00D717D7" w:rsidTr="00D717D7">
        <w:trPr>
          <w:cantSplit/>
        </w:trPr>
        <w:tc>
          <w:tcPr>
            <w:tcW w:w="8771" w:type="dxa"/>
            <w:tcBorders>
              <w:top w:val="nil"/>
              <w:left w:val="nil"/>
              <w:bottom w:val="nil"/>
              <w:right w:val="nil"/>
            </w:tcBorders>
            <w:shd w:val="clear" w:color="auto" w:fill="F2F2F2"/>
          </w:tcPr>
          <w:p w:rsidR="00E51CBF" w:rsidRDefault="00E51CBF" w:rsidP="00E51CBF">
            <w:pPr>
              <w:pStyle w:val="BoxHeading1"/>
            </w:pPr>
            <w:r>
              <w:t>Students First funding from 1 January 2014 — Australian Government</w:t>
            </w:r>
          </w:p>
          <w:p w:rsidR="00E51CBF" w:rsidRDefault="00E51CBF" w:rsidP="000907E5">
            <w:pPr>
              <w:pStyle w:val="Box"/>
            </w:pPr>
            <w:r>
              <w:t xml:space="preserve">The Students First funding arrangements are determined by the </w:t>
            </w:r>
            <w:r w:rsidRPr="00E51CBF">
              <w:rPr>
                <w:i/>
              </w:rPr>
              <w:t>Australian Education Act 2013</w:t>
            </w:r>
            <w:r>
              <w:t xml:space="preserve"> (the Act). The Schooling Resource Standard (SRS) funding model, administered under the Act and subsidiary legislation, bases funding for all schools (government and non-government) </w:t>
            </w:r>
            <w:r w:rsidR="00E31E4A" w:rsidRPr="000907E5">
              <w:rPr>
                <w:shd w:val="clear" w:color="auto" w:fill="F2F2F2" w:themeFill="background1" w:themeFillShade="F2"/>
              </w:rPr>
              <w:t>with reference to</w:t>
            </w:r>
            <w:r>
              <w:t xml:space="preserve"> a benchmark (the SRS) for the amount of recurrent funding required to meet the educational needs of students at a school. Included in the calculation of the benchmark is a base amount of funding for each student (the primary and secondary base per student amounts are specified in the Act and indexed annually), plus loadings for each school. These loadings are based on certain types of student and school disadvantage, including low socio-economic status, students with disability, Aboriginal and Torres Strait Islander students, low English proficiency, location of the school and size of the school. Full time equivalent enrolments are used to determine a school’s SRS.</w:t>
            </w:r>
          </w:p>
          <w:p w:rsidR="00D717D7" w:rsidRDefault="00D717D7" w:rsidP="000907E5">
            <w:pPr>
              <w:pStyle w:val="Box"/>
            </w:pPr>
            <w:r>
              <w:t>The Commonwealth share of the recurrent funding for each school is calculated as a proportion of the benchmark. Transition arrangements apply to schools which received Commonwealth recurrent funding prior to 1 January 2014, and which continue to receive recurrent funding with the introduction of the SRS funding mod</w:t>
            </w:r>
            <w:r w:rsidR="00A138B2">
              <w:t>el</w:t>
            </w:r>
            <w:r>
              <w:t xml:space="preserve">. The approved authorities for these schools receive Commonwealth recurrent funding calculated with reference to their funding levels under the previous funding arrangements and an </w:t>
            </w:r>
            <w:r w:rsidRPr="000907E5">
              <w:rPr>
                <w:shd w:val="clear" w:color="auto" w:fill="F2F2F2" w:themeFill="background1" w:themeFillShade="F2"/>
              </w:rPr>
              <w:t xml:space="preserve">indexation arrangement which will see them transition to </w:t>
            </w:r>
            <w:r w:rsidR="00E31E4A" w:rsidRPr="000907E5">
              <w:rPr>
                <w:shd w:val="clear" w:color="auto" w:fill="F2F2F2" w:themeFill="background1" w:themeFillShade="F2"/>
              </w:rPr>
              <w:t xml:space="preserve">their entitlement under Students </w:t>
            </w:r>
            <w:r w:rsidR="00E412A5">
              <w:rPr>
                <w:shd w:val="clear" w:color="auto" w:fill="F2F2F2" w:themeFill="background1" w:themeFillShade="F2"/>
              </w:rPr>
              <w:t>Fi</w:t>
            </w:r>
            <w:r w:rsidR="00E31E4A" w:rsidRPr="000907E5">
              <w:rPr>
                <w:shd w:val="clear" w:color="auto" w:fill="F2F2F2" w:themeFill="background1" w:themeFillShade="F2"/>
              </w:rPr>
              <w:t>rst arrangements</w:t>
            </w:r>
            <w:r>
              <w:t xml:space="preserve"> over time.</w:t>
            </w:r>
          </w:p>
          <w:p w:rsidR="00D717D7" w:rsidRDefault="00D717D7" w:rsidP="00D717D7">
            <w:pPr>
              <w:pStyle w:val="Box"/>
            </w:pPr>
            <w:r>
              <w:t>Commonwealth recurrent funding is provided to approved authorities of government and non</w:t>
            </w:r>
            <w:r w:rsidR="0025000B">
              <w:noBreakHyphen/>
            </w:r>
            <w:r>
              <w:t xml:space="preserve">government schools for the purpose of providing school education. Although calculated to reflect the need of each student and school, the approved authority for the school is not required to spend that funding on any particular student or group of students; approved authorities have the flexibility to allocate the funding for the purpose of providing school education </w:t>
            </w:r>
            <w:r w:rsidR="0025000B">
              <w:t xml:space="preserve">that </w:t>
            </w:r>
            <w:r>
              <w:t>best meet</w:t>
            </w:r>
            <w:r w:rsidR="0025000B">
              <w:t>s</w:t>
            </w:r>
            <w:r>
              <w:t xml:space="preserve"> the needs of their students, taking into account other revenue sources and budgetary restrictions</w:t>
            </w:r>
            <w:r w:rsidR="0025000B">
              <w:t>.</w:t>
            </w:r>
          </w:p>
          <w:p w:rsidR="003C0DFA" w:rsidRPr="00CD37FD" w:rsidRDefault="003C0DFA" w:rsidP="003C0DFA">
            <w:pPr>
              <w:pStyle w:val="BoxHeading1"/>
            </w:pPr>
            <w:r w:rsidRPr="00CD37FD">
              <w:t>Changes in recurrent expenditure between years — State and Territory governments</w:t>
            </w:r>
          </w:p>
          <w:p w:rsidR="003C0DFA" w:rsidRDefault="003C0DFA" w:rsidP="00D717D7">
            <w:pPr>
              <w:pStyle w:val="Box"/>
            </w:pPr>
            <w:r w:rsidRPr="00CD37FD">
              <w:t xml:space="preserve">In general, </w:t>
            </w:r>
            <w:r>
              <w:t>S</w:t>
            </w:r>
            <w:r w:rsidRPr="00CD37FD">
              <w:t xml:space="preserve">tate and </w:t>
            </w:r>
            <w:r>
              <w:t>T</w:t>
            </w:r>
            <w:r w:rsidRPr="00CD37FD">
              <w:t>erritory government schools systems are funded based on a variety of formulas to determine a school’s recurrent or base allocation, with weightings and multipliers added for students facing disadvantage. For non-government schools, State and Territory governments also provide funding for recurrent and targeted purposes, usually through per capita allocations. Indexation of costs is normally applied to these funding arrangements for both the government and non-government school sectors. Changes in overall funding by State and Territory governments across years is affected by all these factors, including enrolment numbers</w:t>
            </w:r>
            <w:r>
              <w:t xml:space="preserve"> and</w:t>
            </w:r>
            <w:r w:rsidRPr="00CD37FD">
              <w:t xml:space="preserve"> school size</w:t>
            </w:r>
            <w:r>
              <w:t>,</w:t>
            </w:r>
            <w:r w:rsidRPr="00CD37FD">
              <w:t xml:space="preserve"> location and staffing profiles.</w:t>
            </w:r>
          </w:p>
        </w:tc>
      </w:tr>
      <w:tr w:rsidR="00D717D7" w:rsidTr="00D717D7">
        <w:trPr>
          <w:cantSplit/>
        </w:trPr>
        <w:tc>
          <w:tcPr>
            <w:tcW w:w="8771" w:type="dxa"/>
            <w:tcBorders>
              <w:top w:val="nil"/>
              <w:left w:val="nil"/>
              <w:bottom w:val="nil"/>
              <w:right w:val="nil"/>
            </w:tcBorders>
            <w:shd w:val="clear" w:color="auto" w:fill="F2F2F2"/>
          </w:tcPr>
          <w:p w:rsidR="00D717D7" w:rsidRDefault="00D717D7" w:rsidP="002C7EF2">
            <w:pPr>
              <w:pStyle w:val="BoxSource"/>
            </w:pPr>
            <w:r>
              <w:rPr>
                <w:i/>
              </w:rPr>
              <w:t>Source</w:t>
            </w:r>
            <w:r w:rsidRPr="00466214">
              <w:t>: ACARA (201</w:t>
            </w:r>
            <w:r w:rsidR="002C7EF2">
              <w:t>4</w:t>
            </w:r>
            <w:r w:rsidR="00646CE4">
              <w:t>a</w:t>
            </w:r>
            <w:r w:rsidRPr="00466214">
              <w:t>); Australian Government Department of Education</w:t>
            </w:r>
            <w:r w:rsidR="00A74B5F">
              <w:t xml:space="preserve"> and Training</w:t>
            </w:r>
            <w:r w:rsidRPr="00466214">
              <w:t xml:space="preserve"> (unpublished).</w:t>
            </w:r>
          </w:p>
        </w:tc>
      </w:tr>
      <w:tr w:rsidR="00D717D7" w:rsidTr="00D717D7">
        <w:trPr>
          <w:cantSplit/>
        </w:trPr>
        <w:tc>
          <w:tcPr>
            <w:tcW w:w="8771" w:type="dxa"/>
            <w:tcBorders>
              <w:top w:val="nil"/>
              <w:left w:val="nil"/>
              <w:bottom w:val="single" w:sz="6" w:space="0" w:color="78A22F"/>
              <w:right w:val="nil"/>
            </w:tcBorders>
            <w:shd w:val="clear" w:color="auto" w:fill="F2F2F2"/>
          </w:tcPr>
          <w:p w:rsidR="00D717D7" w:rsidRDefault="00D717D7">
            <w:pPr>
              <w:pStyle w:val="Box"/>
              <w:spacing w:before="0" w:line="120" w:lineRule="exact"/>
            </w:pPr>
          </w:p>
        </w:tc>
      </w:tr>
      <w:tr w:rsidR="00D717D7" w:rsidRPr="000863A5" w:rsidTr="00D717D7">
        <w:tc>
          <w:tcPr>
            <w:tcW w:w="8771" w:type="dxa"/>
            <w:tcBorders>
              <w:top w:val="single" w:sz="6" w:space="0" w:color="78A22F"/>
              <w:left w:val="nil"/>
              <w:bottom w:val="nil"/>
              <w:right w:val="nil"/>
            </w:tcBorders>
          </w:tcPr>
          <w:p w:rsidR="00D717D7" w:rsidRPr="00626D32" w:rsidRDefault="00D717D7" w:rsidP="00D717D7">
            <w:pPr>
              <w:pStyle w:val="BoxSpaceBelow"/>
            </w:pPr>
          </w:p>
        </w:tc>
      </w:tr>
    </w:tbl>
    <w:p w:rsidR="00CD37FD" w:rsidRPr="007B0AE2" w:rsidRDefault="005516D1" w:rsidP="005516D1">
      <w:pPr>
        <w:pStyle w:val="Heading4"/>
      </w:pPr>
      <w:r>
        <w:t xml:space="preserve">Inputs per output unit — </w:t>
      </w:r>
      <w:r w:rsidR="00CD37FD" w:rsidRPr="007B0AE2">
        <w:t>Recurrent expenditure per student</w:t>
      </w:r>
    </w:p>
    <w:p w:rsidR="00666ECE" w:rsidRDefault="00666ECE" w:rsidP="0089766B">
      <w:pPr>
        <w:pStyle w:val="BodyText"/>
      </w:pPr>
      <w:r w:rsidRPr="00666ECE">
        <w:t>‘Recurrent expenditure per student’ is an indicator of governments’ objective to fund and/or provide education in an efficient manner (box 4.</w:t>
      </w:r>
      <w:r w:rsidR="002E5EAF">
        <w:t>7</w:t>
      </w:r>
      <w:r w:rsidRPr="00666ECE">
        <w:t xml:space="preserve">). </w:t>
      </w:r>
    </w:p>
    <w:p w:rsidR="00CD37FD" w:rsidRDefault="00CD37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D37FD" w:rsidTr="00AD7395">
        <w:tc>
          <w:tcPr>
            <w:tcW w:w="8771" w:type="dxa"/>
            <w:tcBorders>
              <w:top w:val="single" w:sz="6" w:space="0" w:color="78A22F"/>
              <w:left w:val="nil"/>
              <w:bottom w:val="nil"/>
              <w:right w:val="nil"/>
            </w:tcBorders>
            <w:shd w:val="clear" w:color="auto" w:fill="F2F2F2"/>
          </w:tcPr>
          <w:p w:rsidR="00CD37FD" w:rsidRDefault="00CD37FD">
            <w:pPr>
              <w:pStyle w:val="BoxTitle"/>
            </w:pPr>
            <w:r>
              <w:rPr>
                <w:b w:val="0"/>
              </w:rPr>
              <w:t xml:space="preserve">Box </w:t>
            </w:r>
            <w:r w:rsidR="00FF2AB3">
              <w:rPr>
                <w:b w:val="0"/>
              </w:rPr>
              <w:t>4.</w:t>
            </w:r>
            <w:r w:rsidR="00FF4FBD">
              <w:rPr>
                <w:b w:val="0"/>
                <w:noProof/>
              </w:rPr>
              <w:t>7</w:t>
            </w:r>
            <w:r>
              <w:tab/>
            </w:r>
            <w:r w:rsidRPr="00CD37FD">
              <w:t>Recurrent expenditure per student</w:t>
            </w:r>
          </w:p>
        </w:tc>
      </w:tr>
      <w:tr w:rsidR="00CD37FD" w:rsidTr="00AD7395">
        <w:trPr>
          <w:cantSplit/>
        </w:trPr>
        <w:tc>
          <w:tcPr>
            <w:tcW w:w="8771" w:type="dxa"/>
            <w:tcBorders>
              <w:top w:val="nil"/>
              <w:left w:val="nil"/>
              <w:bottom w:val="nil"/>
              <w:right w:val="nil"/>
            </w:tcBorders>
            <w:shd w:val="clear" w:color="auto" w:fill="F2F2F2"/>
          </w:tcPr>
          <w:p w:rsidR="00CD37FD" w:rsidRPr="00CD37FD" w:rsidRDefault="0025000B" w:rsidP="00CD37FD">
            <w:pPr>
              <w:pStyle w:val="Box"/>
            </w:pPr>
            <w:r>
              <w:t>‘</w:t>
            </w:r>
            <w:r w:rsidR="00CD37FD" w:rsidRPr="00CD37FD">
              <w:t>Recurrent expenditure per student’ is defined by two measures:</w:t>
            </w:r>
          </w:p>
          <w:p w:rsidR="00CD37FD" w:rsidRPr="00CD37FD" w:rsidRDefault="00CD37FD" w:rsidP="005E564E">
            <w:pPr>
              <w:pStyle w:val="BoxListBullet"/>
            </w:pPr>
            <w:r w:rsidRPr="00CD37FD">
              <w:t>government recurrent expenditure per FTE student, reported for government schools and disaggregated by in</w:t>
            </w:r>
            <w:r w:rsidRPr="00CD37FD">
              <w:noBreakHyphen/>
              <w:t>scho</w:t>
            </w:r>
            <w:r w:rsidR="008B5ED3">
              <w:t>ol primary, in-school secondary</w:t>
            </w:r>
            <w:r w:rsidRPr="00CD37FD">
              <w:t xml:space="preserve"> </w:t>
            </w:r>
            <w:r w:rsidR="008B5ED3">
              <w:t xml:space="preserve">and </w:t>
            </w:r>
            <w:r w:rsidRPr="00CD37FD">
              <w:t>out-of-school services</w:t>
            </w:r>
            <w:r w:rsidR="003B7112">
              <w:t xml:space="preserve"> (see section 4.5</w:t>
            </w:r>
            <w:r w:rsidR="002C7822">
              <w:t xml:space="preserve"> for definitions)</w:t>
            </w:r>
            <w:r w:rsidRPr="00CD37FD">
              <w:t>; and for non-government schools</w:t>
            </w:r>
          </w:p>
          <w:p w:rsidR="00CD37FD" w:rsidRPr="00CD37FD" w:rsidRDefault="00CD37FD" w:rsidP="005E564E">
            <w:pPr>
              <w:pStyle w:val="BoxListBullet"/>
            </w:pPr>
            <w:r w:rsidRPr="00CD37FD">
              <w:t>government recurrent staff expenditure per FTE student in government schools. Expenditure on staff is the major component of spending on schools.</w:t>
            </w:r>
          </w:p>
          <w:p w:rsidR="00CD37FD" w:rsidRPr="005E564E" w:rsidRDefault="00CD37FD" w:rsidP="005E564E">
            <w:pPr>
              <w:pStyle w:val="Box"/>
            </w:pPr>
            <w:r w:rsidRPr="005E564E">
              <w:t>Both of these measures include user cost of capital for government schools (box 4.</w:t>
            </w:r>
            <w:r w:rsidR="00DB04E5">
              <w:t>8</w:t>
            </w:r>
            <w:r w:rsidRPr="005E564E">
              <w:t>).</w:t>
            </w:r>
            <w:r w:rsidR="00683381">
              <w:t xml:space="preserve"> User cost of capital is not included for non-government schools.</w:t>
            </w:r>
          </w:p>
          <w:p w:rsidR="00CD37FD" w:rsidRPr="005E564E" w:rsidRDefault="00CD37FD" w:rsidP="005E564E">
            <w:pPr>
              <w:pStyle w:val="Box"/>
            </w:pPr>
            <w:r w:rsidRPr="005E564E">
              <w:t xml:space="preserve">Holding other factors constant, a low or decreasing government recurrent expenditure or staff expenditure per FTE student may represent better or improved efficiency. </w:t>
            </w:r>
          </w:p>
          <w:p w:rsidR="00CD37FD" w:rsidRPr="005E564E" w:rsidRDefault="00CD37FD" w:rsidP="005E564E">
            <w:pPr>
              <w:pStyle w:val="Box"/>
            </w:pPr>
            <w:r w:rsidRPr="005E564E">
              <w:t>Care should be taken in interpretation of efficiency data as:</w:t>
            </w:r>
          </w:p>
          <w:p w:rsidR="00CD37FD" w:rsidRDefault="00CD37FD" w:rsidP="005E564E">
            <w:pPr>
              <w:pStyle w:val="BoxListBullet"/>
            </w:pPr>
            <w:r w:rsidRPr="00CD37FD">
              <w:t xml:space="preserve">a number of factors beyond the control of governments, such as economies of scale, a high proportion of geographically remote students and/or a dispersed population, and migration across states and territories, may influence expenditure. This Report does not make any cost adjustments based on these or other factors </w:t>
            </w:r>
          </w:p>
          <w:p w:rsidR="00CD37FD" w:rsidRPr="00CD37FD" w:rsidRDefault="00222956" w:rsidP="005E564E">
            <w:pPr>
              <w:pStyle w:val="BoxListBullet"/>
            </w:pPr>
            <w:r>
              <w:t>w</w:t>
            </w:r>
            <w:r w:rsidR="00CD37FD" w:rsidRPr="00CD37FD">
              <w:t xml:space="preserve">hile high or increasing expenditure per student may reflect deteriorating efficiency, it may also reflect changes in aspects of schooling (increasing school leaving age, improving outcomes for </w:t>
            </w:r>
            <w:r w:rsidR="00530C4B">
              <w:t>Aboriginal and Torres Strait Islander</w:t>
            </w:r>
            <w:r w:rsidR="00CD37FD" w:rsidRPr="00CD37FD">
              <w:t xml:space="preserve"> students and students from low socio</w:t>
            </w:r>
            <w:r w:rsidR="00154469">
              <w:noBreakHyphen/>
            </w:r>
            <w:r w:rsidR="00CD37FD" w:rsidRPr="00CD37FD">
              <w:t>economic backgrounds, broader curricula or enhancing teacher quality), or the characteristics of the education environment (such as population dispersion)</w:t>
            </w:r>
          </w:p>
          <w:p w:rsidR="00CD37FD" w:rsidRPr="00CD37FD" w:rsidRDefault="00CD37FD" w:rsidP="005E564E">
            <w:pPr>
              <w:pStyle w:val="BoxListBullet"/>
            </w:pPr>
            <w:r w:rsidRPr="00CD37FD">
              <w:t>the staff expenditure per student measure is partial in nature, as it does not reflect the full cost per student. The basis for allocation of numbers of staff between teaching and non</w:t>
            </w:r>
            <w:r w:rsidR="0025099B">
              <w:noBreakHyphen/>
            </w:r>
            <w:r w:rsidRPr="00CD37FD">
              <w:t xml:space="preserve">teaching roles and the allocation of staff expenditure may differ. While high or increasing government expenditure on staff per student may reflect lower efficiency, it may also reflect improvements in teacher quality. </w:t>
            </w:r>
          </w:p>
          <w:p w:rsidR="00CD37FD" w:rsidRPr="00CD37FD" w:rsidRDefault="00CD37FD" w:rsidP="00CD37FD">
            <w:pPr>
              <w:pStyle w:val="Box"/>
            </w:pPr>
            <w:r w:rsidRPr="00CD37FD">
              <w:t xml:space="preserve">Data reported for all measures in this indicator are </w:t>
            </w:r>
          </w:p>
          <w:p w:rsidR="00CD37FD" w:rsidRPr="00CD37FD" w:rsidRDefault="00CD37FD" w:rsidP="005E564E">
            <w:pPr>
              <w:pStyle w:val="BoxListBullet"/>
            </w:pPr>
            <w:r w:rsidRPr="00CD37FD">
              <w:t>comparable (subject to caveats) across jurisdictions and over time</w:t>
            </w:r>
            <w:r w:rsidR="00D37062">
              <w:t>, but not comparable between government and non-government sectors, as government sector data includes the user cost of capital</w:t>
            </w:r>
          </w:p>
          <w:p w:rsidR="00CD37FD" w:rsidRPr="00CD37FD" w:rsidRDefault="00CD37FD" w:rsidP="005E564E">
            <w:pPr>
              <w:pStyle w:val="BoxListBullet"/>
            </w:pPr>
            <w:r w:rsidRPr="00CD37FD">
              <w:t>complete for the current reporting period (subject to caveats). All required 201</w:t>
            </w:r>
            <w:r w:rsidR="00683381">
              <w:t>3</w:t>
            </w:r>
            <w:r w:rsidRPr="00CD37FD">
              <w:t>-1</w:t>
            </w:r>
            <w:r w:rsidR="00683381">
              <w:t>4</w:t>
            </w:r>
            <w:r w:rsidRPr="00CD37FD">
              <w:t xml:space="preserve"> data are available for all jurisdictions providing the service.</w:t>
            </w:r>
          </w:p>
          <w:p w:rsidR="00CD37FD" w:rsidRDefault="00CD37FD" w:rsidP="00683381">
            <w:pPr>
              <w:pStyle w:val="Box"/>
            </w:pPr>
            <w:r w:rsidRPr="00CD37FD">
              <w:t xml:space="preserve">Information about data quality for this indicator is at </w:t>
            </w:r>
            <w:r w:rsidR="00683381" w:rsidRPr="00AD7395">
              <w:t>www.pc.gov.au/rogs/2016</w:t>
            </w:r>
            <w:r w:rsidR="00723DDD" w:rsidRPr="00AD7395">
              <w:t>.</w:t>
            </w:r>
          </w:p>
        </w:tc>
      </w:tr>
      <w:tr w:rsidR="00CD37FD" w:rsidTr="00751345">
        <w:trPr>
          <w:cantSplit/>
        </w:trPr>
        <w:tc>
          <w:tcPr>
            <w:tcW w:w="8771" w:type="dxa"/>
            <w:tcBorders>
              <w:top w:val="nil"/>
              <w:left w:val="nil"/>
              <w:bottom w:val="single" w:sz="6" w:space="0" w:color="78A22F"/>
              <w:right w:val="nil"/>
            </w:tcBorders>
            <w:shd w:val="clear" w:color="auto" w:fill="F2F2F2"/>
          </w:tcPr>
          <w:p w:rsidR="00CD37FD" w:rsidRDefault="00CD37FD">
            <w:pPr>
              <w:pStyle w:val="Box"/>
              <w:spacing w:before="0" w:line="120" w:lineRule="exact"/>
            </w:pPr>
          </w:p>
        </w:tc>
      </w:tr>
      <w:tr w:rsidR="00CD37FD" w:rsidRPr="000863A5" w:rsidTr="00751345">
        <w:tc>
          <w:tcPr>
            <w:tcW w:w="8771" w:type="dxa"/>
            <w:tcBorders>
              <w:top w:val="single" w:sz="6" w:space="0" w:color="78A22F"/>
              <w:left w:val="nil"/>
              <w:bottom w:val="nil"/>
              <w:right w:val="nil"/>
            </w:tcBorders>
          </w:tcPr>
          <w:p w:rsidR="00CD37FD" w:rsidRPr="00626D32" w:rsidRDefault="00CD37FD" w:rsidP="00751345">
            <w:pPr>
              <w:pStyle w:val="BoxSpaceBelow"/>
            </w:pPr>
          </w:p>
        </w:tc>
      </w:tr>
    </w:tbl>
    <w:p w:rsidR="002C7822" w:rsidRDefault="002C7822" w:rsidP="00300EE5">
      <w:pPr>
        <w:pStyle w:val="Heading5"/>
        <w:rPr>
          <w:rStyle w:val="BodyTextChar"/>
        </w:rPr>
      </w:pPr>
      <w:r>
        <w:rPr>
          <w:rStyle w:val="BodyTextChar"/>
        </w:rPr>
        <w:t>Government recurrent expenditure per FTE student</w:t>
      </w:r>
    </w:p>
    <w:p w:rsidR="00666ECE" w:rsidRDefault="00666ECE" w:rsidP="00666ECE">
      <w:pPr>
        <w:spacing w:before="240" w:line="320" w:lineRule="atLeast"/>
        <w:jc w:val="both"/>
        <w:rPr>
          <w:rStyle w:val="BodyTextChar"/>
        </w:rPr>
      </w:pPr>
      <w:r w:rsidRPr="0089766B">
        <w:rPr>
          <w:rStyle w:val="BodyTextChar"/>
        </w:rPr>
        <w:t xml:space="preserve">Nationally </w:t>
      </w:r>
      <w:r w:rsidR="00326539" w:rsidRPr="0089766B">
        <w:rPr>
          <w:rStyle w:val="BodyTextChar"/>
        </w:rPr>
        <w:t>in 201</w:t>
      </w:r>
      <w:r w:rsidR="00683381">
        <w:rPr>
          <w:rStyle w:val="BodyTextChar"/>
        </w:rPr>
        <w:t>3</w:t>
      </w:r>
      <w:r w:rsidR="00326539" w:rsidRPr="0089766B">
        <w:rPr>
          <w:rStyle w:val="BodyTextChar"/>
        </w:rPr>
        <w:t>-1</w:t>
      </w:r>
      <w:r w:rsidR="00683381">
        <w:rPr>
          <w:rStyle w:val="BodyTextChar"/>
        </w:rPr>
        <w:t>4</w:t>
      </w:r>
      <w:r w:rsidR="00326539" w:rsidRPr="0089766B">
        <w:rPr>
          <w:rStyle w:val="BodyTextChar"/>
        </w:rPr>
        <w:t xml:space="preserve">, </w:t>
      </w:r>
      <w:r w:rsidRPr="0089766B">
        <w:rPr>
          <w:rStyle w:val="BodyTextChar"/>
        </w:rPr>
        <w:t>in-school government expenditure per FTE student was $</w:t>
      </w:r>
      <w:r w:rsidR="00683381">
        <w:rPr>
          <w:rStyle w:val="BodyTextChar"/>
        </w:rPr>
        <w:t>14 148</w:t>
      </w:r>
      <w:r w:rsidRPr="0089766B">
        <w:rPr>
          <w:rStyle w:val="BodyTextChar"/>
        </w:rPr>
        <w:t xml:space="preserve"> </w:t>
      </w:r>
      <w:r w:rsidR="00222956" w:rsidRPr="0089766B">
        <w:rPr>
          <w:rStyle w:val="BodyTextChar"/>
        </w:rPr>
        <w:t xml:space="preserve">in government primary schools </w:t>
      </w:r>
      <w:r w:rsidRPr="0089766B">
        <w:rPr>
          <w:rStyle w:val="BodyTextChar"/>
        </w:rPr>
        <w:t>and $</w:t>
      </w:r>
      <w:r w:rsidR="002B1D5E" w:rsidRPr="0089766B">
        <w:rPr>
          <w:rStyle w:val="BodyTextChar"/>
        </w:rPr>
        <w:t>1</w:t>
      </w:r>
      <w:r w:rsidR="00683381">
        <w:rPr>
          <w:rStyle w:val="BodyTextChar"/>
        </w:rPr>
        <w:t>7</w:t>
      </w:r>
      <w:r w:rsidRPr="0089766B">
        <w:rPr>
          <w:rStyle w:val="BodyTextChar"/>
        </w:rPr>
        <w:t> </w:t>
      </w:r>
      <w:r w:rsidR="00683381">
        <w:rPr>
          <w:rStyle w:val="BodyTextChar"/>
        </w:rPr>
        <w:t>607</w:t>
      </w:r>
      <w:r w:rsidR="00222956">
        <w:rPr>
          <w:rStyle w:val="BodyTextChar"/>
        </w:rPr>
        <w:t xml:space="preserve"> </w:t>
      </w:r>
      <w:r w:rsidR="00222956" w:rsidRPr="0089766B">
        <w:rPr>
          <w:rStyle w:val="BodyTextChar"/>
        </w:rPr>
        <w:t>in government secondary school</w:t>
      </w:r>
      <w:r w:rsidR="002C7822">
        <w:rPr>
          <w:rStyle w:val="BodyTextChar"/>
        </w:rPr>
        <w:t>s</w:t>
      </w:r>
      <w:r w:rsidRPr="0089766B">
        <w:rPr>
          <w:rStyle w:val="BodyTextChar"/>
        </w:rPr>
        <w:t>.</w:t>
      </w:r>
      <w:r w:rsidR="00222956">
        <w:rPr>
          <w:rStyle w:val="BodyTextChar"/>
        </w:rPr>
        <w:t xml:space="preserve"> </w:t>
      </w:r>
      <w:r w:rsidRPr="0089766B">
        <w:rPr>
          <w:rStyle w:val="BodyTextChar"/>
        </w:rPr>
        <w:t>Out</w:t>
      </w:r>
      <w:r w:rsidR="00683381">
        <w:rPr>
          <w:rStyle w:val="BodyTextChar"/>
        </w:rPr>
        <w:t>-of-</w:t>
      </w:r>
      <w:r w:rsidRPr="0089766B">
        <w:rPr>
          <w:rStyle w:val="BodyTextChar"/>
        </w:rPr>
        <w:t>school government expenditure per FTE student in all government schools was $</w:t>
      </w:r>
      <w:r w:rsidR="002B1D5E" w:rsidRPr="0089766B">
        <w:rPr>
          <w:rStyle w:val="BodyTextChar"/>
        </w:rPr>
        <w:t>7</w:t>
      </w:r>
      <w:r w:rsidR="00683381">
        <w:rPr>
          <w:rStyle w:val="BodyTextChar"/>
        </w:rPr>
        <w:t>20</w:t>
      </w:r>
      <w:r w:rsidRPr="0089766B">
        <w:rPr>
          <w:rStyle w:val="BodyTextChar"/>
        </w:rPr>
        <w:t xml:space="preserve"> (figure 4.1</w:t>
      </w:r>
      <w:r w:rsidR="00033D89">
        <w:rPr>
          <w:rStyle w:val="BodyTextChar"/>
        </w:rPr>
        <w:t>9</w:t>
      </w:r>
      <w:r w:rsidRPr="0089766B">
        <w:rPr>
          <w:rStyle w:val="BodyTextChar"/>
        </w:rPr>
        <w:t>).</w:t>
      </w:r>
    </w:p>
    <w:p w:rsidR="00222956" w:rsidRPr="0089766B" w:rsidRDefault="002C7822" w:rsidP="009C28C8">
      <w:pPr>
        <w:pStyle w:val="BodyText"/>
        <w:rPr>
          <w:rStyle w:val="BodyTextChar"/>
        </w:rPr>
      </w:pPr>
      <w:r>
        <w:t>Between 2009-10 and 2013-14, total g</w:t>
      </w:r>
      <w:r w:rsidR="00222956" w:rsidRPr="00666ECE">
        <w:t xml:space="preserve">overnment expenditure per FTE student in all government </w:t>
      </w:r>
      <w:r w:rsidR="00222956" w:rsidRPr="009738E5">
        <w:t xml:space="preserve">schools </w:t>
      </w:r>
      <w:r>
        <w:t>increased on average by 0.6 per cent annually</w:t>
      </w:r>
      <w:r w:rsidR="00222956" w:rsidRPr="00AF57AE">
        <w:t xml:space="preserve"> </w:t>
      </w:r>
      <w:r w:rsidR="00222956" w:rsidRPr="00666ECE">
        <w:t>(figure 4.</w:t>
      </w:r>
      <w:r w:rsidR="002E5EAF">
        <w:t>20</w:t>
      </w:r>
      <w:r w:rsidR="00222956" w:rsidRPr="00666ECE">
        <w:t>).</w:t>
      </w:r>
      <w:r w:rsidR="00222956">
        <w:t xml:space="preserve"> </w:t>
      </w:r>
    </w:p>
    <w:p w:rsidR="001E65D8" w:rsidRDefault="001E65D8" w:rsidP="001E65D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E65D8" w:rsidTr="001E65D8">
        <w:tc>
          <w:tcPr>
            <w:tcW w:w="8771" w:type="dxa"/>
            <w:tcBorders>
              <w:top w:val="single" w:sz="6" w:space="0" w:color="78A22F"/>
              <w:left w:val="nil"/>
              <w:bottom w:val="nil"/>
              <w:right w:val="nil"/>
            </w:tcBorders>
            <w:shd w:val="clear" w:color="auto" w:fill="auto"/>
          </w:tcPr>
          <w:p w:rsidR="001E65D8" w:rsidRPr="00176D3F" w:rsidRDefault="001E65D8" w:rsidP="002C7EF2">
            <w:pPr>
              <w:pStyle w:val="FigureTitle"/>
            </w:pPr>
            <w:r w:rsidRPr="00784A05">
              <w:rPr>
                <w:b w:val="0"/>
              </w:rPr>
              <w:t xml:space="preserve">Figure </w:t>
            </w:r>
            <w:r w:rsidR="00B70781">
              <w:rPr>
                <w:b w:val="0"/>
              </w:rPr>
              <w:t>4.</w:t>
            </w:r>
            <w:r w:rsidR="00FF4FBD">
              <w:rPr>
                <w:b w:val="0"/>
                <w:noProof/>
              </w:rPr>
              <w:t>19</w:t>
            </w:r>
            <w:r>
              <w:tab/>
            </w:r>
            <w:r w:rsidRPr="001E65D8">
              <w:t>Government recurrent expenditure per FTE student</w:t>
            </w:r>
            <w:r w:rsidR="00D37062">
              <w:t xml:space="preserve"> (including the user cost of capital)</w:t>
            </w:r>
            <w:r w:rsidRPr="001E65D8">
              <w:t>, government schools, 201</w:t>
            </w:r>
            <w:r w:rsidR="00683381">
              <w:t>3</w:t>
            </w:r>
            <w:r w:rsidRPr="001E65D8">
              <w:t>-1</w:t>
            </w:r>
            <w:r w:rsidR="00683381">
              <w:t>4</w:t>
            </w:r>
            <w:r w:rsidRPr="00490911">
              <w:rPr>
                <w:rStyle w:val="NoteLabel"/>
                <w:b/>
              </w:rPr>
              <w:t>a</w:t>
            </w:r>
          </w:p>
        </w:tc>
      </w:tr>
      <w:tr w:rsidR="001E65D8" w:rsidTr="001E65D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E65D8" w:rsidTr="001E65D8">
              <w:trPr>
                <w:jc w:val="center"/>
              </w:trPr>
              <w:tc>
                <w:tcPr>
                  <w:tcW w:w="5000" w:type="pct"/>
                  <w:tcBorders>
                    <w:top w:val="nil"/>
                    <w:bottom w:val="nil"/>
                  </w:tcBorders>
                </w:tcPr>
                <w:p w:rsidR="001E65D8" w:rsidRDefault="00494008" w:rsidP="001E65D8">
                  <w:pPr>
                    <w:pStyle w:val="Figure"/>
                    <w:spacing w:before="60" w:after="60"/>
                  </w:pPr>
                  <w:r>
                    <w:rPr>
                      <w:noProof/>
                    </w:rPr>
                    <w:drawing>
                      <wp:inline distT="0" distB="0" distL="0" distR="0">
                        <wp:extent cx="5381625" cy="2552700"/>
                        <wp:effectExtent l="0" t="0" r="9525" b="0"/>
                        <wp:docPr id="22" name="Picture 22" descr="Figure 4.19 Government recurrent expenditure per FTE student (including the user cost of capital), government school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81625" cy="2552700"/>
                                </a:xfrm>
                                <a:prstGeom prst="rect">
                                  <a:avLst/>
                                </a:prstGeom>
                                <a:noFill/>
                                <a:ln>
                                  <a:noFill/>
                                </a:ln>
                              </pic:spPr>
                            </pic:pic>
                          </a:graphicData>
                        </a:graphic>
                      </wp:inline>
                    </w:drawing>
                  </w:r>
                </w:p>
              </w:tc>
            </w:tr>
          </w:tbl>
          <w:p w:rsidR="001E65D8" w:rsidRDefault="001E65D8" w:rsidP="001E65D8">
            <w:pPr>
              <w:pStyle w:val="Figure"/>
            </w:pPr>
          </w:p>
        </w:tc>
      </w:tr>
      <w:tr w:rsidR="001E65D8" w:rsidRPr="00176D3F" w:rsidTr="001E65D8">
        <w:tc>
          <w:tcPr>
            <w:tcW w:w="8771" w:type="dxa"/>
            <w:tcBorders>
              <w:top w:val="nil"/>
              <w:left w:val="nil"/>
              <w:bottom w:val="nil"/>
              <w:right w:val="nil"/>
            </w:tcBorders>
            <w:shd w:val="clear" w:color="auto" w:fill="auto"/>
          </w:tcPr>
          <w:p w:rsidR="001E65D8" w:rsidRPr="00176D3F" w:rsidRDefault="005B3EDD" w:rsidP="003B7F27">
            <w:pPr>
              <w:pStyle w:val="Source"/>
            </w:pPr>
            <w:r w:rsidRPr="00953E9C">
              <w:rPr>
                <w:rStyle w:val="NoteLabel"/>
              </w:rPr>
              <w:t>a</w:t>
            </w:r>
            <w:r w:rsidRPr="00953E9C">
              <w:t xml:space="preserve"> </w:t>
            </w:r>
            <w:r w:rsidRPr="007C767F">
              <w:t xml:space="preserve">See </w:t>
            </w:r>
            <w:r>
              <w:t>box 4.</w:t>
            </w:r>
            <w:r w:rsidR="003B7F27">
              <w:t>7</w:t>
            </w:r>
            <w:r>
              <w:t xml:space="preserve"> and </w:t>
            </w:r>
            <w:r w:rsidRPr="007C767F">
              <w:t xml:space="preserve">table </w:t>
            </w:r>
            <w:r>
              <w:t>4A.14</w:t>
            </w:r>
            <w:r w:rsidRPr="007C767F">
              <w:t xml:space="preserve"> for detailed</w:t>
            </w:r>
            <w:r>
              <w:t xml:space="preserve"> </w:t>
            </w:r>
            <w:r w:rsidRPr="005B3EDD">
              <w:t>definitions, footnotes and caveats</w:t>
            </w:r>
            <w:r w:rsidRPr="007C767F">
              <w:t>.</w:t>
            </w:r>
          </w:p>
        </w:tc>
      </w:tr>
      <w:tr w:rsidR="001E65D8" w:rsidRPr="00176D3F" w:rsidTr="001E65D8">
        <w:tc>
          <w:tcPr>
            <w:tcW w:w="8771" w:type="dxa"/>
            <w:tcBorders>
              <w:top w:val="nil"/>
              <w:left w:val="nil"/>
              <w:bottom w:val="nil"/>
              <w:right w:val="nil"/>
            </w:tcBorders>
            <w:shd w:val="clear" w:color="auto" w:fill="auto"/>
          </w:tcPr>
          <w:p w:rsidR="001E65D8" w:rsidRPr="00176D3F" w:rsidRDefault="001E65D8" w:rsidP="00885E20">
            <w:pPr>
              <w:pStyle w:val="Source"/>
            </w:pPr>
            <w:r>
              <w:rPr>
                <w:i/>
              </w:rPr>
              <w:t>S</w:t>
            </w:r>
            <w:r w:rsidRPr="00784A05">
              <w:rPr>
                <w:i/>
              </w:rPr>
              <w:t>ource</w:t>
            </w:r>
            <w:r w:rsidRPr="00176D3F">
              <w:t xml:space="preserve">: </w:t>
            </w:r>
            <w:r w:rsidRPr="001E65D8">
              <w:t>ABS (201</w:t>
            </w:r>
            <w:r w:rsidR="00683381">
              <w:t>5</w:t>
            </w:r>
            <w:r w:rsidRPr="001E65D8">
              <w:t xml:space="preserve">) </w:t>
            </w:r>
            <w:r w:rsidRPr="001E65D8">
              <w:rPr>
                <w:i/>
              </w:rPr>
              <w:t>Schools Australia 201</w:t>
            </w:r>
            <w:r w:rsidR="00885E20">
              <w:rPr>
                <w:i/>
              </w:rPr>
              <w:t>4</w:t>
            </w:r>
            <w:r w:rsidRPr="001E65D8">
              <w:t xml:space="preserve">, Cat. no. 4221.0; </w:t>
            </w:r>
            <w:r w:rsidR="00490911">
              <w:t>Education Council</w:t>
            </w:r>
            <w:r w:rsidRPr="001E65D8">
              <w:t xml:space="preserve"> (unpublished) NSSC; table 4A.14.</w:t>
            </w:r>
          </w:p>
        </w:tc>
      </w:tr>
      <w:tr w:rsidR="001E65D8" w:rsidTr="001E65D8">
        <w:tc>
          <w:tcPr>
            <w:tcW w:w="8771" w:type="dxa"/>
            <w:tcBorders>
              <w:top w:val="nil"/>
              <w:left w:val="nil"/>
              <w:bottom w:val="single" w:sz="6" w:space="0" w:color="78A22F"/>
              <w:right w:val="nil"/>
            </w:tcBorders>
            <w:shd w:val="clear" w:color="auto" w:fill="auto"/>
          </w:tcPr>
          <w:p w:rsidR="001E65D8" w:rsidRDefault="001E65D8" w:rsidP="001E65D8">
            <w:pPr>
              <w:pStyle w:val="Figurespace"/>
            </w:pPr>
          </w:p>
        </w:tc>
      </w:tr>
      <w:tr w:rsidR="001E65D8" w:rsidRPr="000863A5" w:rsidTr="001E65D8">
        <w:tc>
          <w:tcPr>
            <w:tcW w:w="8771" w:type="dxa"/>
            <w:tcBorders>
              <w:top w:val="single" w:sz="6" w:space="0" w:color="78A22F"/>
              <w:left w:val="nil"/>
              <w:bottom w:val="nil"/>
              <w:right w:val="nil"/>
            </w:tcBorders>
          </w:tcPr>
          <w:p w:rsidR="001E65D8" w:rsidRPr="00626D32" w:rsidRDefault="001E65D8" w:rsidP="001E65D8">
            <w:pPr>
              <w:pStyle w:val="BoxSpaceBelow"/>
            </w:pPr>
          </w:p>
        </w:tc>
      </w:tr>
    </w:tbl>
    <w:p w:rsidR="001E65D8" w:rsidRDefault="001E65D8" w:rsidP="001E65D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E65D8" w:rsidTr="001E65D8">
        <w:tc>
          <w:tcPr>
            <w:tcW w:w="8771" w:type="dxa"/>
            <w:tcBorders>
              <w:top w:val="single" w:sz="6" w:space="0" w:color="78A22F"/>
              <w:left w:val="nil"/>
              <w:bottom w:val="nil"/>
              <w:right w:val="nil"/>
            </w:tcBorders>
            <w:shd w:val="clear" w:color="auto" w:fill="auto"/>
          </w:tcPr>
          <w:p w:rsidR="001E65D8" w:rsidRPr="00176D3F" w:rsidRDefault="001E65D8" w:rsidP="00D0359D">
            <w:pPr>
              <w:pStyle w:val="FigureTitle"/>
            </w:pPr>
            <w:r w:rsidRPr="00784A05">
              <w:rPr>
                <w:b w:val="0"/>
              </w:rPr>
              <w:t xml:space="preserve">Figure </w:t>
            </w:r>
            <w:r w:rsidR="00B70781">
              <w:rPr>
                <w:b w:val="0"/>
              </w:rPr>
              <w:t>4.</w:t>
            </w:r>
            <w:r w:rsidR="00FF4FBD">
              <w:rPr>
                <w:b w:val="0"/>
                <w:noProof/>
              </w:rPr>
              <w:t>20</w:t>
            </w:r>
            <w:r>
              <w:tab/>
            </w:r>
            <w:r w:rsidRPr="001E65D8">
              <w:t>Government real recurrent expenditure per FTE student</w:t>
            </w:r>
            <w:r w:rsidR="00D37062">
              <w:t xml:space="preserve"> (including the user cost of capital)</w:t>
            </w:r>
            <w:r w:rsidRPr="001E65D8">
              <w:t>, government schools</w:t>
            </w:r>
            <w:r w:rsidR="00222956">
              <w:t xml:space="preserve">, </w:t>
            </w:r>
            <w:r w:rsidRPr="001E65D8">
              <w:t>(201</w:t>
            </w:r>
            <w:r w:rsidR="00683381">
              <w:t>3</w:t>
            </w:r>
            <w:r w:rsidRPr="001E65D8">
              <w:t>-1</w:t>
            </w:r>
            <w:r w:rsidR="00683381">
              <w:t>4</w:t>
            </w:r>
            <w:r w:rsidRPr="001E65D8">
              <w:t xml:space="preserve"> dollars)</w:t>
            </w:r>
            <w:r w:rsidRPr="00490911">
              <w:rPr>
                <w:rStyle w:val="NoteLabel"/>
                <w:b/>
              </w:rPr>
              <w:t>a</w:t>
            </w:r>
            <w:r w:rsidRPr="001E65D8">
              <w:t xml:space="preserve"> </w:t>
            </w:r>
          </w:p>
        </w:tc>
      </w:tr>
      <w:tr w:rsidR="001E65D8" w:rsidTr="001E65D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E65D8" w:rsidTr="00770673">
              <w:trPr>
                <w:trHeight w:val="4282"/>
                <w:jc w:val="center"/>
              </w:trPr>
              <w:tc>
                <w:tcPr>
                  <w:tcW w:w="5000" w:type="pct"/>
                  <w:tcBorders>
                    <w:top w:val="nil"/>
                    <w:bottom w:val="nil"/>
                  </w:tcBorders>
                </w:tcPr>
                <w:p w:rsidR="001E65D8" w:rsidRDefault="00494008" w:rsidP="001E65D8">
                  <w:pPr>
                    <w:pStyle w:val="Figure"/>
                    <w:spacing w:before="60" w:after="60"/>
                  </w:pPr>
                  <w:r>
                    <w:rPr>
                      <w:noProof/>
                    </w:rPr>
                    <w:drawing>
                      <wp:inline distT="0" distB="0" distL="0" distR="0">
                        <wp:extent cx="5353050" cy="2638425"/>
                        <wp:effectExtent l="0" t="0" r="0" b="9525"/>
                        <wp:docPr id="23" name="Picture 23" descr="Figure 4.20 Government real recurrent expenditure per FTE student (including the user cost of capital), government schools, (2013-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53050" cy="2638425"/>
                                </a:xfrm>
                                <a:prstGeom prst="rect">
                                  <a:avLst/>
                                </a:prstGeom>
                                <a:noFill/>
                                <a:ln>
                                  <a:noFill/>
                                </a:ln>
                              </pic:spPr>
                            </pic:pic>
                          </a:graphicData>
                        </a:graphic>
                      </wp:inline>
                    </w:drawing>
                  </w:r>
                </w:p>
              </w:tc>
            </w:tr>
          </w:tbl>
          <w:p w:rsidR="001E65D8" w:rsidRDefault="001E65D8" w:rsidP="001E65D8">
            <w:pPr>
              <w:pStyle w:val="Figure"/>
            </w:pPr>
          </w:p>
        </w:tc>
      </w:tr>
      <w:tr w:rsidR="001E65D8" w:rsidRPr="00176D3F" w:rsidTr="001E65D8">
        <w:tc>
          <w:tcPr>
            <w:tcW w:w="8771" w:type="dxa"/>
            <w:tcBorders>
              <w:top w:val="nil"/>
              <w:left w:val="nil"/>
              <w:bottom w:val="nil"/>
              <w:right w:val="nil"/>
            </w:tcBorders>
            <w:shd w:val="clear" w:color="auto" w:fill="auto"/>
          </w:tcPr>
          <w:p w:rsidR="001E65D8" w:rsidRPr="00176D3F" w:rsidRDefault="005B3EDD" w:rsidP="00496590">
            <w:pPr>
              <w:pStyle w:val="Source"/>
            </w:pPr>
            <w:r w:rsidRPr="00953E9C">
              <w:rPr>
                <w:rStyle w:val="NoteLabel"/>
              </w:rPr>
              <w:t>a</w:t>
            </w:r>
            <w:r w:rsidRPr="00953E9C">
              <w:t xml:space="preserve"> </w:t>
            </w:r>
            <w:r w:rsidRPr="007C767F">
              <w:t xml:space="preserve">See </w:t>
            </w:r>
            <w:r>
              <w:t>box 4.</w:t>
            </w:r>
            <w:r w:rsidR="00496590">
              <w:t>7</w:t>
            </w:r>
            <w:r>
              <w:t xml:space="preserve"> and </w:t>
            </w:r>
            <w:r w:rsidRPr="007C767F">
              <w:t xml:space="preserve">table </w:t>
            </w:r>
            <w:r>
              <w:t>4A.12</w:t>
            </w:r>
            <w:r w:rsidRPr="007C767F">
              <w:t xml:space="preserve"> for detailed</w:t>
            </w:r>
            <w:r>
              <w:t xml:space="preserve"> </w:t>
            </w:r>
            <w:r w:rsidRPr="005B3EDD">
              <w:t>definitions, footnotes and caveats</w:t>
            </w:r>
            <w:r w:rsidRPr="007C767F">
              <w:t>.</w:t>
            </w:r>
          </w:p>
        </w:tc>
      </w:tr>
      <w:tr w:rsidR="001E65D8" w:rsidRPr="00176D3F" w:rsidTr="001E65D8">
        <w:tc>
          <w:tcPr>
            <w:tcW w:w="8771" w:type="dxa"/>
            <w:tcBorders>
              <w:top w:val="nil"/>
              <w:left w:val="nil"/>
              <w:bottom w:val="nil"/>
              <w:right w:val="nil"/>
            </w:tcBorders>
            <w:shd w:val="clear" w:color="auto" w:fill="auto"/>
          </w:tcPr>
          <w:p w:rsidR="001E65D8" w:rsidRPr="00176D3F" w:rsidRDefault="001E65D8" w:rsidP="00EA224B">
            <w:pPr>
              <w:pStyle w:val="Source"/>
            </w:pPr>
            <w:r>
              <w:rPr>
                <w:i/>
              </w:rPr>
              <w:t>S</w:t>
            </w:r>
            <w:r w:rsidRPr="00784A05">
              <w:rPr>
                <w:i/>
              </w:rPr>
              <w:t>ource</w:t>
            </w:r>
            <w:r w:rsidRPr="00176D3F">
              <w:t xml:space="preserve">: </w:t>
            </w:r>
            <w:r w:rsidRPr="001E65D8">
              <w:t>ABS (201</w:t>
            </w:r>
            <w:r w:rsidR="00683381">
              <w:t>5</w:t>
            </w:r>
            <w:r w:rsidRPr="001E65D8">
              <w:t xml:space="preserve">) </w:t>
            </w:r>
            <w:r w:rsidRPr="001E65D8">
              <w:rPr>
                <w:i/>
              </w:rPr>
              <w:t>Schools Australia 201</w:t>
            </w:r>
            <w:r w:rsidR="00683381">
              <w:rPr>
                <w:i/>
              </w:rPr>
              <w:t>4</w:t>
            </w:r>
            <w:r w:rsidRPr="001E65D8">
              <w:t xml:space="preserve">, Cat. no. 4221.0; </w:t>
            </w:r>
            <w:r w:rsidR="00490911">
              <w:t>Education Council</w:t>
            </w:r>
            <w:r w:rsidRPr="001E65D8">
              <w:t xml:space="preserve"> (unpublished) NSSC; table</w:t>
            </w:r>
            <w:r w:rsidR="00EA224B">
              <w:t>s</w:t>
            </w:r>
            <w:r w:rsidRPr="001E65D8">
              <w:t xml:space="preserve"> 4A.12</w:t>
            </w:r>
            <w:r w:rsidR="00EA224B">
              <w:t xml:space="preserve"> and</w:t>
            </w:r>
            <w:r w:rsidR="00757B2F">
              <w:t xml:space="preserve"> 4A.139</w:t>
            </w:r>
            <w:r w:rsidRPr="001E65D8">
              <w:t>.</w:t>
            </w:r>
          </w:p>
        </w:tc>
      </w:tr>
      <w:tr w:rsidR="001E65D8" w:rsidTr="001E65D8">
        <w:tc>
          <w:tcPr>
            <w:tcW w:w="8771" w:type="dxa"/>
            <w:tcBorders>
              <w:top w:val="nil"/>
              <w:left w:val="nil"/>
              <w:bottom w:val="single" w:sz="6" w:space="0" w:color="78A22F"/>
              <w:right w:val="nil"/>
            </w:tcBorders>
            <w:shd w:val="clear" w:color="auto" w:fill="auto"/>
          </w:tcPr>
          <w:p w:rsidR="001E65D8" w:rsidRDefault="001E65D8" w:rsidP="001E65D8">
            <w:pPr>
              <w:pStyle w:val="Figurespace"/>
            </w:pPr>
          </w:p>
        </w:tc>
      </w:tr>
      <w:tr w:rsidR="001E65D8" w:rsidRPr="000863A5" w:rsidTr="001E65D8">
        <w:tc>
          <w:tcPr>
            <w:tcW w:w="8771" w:type="dxa"/>
            <w:tcBorders>
              <w:top w:val="single" w:sz="6" w:space="0" w:color="78A22F"/>
              <w:left w:val="nil"/>
              <w:bottom w:val="nil"/>
              <w:right w:val="nil"/>
            </w:tcBorders>
          </w:tcPr>
          <w:p w:rsidR="001E65D8" w:rsidRPr="00626D32" w:rsidRDefault="001E65D8" w:rsidP="001E65D8">
            <w:pPr>
              <w:pStyle w:val="BoxSpaceBelow"/>
            </w:pPr>
          </w:p>
        </w:tc>
      </w:tr>
    </w:tbl>
    <w:p w:rsidR="002C7822" w:rsidRDefault="00666ECE" w:rsidP="00442792">
      <w:pPr>
        <w:pStyle w:val="BodyText"/>
        <w:rPr>
          <w:shd w:val="clear" w:color="auto" w:fill="FFFFFF" w:themeFill="background1"/>
        </w:rPr>
      </w:pPr>
      <w:r w:rsidRPr="00666ECE">
        <w:t>Nationally</w:t>
      </w:r>
      <w:r w:rsidR="00326539">
        <w:t xml:space="preserve"> in 201</w:t>
      </w:r>
      <w:r w:rsidR="00683381">
        <w:t>3</w:t>
      </w:r>
      <w:r w:rsidR="00326539">
        <w:t>-</w:t>
      </w:r>
      <w:r w:rsidR="00326539" w:rsidRPr="006216A4">
        <w:t>1</w:t>
      </w:r>
      <w:r w:rsidR="00683381">
        <w:t>4</w:t>
      </w:r>
      <w:r w:rsidRPr="006216A4">
        <w:t xml:space="preserve">, government </w:t>
      </w:r>
      <w:r w:rsidRPr="00442792">
        <w:rPr>
          <w:shd w:val="clear" w:color="auto" w:fill="FFFFFF" w:themeFill="background1"/>
        </w:rPr>
        <w:t>expenditure per FTE student in all non</w:t>
      </w:r>
      <w:r w:rsidR="003F0641" w:rsidRPr="00442792">
        <w:rPr>
          <w:shd w:val="clear" w:color="auto" w:fill="FFFFFF" w:themeFill="background1"/>
        </w:rPr>
        <w:noBreakHyphen/>
      </w:r>
      <w:r w:rsidRPr="00442792">
        <w:rPr>
          <w:shd w:val="clear" w:color="auto" w:fill="FFFFFF" w:themeFill="background1"/>
        </w:rPr>
        <w:t>government schools was $</w:t>
      </w:r>
      <w:r w:rsidR="00D0359D" w:rsidRPr="00442792">
        <w:rPr>
          <w:shd w:val="clear" w:color="auto" w:fill="FFFFFF" w:themeFill="background1"/>
        </w:rPr>
        <w:t>9</w:t>
      </w:r>
      <w:r w:rsidR="00BA3744" w:rsidRPr="00442792">
        <w:rPr>
          <w:shd w:val="clear" w:color="auto" w:fill="FFFFFF" w:themeFill="background1"/>
        </w:rPr>
        <w:t>327</w:t>
      </w:r>
      <w:r w:rsidRPr="00442792">
        <w:rPr>
          <w:shd w:val="clear" w:color="auto" w:fill="FFFFFF" w:themeFill="background1"/>
        </w:rPr>
        <w:t xml:space="preserve">. </w:t>
      </w:r>
      <w:bookmarkStart w:id="23" w:name="OLE_LINK79"/>
      <w:bookmarkStart w:id="24" w:name="OLE_LINK80"/>
      <w:r w:rsidRPr="00442792">
        <w:rPr>
          <w:shd w:val="clear" w:color="auto" w:fill="FFFFFF" w:themeFill="background1"/>
        </w:rPr>
        <w:t>It increased in aver</w:t>
      </w:r>
      <w:r w:rsidRPr="0078036C">
        <w:rPr>
          <w:shd w:val="clear" w:color="auto" w:fill="FFFFFF" w:themeFill="background1"/>
        </w:rPr>
        <w:t>age</w:t>
      </w:r>
      <w:r w:rsidR="00292174" w:rsidRPr="0078036C">
        <w:rPr>
          <w:shd w:val="clear" w:color="auto" w:fill="FFFFFF" w:themeFill="background1"/>
        </w:rPr>
        <w:t xml:space="preserve"> annual real terms between 200</w:t>
      </w:r>
      <w:r w:rsidR="00683381">
        <w:rPr>
          <w:shd w:val="clear" w:color="auto" w:fill="FFFFFF" w:themeFill="background1"/>
        </w:rPr>
        <w:t>9</w:t>
      </w:r>
      <w:r w:rsidR="00292174" w:rsidRPr="0078036C">
        <w:rPr>
          <w:shd w:val="clear" w:color="auto" w:fill="FFFFFF" w:themeFill="background1"/>
        </w:rPr>
        <w:t>-</w:t>
      </w:r>
      <w:r w:rsidR="00683381">
        <w:rPr>
          <w:shd w:val="clear" w:color="auto" w:fill="FFFFFF" w:themeFill="background1"/>
        </w:rPr>
        <w:t>10</w:t>
      </w:r>
      <w:r w:rsidRPr="0078036C">
        <w:rPr>
          <w:shd w:val="clear" w:color="auto" w:fill="FFFFFF" w:themeFill="background1"/>
        </w:rPr>
        <w:t xml:space="preserve"> and 201</w:t>
      </w:r>
      <w:r w:rsidR="00683381">
        <w:rPr>
          <w:shd w:val="clear" w:color="auto" w:fill="FFFFFF" w:themeFill="background1"/>
        </w:rPr>
        <w:t>3</w:t>
      </w:r>
      <w:r w:rsidR="008B5ED3">
        <w:rPr>
          <w:shd w:val="clear" w:color="auto" w:fill="FFFFFF" w:themeFill="background1"/>
        </w:rPr>
        <w:noBreakHyphen/>
      </w:r>
      <w:r w:rsidRPr="0078036C">
        <w:rPr>
          <w:shd w:val="clear" w:color="auto" w:fill="FFFFFF" w:themeFill="background1"/>
        </w:rPr>
        <w:t>1</w:t>
      </w:r>
      <w:r w:rsidR="00683381">
        <w:rPr>
          <w:shd w:val="clear" w:color="auto" w:fill="FFFFFF" w:themeFill="background1"/>
        </w:rPr>
        <w:t>4</w:t>
      </w:r>
      <w:r w:rsidRPr="0078036C">
        <w:rPr>
          <w:shd w:val="clear" w:color="auto" w:fill="FFFFFF" w:themeFill="background1"/>
        </w:rPr>
        <w:t xml:space="preserve"> </w:t>
      </w:r>
      <w:r w:rsidRPr="00D0359D">
        <w:rPr>
          <w:shd w:val="clear" w:color="auto" w:fill="FFFFFF" w:themeFill="background1"/>
        </w:rPr>
        <w:t xml:space="preserve">by </w:t>
      </w:r>
      <w:r w:rsidR="00D0359D" w:rsidRPr="00D0359D">
        <w:rPr>
          <w:shd w:val="clear" w:color="auto" w:fill="FFFFFF" w:themeFill="background1"/>
        </w:rPr>
        <w:t>3.4</w:t>
      </w:r>
      <w:r w:rsidRPr="00D0359D">
        <w:rPr>
          <w:shd w:val="clear" w:color="auto" w:fill="FFFFFF" w:themeFill="background1"/>
        </w:rPr>
        <w:t xml:space="preserve"> per</w:t>
      </w:r>
      <w:r w:rsidRPr="0078036C">
        <w:rPr>
          <w:shd w:val="clear" w:color="auto" w:fill="FFFFFF" w:themeFill="background1"/>
        </w:rPr>
        <w:t xml:space="preserve"> cent</w:t>
      </w:r>
      <w:r w:rsidRPr="00104AF2">
        <w:rPr>
          <w:shd w:val="clear" w:color="auto" w:fill="FFFFFF" w:themeFill="background1"/>
        </w:rPr>
        <w:t xml:space="preserve"> per year (figure 4.</w:t>
      </w:r>
      <w:r w:rsidR="00033D89">
        <w:rPr>
          <w:shd w:val="clear" w:color="auto" w:fill="FFFFFF" w:themeFill="background1"/>
        </w:rPr>
        <w:t>21</w:t>
      </w:r>
      <w:r w:rsidRPr="00104AF2">
        <w:rPr>
          <w:shd w:val="clear" w:color="auto" w:fill="FFFFFF" w:themeFill="background1"/>
        </w:rPr>
        <w:t>).</w:t>
      </w:r>
    </w:p>
    <w:p w:rsidR="00300EE5" w:rsidRDefault="00300EE5" w:rsidP="00300EE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0EE5" w:rsidTr="00300EE5">
        <w:tc>
          <w:tcPr>
            <w:tcW w:w="8771" w:type="dxa"/>
            <w:tcBorders>
              <w:top w:val="single" w:sz="6" w:space="0" w:color="78A22F"/>
              <w:left w:val="nil"/>
              <w:bottom w:val="nil"/>
              <w:right w:val="nil"/>
            </w:tcBorders>
            <w:shd w:val="clear" w:color="auto" w:fill="FFFFFF" w:themeFill="background1"/>
          </w:tcPr>
          <w:p w:rsidR="00300EE5" w:rsidRPr="00176D3F" w:rsidRDefault="00300EE5" w:rsidP="00300EE5">
            <w:pPr>
              <w:pStyle w:val="FigureTitle"/>
            </w:pPr>
            <w:r w:rsidRPr="00784A05">
              <w:rPr>
                <w:b w:val="0"/>
              </w:rPr>
              <w:t xml:space="preserve">Figure </w:t>
            </w:r>
            <w:r>
              <w:rPr>
                <w:b w:val="0"/>
              </w:rPr>
              <w:t>4.</w:t>
            </w:r>
            <w:r w:rsidR="00FF4FBD">
              <w:rPr>
                <w:b w:val="0"/>
                <w:noProof/>
              </w:rPr>
              <w:t>21</w:t>
            </w:r>
            <w:r>
              <w:tab/>
            </w:r>
            <w:r w:rsidRPr="001E65D8">
              <w:t>Government real recurrent expenditure per FTE student, non</w:t>
            </w:r>
            <w:r w:rsidRPr="001E65D8">
              <w:noBreakHyphen/>
              <w:t>government schools (20</w:t>
            </w:r>
            <w:r>
              <w:t>13</w:t>
            </w:r>
            <w:r w:rsidRPr="001E65D8">
              <w:t>-1</w:t>
            </w:r>
            <w:r>
              <w:t>4</w:t>
            </w:r>
            <w:r w:rsidRPr="001E65D8">
              <w:t xml:space="preserve"> dollars)</w:t>
            </w:r>
            <w:r w:rsidRPr="00490911">
              <w:rPr>
                <w:rStyle w:val="NoteLabel"/>
                <w:b/>
              </w:rPr>
              <w:t>a</w:t>
            </w:r>
          </w:p>
        </w:tc>
      </w:tr>
      <w:tr w:rsidR="00300EE5" w:rsidTr="006F489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00EE5" w:rsidTr="006F4899">
              <w:trPr>
                <w:jc w:val="center"/>
              </w:trPr>
              <w:tc>
                <w:tcPr>
                  <w:tcW w:w="5000" w:type="pct"/>
                  <w:tcBorders>
                    <w:top w:val="nil"/>
                    <w:bottom w:val="nil"/>
                  </w:tcBorders>
                </w:tcPr>
                <w:p w:rsidR="00300EE5" w:rsidRDefault="00494008" w:rsidP="006F4899">
                  <w:pPr>
                    <w:pStyle w:val="Figure"/>
                    <w:spacing w:before="60" w:after="60"/>
                  </w:pPr>
                  <w:r>
                    <w:rPr>
                      <w:noProof/>
                    </w:rPr>
                    <w:drawing>
                      <wp:inline distT="0" distB="0" distL="0" distR="0">
                        <wp:extent cx="5381625" cy="2647950"/>
                        <wp:effectExtent l="0" t="0" r="9525" b="0"/>
                        <wp:docPr id="24" name="Picture 24" descr="Figure 4.21 Government real recurrent expenditure per FTE student, non government schools (2013-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300EE5" w:rsidRDefault="00300EE5" w:rsidP="006F4899">
            <w:pPr>
              <w:pStyle w:val="Figure"/>
            </w:pPr>
          </w:p>
        </w:tc>
      </w:tr>
      <w:tr w:rsidR="00300EE5" w:rsidRPr="00176D3F" w:rsidTr="006F4899">
        <w:tc>
          <w:tcPr>
            <w:tcW w:w="8771" w:type="dxa"/>
            <w:tcBorders>
              <w:top w:val="nil"/>
              <w:left w:val="nil"/>
              <w:bottom w:val="nil"/>
              <w:right w:val="nil"/>
            </w:tcBorders>
            <w:shd w:val="clear" w:color="auto" w:fill="auto"/>
          </w:tcPr>
          <w:p w:rsidR="00300EE5" w:rsidRPr="00176D3F" w:rsidRDefault="00300EE5" w:rsidP="00496590">
            <w:pPr>
              <w:pStyle w:val="Source"/>
            </w:pPr>
            <w:r>
              <w:rPr>
                <w:rStyle w:val="NoteLabel"/>
              </w:rPr>
              <w:t>a</w:t>
            </w:r>
            <w:r>
              <w:t xml:space="preserve"> </w:t>
            </w:r>
            <w:r w:rsidR="005B3EDD" w:rsidRPr="007C767F">
              <w:t xml:space="preserve">See </w:t>
            </w:r>
            <w:r w:rsidR="005B3EDD">
              <w:t>box 4.</w:t>
            </w:r>
            <w:r w:rsidR="00496590">
              <w:t>7</w:t>
            </w:r>
            <w:r w:rsidR="005B3EDD">
              <w:t xml:space="preserve"> and </w:t>
            </w:r>
            <w:r w:rsidR="005B3EDD" w:rsidRPr="007C767F">
              <w:t xml:space="preserve">table </w:t>
            </w:r>
            <w:r w:rsidR="005B3EDD">
              <w:t>4A.15</w:t>
            </w:r>
            <w:r w:rsidR="005B3EDD" w:rsidRPr="007C767F">
              <w:t xml:space="preserve"> for detailed</w:t>
            </w:r>
            <w:r w:rsidR="005B3EDD">
              <w:t xml:space="preserve"> </w:t>
            </w:r>
            <w:r w:rsidR="005B3EDD" w:rsidRPr="005B3EDD">
              <w:t>definitions, footnotes and caveats</w:t>
            </w:r>
            <w:r w:rsidR="005B3EDD" w:rsidRPr="007C767F">
              <w:t>.</w:t>
            </w:r>
          </w:p>
        </w:tc>
      </w:tr>
      <w:tr w:rsidR="00300EE5" w:rsidRPr="00176D3F" w:rsidTr="006F4899">
        <w:tc>
          <w:tcPr>
            <w:tcW w:w="8771" w:type="dxa"/>
            <w:tcBorders>
              <w:top w:val="nil"/>
              <w:left w:val="nil"/>
              <w:bottom w:val="nil"/>
              <w:right w:val="nil"/>
            </w:tcBorders>
            <w:shd w:val="clear" w:color="auto" w:fill="auto"/>
          </w:tcPr>
          <w:p w:rsidR="00300EE5" w:rsidRPr="00176D3F" w:rsidRDefault="00300EE5" w:rsidP="00EA224B">
            <w:pPr>
              <w:pStyle w:val="Source"/>
            </w:pPr>
            <w:r>
              <w:rPr>
                <w:i/>
              </w:rPr>
              <w:t>S</w:t>
            </w:r>
            <w:r w:rsidRPr="00784A05">
              <w:rPr>
                <w:i/>
              </w:rPr>
              <w:t>ource</w:t>
            </w:r>
            <w:r w:rsidRPr="00176D3F">
              <w:t xml:space="preserve">: </w:t>
            </w:r>
            <w:r w:rsidRPr="001E65D8">
              <w:t>ABS (201</w:t>
            </w:r>
            <w:r>
              <w:t>5</w:t>
            </w:r>
            <w:r w:rsidRPr="001E65D8">
              <w:t xml:space="preserve">) </w:t>
            </w:r>
            <w:r w:rsidRPr="001E65D8">
              <w:rPr>
                <w:i/>
              </w:rPr>
              <w:t>Schools Australia 201</w:t>
            </w:r>
            <w:r>
              <w:rPr>
                <w:i/>
              </w:rPr>
              <w:t>4</w:t>
            </w:r>
            <w:r w:rsidRPr="001E65D8">
              <w:t>, Cat. no. 4221.0; Australian Government Department of Education</w:t>
            </w:r>
            <w:r w:rsidR="00A74B5F">
              <w:t xml:space="preserve"> and Training</w:t>
            </w:r>
            <w:r w:rsidRPr="001E65D8">
              <w:t xml:space="preserve"> (unpublished); State and Territory governments (unpublished); table</w:t>
            </w:r>
            <w:r w:rsidR="00EA224B">
              <w:t>s</w:t>
            </w:r>
            <w:r w:rsidRPr="001E65D8">
              <w:t xml:space="preserve"> 4A.15</w:t>
            </w:r>
            <w:r w:rsidR="00EA224B">
              <w:t xml:space="preserve"> and </w:t>
            </w:r>
            <w:r w:rsidR="00757B2F">
              <w:t>4A.139</w:t>
            </w:r>
            <w:r w:rsidRPr="001E65D8">
              <w:t>.</w:t>
            </w:r>
          </w:p>
        </w:tc>
      </w:tr>
      <w:tr w:rsidR="00300EE5" w:rsidTr="006F4899">
        <w:tc>
          <w:tcPr>
            <w:tcW w:w="8771" w:type="dxa"/>
            <w:tcBorders>
              <w:top w:val="nil"/>
              <w:left w:val="nil"/>
              <w:bottom w:val="single" w:sz="6" w:space="0" w:color="78A22F"/>
              <w:right w:val="nil"/>
            </w:tcBorders>
            <w:shd w:val="clear" w:color="auto" w:fill="auto"/>
          </w:tcPr>
          <w:p w:rsidR="00300EE5" w:rsidRDefault="00300EE5" w:rsidP="006F4899">
            <w:pPr>
              <w:pStyle w:val="Figurespace"/>
            </w:pPr>
          </w:p>
        </w:tc>
      </w:tr>
      <w:tr w:rsidR="00300EE5" w:rsidRPr="000863A5" w:rsidTr="006F4899">
        <w:tc>
          <w:tcPr>
            <w:tcW w:w="8771" w:type="dxa"/>
            <w:tcBorders>
              <w:top w:val="single" w:sz="6" w:space="0" w:color="78A22F"/>
              <w:left w:val="nil"/>
              <w:bottom w:val="nil"/>
              <w:right w:val="nil"/>
            </w:tcBorders>
          </w:tcPr>
          <w:p w:rsidR="00300EE5" w:rsidRPr="00626D32" w:rsidRDefault="00300EE5" w:rsidP="006F4899">
            <w:pPr>
              <w:pStyle w:val="BoxSpaceBelow"/>
            </w:pPr>
          </w:p>
        </w:tc>
      </w:tr>
    </w:tbl>
    <w:bookmarkEnd w:id="23"/>
    <w:bookmarkEnd w:id="24"/>
    <w:p w:rsidR="009738E5" w:rsidRDefault="00666ECE" w:rsidP="00442792">
      <w:pPr>
        <w:pStyle w:val="BodyText"/>
        <w:rPr>
          <w:shd w:val="clear" w:color="auto" w:fill="FFFFFF" w:themeFill="background1"/>
        </w:rPr>
      </w:pPr>
      <w:r w:rsidRPr="00666ECE">
        <w:t xml:space="preserve">Nationally </w:t>
      </w:r>
      <w:r w:rsidR="00292174">
        <w:t>in 201</w:t>
      </w:r>
      <w:r w:rsidR="002E6DEC">
        <w:t>3</w:t>
      </w:r>
      <w:r w:rsidR="00292174">
        <w:t>-1</w:t>
      </w:r>
      <w:r w:rsidR="002E6DEC">
        <w:t>4</w:t>
      </w:r>
      <w:r w:rsidR="00292174">
        <w:t xml:space="preserve">, </w:t>
      </w:r>
      <w:r w:rsidRPr="00666ECE">
        <w:t xml:space="preserve">government recurrent </w:t>
      </w:r>
      <w:r w:rsidRPr="006216A4">
        <w:t>expenditure per FTE student in all schools (government plus non-</w:t>
      </w:r>
      <w:r w:rsidRPr="00104AF2">
        <w:rPr>
          <w:shd w:val="clear" w:color="auto" w:fill="FFFFFF" w:themeFill="background1"/>
        </w:rPr>
        <w:t xml:space="preserve">government) </w:t>
      </w:r>
      <w:r w:rsidRPr="000210F5">
        <w:rPr>
          <w:shd w:val="clear" w:color="auto" w:fill="FFFFFF" w:themeFill="background1"/>
        </w:rPr>
        <w:t xml:space="preserve">was </w:t>
      </w:r>
      <w:r w:rsidRPr="00442792">
        <w:rPr>
          <w:shd w:val="clear" w:color="auto" w:fill="FFFFFF" w:themeFill="background1"/>
        </w:rPr>
        <w:t>$</w:t>
      </w:r>
      <w:r w:rsidR="000210F5" w:rsidRPr="00442792">
        <w:rPr>
          <w:shd w:val="clear" w:color="auto" w:fill="FFFFFF" w:themeFill="background1"/>
        </w:rPr>
        <w:t>13 7</w:t>
      </w:r>
      <w:r w:rsidR="00BA3744" w:rsidRPr="00442792">
        <w:rPr>
          <w:shd w:val="clear" w:color="auto" w:fill="FFFFFF" w:themeFill="background1"/>
        </w:rPr>
        <w:t>8</w:t>
      </w:r>
      <w:r w:rsidR="000210F5" w:rsidRPr="00442792">
        <w:rPr>
          <w:shd w:val="clear" w:color="auto" w:fill="FFFFFF" w:themeFill="background1"/>
        </w:rPr>
        <w:t>3</w:t>
      </w:r>
      <w:r w:rsidRPr="00442792">
        <w:rPr>
          <w:shd w:val="clear" w:color="auto" w:fill="FFFFFF" w:themeFill="background1"/>
        </w:rPr>
        <w:t>. It</w:t>
      </w:r>
      <w:r w:rsidRPr="000210F5">
        <w:rPr>
          <w:shd w:val="clear" w:color="auto" w:fill="FFFFFF" w:themeFill="background1"/>
        </w:rPr>
        <w:t xml:space="preserve"> increased </w:t>
      </w:r>
      <w:r w:rsidR="00AC290D" w:rsidRPr="000210F5">
        <w:rPr>
          <w:shd w:val="clear" w:color="auto" w:fill="FFFFFF" w:themeFill="background1"/>
        </w:rPr>
        <w:t>in average annual real terms</w:t>
      </w:r>
      <w:r w:rsidRPr="000210F5">
        <w:rPr>
          <w:shd w:val="clear" w:color="auto" w:fill="FFFFFF" w:themeFill="background1"/>
        </w:rPr>
        <w:t xml:space="preserve"> between 200</w:t>
      </w:r>
      <w:r w:rsidR="002E6DEC" w:rsidRPr="000210F5">
        <w:rPr>
          <w:shd w:val="clear" w:color="auto" w:fill="FFFFFF" w:themeFill="background1"/>
        </w:rPr>
        <w:t>9</w:t>
      </w:r>
      <w:r w:rsidRPr="000210F5">
        <w:rPr>
          <w:shd w:val="clear" w:color="auto" w:fill="FFFFFF" w:themeFill="background1"/>
        </w:rPr>
        <w:t>-</w:t>
      </w:r>
      <w:r w:rsidR="002E6DEC" w:rsidRPr="000210F5">
        <w:rPr>
          <w:shd w:val="clear" w:color="auto" w:fill="FFFFFF" w:themeFill="background1"/>
        </w:rPr>
        <w:t>10</w:t>
      </w:r>
      <w:r w:rsidRPr="000210F5">
        <w:rPr>
          <w:shd w:val="clear" w:color="auto" w:fill="FFFFFF" w:themeFill="background1"/>
        </w:rPr>
        <w:t xml:space="preserve"> and 201</w:t>
      </w:r>
      <w:r w:rsidR="002E6DEC" w:rsidRPr="000210F5">
        <w:rPr>
          <w:shd w:val="clear" w:color="auto" w:fill="FFFFFF" w:themeFill="background1"/>
        </w:rPr>
        <w:t>3</w:t>
      </w:r>
      <w:r w:rsidRPr="000210F5">
        <w:rPr>
          <w:shd w:val="clear" w:color="auto" w:fill="FFFFFF" w:themeFill="background1"/>
        </w:rPr>
        <w:t>-1</w:t>
      </w:r>
      <w:r w:rsidR="002E6DEC" w:rsidRPr="000210F5">
        <w:rPr>
          <w:shd w:val="clear" w:color="auto" w:fill="FFFFFF" w:themeFill="background1"/>
        </w:rPr>
        <w:t>4</w:t>
      </w:r>
      <w:r w:rsidRPr="000210F5">
        <w:rPr>
          <w:shd w:val="clear" w:color="auto" w:fill="FFFFFF" w:themeFill="background1"/>
        </w:rPr>
        <w:t xml:space="preserve"> by </w:t>
      </w:r>
      <w:r w:rsidR="000210F5" w:rsidRPr="000210F5">
        <w:rPr>
          <w:shd w:val="clear" w:color="auto" w:fill="FFFFFF" w:themeFill="background1"/>
        </w:rPr>
        <w:t>1.2</w:t>
      </w:r>
      <w:r w:rsidRPr="000210F5">
        <w:rPr>
          <w:shd w:val="clear" w:color="auto" w:fill="FFFFFF" w:themeFill="background1"/>
        </w:rPr>
        <w:t xml:space="preserve"> per cent</w:t>
      </w:r>
      <w:r w:rsidRPr="00104AF2">
        <w:rPr>
          <w:shd w:val="clear" w:color="auto" w:fill="FFFFFF" w:themeFill="background1"/>
        </w:rPr>
        <w:t xml:space="preserve"> per year (table 4A.1</w:t>
      </w:r>
      <w:r w:rsidR="0013774C" w:rsidRPr="00104AF2">
        <w:rPr>
          <w:shd w:val="clear" w:color="auto" w:fill="FFFFFF" w:themeFill="background1"/>
        </w:rPr>
        <w:t>7</w:t>
      </w:r>
      <w:r w:rsidRPr="00104AF2">
        <w:rPr>
          <w:shd w:val="clear" w:color="auto" w:fill="FFFFFF" w:themeFill="background1"/>
        </w:rPr>
        <w:t>).</w:t>
      </w:r>
      <w:r w:rsidR="009A52FC" w:rsidRPr="00104AF2">
        <w:rPr>
          <w:shd w:val="clear" w:color="auto" w:fill="FFFFFF" w:themeFill="background1"/>
        </w:rPr>
        <w:t xml:space="preserve"> </w:t>
      </w:r>
    </w:p>
    <w:p w:rsidR="002C7822" w:rsidRPr="0089766B" w:rsidRDefault="002C7822" w:rsidP="002C7822">
      <w:pPr>
        <w:pStyle w:val="BodyText"/>
        <w:rPr>
          <w:rStyle w:val="BodyTextChar"/>
        </w:rPr>
      </w:pPr>
      <w:r>
        <w:t xml:space="preserve">Historical data are available in tables </w:t>
      </w:r>
      <w:r w:rsidRPr="00104AF2">
        <w:rPr>
          <w:shd w:val="clear" w:color="auto" w:fill="FFFFFF" w:themeFill="background1"/>
        </w:rPr>
        <w:t>4A.12</w:t>
      </w:r>
      <w:r>
        <w:rPr>
          <w:shd w:val="clear" w:color="auto" w:fill="FFFFFF" w:themeFill="background1"/>
        </w:rPr>
        <w:t>–18</w:t>
      </w:r>
      <w:r w:rsidRPr="00104AF2">
        <w:rPr>
          <w:shd w:val="clear" w:color="auto" w:fill="FFFFFF" w:themeFill="background1"/>
        </w:rPr>
        <w:t>.</w:t>
      </w:r>
    </w:p>
    <w:p w:rsidR="002C7822" w:rsidRPr="00DB66EE" w:rsidRDefault="002C7822" w:rsidP="000210F5">
      <w:pPr>
        <w:pStyle w:val="Heading5"/>
      </w:pPr>
      <w:r>
        <w:rPr>
          <w:rStyle w:val="BodyTextChar"/>
        </w:rPr>
        <w:t>Government recurrent staff expenditure per FTE student in government schools</w:t>
      </w:r>
    </w:p>
    <w:p w:rsidR="00666ECE" w:rsidRPr="009738E5" w:rsidRDefault="00666ECE" w:rsidP="0089766B">
      <w:pPr>
        <w:pStyle w:val="BodyText"/>
      </w:pPr>
      <w:r w:rsidRPr="00E97CD0">
        <w:t xml:space="preserve">Government recurrent </w:t>
      </w:r>
      <w:r w:rsidRPr="009738E5">
        <w:t>expenditure on staff in government schools accounted for $</w:t>
      </w:r>
      <w:r w:rsidR="002E6DEC">
        <w:t>24.6 </w:t>
      </w:r>
      <w:r w:rsidRPr="009738E5">
        <w:t>billion (</w:t>
      </w:r>
      <w:r w:rsidR="002B1D5E" w:rsidRPr="009738E5">
        <w:t>63.</w:t>
      </w:r>
      <w:r w:rsidR="002E6DEC">
        <w:t>9</w:t>
      </w:r>
      <w:r w:rsidRPr="009738E5">
        <w:t xml:space="preserve"> per cent) of total recurrent expenditure in</w:t>
      </w:r>
      <w:r w:rsidR="002C7822">
        <w:t xml:space="preserve"> government schools in</w:t>
      </w:r>
      <w:r w:rsidRPr="009738E5">
        <w:t xml:space="preserve"> 201</w:t>
      </w:r>
      <w:r w:rsidR="002E6DEC">
        <w:t>3</w:t>
      </w:r>
      <w:r w:rsidR="002C7822">
        <w:noBreakHyphen/>
      </w:r>
      <w:r w:rsidRPr="009738E5">
        <w:t>1</w:t>
      </w:r>
      <w:r w:rsidR="002E6DEC">
        <w:t>4</w:t>
      </w:r>
      <w:r w:rsidRPr="009738E5">
        <w:t xml:space="preserve"> (table 4A.</w:t>
      </w:r>
      <w:r w:rsidR="0013774C">
        <w:t>10</w:t>
      </w:r>
      <w:r w:rsidRPr="009738E5">
        <w:t>). Nationally, expenditure on staff per FTE student was $</w:t>
      </w:r>
      <w:r w:rsidR="002E6DEC">
        <w:t>9153</w:t>
      </w:r>
      <w:r w:rsidRPr="009738E5">
        <w:t xml:space="preserve"> for in</w:t>
      </w:r>
      <w:r w:rsidR="002C7822">
        <w:noBreakHyphen/>
      </w:r>
      <w:r w:rsidRPr="009738E5">
        <w:t>school primary, $</w:t>
      </w:r>
      <w:r w:rsidR="002E6DEC">
        <w:t>11</w:t>
      </w:r>
      <w:r w:rsidR="002C7822">
        <w:t> </w:t>
      </w:r>
      <w:r w:rsidR="002E6DEC">
        <w:t>156</w:t>
      </w:r>
      <w:r w:rsidRPr="009738E5">
        <w:t xml:space="preserve"> for in-school secondary and $</w:t>
      </w:r>
      <w:r w:rsidR="00D26BF4" w:rsidRPr="009738E5">
        <w:t>4</w:t>
      </w:r>
      <w:r w:rsidR="002E6DEC">
        <w:t>26</w:t>
      </w:r>
      <w:r w:rsidRPr="009738E5">
        <w:t xml:space="preserve"> for out-of-school (figure 4.</w:t>
      </w:r>
      <w:r w:rsidR="00FF2AB3">
        <w:t>2</w:t>
      </w:r>
      <w:r w:rsidR="00033D89">
        <w:t>2</w:t>
      </w:r>
      <w:r w:rsidRPr="009738E5">
        <w:t>).</w:t>
      </w:r>
    </w:p>
    <w:p w:rsidR="001E65D8" w:rsidRDefault="001E65D8" w:rsidP="001E65D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E65D8" w:rsidTr="001E65D8">
        <w:tc>
          <w:tcPr>
            <w:tcW w:w="8771" w:type="dxa"/>
            <w:tcBorders>
              <w:top w:val="single" w:sz="6" w:space="0" w:color="78A22F"/>
              <w:left w:val="nil"/>
              <w:bottom w:val="nil"/>
              <w:right w:val="nil"/>
            </w:tcBorders>
            <w:shd w:val="clear" w:color="auto" w:fill="auto"/>
          </w:tcPr>
          <w:p w:rsidR="001E65D8" w:rsidRPr="00176D3F" w:rsidRDefault="001E65D8" w:rsidP="00555811">
            <w:pPr>
              <w:pStyle w:val="FigureTitle"/>
            </w:pPr>
            <w:r w:rsidRPr="00784A05">
              <w:rPr>
                <w:b w:val="0"/>
              </w:rPr>
              <w:t xml:space="preserve">Figure </w:t>
            </w:r>
            <w:r w:rsidR="00B70781">
              <w:rPr>
                <w:b w:val="0"/>
              </w:rPr>
              <w:t>4.</w:t>
            </w:r>
            <w:r w:rsidR="00FF4FBD">
              <w:rPr>
                <w:b w:val="0"/>
                <w:noProof/>
              </w:rPr>
              <w:t>22</w:t>
            </w:r>
            <w:r>
              <w:tab/>
            </w:r>
            <w:r w:rsidRPr="001E65D8">
              <w:t>Government recurrent expenditure on staff in government schools, per FTE student, 201</w:t>
            </w:r>
            <w:r w:rsidR="002E6DEC">
              <w:t>3</w:t>
            </w:r>
            <w:r w:rsidRPr="001E65D8">
              <w:t>-1</w:t>
            </w:r>
            <w:r w:rsidR="002E6DEC">
              <w:t>4</w:t>
            </w:r>
            <w:r w:rsidRPr="00490911">
              <w:rPr>
                <w:rStyle w:val="NoteLabel"/>
                <w:b/>
              </w:rPr>
              <w:t>a</w:t>
            </w:r>
          </w:p>
        </w:tc>
      </w:tr>
      <w:tr w:rsidR="001E65D8" w:rsidTr="001E65D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E65D8" w:rsidTr="001E65D8">
              <w:trPr>
                <w:jc w:val="center"/>
              </w:trPr>
              <w:tc>
                <w:tcPr>
                  <w:tcW w:w="5000" w:type="pct"/>
                  <w:tcBorders>
                    <w:top w:val="nil"/>
                    <w:bottom w:val="nil"/>
                  </w:tcBorders>
                </w:tcPr>
                <w:p w:rsidR="001E65D8" w:rsidRDefault="00494008" w:rsidP="001E65D8">
                  <w:pPr>
                    <w:pStyle w:val="Figure"/>
                    <w:spacing w:before="60" w:after="60"/>
                  </w:pPr>
                  <w:r>
                    <w:rPr>
                      <w:noProof/>
                    </w:rPr>
                    <w:drawing>
                      <wp:inline distT="0" distB="0" distL="0" distR="0">
                        <wp:extent cx="5381625" cy="2647950"/>
                        <wp:effectExtent l="0" t="0" r="9525" b="0"/>
                        <wp:docPr id="25" name="Picture 25" descr="Figure 4.22 Government recurrent expenditure on staff in government schools, per FTE student,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1E65D8" w:rsidRDefault="001E65D8" w:rsidP="001E65D8">
            <w:pPr>
              <w:pStyle w:val="Figure"/>
            </w:pPr>
          </w:p>
        </w:tc>
      </w:tr>
      <w:tr w:rsidR="001E65D8" w:rsidRPr="00176D3F" w:rsidTr="001E65D8">
        <w:tc>
          <w:tcPr>
            <w:tcW w:w="8771" w:type="dxa"/>
            <w:tcBorders>
              <w:top w:val="nil"/>
              <w:left w:val="nil"/>
              <w:bottom w:val="nil"/>
              <w:right w:val="nil"/>
            </w:tcBorders>
            <w:shd w:val="clear" w:color="auto" w:fill="auto"/>
          </w:tcPr>
          <w:p w:rsidR="001E65D8" w:rsidRPr="00176D3F" w:rsidRDefault="005B3EDD" w:rsidP="00496590">
            <w:pPr>
              <w:pStyle w:val="Source"/>
            </w:pPr>
            <w:r w:rsidRPr="00953E9C">
              <w:rPr>
                <w:rStyle w:val="NoteLabel"/>
              </w:rPr>
              <w:t>a</w:t>
            </w:r>
            <w:r w:rsidRPr="00953E9C">
              <w:t xml:space="preserve"> </w:t>
            </w:r>
            <w:r w:rsidRPr="007C767F">
              <w:t xml:space="preserve">See </w:t>
            </w:r>
            <w:r>
              <w:t>box 4.</w:t>
            </w:r>
            <w:r w:rsidR="00496590">
              <w:t>7</w:t>
            </w:r>
            <w:r>
              <w:t xml:space="preserve"> and </w:t>
            </w:r>
            <w:r w:rsidRPr="007C767F">
              <w:t xml:space="preserve">table </w:t>
            </w:r>
            <w:r>
              <w:t>4A.14</w:t>
            </w:r>
            <w:r w:rsidRPr="007C767F">
              <w:t xml:space="preserve"> for detailed</w:t>
            </w:r>
            <w:r>
              <w:t xml:space="preserve"> </w:t>
            </w:r>
            <w:r w:rsidRPr="005B3EDD">
              <w:t>definitions, footnotes and caveats</w:t>
            </w:r>
            <w:r w:rsidRPr="007C767F">
              <w:t>.</w:t>
            </w:r>
          </w:p>
        </w:tc>
      </w:tr>
      <w:tr w:rsidR="001E65D8" w:rsidRPr="00176D3F" w:rsidTr="001E65D8">
        <w:tc>
          <w:tcPr>
            <w:tcW w:w="8771" w:type="dxa"/>
            <w:tcBorders>
              <w:top w:val="nil"/>
              <w:left w:val="nil"/>
              <w:bottom w:val="nil"/>
              <w:right w:val="nil"/>
            </w:tcBorders>
            <w:shd w:val="clear" w:color="auto" w:fill="auto"/>
          </w:tcPr>
          <w:p w:rsidR="001E65D8" w:rsidRPr="00176D3F" w:rsidRDefault="001E65D8" w:rsidP="002E6DEC">
            <w:pPr>
              <w:pStyle w:val="Source"/>
            </w:pPr>
            <w:r>
              <w:rPr>
                <w:i/>
              </w:rPr>
              <w:t>S</w:t>
            </w:r>
            <w:r w:rsidRPr="00784A05">
              <w:rPr>
                <w:i/>
              </w:rPr>
              <w:t>ource</w:t>
            </w:r>
            <w:r w:rsidRPr="00176D3F">
              <w:t xml:space="preserve">: </w:t>
            </w:r>
            <w:r w:rsidRPr="001E65D8">
              <w:t>ABS (201</w:t>
            </w:r>
            <w:r w:rsidR="002E6DEC">
              <w:t>5</w:t>
            </w:r>
            <w:r w:rsidRPr="001E65D8">
              <w:t xml:space="preserve">) </w:t>
            </w:r>
            <w:r w:rsidRPr="001E65D8">
              <w:rPr>
                <w:i/>
              </w:rPr>
              <w:t>Schools Australia 201</w:t>
            </w:r>
            <w:r w:rsidR="002E6DEC">
              <w:rPr>
                <w:i/>
              </w:rPr>
              <w:t>4</w:t>
            </w:r>
            <w:r w:rsidRPr="001E65D8">
              <w:t xml:space="preserve">, Cat. no. 4221.0; </w:t>
            </w:r>
            <w:r w:rsidR="00490911">
              <w:t>Education Council</w:t>
            </w:r>
            <w:r w:rsidRPr="001E65D8">
              <w:t xml:space="preserve"> (unpublished) NSSC; table 4A.14.</w:t>
            </w:r>
          </w:p>
        </w:tc>
      </w:tr>
      <w:tr w:rsidR="001E65D8" w:rsidTr="001E65D8">
        <w:tc>
          <w:tcPr>
            <w:tcW w:w="8771" w:type="dxa"/>
            <w:tcBorders>
              <w:top w:val="nil"/>
              <w:left w:val="nil"/>
              <w:bottom w:val="single" w:sz="6" w:space="0" w:color="78A22F"/>
              <w:right w:val="nil"/>
            </w:tcBorders>
            <w:shd w:val="clear" w:color="auto" w:fill="auto"/>
          </w:tcPr>
          <w:p w:rsidR="001E65D8" w:rsidRDefault="001E65D8" w:rsidP="001E65D8">
            <w:pPr>
              <w:pStyle w:val="Figurespace"/>
            </w:pPr>
          </w:p>
        </w:tc>
      </w:tr>
      <w:tr w:rsidR="001E65D8" w:rsidRPr="000863A5" w:rsidTr="001E65D8">
        <w:tc>
          <w:tcPr>
            <w:tcW w:w="8771" w:type="dxa"/>
            <w:tcBorders>
              <w:top w:val="single" w:sz="6" w:space="0" w:color="78A22F"/>
              <w:left w:val="nil"/>
              <w:bottom w:val="nil"/>
              <w:right w:val="nil"/>
            </w:tcBorders>
          </w:tcPr>
          <w:p w:rsidR="001E65D8" w:rsidRPr="00626D32" w:rsidRDefault="001E65D8" w:rsidP="001E65D8">
            <w:pPr>
              <w:pStyle w:val="BoxSpaceBelow"/>
            </w:pPr>
          </w:p>
        </w:tc>
      </w:tr>
    </w:tbl>
    <w:p w:rsidR="00666ECE" w:rsidRPr="00666ECE" w:rsidRDefault="00A95197" w:rsidP="00A95197">
      <w:pPr>
        <w:pStyle w:val="Heading4"/>
      </w:pPr>
      <w:r>
        <w:t xml:space="preserve">Inputs per output unit — </w:t>
      </w:r>
      <w:r w:rsidR="00666ECE" w:rsidRPr="00666ECE">
        <w:t>User cost of capital per student</w:t>
      </w:r>
    </w:p>
    <w:p w:rsidR="00666ECE" w:rsidRDefault="00666ECE" w:rsidP="0089766B">
      <w:pPr>
        <w:pStyle w:val="BodyText"/>
      </w:pPr>
      <w:r w:rsidRPr="00BA1CEC">
        <w:t xml:space="preserve">‘User cost of capital (UCC) per student’ is an indicator of governments’ </w:t>
      </w:r>
      <w:r w:rsidR="002C7822">
        <w:t xml:space="preserve">efficient </w:t>
      </w:r>
      <w:r w:rsidR="000F12AB" w:rsidRPr="00BA1CEC">
        <w:t xml:space="preserve">use </w:t>
      </w:r>
      <w:r w:rsidR="002F792C" w:rsidRPr="00BA1CEC">
        <w:t xml:space="preserve">of </w:t>
      </w:r>
      <w:r w:rsidR="000F12AB" w:rsidRPr="00BA1CEC">
        <w:t xml:space="preserve">capital assets to </w:t>
      </w:r>
      <w:r w:rsidRPr="00BA1CEC">
        <w:t>provide education (box 4.</w:t>
      </w:r>
      <w:r w:rsidR="002E5EAF">
        <w:t>8</w:t>
      </w:r>
      <w:r w:rsidR="00A71945">
        <w:t>)</w:t>
      </w:r>
      <w:r w:rsidRPr="00BA1CEC">
        <w:t>.</w:t>
      </w:r>
    </w:p>
    <w:p w:rsidR="00530C4B" w:rsidRDefault="00530C4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30C4B" w:rsidTr="00751345">
        <w:tc>
          <w:tcPr>
            <w:tcW w:w="8771" w:type="dxa"/>
            <w:tcBorders>
              <w:top w:val="single" w:sz="6" w:space="0" w:color="78A22F"/>
              <w:left w:val="nil"/>
              <w:bottom w:val="nil"/>
              <w:right w:val="nil"/>
            </w:tcBorders>
            <w:shd w:val="clear" w:color="auto" w:fill="F2F2F2"/>
          </w:tcPr>
          <w:p w:rsidR="00530C4B" w:rsidRDefault="00530C4B">
            <w:pPr>
              <w:pStyle w:val="BoxTitle"/>
            </w:pPr>
            <w:r>
              <w:rPr>
                <w:b w:val="0"/>
              </w:rPr>
              <w:t xml:space="preserve">Box </w:t>
            </w:r>
            <w:r w:rsidR="00B70781">
              <w:rPr>
                <w:b w:val="0"/>
              </w:rPr>
              <w:t>4.</w:t>
            </w:r>
            <w:r w:rsidR="00FF4FBD">
              <w:rPr>
                <w:b w:val="0"/>
                <w:noProof/>
              </w:rPr>
              <w:t>8</w:t>
            </w:r>
            <w:r>
              <w:tab/>
            </w:r>
            <w:r w:rsidRPr="00530C4B">
              <w:t>User cost of capital per student</w:t>
            </w:r>
          </w:p>
        </w:tc>
      </w:tr>
      <w:tr w:rsidR="00530C4B" w:rsidTr="00751345">
        <w:trPr>
          <w:cantSplit/>
        </w:trPr>
        <w:tc>
          <w:tcPr>
            <w:tcW w:w="8771" w:type="dxa"/>
            <w:tcBorders>
              <w:top w:val="nil"/>
              <w:left w:val="nil"/>
              <w:bottom w:val="nil"/>
              <w:right w:val="nil"/>
            </w:tcBorders>
            <w:shd w:val="clear" w:color="auto" w:fill="F2F2F2"/>
          </w:tcPr>
          <w:p w:rsidR="00B833D8" w:rsidRDefault="000E5B08" w:rsidP="00530C4B">
            <w:pPr>
              <w:pStyle w:val="Box"/>
            </w:pPr>
            <w:r>
              <w:t>‘</w:t>
            </w:r>
            <w:r w:rsidR="00530C4B" w:rsidRPr="00530C4B">
              <w:t xml:space="preserve">UCC per student’ is defined as the notional costs to governments of the funds tied up in capital (for example, land and buildings owned by government schools) used to produce services, per FTE student. The notional UCC makes explicit the opportunity cost of using the funds to provide services rather than investing elsewhere or retiring debt. </w:t>
            </w:r>
          </w:p>
          <w:p w:rsidR="00530C4B" w:rsidRPr="00530C4B" w:rsidRDefault="00530C4B" w:rsidP="00530C4B">
            <w:pPr>
              <w:pStyle w:val="Box"/>
            </w:pPr>
            <w:r w:rsidRPr="00530C4B">
              <w:t>When comparing the costs of government services, it is important to account for the notional UCC because it is:</w:t>
            </w:r>
          </w:p>
          <w:p w:rsidR="00530C4B" w:rsidRPr="00530C4B" w:rsidRDefault="00530C4B" w:rsidP="00530C4B">
            <w:pPr>
              <w:pStyle w:val="BoxListBullet"/>
            </w:pPr>
            <w:r w:rsidRPr="00530C4B">
              <w:t>often a significant component of the cost of services</w:t>
            </w:r>
          </w:p>
          <w:p w:rsidR="00530C4B" w:rsidRPr="00530C4B" w:rsidRDefault="00530C4B" w:rsidP="00530C4B">
            <w:pPr>
              <w:pStyle w:val="BoxListBullet"/>
            </w:pPr>
            <w:r w:rsidRPr="00530C4B">
              <w:t>often treated inconsistently (that is, included in the costs of services delivered by most non</w:t>
            </w:r>
            <w:r w:rsidR="000E5B08">
              <w:noBreakHyphen/>
            </w:r>
            <w:r w:rsidRPr="00530C4B">
              <w:t xml:space="preserve">government service providers, but effectively costed at zero for many government service providers). </w:t>
            </w:r>
          </w:p>
          <w:p w:rsidR="002E6DEC" w:rsidRDefault="002E6DEC" w:rsidP="00530C4B">
            <w:pPr>
              <w:pStyle w:val="Box"/>
            </w:pPr>
            <w:r>
              <w:t>User cost of capital is only reported for government schools.</w:t>
            </w:r>
          </w:p>
          <w:p w:rsidR="00530C4B" w:rsidRPr="00530C4B" w:rsidRDefault="00530C4B" w:rsidP="00530C4B">
            <w:pPr>
              <w:pStyle w:val="Box"/>
            </w:pPr>
            <w:r w:rsidRPr="00530C4B">
              <w:t>Notional UCC reflects the annual UCC per FTE student, and is set at 8 per cent of the value of non-current physical assets, which are re-valued over time.</w:t>
            </w:r>
          </w:p>
          <w:p w:rsidR="00530C4B" w:rsidRPr="00530C4B" w:rsidRDefault="00530C4B" w:rsidP="00530C4B">
            <w:pPr>
              <w:pStyle w:val="Box"/>
            </w:pPr>
            <w:r w:rsidRPr="00530C4B">
              <w:t xml:space="preserve">Holding other factors constant, a low or decreasing UCC per student may represent better or improved efficiency. </w:t>
            </w:r>
          </w:p>
          <w:p w:rsidR="00530C4B" w:rsidRPr="00530C4B" w:rsidRDefault="00530C4B" w:rsidP="00530C4B">
            <w:pPr>
              <w:pStyle w:val="Box"/>
            </w:pPr>
            <w:r w:rsidRPr="00530C4B">
              <w:t xml:space="preserve">Efficiency data are difficult to interpret and this indicator in particular is only partial in nature, as it does not reflect the full cost per student. While high or increasing UCC per student may reflect deteriorating efficiency, it may also reflect changes in aspects of schooling (broader curricula, enhanced facilities), or the characteristics of the education environment (such as population dispersion and/or rapid growth and more geographically remote students). Similarly, low or decreasing UCC per student may reflect improving efficiency or lower quality (less effective education) or fewer facilities or reduced capital maintenance. </w:t>
            </w:r>
          </w:p>
          <w:p w:rsidR="00530C4B" w:rsidRPr="00530C4B" w:rsidRDefault="00B833D8" w:rsidP="00B833D8">
            <w:pPr>
              <w:pStyle w:val="Box"/>
            </w:pPr>
            <w:r>
              <w:t xml:space="preserve">Differences between jurisdictions in the treatment of asset values (see table 4A.21) may affect UCC across </w:t>
            </w:r>
            <w:r w:rsidR="00530C4B" w:rsidRPr="00530C4B">
              <w:t>jurisdictions and within jurisdictions over time</w:t>
            </w:r>
            <w:r>
              <w:t xml:space="preserve"> (see table 4A.19)</w:t>
            </w:r>
            <w:r w:rsidR="00530C4B" w:rsidRPr="00530C4B">
              <w:t xml:space="preserve">. </w:t>
            </w:r>
          </w:p>
          <w:p w:rsidR="00530C4B" w:rsidRPr="00530C4B" w:rsidRDefault="00530C4B" w:rsidP="00530C4B">
            <w:pPr>
              <w:pStyle w:val="Box"/>
            </w:pPr>
            <w:r w:rsidRPr="00530C4B">
              <w:t>Data reported for this indicator are:</w:t>
            </w:r>
          </w:p>
          <w:p w:rsidR="00530C4B" w:rsidRPr="00530C4B" w:rsidRDefault="00530C4B" w:rsidP="00530C4B">
            <w:pPr>
              <w:pStyle w:val="BoxListBullet"/>
            </w:pPr>
            <w:r w:rsidRPr="00530C4B">
              <w:t>comparable (subject to caveats) within jurisdictions over time but are not comparable across jurisdictions</w:t>
            </w:r>
          </w:p>
          <w:p w:rsidR="00530C4B" w:rsidRPr="00530C4B" w:rsidRDefault="00530C4B" w:rsidP="00530C4B">
            <w:pPr>
              <w:pStyle w:val="BoxListBullet"/>
            </w:pPr>
            <w:r w:rsidRPr="00530C4B">
              <w:t>complete for the current reporting period (subject to caveats). All required 201</w:t>
            </w:r>
            <w:r w:rsidR="002E6DEC">
              <w:t>3</w:t>
            </w:r>
            <w:r w:rsidRPr="00530C4B">
              <w:t>-1</w:t>
            </w:r>
            <w:r w:rsidR="002E6DEC">
              <w:t>4</w:t>
            </w:r>
            <w:r w:rsidRPr="00530C4B">
              <w:t xml:space="preserve"> data are available for all jurisdictions providing the service.</w:t>
            </w:r>
          </w:p>
          <w:p w:rsidR="00530C4B" w:rsidRDefault="00530C4B" w:rsidP="002E6DEC">
            <w:pPr>
              <w:pStyle w:val="Box"/>
            </w:pPr>
            <w:r w:rsidRPr="00530C4B">
              <w:t xml:space="preserve">Information about data quality for this indicator is at </w:t>
            </w:r>
            <w:r w:rsidR="002E6DEC" w:rsidRPr="00AD7395">
              <w:t>www.pc.gov.au/rogs/2016</w:t>
            </w:r>
            <w:r w:rsidRPr="00530C4B">
              <w:t>.</w:t>
            </w:r>
          </w:p>
        </w:tc>
      </w:tr>
      <w:tr w:rsidR="00530C4B" w:rsidTr="00751345">
        <w:trPr>
          <w:cantSplit/>
        </w:trPr>
        <w:tc>
          <w:tcPr>
            <w:tcW w:w="8771" w:type="dxa"/>
            <w:tcBorders>
              <w:top w:val="nil"/>
              <w:left w:val="nil"/>
              <w:bottom w:val="single" w:sz="6" w:space="0" w:color="78A22F"/>
              <w:right w:val="nil"/>
            </w:tcBorders>
            <w:shd w:val="clear" w:color="auto" w:fill="F2F2F2"/>
          </w:tcPr>
          <w:p w:rsidR="00530C4B" w:rsidRDefault="00530C4B">
            <w:pPr>
              <w:pStyle w:val="Box"/>
              <w:spacing w:before="0" w:line="120" w:lineRule="exact"/>
            </w:pPr>
          </w:p>
        </w:tc>
      </w:tr>
      <w:tr w:rsidR="00530C4B" w:rsidRPr="000863A5" w:rsidTr="00751345">
        <w:tc>
          <w:tcPr>
            <w:tcW w:w="8771" w:type="dxa"/>
            <w:tcBorders>
              <w:top w:val="single" w:sz="6" w:space="0" w:color="78A22F"/>
              <w:left w:val="nil"/>
              <w:bottom w:val="nil"/>
              <w:right w:val="nil"/>
            </w:tcBorders>
          </w:tcPr>
          <w:p w:rsidR="00530C4B" w:rsidRPr="00626D32" w:rsidRDefault="00530C4B" w:rsidP="00751345">
            <w:pPr>
              <w:pStyle w:val="BoxSpaceBelow"/>
            </w:pPr>
          </w:p>
        </w:tc>
      </w:tr>
    </w:tbl>
    <w:p w:rsidR="00666ECE" w:rsidRPr="00666ECE" w:rsidRDefault="00B833D8" w:rsidP="0089766B">
      <w:pPr>
        <w:pStyle w:val="BodyText"/>
      </w:pPr>
      <w:r>
        <w:t>Nationally, t</w:t>
      </w:r>
      <w:r w:rsidR="00666ECE" w:rsidRPr="00BA1CEC">
        <w:t>he notional UCC per FTE government school student in 201</w:t>
      </w:r>
      <w:r w:rsidR="002E6DEC">
        <w:t>3</w:t>
      </w:r>
      <w:r w:rsidR="00666ECE" w:rsidRPr="00BA1CEC">
        <w:t>-1</w:t>
      </w:r>
      <w:r w:rsidR="002E6DEC">
        <w:t>4</w:t>
      </w:r>
      <w:r w:rsidR="00666ECE" w:rsidRPr="00BA1CEC">
        <w:t xml:space="preserve"> </w:t>
      </w:r>
      <w:r w:rsidR="00666ECE" w:rsidRPr="009738E5">
        <w:t xml:space="preserve">averaged </w:t>
      </w:r>
      <w:r w:rsidR="00666ECE" w:rsidRPr="0079166F">
        <w:rPr>
          <w:shd w:val="clear" w:color="auto" w:fill="FFFFFF" w:themeFill="background1"/>
        </w:rPr>
        <w:t>$</w:t>
      </w:r>
      <w:r w:rsidR="009738E5" w:rsidRPr="0079166F">
        <w:rPr>
          <w:shd w:val="clear" w:color="auto" w:fill="FFFFFF" w:themeFill="background1"/>
        </w:rPr>
        <w:t>2</w:t>
      </w:r>
      <w:r w:rsidR="00530C4B" w:rsidRPr="0079166F">
        <w:rPr>
          <w:shd w:val="clear" w:color="auto" w:fill="FFFFFF" w:themeFill="background1"/>
        </w:rPr>
        <w:t>3</w:t>
      </w:r>
      <w:r w:rsidR="00331F26" w:rsidRPr="0079166F">
        <w:rPr>
          <w:shd w:val="clear" w:color="auto" w:fill="FFFFFF" w:themeFill="background1"/>
        </w:rPr>
        <w:t>86</w:t>
      </w:r>
      <w:r w:rsidR="00666ECE" w:rsidRPr="009738E5">
        <w:t xml:space="preserve"> </w:t>
      </w:r>
      <w:r w:rsidR="00666ECE" w:rsidRPr="00BA1CEC">
        <w:t>(table 4A.</w:t>
      </w:r>
      <w:r w:rsidR="0013774C">
        <w:t>20</w:t>
      </w:r>
      <w:r w:rsidR="00666ECE" w:rsidRPr="00BA1CEC">
        <w:t xml:space="preserve">). </w:t>
      </w:r>
    </w:p>
    <w:p w:rsidR="00666ECE" w:rsidRPr="00666ECE" w:rsidRDefault="00A95197" w:rsidP="00A95197">
      <w:pPr>
        <w:pStyle w:val="Heading4"/>
      </w:pPr>
      <w:r>
        <w:t xml:space="preserve">Inputs per output unit — </w:t>
      </w:r>
      <w:r w:rsidR="00666ECE" w:rsidRPr="00666ECE">
        <w:t>Student-to-staff ratio</w:t>
      </w:r>
    </w:p>
    <w:p w:rsidR="00666ECE" w:rsidRDefault="00666ECE" w:rsidP="0089766B">
      <w:pPr>
        <w:pStyle w:val="BodyText"/>
      </w:pPr>
      <w:r w:rsidRPr="00666ECE">
        <w:t>‘Student-to-staff ratio’ is an indicator of governments’ objective to provide education in an efficient manner (box 4.</w:t>
      </w:r>
      <w:r w:rsidR="002E5EAF">
        <w:t>9</w:t>
      </w:r>
      <w:r w:rsidRPr="00666ECE">
        <w:t>).</w:t>
      </w:r>
    </w:p>
    <w:p w:rsidR="00FA667D" w:rsidRDefault="00FA667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A667D" w:rsidTr="00751345">
        <w:tc>
          <w:tcPr>
            <w:tcW w:w="8771" w:type="dxa"/>
            <w:tcBorders>
              <w:top w:val="single" w:sz="6" w:space="0" w:color="78A22F"/>
              <w:left w:val="nil"/>
              <w:bottom w:val="nil"/>
              <w:right w:val="nil"/>
            </w:tcBorders>
            <w:shd w:val="clear" w:color="auto" w:fill="F2F2F2"/>
          </w:tcPr>
          <w:p w:rsidR="00FA667D" w:rsidRDefault="00FA667D">
            <w:pPr>
              <w:pStyle w:val="BoxTitle"/>
            </w:pPr>
            <w:r>
              <w:rPr>
                <w:b w:val="0"/>
              </w:rPr>
              <w:t xml:space="preserve">Box </w:t>
            </w:r>
            <w:r w:rsidR="00B70781">
              <w:rPr>
                <w:b w:val="0"/>
              </w:rPr>
              <w:t>4.</w:t>
            </w:r>
            <w:r w:rsidR="00FF4FBD">
              <w:rPr>
                <w:b w:val="0"/>
                <w:noProof/>
              </w:rPr>
              <w:t>9</w:t>
            </w:r>
            <w:r>
              <w:tab/>
            </w:r>
            <w:r w:rsidRPr="00FA667D">
              <w:t>Student-to-staff ratio</w:t>
            </w:r>
          </w:p>
        </w:tc>
      </w:tr>
      <w:tr w:rsidR="00FA667D" w:rsidTr="00751345">
        <w:trPr>
          <w:cantSplit/>
        </w:trPr>
        <w:tc>
          <w:tcPr>
            <w:tcW w:w="8771" w:type="dxa"/>
            <w:tcBorders>
              <w:top w:val="nil"/>
              <w:left w:val="nil"/>
              <w:bottom w:val="nil"/>
              <w:right w:val="nil"/>
            </w:tcBorders>
            <w:shd w:val="clear" w:color="auto" w:fill="F2F2F2"/>
          </w:tcPr>
          <w:p w:rsidR="00617000" w:rsidRDefault="00FA667D" w:rsidP="00FA667D">
            <w:pPr>
              <w:pStyle w:val="Box"/>
            </w:pPr>
            <w:r w:rsidRPr="00FA667D">
              <w:t xml:space="preserve">The ‘student-to-staff ratio’ is defined as the number of FTE students per FTE staff. Data are reported for primary, secondary and all schools, and for teaching and non-teaching staff. </w:t>
            </w:r>
          </w:p>
          <w:p w:rsidR="00FA667D" w:rsidRPr="00FA667D" w:rsidRDefault="00FA667D" w:rsidP="00FA667D">
            <w:pPr>
              <w:pStyle w:val="Box"/>
            </w:pPr>
            <w:r w:rsidRPr="00FA667D">
              <w:t>The</w:t>
            </w:r>
            <w:r w:rsidR="00617000">
              <w:t xml:space="preserve"> main measure for</w:t>
            </w:r>
            <w:r w:rsidRPr="00FA667D">
              <w:t xml:space="preserve"> student-to-staff ratio</w:t>
            </w:r>
            <w:r w:rsidR="00617000">
              <w:t xml:space="preserve"> is the </w:t>
            </w:r>
            <w:r w:rsidRPr="00FA667D">
              <w:t>number of students per teacher, where teachers are classified in a way that can be compared across jurisdictions. However, the ratio is not a measure of class size.</w:t>
            </w:r>
            <w:r w:rsidR="00617000">
              <w:t xml:space="preserve"> </w:t>
            </w:r>
          </w:p>
          <w:p w:rsidR="00FA667D" w:rsidRPr="00FA667D" w:rsidRDefault="00FA667D" w:rsidP="00FA667D">
            <w:pPr>
              <w:pStyle w:val="Box"/>
            </w:pPr>
            <w:r w:rsidRPr="00FA667D">
              <w:t>A low ratio means there are a small number of students per teacher. Holding other factors constant, a high or increasing student</w:t>
            </w:r>
            <w:r w:rsidRPr="00FA667D">
              <w:noBreakHyphen/>
              <w:t>to</w:t>
            </w:r>
            <w:r w:rsidRPr="00FA667D">
              <w:noBreakHyphen/>
              <w:t>teacher ratio represents better or improved efficiency. While a low or decreasing student-to-teacher ratio may reflect decreasing efficiency, it may also reflect a higher quality education system, if a lower ratio leads to better student outcomes.</w:t>
            </w:r>
          </w:p>
          <w:p w:rsidR="00FA667D" w:rsidRPr="00FA667D" w:rsidRDefault="00FA667D" w:rsidP="00FA667D">
            <w:pPr>
              <w:pStyle w:val="Box"/>
            </w:pPr>
            <w:r w:rsidRPr="00FA667D">
              <w:t>Care should be taken in interpretation of efficiency data:</w:t>
            </w:r>
          </w:p>
          <w:p w:rsidR="00FA667D" w:rsidRPr="00FA667D" w:rsidRDefault="00617000" w:rsidP="00FA667D">
            <w:pPr>
              <w:pStyle w:val="BoxListBullet"/>
            </w:pPr>
            <w:r>
              <w:t>t</w:t>
            </w:r>
            <w:r w:rsidR="00FA667D" w:rsidRPr="00FA667D">
              <w:t>he student-to-staff ratio is aggregated across all subjects and year levels, and does not distinguish between subjects and/or year levels where different ratios may be appropriate</w:t>
            </w:r>
          </w:p>
          <w:p w:rsidR="00FA667D" w:rsidRPr="00FA667D" w:rsidRDefault="00FA667D" w:rsidP="00FA667D">
            <w:pPr>
              <w:pStyle w:val="BoxListBullet"/>
            </w:pPr>
            <w:r w:rsidRPr="00FA667D">
              <w:t>the student-to-staff ratio is affected by factors that may differ across the states and territories, including population dispersion (leading to a larger proportion of small schools), the proportion of special needs students, the degree to which administrative work is undertaken by people classified as teachers (such as principals, deputy principals and senior teachers), and the level of other inputs to school education (for example, non</w:t>
            </w:r>
            <w:r w:rsidR="000E5B08">
              <w:noBreakHyphen/>
            </w:r>
            <w:r w:rsidRPr="00FA667D">
              <w:t>teaching staff, computers, books and laboratory equipment).</w:t>
            </w:r>
          </w:p>
          <w:p w:rsidR="00FA667D" w:rsidRPr="00FA667D" w:rsidRDefault="00FA667D" w:rsidP="00FA667D">
            <w:pPr>
              <w:pStyle w:val="Box"/>
            </w:pPr>
            <w:r w:rsidRPr="00FA667D">
              <w:t>Data reported for this indicator are</w:t>
            </w:r>
            <w:r w:rsidR="00617000">
              <w:t>:</w:t>
            </w:r>
            <w:r w:rsidRPr="00FA667D">
              <w:t xml:space="preserve"> </w:t>
            </w:r>
          </w:p>
          <w:p w:rsidR="00FA667D" w:rsidRPr="00FA667D" w:rsidRDefault="00FA667D" w:rsidP="00FA667D">
            <w:pPr>
              <w:pStyle w:val="BoxListBullet"/>
            </w:pPr>
            <w:r w:rsidRPr="00FA667D">
              <w:t>comparable (subject to caveats) across jurisdictions and over time</w:t>
            </w:r>
          </w:p>
          <w:p w:rsidR="00FA667D" w:rsidRPr="00FA667D" w:rsidRDefault="00FA667D" w:rsidP="00FA667D">
            <w:pPr>
              <w:pStyle w:val="BoxListBullet"/>
            </w:pPr>
            <w:r w:rsidRPr="00FA667D">
              <w:t>complete for the current reporting period (subject to caveats). All required 201</w:t>
            </w:r>
            <w:r w:rsidR="00617000">
              <w:t>4</w:t>
            </w:r>
            <w:r w:rsidRPr="00FA667D">
              <w:t xml:space="preserve"> data are available for all jurisdictions providing the service.</w:t>
            </w:r>
          </w:p>
          <w:p w:rsidR="00FA667D" w:rsidRDefault="00FA667D" w:rsidP="00555811">
            <w:pPr>
              <w:pStyle w:val="Box"/>
            </w:pPr>
            <w:r w:rsidRPr="00FA667D">
              <w:t xml:space="preserve">Information about data quality for this indicator is at </w:t>
            </w:r>
            <w:r w:rsidR="00555811" w:rsidRPr="00AD7395">
              <w:t>www.pc.gov.au/rogs/2016</w:t>
            </w:r>
            <w:r w:rsidRPr="00FA667D">
              <w:t>.</w:t>
            </w:r>
          </w:p>
        </w:tc>
      </w:tr>
      <w:tr w:rsidR="00FA667D" w:rsidTr="00751345">
        <w:trPr>
          <w:cantSplit/>
        </w:trPr>
        <w:tc>
          <w:tcPr>
            <w:tcW w:w="8771" w:type="dxa"/>
            <w:tcBorders>
              <w:top w:val="nil"/>
              <w:left w:val="nil"/>
              <w:bottom w:val="single" w:sz="6" w:space="0" w:color="78A22F"/>
              <w:right w:val="nil"/>
            </w:tcBorders>
            <w:shd w:val="clear" w:color="auto" w:fill="F2F2F2"/>
          </w:tcPr>
          <w:p w:rsidR="00FA667D" w:rsidRDefault="00FA667D">
            <w:pPr>
              <w:pStyle w:val="Box"/>
              <w:spacing w:before="0" w:line="120" w:lineRule="exact"/>
            </w:pPr>
          </w:p>
        </w:tc>
      </w:tr>
      <w:tr w:rsidR="00FA667D" w:rsidRPr="000863A5" w:rsidTr="00751345">
        <w:tc>
          <w:tcPr>
            <w:tcW w:w="8771" w:type="dxa"/>
            <w:tcBorders>
              <w:top w:val="single" w:sz="6" w:space="0" w:color="78A22F"/>
              <w:left w:val="nil"/>
              <w:bottom w:val="nil"/>
              <w:right w:val="nil"/>
            </w:tcBorders>
          </w:tcPr>
          <w:p w:rsidR="00FA667D" w:rsidRPr="00626D32" w:rsidRDefault="00FA667D" w:rsidP="00751345">
            <w:pPr>
              <w:pStyle w:val="BoxSpaceBelow"/>
            </w:pPr>
          </w:p>
        </w:tc>
      </w:tr>
    </w:tbl>
    <w:p w:rsidR="00666ECE" w:rsidRDefault="00666ECE" w:rsidP="0089766B">
      <w:pPr>
        <w:pStyle w:val="BodyText"/>
      </w:pPr>
      <w:r w:rsidRPr="009738E5">
        <w:t>Nationally in 201</w:t>
      </w:r>
      <w:r w:rsidR="00555811">
        <w:t>4</w:t>
      </w:r>
      <w:r w:rsidRPr="009738E5">
        <w:t xml:space="preserve">, the student-to-teacher ratio for government primary schools was </w:t>
      </w:r>
      <w:r w:rsidR="00300EE5">
        <w:t>15.4</w:t>
      </w:r>
      <w:r w:rsidRPr="009738E5">
        <w:t xml:space="preserve"> and for non-government primary schools was </w:t>
      </w:r>
      <w:r w:rsidR="00300EE5">
        <w:t>16.2</w:t>
      </w:r>
      <w:r w:rsidRPr="009738E5">
        <w:t xml:space="preserve">. For all primary schools, the </w:t>
      </w:r>
      <w:r w:rsidR="00D43188">
        <w:br/>
      </w:r>
      <w:r w:rsidRPr="009738E5">
        <w:t xml:space="preserve">student-to-teacher ratio was </w:t>
      </w:r>
      <w:r w:rsidR="00300EE5">
        <w:t>15.6</w:t>
      </w:r>
      <w:r w:rsidR="001C01FD" w:rsidRPr="009738E5">
        <w:t xml:space="preserve"> </w:t>
      </w:r>
      <w:r w:rsidRPr="009738E5">
        <w:t>(figure 4.</w:t>
      </w:r>
      <w:r w:rsidR="005004F7" w:rsidRPr="009738E5">
        <w:t>2</w:t>
      </w:r>
      <w:r w:rsidR="00033D89">
        <w:t>3</w:t>
      </w:r>
      <w:r w:rsidRPr="009738E5">
        <w:t>).</w:t>
      </w:r>
    </w:p>
    <w:p w:rsidR="00617000" w:rsidRPr="009738E5" w:rsidRDefault="00323E8D" w:rsidP="0089766B">
      <w:pPr>
        <w:pStyle w:val="BodyText"/>
      </w:pPr>
      <w:r>
        <w:t>T</w:t>
      </w:r>
      <w:r w:rsidR="00617000">
        <w:t>he student-to-teacher ratio</w:t>
      </w:r>
      <w:r w:rsidR="00617000" w:rsidRPr="009738E5">
        <w:t xml:space="preserve"> was </w:t>
      </w:r>
      <w:r w:rsidR="00300EE5">
        <w:t>12.5</w:t>
      </w:r>
      <w:r w:rsidR="00617000">
        <w:t xml:space="preserve"> for government secondary schools and </w:t>
      </w:r>
      <w:r>
        <w:t>11.5</w:t>
      </w:r>
      <w:r w:rsidR="00617000">
        <w:t xml:space="preserve"> per cent for non</w:t>
      </w:r>
      <w:r w:rsidR="00617000">
        <w:noBreakHyphen/>
      </w:r>
      <w:r w:rsidR="00617000" w:rsidRPr="009738E5">
        <w:t>government secondary schools</w:t>
      </w:r>
      <w:r w:rsidR="00617000">
        <w:t>.</w:t>
      </w:r>
      <w:r w:rsidR="00617000" w:rsidRPr="009738E5">
        <w:t xml:space="preserve"> For all secondary schools, the student-to-teacher ratio was </w:t>
      </w:r>
      <w:r>
        <w:t>12.1</w:t>
      </w:r>
      <w:r w:rsidR="00617000" w:rsidRPr="009738E5">
        <w:t xml:space="preserve"> (figure 4.2</w:t>
      </w:r>
      <w:r w:rsidR="00617000">
        <w:t>4</w:t>
      </w:r>
      <w:r w:rsidR="00617000" w:rsidRPr="009738E5">
        <w:t>).</w:t>
      </w:r>
    </w:p>
    <w:p w:rsidR="00E41D90" w:rsidRDefault="00E41D90" w:rsidP="00E41D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41D90" w:rsidTr="00154469">
        <w:tc>
          <w:tcPr>
            <w:tcW w:w="8771" w:type="dxa"/>
            <w:tcBorders>
              <w:top w:val="single" w:sz="6" w:space="0" w:color="78A22F"/>
              <w:left w:val="nil"/>
              <w:bottom w:val="nil"/>
              <w:right w:val="nil"/>
            </w:tcBorders>
            <w:shd w:val="clear" w:color="auto" w:fill="auto"/>
          </w:tcPr>
          <w:p w:rsidR="00E41D90" w:rsidRPr="00176D3F" w:rsidRDefault="00E41D90" w:rsidP="00323E8D">
            <w:pPr>
              <w:pStyle w:val="FigureTitle"/>
            </w:pPr>
            <w:r w:rsidRPr="00784A05">
              <w:rPr>
                <w:b w:val="0"/>
              </w:rPr>
              <w:t xml:space="preserve">Figure </w:t>
            </w:r>
            <w:r w:rsidR="00B70781">
              <w:rPr>
                <w:b w:val="0"/>
              </w:rPr>
              <w:t>4.</w:t>
            </w:r>
            <w:r w:rsidR="00FF4FBD">
              <w:rPr>
                <w:b w:val="0"/>
                <w:noProof/>
              </w:rPr>
              <w:t>23</w:t>
            </w:r>
            <w:r>
              <w:tab/>
            </w:r>
            <w:r w:rsidRPr="00E41D90">
              <w:t>Ratio of FTE students to FTE teaching staff, primary schools, 201</w:t>
            </w:r>
            <w:r w:rsidR="00767B23">
              <w:t>4</w:t>
            </w:r>
            <w:r w:rsidRPr="00E41D90">
              <w:rPr>
                <w:rStyle w:val="NoteLabel"/>
                <w:b/>
              </w:rPr>
              <w:t>a</w:t>
            </w:r>
            <w:r w:rsidR="00767B23" w:rsidRPr="00767B23">
              <w:rPr>
                <w:rStyle w:val="DraftingNote"/>
                <w:rFonts w:ascii="Times New Roman" w:hAnsi="Times New Roman"/>
                <w:b/>
              </w:rPr>
              <w:t xml:space="preserve"> </w:t>
            </w:r>
          </w:p>
        </w:tc>
      </w:tr>
      <w:tr w:rsidR="00E41D90" w:rsidTr="0015446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41D90" w:rsidTr="00E41D90">
              <w:trPr>
                <w:jc w:val="center"/>
              </w:trPr>
              <w:tc>
                <w:tcPr>
                  <w:tcW w:w="5000" w:type="pct"/>
                  <w:tcBorders>
                    <w:top w:val="nil"/>
                    <w:bottom w:val="nil"/>
                  </w:tcBorders>
                </w:tcPr>
                <w:p w:rsidR="00E41D90" w:rsidRDefault="00EE6972" w:rsidP="00E41D90">
                  <w:pPr>
                    <w:pStyle w:val="Figure"/>
                    <w:spacing w:before="60" w:after="60"/>
                  </w:pPr>
                  <w:r>
                    <w:rPr>
                      <w:noProof/>
                    </w:rPr>
                    <w:drawing>
                      <wp:inline distT="0" distB="0" distL="0" distR="0">
                        <wp:extent cx="5391150" cy="2638425"/>
                        <wp:effectExtent l="0" t="0" r="0" b="9525"/>
                        <wp:docPr id="26" name="Picture 26" descr="Figure 4.23 Ratio of FTE students to FTE teaching staff, primary schools,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91150" cy="2638425"/>
                                </a:xfrm>
                                <a:prstGeom prst="rect">
                                  <a:avLst/>
                                </a:prstGeom>
                                <a:noFill/>
                                <a:ln>
                                  <a:noFill/>
                                </a:ln>
                              </pic:spPr>
                            </pic:pic>
                          </a:graphicData>
                        </a:graphic>
                      </wp:inline>
                    </w:drawing>
                  </w:r>
                </w:p>
              </w:tc>
            </w:tr>
          </w:tbl>
          <w:p w:rsidR="00E41D90" w:rsidRDefault="00E41D90" w:rsidP="00E41D90">
            <w:pPr>
              <w:pStyle w:val="Figure"/>
            </w:pPr>
          </w:p>
        </w:tc>
      </w:tr>
      <w:tr w:rsidR="00E41D90" w:rsidRPr="00176D3F" w:rsidTr="00E41D90">
        <w:tc>
          <w:tcPr>
            <w:tcW w:w="8771" w:type="dxa"/>
            <w:tcBorders>
              <w:top w:val="nil"/>
              <w:left w:val="nil"/>
              <w:bottom w:val="nil"/>
              <w:right w:val="nil"/>
            </w:tcBorders>
            <w:shd w:val="clear" w:color="auto" w:fill="auto"/>
          </w:tcPr>
          <w:p w:rsidR="00E41D90" w:rsidRPr="00176D3F" w:rsidRDefault="005B3EDD" w:rsidP="00496590">
            <w:pPr>
              <w:pStyle w:val="Source"/>
            </w:pPr>
            <w:r w:rsidRPr="00953E9C">
              <w:rPr>
                <w:rStyle w:val="NoteLabel"/>
              </w:rPr>
              <w:t>a</w:t>
            </w:r>
            <w:r w:rsidRPr="00953E9C">
              <w:t xml:space="preserve"> </w:t>
            </w:r>
            <w:r w:rsidRPr="007C767F">
              <w:t xml:space="preserve">See </w:t>
            </w:r>
            <w:r>
              <w:t>box 4.</w:t>
            </w:r>
            <w:r w:rsidR="00496590">
              <w:t>9</w:t>
            </w:r>
            <w:r>
              <w:t xml:space="preserve"> and </w:t>
            </w:r>
            <w:r w:rsidRPr="007C767F">
              <w:t xml:space="preserve">table </w:t>
            </w:r>
            <w:r>
              <w:t>4A.22</w:t>
            </w:r>
            <w:r w:rsidRPr="007C767F">
              <w:t xml:space="preserve"> for detailed</w:t>
            </w:r>
            <w:r>
              <w:t xml:space="preserve"> </w:t>
            </w:r>
            <w:r w:rsidRPr="005B3EDD">
              <w:t>definitions, footnotes and caveats</w:t>
            </w:r>
            <w:r w:rsidRPr="007C767F">
              <w:t>.</w:t>
            </w:r>
          </w:p>
        </w:tc>
      </w:tr>
      <w:tr w:rsidR="00E41D90" w:rsidRPr="00176D3F" w:rsidTr="00E41D90">
        <w:tc>
          <w:tcPr>
            <w:tcW w:w="8771" w:type="dxa"/>
            <w:tcBorders>
              <w:top w:val="nil"/>
              <w:left w:val="nil"/>
              <w:bottom w:val="nil"/>
              <w:right w:val="nil"/>
            </w:tcBorders>
            <w:shd w:val="clear" w:color="auto" w:fill="auto"/>
          </w:tcPr>
          <w:p w:rsidR="00E41D90" w:rsidRPr="00176D3F" w:rsidRDefault="00E41D90" w:rsidP="00555811">
            <w:pPr>
              <w:pStyle w:val="Source"/>
            </w:pPr>
            <w:r>
              <w:rPr>
                <w:i/>
              </w:rPr>
              <w:t>S</w:t>
            </w:r>
            <w:r w:rsidRPr="00784A05">
              <w:rPr>
                <w:i/>
              </w:rPr>
              <w:t>ource</w:t>
            </w:r>
            <w:r w:rsidRPr="00176D3F">
              <w:t xml:space="preserve">: </w:t>
            </w:r>
            <w:r w:rsidRPr="00E41D90">
              <w:t>ABS (201</w:t>
            </w:r>
            <w:r w:rsidR="00555811">
              <w:t>5</w:t>
            </w:r>
            <w:r w:rsidRPr="00E41D90">
              <w:t xml:space="preserve">) </w:t>
            </w:r>
            <w:r w:rsidRPr="00E41D90">
              <w:rPr>
                <w:i/>
              </w:rPr>
              <w:t>Schools Australia 201</w:t>
            </w:r>
            <w:r w:rsidR="00555811">
              <w:rPr>
                <w:i/>
              </w:rPr>
              <w:t>4</w:t>
            </w:r>
            <w:r w:rsidRPr="00E41D90">
              <w:t>, Cat. no. 4221.0; table 4A.22</w:t>
            </w:r>
            <w:r>
              <w:t>.</w:t>
            </w:r>
          </w:p>
        </w:tc>
      </w:tr>
      <w:tr w:rsidR="00E41D90" w:rsidTr="00E41D90">
        <w:tc>
          <w:tcPr>
            <w:tcW w:w="8771" w:type="dxa"/>
            <w:tcBorders>
              <w:top w:val="nil"/>
              <w:left w:val="nil"/>
              <w:bottom w:val="single" w:sz="6" w:space="0" w:color="78A22F"/>
              <w:right w:val="nil"/>
            </w:tcBorders>
            <w:shd w:val="clear" w:color="auto" w:fill="auto"/>
          </w:tcPr>
          <w:p w:rsidR="00E41D90" w:rsidRDefault="00E41D90" w:rsidP="00E41D90">
            <w:pPr>
              <w:pStyle w:val="Figurespace"/>
            </w:pPr>
          </w:p>
        </w:tc>
      </w:tr>
      <w:tr w:rsidR="00E41D90" w:rsidRPr="000863A5" w:rsidTr="00E41D90">
        <w:tc>
          <w:tcPr>
            <w:tcW w:w="8771" w:type="dxa"/>
            <w:tcBorders>
              <w:top w:val="single" w:sz="6" w:space="0" w:color="78A22F"/>
              <w:left w:val="nil"/>
              <w:bottom w:val="nil"/>
              <w:right w:val="nil"/>
            </w:tcBorders>
          </w:tcPr>
          <w:p w:rsidR="00E41D90" w:rsidRPr="00626D32" w:rsidRDefault="00E41D90" w:rsidP="00E41D90">
            <w:pPr>
              <w:pStyle w:val="BoxSpaceBelow"/>
            </w:pPr>
          </w:p>
        </w:tc>
      </w:tr>
    </w:tbl>
    <w:p w:rsidR="00E41D90" w:rsidRDefault="00E41D90" w:rsidP="00E41D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41D90" w:rsidTr="00E41D90">
        <w:tc>
          <w:tcPr>
            <w:tcW w:w="8771" w:type="dxa"/>
            <w:tcBorders>
              <w:top w:val="single" w:sz="6" w:space="0" w:color="78A22F"/>
              <w:left w:val="nil"/>
              <w:bottom w:val="nil"/>
              <w:right w:val="nil"/>
            </w:tcBorders>
            <w:shd w:val="clear" w:color="auto" w:fill="auto"/>
          </w:tcPr>
          <w:p w:rsidR="00E41D90" w:rsidRPr="00176D3F" w:rsidRDefault="00E41D90" w:rsidP="00154469">
            <w:pPr>
              <w:pStyle w:val="FigureTitle"/>
            </w:pPr>
            <w:r w:rsidRPr="00784A05">
              <w:rPr>
                <w:b w:val="0"/>
              </w:rPr>
              <w:t xml:space="preserve">Figure </w:t>
            </w:r>
            <w:r w:rsidR="00B70781">
              <w:rPr>
                <w:b w:val="0"/>
              </w:rPr>
              <w:t>4.</w:t>
            </w:r>
            <w:r w:rsidR="00FF4FBD">
              <w:rPr>
                <w:b w:val="0"/>
                <w:noProof/>
              </w:rPr>
              <w:t>24</w:t>
            </w:r>
            <w:r>
              <w:tab/>
            </w:r>
            <w:r w:rsidRPr="00E41D90">
              <w:t>Ratio of FTE students to FTE teaching staff, secondary schools, 201</w:t>
            </w:r>
            <w:r w:rsidR="00154469">
              <w:t>4</w:t>
            </w:r>
            <w:r w:rsidRPr="00E41D90">
              <w:rPr>
                <w:rStyle w:val="NoteLabel"/>
                <w:b/>
              </w:rPr>
              <w:t>a</w:t>
            </w:r>
          </w:p>
        </w:tc>
      </w:tr>
      <w:tr w:rsidR="00E41D90" w:rsidTr="00E41D9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41D90" w:rsidTr="00E41D90">
              <w:trPr>
                <w:jc w:val="center"/>
              </w:trPr>
              <w:tc>
                <w:tcPr>
                  <w:tcW w:w="5000" w:type="pct"/>
                  <w:tcBorders>
                    <w:top w:val="nil"/>
                    <w:bottom w:val="nil"/>
                  </w:tcBorders>
                </w:tcPr>
                <w:p w:rsidR="00E41D90" w:rsidRDefault="00EE6972" w:rsidP="00E41D90">
                  <w:pPr>
                    <w:pStyle w:val="Figure"/>
                    <w:spacing w:before="60" w:after="60"/>
                  </w:pPr>
                  <w:r>
                    <w:rPr>
                      <w:noProof/>
                    </w:rPr>
                    <w:drawing>
                      <wp:inline distT="0" distB="0" distL="0" distR="0">
                        <wp:extent cx="5381625" cy="2647950"/>
                        <wp:effectExtent l="0" t="0" r="9525" b="0"/>
                        <wp:docPr id="27" name="Picture 27" descr="Figure 4.24 Ratio of FTE students to FTE teaching staff, secondary schools,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E41D90" w:rsidRDefault="00E41D90" w:rsidP="00E41D90">
            <w:pPr>
              <w:pStyle w:val="Figure"/>
            </w:pPr>
          </w:p>
        </w:tc>
      </w:tr>
      <w:tr w:rsidR="00E41D90" w:rsidRPr="00176D3F" w:rsidTr="00E41D90">
        <w:tc>
          <w:tcPr>
            <w:tcW w:w="8771" w:type="dxa"/>
            <w:tcBorders>
              <w:top w:val="nil"/>
              <w:left w:val="nil"/>
              <w:bottom w:val="nil"/>
              <w:right w:val="nil"/>
            </w:tcBorders>
            <w:shd w:val="clear" w:color="auto" w:fill="auto"/>
          </w:tcPr>
          <w:p w:rsidR="00E41D90" w:rsidRPr="00176D3F" w:rsidRDefault="005B3EDD" w:rsidP="00496590">
            <w:pPr>
              <w:pStyle w:val="Source"/>
            </w:pPr>
            <w:r w:rsidRPr="00953E9C">
              <w:rPr>
                <w:rStyle w:val="NoteLabel"/>
              </w:rPr>
              <w:t>a</w:t>
            </w:r>
            <w:r w:rsidRPr="00953E9C">
              <w:t xml:space="preserve"> </w:t>
            </w:r>
            <w:r w:rsidRPr="007C767F">
              <w:t xml:space="preserve">See </w:t>
            </w:r>
            <w:r>
              <w:t>box 4.</w:t>
            </w:r>
            <w:r w:rsidR="00496590">
              <w:t>9</w:t>
            </w:r>
            <w:r>
              <w:t xml:space="preserve"> and </w:t>
            </w:r>
            <w:r w:rsidRPr="007C767F">
              <w:t xml:space="preserve">table </w:t>
            </w:r>
            <w:r>
              <w:t>4A.22</w:t>
            </w:r>
            <w:r w:rsidRPr="007C767F">
              <w:t xml:space="preserve"> for detailed</w:t>
            </w:r>
            <w:r>
              <w:t xml:space="preserve"> </w:t>
            </w:r>
            <w:r w:rsidRPr="005B3EDD">
              <w:t>definitions, footnotes and caveats</w:t>
            </w:r>
            <w:r w:rsidRPr="007C767F">
              <w:t>.</w:t>
            </w:r>
          </w:p>
        </w:tc>
      </w:tr>
      <w:tr w:rsidR="00E41D90" w:rsidRPr="00176D3F" w:rsidTr="00E41D90">
        <w:tc>
          <w:tcPr>
            <w:tcW w:w="8771" w:type="dxa"/>
            <w:tcBorders>
              <w:top w:val="nil"/>
              <w:left w:val="nil"/>
              <w:bottom w:val="nil"/>
              <w:right w:val="nil"/>
            </w:tcBorders>
            <w:shd w:val="clear" w:color="auto" w:fill="auto"/>
          </w:tcPr>
          <w:p w:rsidR="00E41D90" w:rsidRPr="00176D3F" w:rsidRDefault="00E41D90" w:rsidP="00555811">
            <w:pPr>
              <w:pStyle w:val="Source"/>
            </w:pPr>
            <w:r>
              <w:rPr>
                <w:i/>
              </w:rPr>
              <w:t>S</w:t>
            </w:r>
            <w:r w:rsidRPr="00784A05">
              <w:rPr>
                <w:i/>
              </w:rPr>
              <w:t>ource</w:t>
            </w:r>
            <w:r w:rsidRPr="00176D3F">
              <w:t xml:space="preserve">: </w:t>
            </w:r>
            <w:r w:rsidRPr="00E41D90">
              <w:t>ABS (201</w:t>
            </w:r>
            <w:r w:rsidR="00555811">
              <w:t>5</w:t>
            </w:r>
            <w:r w:rsidRPr="00E41D90">
              <w:t xml:space="preserve">) </w:t>
            </w:r>
            <w:r w:rsidRPr="00E41D90">
              <w:rPr>
                <w:i/>
              </w:rPr>
              <w:t>Schools Australia 201</w:t>
            </w:r>
            <w:r w:rsidR="00555811">
              <w:rPr>
                <w:i/>
              </w:rPr>
              <w:t>4</w:t>
            </w:r>
            <w:r w:rsidRPr="00E41D90">
              <w:t>, Cat. no. 4221.0; table 4A.22</w:t>
            </w:r>
            <w:r>
              <w:t>.</w:t>
            </w:r>
          </w:p>
        </w:tc>
      </w:tr>
      <w:tr w:rsidR="00E41D90" w:rsidTr="00E41D90">
        <w:tc>
          <w:tcPr>
            <w:tcW w:w="8771" w:type="dxa"/>
            <w:tcBorders>
              <w:top w:val="nil"/>
              <w:left w:val="nil"/>
              <w:bottom w:val="single" w:sz="6" w:space="0" w:color="78A22F"/>
              <w:right w:val="nil"/>
            </w:tcBorders>
            <w:shd w:val="clear" w:color="auto" w:fill="auto"/>
          </w:tcPr>
          <w:p w:rsidR="00E41D90" w:rsidRDefault="00E41D90" w:rsidP="00E41D90">
            <w:pPr>
              <w:pStyle w:val="Figurespace"/>
            </w:pPr>
          </w:p>
        </w:tc>
      </w:tr>
      <w:tr w:rsidR="00E41D90" w:rsidRPr="000863A5" w:rsidTr="00E41D90">
        <w:tc>
          <w:tcPr>
            <w:tcW w:w="8771" w:type="dxa"/>
            <w:tcBorders>
              <w:top w:val="single" w:sz="6" w:space="0" w:color="78A22F"/>
              <w:left w:val="nil"/>
              <w:bottom w:val="nil"/>
              <w:right w:val="nil"/>
            </w:tcBorders>
          </w:tcPr>
          <w:p w:rsidR="00E41D90" w:rsidRPr="00626D32" w:rsidRDefault="00E41D90" w:rsidP="00E41D90">
            <w:pPr>
              <w:pStyle w:val="BoxSpaceBelow"/>
            </w:pPr>
          </w:p>
        </w:tc>
      </w:tr>
    </w:tbl>
    <w:p w:rsidR="00666ECE" w:rsidRPr="009738E5" w:rsidRDefault="00666ECE" w:rsidP="00666ECE">
      <w:pPr>
        <w:spacing w:before="240" w:line="320" w:lineRule="atLeast"/>
        <w:jc w:val="both"/>
        <w:rPr>
          <w:szCs w:val="20"/>
        </w:rPr>
      </w:pPr>
      <w:r w:rsidRPr="00666ECE">
        <w:rPr>
          <w:szCs w:val="20"/>
        </w:rPr>
        <w:lastRenderedPageBreak/>
        <w:t>Nationally in 201</w:t>
      </w:r>
      <w:r w:rsidR="00555811">
        <w:rPr>
          <w:szCs w:val="20"/>
        </w:rPr>
        <w:t>4</w:t>
      </w:r>
      <w:r w:rsidRPr="00666ECE">
        <w:rPr>
          <w:szCs w:val="20"/>
        </w:rPr>
        <w:t xml:space="preserve">, the </w:t>
      </w:r>
      <w:r w:rsidRPr="009738E5">
        <w:rPr>
          <w:szCs w:val="20"/>
        </w:rPr>
        <w:t xml:space="preserve">student-to-teacher ratio for all government schools was </w:t>
      </w:r>
      <w:r w:rsidR="00323E8D">
        <w:rPr>
          <w:szCs w:val="20"/>
        </w:rPr>
        <w:t>14.2</w:t>
      </w:r>
      <w:r w:rsidRPr="009738E5">
        <w:rPr>
          <w:szCs w:val="20"/>
        </w:rPr>
        <w:t xml:space="preserve"> and for all non-government schools was </w:t>
      </w:r>
      <w:r w:rsidR="00323E8D">
        <w:rPr>
          <w:szCs w:val="20"/>
        </w:rPr>
        <w:t>13.6.</w:t>
      </w:r>
      <w:r w:rsidRPr="009738E5">
        <w:rPr>
          <w:szCs w:val="20"/>
        </w:rPr>
        <w:t xml:space="preserve"> For all schools, the student-to-teacher ratio was </w:t>
      </w:r>
      <w:r w:rsidR="003B5A5B" w:rsidRPr="009738E5">
        <w:rPr>
          <w:szCs w:val="20"/>
        </w:rPr>
        <w:t>13.</w:t>
      </w:r>
      <w:r w:rsidR="006F7099">
        <w:rPr>
          <w:szCs w:val="20"/>
        </w:rPr>
        <w:t>9</w:t>
      </w:r>
      <w:r w:rsidRPr="009738E5">
        <w:rPr>
          <w:szCs w:val="20"/>
        </w:rPr>
        <w:t xml:space="preserve"> (table 4A.</w:t>
      </w:r>
      <w:r w:rsidR="009A48EC">
        <w:rPr>
          <w:szCs w:val="20"/>
        </w:rPr>
        <w:t>22</w:t>
      </w:r>
      <w:r w:rsidRPr="009738E5">
        <w:rPr>
          <w:szCs w:val="20"/>
        </w:rPr>
        <w:t xml:space="preserve">). </w:t>
      </w:r>
    </w:p>
    <w:p w:rsidR="00666ECE" w:rsidRPr="00666ECE" w:rsidRDefault="00666ECE" w:rsidP="00666ECE">
      <w:pPr>
        <w:spacing w:before="240" w:line="320" w:lineRule="atLeast"/>
        <w:jc w:val="both"/>
        <w:rPr>
          <w:szCs w:val="20"/>
        </w:rPr>
      </w:pPr>
      <w:r w:rsidRPr="00666ECE">
        <w:rPr>
          <w:szCs w:val="20"/>
        </w:rPr>
        <w:t>Table 4A.</w:t>
      </w:r>
      <w:r w:rsidR="009A48EC">
        <w:rPr>
          <w:szCs w:val="20"/>
        </w:rPr>
        <w:t>22</w:t>
      </w:r>
      <w:r w:rsidRPr="00666ECE">
        <w:rPr>
          <w:szCs w:val="20"/>
        </w:rPr>
        <w:t xml:space="preserve"> provides further detail on student-to-staff ratios in 201</w:t>
      </w:r>
      <w:r w:rsidR="00555811">
        <w:rPr>
          <w:szCs w:val="20"/>
        </w:rPr>
        <w:t>4</w:t>
      </w:r>
      <w:r w:rsidRPr="00666ECE">
        <w:rPr>
          <w:szCs w:val="20"/>
        </w:rPr>
        <w:t>, including those for non-teaching school staff</w:t>
      </w:r>
      <w:r w:rsidR="00B84DC8">
        <w:rPr>
          <w:szCs w:val="20"/>
        </w:rPr>
        <w:t xml:space="preserve">, </w:t>
      </w:r>
      <w:r w:rsidRPr="00666ECE">
        <w:rPr>
          <w:szCs w:val="20"/>
        </w:rPr>
        <w:t>all</w:t>
      </w:r>
      <w:r w:rsidR="00B84DC8">
        <w:rPr>
          <w:szCs w:val="20"/>
        </w:rPr>
        <w:t xml:space="preserve"> school</w:t>
      </w:r>
      <w:r w:rsidRPr="00666ECE">
        <w:rPr>
          <w:szCs w:val="20"/>
        </w:rPr>
        <w:t xml:space="preserve"> staff, for all jurisdictions.</w:t>
      </w:r>
    </w:p>
    <w:p w:rsidR="00666ECE" w:rsidRPr="00666ECE" w:rsidRDefault="00B84DC8" w:rsidP="00666ECE">
      <w:pPr>
        <w:spacing w:before="240" w:line="320" w:lineRule="atLeast"/>
        <w:jc w:val="both"/>
        <w:rPr>
          <w:szCs w:val="20"/>
        </w:rPr>
      </w:pPr>
      <w:r>
        <w:rPr>
          <w:szCs w:val="20"/>
        </w:rPr>
        <w:t>From 2006 to 2014, t</w:t>
      </w:r>
      <w:r w:rsidR="00666ECE" w:rsidRPr="00666ECE">
        <w:rPr>
          <w:szCs w:val="20"/>
        </w:rPr>
        <w:t xml:space="preserve">he </w:t>
      </w:r>
      <w:r w:rsidR="00666ECE" w:rsidRPr="003B5A5B">
        <w:rPr>
          <w:szCs w:val="20"/>
        </w:rPr>
        <w:t>student-to-</w:t>
      </w:r>
      <w:r w:rsidR="00666ECE" w:rsidRPr="009738E5">
        <w:rPr>
          <w:szCs w:val="20"/>
        </w:rPr>
        <w:t>teacher ratio for all schools (</w:t>
      </w:r>
      <w:r w:rsidR="0015169D">
        <w:rPr>
          <w:szCs w:val="20"/>
        </w:rPr>
        <w:t>government and non</w:t>
      </w:r>
      <w:r w:rsidR="000D2662">
        <w:rPr>
          <w:szCs w:val="20"/>
        </w:rPr>
        <w:noBreakHyphen/>
      </w:r>
      <w:r w:rsidR="0015169D">
        <w:rPr>
          <w:szCs w:val="20"/>
        </w:rPr>
        <w:t xml:space="preserve">government </w:t>
      </w:r>
      <w:r w:rsidR="00666ECE" w:rsidRPr="009738E5">
        <w:rPr>
          <w:szCs w:val="20"/>
        </w:rPr>
        <w:t xml:space="preserve">primary and secondary combined) has </w:t>
      </w:r>
      <w:r w:rsidR="00666ECE" w:rsidRPr="000210F5">
        <w:rPr>
          <w:szCs w:val="20"/>
          <w:shd w:val="clear" w:color="auto" w:fill="FFFFFF" w:themeFill="background1"/>
        </w:rPr>
        <w:t xml:space="preserve">decreased </w:t>
      </w:r>
      <w:r w:rsidR="00666ECE" w:rsidRPr="009738E5">
        <w:rPr>
          <w:szCs w:val="20"/>
        </w:rPr>
        <w:t xml:space="preserve">from </w:t>
      </w:r>
      <w:r w:rsidR="000210F5">
        <w:rPr>
          <w:szCs w:val="20"/>
        </w:rPr>
        <w:t>14.1</w:t>
      </w:r>
      <w:r w:rsidR="00666ECE" w:rsidRPr="009738E5">
        <w:rPr>
          <w:szCs w:val="20"/>
        </w:rPr>
        <w:t xml:space="preserve"> to </w:t>
      </w:r>
      <w:r w:rsidR="000210F5">
        <w:rPr>
          <w:szCs w:val="20"/>
        </w:rPr>
        <w:t>13.9</w:t>
      </w:r>
      <w:r w:rsidR="00666ECE" w:rsidRPr="009738E5">
        <w:rPr>
          <w:szCs w:val="20"/>
        </w:rPr>
        <w:t xml:space="preserve"> </w:t>
      </w:r>
      <w:r w:rsidR="00666ECE" w:rsidRPr="003B5A5B">
        <w:rPr>
          <w:szCs w:val="20"/>
        </w:rPr>
        <w:t>(figure</w:t>
      </w:r>
      <w:r w:rsidR="000210F5">
        <w:rPr>
          <w:szCs w:val="20"/>
        </w:rPr>
        <w:t> </w:t>
      </w:r>
      <w:r w:rsidR="00666ECE" w:rsidRPr="003B5A5B">
        <w:rPr>
          <w:szCs w:val="20"/>
        </w:rPr>
        <w:t>4.2</w:t>
      </w:r>
      <w:r w:rsidR="00DE6407">
        <w:rPr>
          <w:szCs w:val="20"/>
        </w:rPr>
        <w:t>5</w:t>
      </w:r>
      <w:r w:rsidR="00666ECE" w:rsidRPr="003B5A5B">
        <w:rPr>
          <w:szCs w:val="20"/>
        </w:rPr>
        <w:t>). Data for intervening years and for government and non-government</w:t>
      </w:r>
      <w:r w:rsidR="00666ECE" w:rsidRPr="00666ECE">
        <w:rPr>
          <w:szCs w:val="20"/>
        </w:rPr>
        <w:t xml:space="preserve"> schools </w:t>
      </w:r>
      <w:r>
        <w:rPr>
          <w:szCs w:val="20"/>
        </w:rPr>
        <w:t xml:space="preserve">separately </w:t>
      </w:r>
      <w:r w:rsidR="00666ECE" w:rsidRPr="00666ECE">
        <w:rPr>
          <w:szCs w:val="20"/>
        </w:rPr>
        <w:t>are in table 4A.</w:t>
      </w:r>
      <w:r w:rsidR="0081078D">
        <w:rPr>
          <w:szCs w:val="20"/>
        </w:rPr>
        <w:t>23</w:t>
      </w:r>
      <w:r w:rsidR="00666ECE" w:rsidRPr="00666ECE">
        <w:rPr>
          <w:szCs w:val="20"/>
        </w:rPr>
        <w:t xml:space="preserve">. </w:t>
      </w:r>
    </w:p>
    <w:p w:rsidR="00462886" w:rsidRDefault="00462886" w:rsidP="007803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62886" w:rsidTr="0078036C">
        <w:tc>
          <w:tcPr>
            <w:tcW w:w="8771" w:type="dxa"/>
            <w:tcBorders>
              <w:top w:val="single" w:sz="6" w:space="0" w:color="78A22F"/>
              <w:left w:val="nil"/>
              <w:bottom w:val="nil"/>
              <w:right w:val="nil"/>
            </w:tcBorders>
            <w:shd w:val="clear" w:color="auto" w:fill="auto"/>
          </w:tcPr>
          <w:p w:rsidR="00462886" w:rsidRPr="00176D3F" w:rsidRDefault="00462886" w:rsidP="000210F5">
            <w:pPr>
              <w:pStyle w:val="FigureTitle"/>
            </w:pPr>
            <w:r w:rsidRPr="00784A05">
              <w:rPr>
                <w:b w:val="0"/>
              </w:rPr>
              <w:t xml:space="preserve">Figure </w:t>
            </w:r>
            <w:r w:rsidR="00B70781">
              <w:rPr>
                <w:b w:val="0"/>
              </w:rPr>
              <w:t>4.</w:t>
            </w:r>
            <w:r w:rsidR="00FF4FBD">
              <w:rPr>
                <w:b w:val="0"/>
                <w:noProof/>
              </w:rPr>
              <w:t>25</w:t>
            </w:r>
            <w:r>
              <w:tab/>
            </w:r>
            <w:r w:rsidRPr="00462886">
              <w:t>Ratio of FTE students to FTE teaching staff, all schools</w:t>
            </w:r>
            <w:r w:rsidRPr="00462886">
              <w:rPr>
                <w:rStyle w:val="NoteLabel"/>
                <w:b/>
              </w:rPr>
              <w:t>a, b</w:t>
            </w:r>
            <w:r w:rsidR="00667155">
              <w:rPr>
                <w:rStyle w:val="DraftingNote"/>
                <w:rFonts w:ascii="Times New Roman" w:hAnsi="Times New Roman"/>
                <w:b/>
              </w:rPr>
              <w:t xml:space="preserve"> </w:t>
            </w:r>
          </w:p>
        </w:tc>
      </w:tr>
      <w:tr w:rsidR="00462886" w:rsidTr="0078036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62886" w:rsidTr="0078036C">
              <w:trPr>
                <w:jc w:val="center"/>
              </w:trPr>
              <w:tc>
                <w:tcPr>
                  <w:tcW w:w="5000" w:type="pct"/>
                  <w:tcBorders>
                    <w:top w:val="nil"/>
                    <w:bottom w:val="nil"/>
                  </w:tcBorders>
                </w:tcPr>
                <w:p w:rsidR="00462886" w:rsidRDefault="00EE6972" w:rsidP="0078036C">
                  <w:pPr>
                    <w:pStyle w:val="Figure"/>
                    <w:spacing w:before="60" w:after="60"/>
                  </w:pPr>
                  <w:r>
                    <w:rPr>
                      <w:noProof/>
                    </w:rPr>
                    <w:drawing>
                      <wp:inline distT="0" distB="0" distL="0" distR="0">
                        <wp:extent cx="5381625" cy="2609850"/>
                        <wp:effectExtent l="0" t="0" r="9525" b="0"/>
                        <wp:docPr id="28" name="Picture 28" descr="Figure 4.25 Ratio of FTE students to FTE teaching staff, all school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81625" cy="2609850"/>
                                </a:xfrm>
                                <a:prstGeom prst="rect">
                                  <a:avLst/>
                                </a:prstGeom>
                                <a:noFill/>
                                <a:ln>
                                  <a:noFill/>
                                </a:ln>
                              </pic:spPr>
                            </pic:pic>
                          </a:graphicData>
                        </a:graphic>
                      </wp:inline>
                    </w:drawing>
                  </w:r>
                </w:p>
              </w:tc>
            </w:tr>
          </w:tbl>
          <w:p w:rsidR="00462886" w:rsidRDefault="00462886" w:rsidP="0078036C">
            <w:pPr>
              <w:pStyle w:val="Figure"/>
            </w:pPr>
          </w:p>
        </w:tc>
      </w:tr>
      <w:tr w:rsidR="00462886" w:rsidRPr="00176D3F" w:rsidTr="0078036C">
        <w:tc>
          <w:tcPr>
            <w:tcW w:w="8771" w:type="dxa"/>
            <w:tcBorders>
              <w:top w:val="nil"/>
              <w:left w:val="nil"/>
              <w:bottom w:val="nil"/>
              <w:right w:val="nil"/>
            </w:tcBorders>
            <w:shd w:val="clear" w:color="auto" w:fill="auto"/>
          </w:tcPr>
          <w:p w:rsidR="00462886" w:rsidRPr="00176D3F" w:rsidRDefault="00462886" w:rsidP="00496590">
            <w:pPr>
              <w:pStyle w:val="Source"/>
            </w:pPr>
            <w:r>
              <w:rPr>
                <w:rStyle w:val="NoteLabel"/>
              </w:rPr>
              <w:t>a</w:t>
            </w:r>
            <w:r w:rsidRPr="00462886">
              <w:sym w:font="Symbol" w:char="F020"/>
            </w:r>
            <w:r w:rsidRPr="00462886">
              <w:t xml:space="preserve"> Includes primary and secondary schools. </w:t>
            </w:r>
            <w:r w:rsidRPr="00820CF9">
              <w:rPr>
                <w:rStyle w:val="NoteLabel"/>
              </w:rPr>
              <w:t>b</w:t>
            </w:r>
            <w:r w:rsidRPr="00462886">
              <w:t> </w:t>
            </w:r>
            <w:r w:rsidR="005B3EDD" w:rsidRPr="007C767F">
              <w:t xml:space="preserve">See </w:t>
            </w:r>
            <w:r w:rsidR="005B3EDD">
              <w:t>box 4.</w:t>
            </w:r>
            <w:r w:rsidR="00496590">
              <w:t>9</w:t>
            </w:r>
            <w:r w:rsidR="005B3EDD">
              <w:t xml:space="preserve"> and </w:t>
            </w:r>
            <w:r w:rsidR="005B3EDD" w:rsidRPr="007C767F">
              <w:t xml:space="preserve">table </w:t>
            </w:r>
            <w:r w:rsidR="005B3EDD">
              <w:t>4A.23</w:t>
            </w:r>
            <w:r w:rsidR="005B3EDD" w:rsidRPr="007C767F">
              <w:t xml:space="preserve"> for detailed</w:t>
            </w:r>
            <w:r w:rsidR="005B3EDD">
              <w:t xml:space="preserve"> </w:t>
            </w:r>
            <w:r w:rsidR="005B3EDD" w:rsidRPr="005B3EDD">
              <w:t>definitions, footnotes and caveats</w:t>
            </w:r>
            <w:r w:rsidR="005B3EDD" w:rsidRPr="007C767F">
              <w:t>.</w:t>
            </w:r>
          </w:p>
        </w:tc>
      </w:tr>
      <w:tr w:rsidR="00462886" w:rsidRPr="00176D3F" w:rsidTr="0078036C">
        <w:tc>
          <w:tcPr>
            <w:tcW w:w="8771" w:type="dxa"/>
            <w:tcBorders>
              <w:top w:val="nil"/>
              <w:left w:val="nil"/>
              <w:bottom w:val="nil"/>
              <w:right w:val="nil"/>
            </w:tcBorders>
            <w:shd w:val="clear" w:color="auto" w:fill="auto"/>
          </w:tcPr>
          <w:p w:rsidR="00462886" w:rsidRPr="00176D3F" w:rsidRDefault="00462886" w:rsidP="00555811">
            <w:pPr>
              <w:pStyle w:val="Source"/>
            </w:pPr>
            <w:r>
              <w:rPr>
                <w:i/>
              </w:rPr>
              <w:t>S</w:t>
            </w:r>
            <w:r w:rsidRPr="00784A05">
              <w:rPr>
                <w:i/>
              </w:rPr>
              <w:t>ource</w:t>
            </w:r>
            <w:r w:rsidRPr="00176D3F">
              <w:t xml:space="preserve">: </w:t>
            </w:r>
            <w:r w:rsidRPr="00462886">
              <w:t>ABS (201</w:t>
            </w:r>
            <w:r w:rsidR="00555811">
              <w:t>5</w:t>
            </w:r>
            <w:r w:rsidRPr="00462886">
              <w:t xml:space="preserve">) </w:t>
            </w:r>
            <w:r w:rsidRPr="00462886">
              <w:rPr>
                <w:i/>
              </w:rPr>
              <w:t>Schools Australia 201</w:t>
            </w:r>
            <w:r w:rsidR="00555811">
              <w:rPr>
                <w:i/>
              </w:rPr>
              <w:t>4</w:t>
            </w:r>
            <w:r>
              <w:rPr>
                <w:i/>
              </w:rPr>
              <w:t xml:space="preserve"> </w:t>
            </w:r>
            <w:r w:rsidRPr="00462886">
              <w:t>Cat. no. 4221.0; table 4A.23</w:t>
            </w:r>
            <w:r>
              <w:t>.</w:t>
            </w:r>
          </w:p>
        </w:tc>
      </w:tr>
      <w:tr w:rsidR="00462886" w:rsidTr="0078036C">
        <w:tc>
          <w:tcPr>
            <w:tcW w:w="8771" w:type="dxa"/>
            <w:tcBorders>
              <w:top w:val="nil"/>
              <w:left w:val="nil"/>
              <w:bottom w:val="single" w:sz="6" w:space="0" w:color="78A22F"/>
              <w:right w:val="nil"/>
            </w:tcBorders>
            <w:shd w:val="clear" w:color="auto" w:fill="auto"/>
          </w:tcPr>
          <w:p w:rsidR="00462886" w:rsidRDefault="00462886" w:rsidP="0078036C">
            <w:pPr>
              <w:pStyle w:val="Figurespace"/>
            </w:pPr>
          </w:p>
        </w:tc>
      </w:tr>
      <w:tr w:rsidR="00462886" w:rsidRPr="000863A5" w:rsidTr="0078036C">
        <w:tc>
          <w:tcPr>
            <w:tcW w:w="8771" w:type="dxa"/>
            <w:tcBorders>
              <w:top w:val="single" w:sz="6" w:space="0" w:color="78A22F"/>
              <w:left w:val="nil"/>
              <w:bottom w:val="nil"/>
              <w:right w:val="nil"/>
            </w:tcBorders>
          </w:tcPr>
          <w:p w:rsidR="00462886" w:rsidRPr="00626D32" w:rsidRDefault="00462886" w:rsidP="0078036C">
            <w:pPr>
              <w:pStyle w:val="BoxSpaceBelow"/>
            </w:pPr>
          </w:p>
        </w:tc>
      </w:tr>
    </w:tbl>
    <w:p w:rsidR="00666ECE" w:rsidRPr="00666ECE" w:rsidRDefault="00666ECE" w:rsidP="007B0AE2">
      <w:pPr>
        <w:pStyle w:val="Heading3"/>
      </w:pPr>
      <w:r w:rsidRPr="00666ECE">
        <w:t>Outcomes</w:t>
      </w:r>
    </w:p>
    <w:p w:rsidR="00666ECE" w:rsidRPr="00666ECE" w:rsidRDefault="00666ECE" w:rsidP="0089766B">
      <w:pPr>
        <w:pStyle w:val="BodyText"/>
      </w:pPr>
      <w:r w:rsidRPr="00666ECE">
        <w:t>Outcomes are the impact of services on the s</w:t>
      </w:r>
      <w:r w:rsidR="002F4E23">
        <w:t>tatus of an individual or group</w:t>
      </w:r>
      <w:r w:rsidRPr="00666ECE">
        <w:t xml:space="preserve"> (see chapter 1, section 1.5).</w:t>
      </w:r>
    </w:p>
    <w:p w:rsidR="004B0692" w:rsidRPr="00666ECE" w:rsidRDefault="004B0692" w:rsidP="004B0692">
      <w:pPr>
        <w:pStyle w:val="Heading4"/>
      </w:pPr>
      <w:r w:rsidRPr="00666ECE">
        <w:t>Nationally comparable learning outcomes</w:t>
      </w:r>
    </w:p>
    <w:p w:rsidR="004B0692" w:rsidRPr="00666ECE" w:rsidRDefault="004B0692" w:rsidP="004B0692">
      <w:pPr>
        <w:pStyle w:val="BodyText"/>
      </w:pPr>
      <w:r>
        <w:t>Learning outcomes measure</w:t>
      </w:r>
      <w:r w:rsidRPr="00666ECE">
        <w:t xml:space="preserve"> students’ attainment of a range of skills, in literacy and numeracy</w:t>
      </w:r>
      <w:r>
        <w:t>,</w:t>
      </w:r>
      <w:r w:rsidRPr="00666ECE">
        <w:t xml:space="preserve"> and in areas such as science literacy, information and communication technology</w:t>
      </w:r>
      <w:r>
        <w:t>,</w:t>
      </w:r>
      <w:r w:rsidRPr="00666ECE">
        <w:t xml:space="preserve"> and civics and citizenship.</w:t>
      </w:r>
    </w:p>
    <w:p w:rsidR="004B0692" w:rsidRPr="00666ECE" w:rsidRDefault="004B0692" w:rsidP="004B0692">
      <w:pPr>
        <w:pStyle w:val="BodyText"/>
      </w:pPr>
      <w:r w:rsidRPr="00666ECE">
        <w:lastRenderedPageBreak/>
        <w:t>The ‘learning outcomes’ indicator examines outcomes in these areas and draws on two main sources of information:</w:t>
      </w:r>
    </w:p>
    <w:p w:rsidR="004B0692" w:rsidRPr="0089766B" w:rsidRDefault="004B0692" w:rsidP="00442792">
      <w:pPr>
        <w:pStyle w:val="ListBullet"/>
      </w:pPr>
      <w:r w:rsidRPr="0089766B">
        <w:t xml:space="preserve">the National Assessment Program </w:t>
      </w:r>
      <w:r>
        <w:t>—</w:t>
      </w:r>
      <w:r w:rsidRPr="0089766B">
        <w:t xml:space="preserve"> Literacy and Numeracy (</w:t>
      </w:r>
      <w:r w:rsidRPr="00442792">
        <w:rPr>
          <w:shd w:val="clear" w:color="auto" w:fill="FFFFFF" w:themeFill="background1"/>
        </w:rPr>
        <w:t xml:space="preserve">NAPLAN), and </w:t>
      </w:r>
      <w:r w:rsidR="007C3D5B">
        <w:rPr>
          <w:shd w:val="clear" w:color="auto" w:fill="FFFFFF" w:themeFill="background1"/>
        </w:rPr>
        <w:t>National Assessment Program (</w:t>
      </w:r>
      <w:r w:rsidRPr="00442792">
        <w:rPr>
          <w:shd w:val="clear" w:color="auto" w:fill="FFFFFF" w:themeFill="background1"/>
        </w:rPr>
        <w:t>NAP</w:t>
      </w:r>
      <w:r w:rsidR="007C3D5B">
        <w:rPr>
          <w:shd w:val="clear" w:color="auto" w:fill="FFFFFF" w:themeFill="background1"/>
        </w:rPr>
        <w:t>)</w:t>
      </w:r>
      <w:r w:rsidRPr="00442792">
        <w:rPr>
          <w:shd w:val="clear" w:color="auto" w:fill="FFFFFF" w:themeFill="background1"/>
        </w:rPr>
        <w:t xml:space="preserve"> sample assessments. These are </w:t>
      </w:r>
      <w:r w:rsidR="00802D6A" w:rsidRPr="00442792">
        <w:rPr>
          <w:shd w:val="clear" w:color="auto" w:fill="FFFFFF" w:themeFill="background1"/>
        </w:rPr>
        <w:t xml:space="preserve">Education Council </w:t>
      </w:r>
      <w:r w:rsidRPr="00442792">
        <w:rPr>
          <w:shd w:val="clear" w:color="auto" w:fill="FFFFFF" w:themeFill="background1"/>
        </w:rPr>
        <w:t xml:space="preserve">endorsed tests developed to measure student performance in relation to the </w:t>
      </w:r>
      <w:r w:rsidR="00154469" w:rsidRPr="00442792">
        <w:rPr>
          <w:shd w:val="clear" w:color="auto" w:fill="FFFFFF" w:themeFill="background1"/>
        </w:rPr>
        <w:t xml:space="preserve">Melbourne Declaration on </w:t>
      </w:r>
      <w:r w:rsidR="0000726C" w:rsidRPr="00442792">
        <w:rPr>
          <w:shd w:val="clear" w:color="auto" w:fill="FFFFFF" w:themeFill="background1"/>
        </w:rPr>
        <w:t>E</w:t>
      </w:r>
      <w:r w:rsidR="00154469" w:rsidRPr="00442792">
        <w:rPr>
          <w:shd w:val="clear" w:color="auto" w:fill="FFFFFF" w:themeFill="background1"/>
        </w:rPr>
        <w:t xml:space="preserve">ducational </w:t>
      </w:r>
      <w:r w:rsidR="0000726C" w:rsidRPr="00442792">
        <w:rPr>
          <w:shd w:val="clear" w:color="auto" w:fill="FFFFFF" w:themeFill="background1"/>
        </w:rPr>
        <w:t>G</w:t>
      </w:r>
      <w:r w:rsidR="00154469" w:rsidRPr="00442792">
        <w:rPr>
          <w:shd w:val="clear" w:color="auto" w:fill="FFFFFF" w:themeFill="background1"/>
        </w:rPr>
        <w:t xml:space="preserve">oals for </w:t>
      </w:r>
      <w:r w:rsidR="0000726C" w:rsidRPr="00442792">
        <w:rPr>
          <w:shd w:val="clear" w:color="auto" w:fill="FFFFFF" w:themeFill="background1"/>
        </w:rPr>
        <w:t>Y</w:t>
      </w:r>
      <w:r w:rsidR="00154469" w:rsidRPr="00442792">
        <w:rPr>
          <w:shd w:val="clear" w:color="auto" w:fill="FFFFFF" w:themeFill="background1"/>
        </w:rPr>
        <w:t>oung Australians</w:t>
      </w:r>
    </w:p>
    <w:p w:rsidR="004B0692" w:rsidRPr="0089766B" w:rsidRDefault="004B0692" w:rsidP="004B0692">
      <w:pPr>
        <w:pStyle w:val="ListBullet"/>
      </w:pPr>
      <w:r w:rsidRPr="0089766B">
        <w:t xml:space="preserve">Australia’s participation in </w:t>
      </w:r>
      <w:r w:rsidRPr="00A11734">
        <w:rPr>
          <w:shd w:val="clear" w:color="auto" w:fill="FFFFFF" w:themeFill="background1"/>
        </w:rPr>
        <w:t>four int</w:t>
      </w:r>
      <w:r w:rsidRPr="0089766B">
        <w:t xml:space="preserve">ernational tests — the Organisation for Economic Co-operation and Development (OECD) Programme for </w:t>
      </w:r>
      <w:r w:rsidRPr="00A11734">
        <w:rPr>
          <w:shd w:val="clear" w:color="auto" w:fill="FFFFFF" w:themeFill="background1"/>
        </w:rPr>
        <w:t xml:space="preserve">International Student Assessment (PISA); the </w:t>
      </w:r>
      <w:r w:rsidR="007C3D5B" w:rsidRPr="007C3D5B">
        <w:rPr>
          <w:shd w:val="clear" w:color="auto" w:fill="FFFFFF" w:themeFill="background1"/>
          <w:lang w:val="de-DE"/>
        </w:rPr>
        <w:t>International Association for the Evaluation of Educational Achievement</w:t>
      </w:r>
      <w:r w:rsidR="007C3D5B" w:rsidRPr="007C3D5B">
        <w:rPr>
          <w:shd w:val="clear" w:color="auto" w:fill="FFFFFF" w:themeFill="background1"/>
        </w:rPr>
        <w:t xml:space="preserve"> </w:t>
      </w:r>
      <w:r w:rsidRPr="00A11734">
        <w:rPr>
          <w:shd w:val="clear" w:color="auto" w:fill="FFFFFF" w:themeFill="background1"/>
        </w:rPr>
        <w:t>(IEA)</w:t>
      </w:r>
      <w:r>
        <w:t xml:space="preserve"> </w:t>
      </w:r>
      <w:r w:rsidRPr="0089766B">
        <w:t>Trends in International Mathematics and Science Study (TIMSS); the Progress in International Reading Literacy Study (PIRLS); and the IEA International Computer and Information Literacy Study (ICILS).</w:t>
      </w:r>
    </w:p>
    <w:p w:rsidR="004B0692" w:rsidRPr="00666ECE" w:rsidRDefault="004B0692" w:rsidP="00A95197">
      <w:pPr>
        <w:pStyle w:val="Heading5"/>
      </w:pPr>
      <w:r w:rsidRPr="00666ECE">
        <w:t xml:space="preserve">National Assessment Program </w:t>
      </w:r>
    </w:p>
    <w:p w:rsidR="004B0692" w:rsidRPr="00A72ADE" w:rsidRDefault="004B0692" w:rsidP="004B0692">
      <w:pPr>
        <w:pStyle w:val="BodyText"/>
      </w:pPr>
      <w:r w:rsidRPr="00666ECE">
        <w:t>This chapter reports proportions of students undertaking NAPLAN testing in years</w:t>
      </w:r>
      <w:r>
        <w:t> </w:t>
      </w:r>
      <w:r w:rsidRPr="00666ECE">
        <w:t>3, 5, 7 and 9 achieving the national minimum standard</w:t>
      </w:r>
      <w:r w:rsidR="00E779CD">
        <w:t xml:space="preserve"> (NMS)</w:t>
      </w:r>
      <w:r w:rsidRPr="00666ECE">
        <w:t>, and mean scale score learning outcomes, for reading</w:t>
      </w:r>
      <w:r w:rsidRPr="001E35A6">
        <w:t xml:space="preserve"> and numeracy performance in 201</w:t>
      </w:r>
      <w:r>
        <w:t>5</w:t>
      </w:r>
      <w:r w:rsidRPr="001E35A6">
        <w:t xml:space="preserve">, including by Indigenous status and geolocation. Data comparing a range of </w:t>
      </w:r>
      <w:r>
        <w:t xml:space="preserve">time series </w:t>
      </w:r>
      <w:r w:rsidRPr="001E35A6">
        <w:t>outcomes from 2008</w:t>
      </w:r>
      <w:r>
        <w:t xml:space="preserve">–2015 and </w:t>
      </w:r>
      <w:r w:rsidR="000D2662">
        <w:br/>
      </w:r>
      <w:r>
        <w:t>2014–</w:t>
      </w:r>
      <w:r w:rsidRPr="001E35A6">
        <w:t>201</w:t>
      </w:r>
      <w:r>
        <w:t>5</w:t>
      </w:r>
      <w:r w:rsidRPr="001E35A6">
        <w:t xml:space="preserve"> for reading and numeracy are also included in </w:t>
      </w:r>
      <w:r w:rsidRPr="00666ECE">
        <w:t xml:space="preserve">the </w:t>
      </w:r>
      <w:r w:rsidRPr="00A72ADE">
        <w:t>chapter</w:t>
      </w:r>
      <w:r>
        <w:t>.</w:t>
      </w:r>
      <w:r w:rsidRPr="00666ECE">
        <w:t xml:space="preserve"> </w:t>
      </w:r>
      <w:r w:rsidRPr="00A72ADE">
        <w:t xml:space="preserve">Data for persuasive writing </w:t>
      </w:r>
      <w:r w:rsidR="00426295">
        <w:t xml:space="preserve">for 2011 to 2015 </w:t>
      </w:r>
      <w:r w:rsidRPr="00A72ADE">
        <w:t xml:space="preserve">are included in the attachment tables </w:t>
      </w:r>
      <w:r>
        <w:t>only (tables</w:t>
      </w:r>
      <w:r w:rsidR="00C30BDB">
        <w:t> </w:t>
      </w:r>
      <w:r>
        <w:t>4A50–63).</w:t>
      </w:r>
      <w:r w:rsidR="00426295">
        <w:rPr>
          <w:rStyle w:val="FootnoteReference"/>
        </w:rPr>
        <w:footnoteReference w:id="2"/>
      </w:r>
    </w:p>
    <w:p w:rsidR="004B0692" w:rsidRPr="00666ECE" w:rsidRDefault="004B0692" w:rsidP="004B0692">
      <w:pPr>
        <w:pStyle w:val="BodyText"/>
        <w:shd w:val="clear" w:color="auto" w:fill="FFFFFF" w:themeFill="background1"/>
      </w:pPr>
      <w:r w:rsidRPr="00666ECE">
        <w:t>Achieving (but not exceeding) the national minimum standard represents achievement of the basic elements of literacy or numeracy for the year level. Students who have not achieved the national minimum standard for that year need focused intervention and additional support to help them achieve the skills they require to progress in schooling (</w:t>
      </w:r>
      <w:r w:rsidRPr="00F979EC">
        <w:rPr>
          <w:shd w:val="clear" w:color="auto" w:fill="FFFFFF" w:themeFill="background1"/>
        </w:rPr>
        <w:t>ACARA 201</w:t>
      </w:r>
      <w:r>
        <w:rPr>
          <w:shd w:val="clear" w:color="auto" w:fill="FFFFFF" w:themeFill="background1"/>
        </w:rPr>
        <w:t>5</w:t>
      </w:r>
      <w:r w:rsidRPr="00F979EC">
        <w:rPr>
          <w:shd w:val="clear" w:color="auto" w:fill="FFFFFF" w:themeFill="background1"/>
        </w:rPr>
        <w:t xml:space="preserve">a). </w:t>
      </w:r>
    </w:p>
    <w:p w:rsidR="004B0692" w:rsidRDefault="008257B5" w:rsidP="00D37062">
      <w:pPr>
        <w:pStyle w:val="BodyText"/>
        <w:shd w:val="clear" w:color="auto" w:fill="FFFFFF" w:themeFill="background1"/>
      </w:pPr>
      <w:r>
        <w:t>The full suite of NAPLAN data</w:t>
      </w:r>
      <w:r w:rsidR="004B0692">
        <w:t xml:space="preserve">, including data by sex, language background and cohort gain </w:t>
      </w:r>
      <w:r w:rsidR="006E16B6">
        <w:t>are available</w:t>
      </w:r>
      <w:r w:rsidR="004B0692">
        <w:t xml:space="preserve"> in the NAPLAN national report, in addition to the domains of spelling and grammar and punctuation.</w:t>
      </w:r>
    </w:p>
    <w:p w:rsidR="004B0692" w:rsidRPr="00223E34" w:rsidRDefault="004B0692" w:rsidP="004B0692">
      <w:pPr>
        <w:pStyle w:val="BodyText"/>
        <w:shd w:val="clear" w:color="auto" w:fill="FFFFFF" w:themeFill="background1"/>
        <w:rPr>
          <w:shd w:val="clear" w:color="auto" w:fill="FFFF00"/>
        </w:rPr>
      </w:pPr>
      <w:r w:rsidRPr="00765CF2">
        <w:t xml:space="preserve">The NAP also undertakes triennial national sample assessments on a rotating basis. </w:t>
      </w:r>
      <w:r w:rsidR="006E16B6">
        <w:t xml:space="preserve">For this Report, the latest available data are for </w:t>
      </w:r>
      <w:r w:rsidRPr="00765CF2">
        <w:t xml:space="preserve">year 6 </w:t>
      </w:r>
      <w:r>
        <w:t xml:space="preserve">and year 10 </w:t>
      </w:r>
      <w:r w:rsidR="00F539AD" w:rsidRPr="00AC4675">
        <w:rPr>
          <w:shd w:val="clear" w:color="auto" w:fill="FFFFFF" w:themeFill="background1"/>
        </w:rPr>
        <w:t>information and communication tec</w:t>
      </w:r>
      <w:r w:rsidR="00F539AD">
        <w:rPr>
          <w:shd w:val="clear" w:color="auto" w:fill="FFFFFF" w:themeFill="background1"/>
        </w:rPr>
        <w:t xml:space="preserve">hnologies literacy performance </w:t>
      </w:r>
      <w:r w:rsidR="00F539AD" w:rsidRPr="00AC4675">
        <w:rPr>
          <w:shd w:val="clear" w:color="auto" w:fill="FFFFFF" w:themeFill="background1"/>
        </w:rPr>
        <w:t xml:space="preserve">for </w:t>
      </w:r>
      <w:r w:rsidR="00F539AD" w:rsidRPr="00765CF2">
        <w:t>201</w:t>
      </w:r>
      <w:r w:rsidR="00F539AD">
        <w:t xml:space="preserve">4. </w:t>
      </w:r>
      <w:r w:rsidRPr="00765CF2">
        <w:t xml:space="preserve">The attachment tables include </w:t>
      </w:r>
      <w:r w:rsidR="006E16B6">
        <w:t xml:space="preserve">historical </w:t>
      </w:r>
      <w:r w:rsidRPr="00765CF2">
        <w:t>data</w:t>
      </w:r>
      <w:r w:rsidR="00343769">
        <w:t xml:space="preserve"> </w:t>
      </w:r>
      <w:r w:rsidRPr="00765CF2">
        <w:t xml:space="preserve">on </w:t>
      </w:r>
      <w:r w:rsidR="00F539AD" w:rsidRPr="00AC4675">
        <w:rPr>
          <w:shd w:val="clear" w:color="auto" w:fill="FFFFFF" w:themeFill="background1"/>
        </w:rPr>
        <w:t>year 6 and year 10 information and communication tec</w:t>
      </w:r>
      <w:r w:rsidR="00F539AD">
        <w:rPr>
          <w:shd w:val="clear" w:color="auto" w:fill="FFFFFF" w:themeFill="background1"/>
        </w:rPr>
        <w:t>hnologies literacy performance (tables 4A.</w:t>
      </w:r>
      <w:r w:rsidR="002C12D6">
        <w:rPr>
          <w:shd w:val="clear" w:color="auto" w:fill="FFFFFF" w:themeFill="background1"/>
        </w:rPr>
        <w:t>88–9</w:t>
      </w:r>
      <w:r w:rsidR="003A0804">
        <w:rPr>
          <w:shd w:val="clear" w:color="auto" w:fill="FFFFFF" w:themeFill="background1"/>
        </w:rPr>
        <w:t>1</w:t>
      </w:r>
      <w:r w:rsidR="00F539AD">
        <w:rPr>
          <w:shd w:val="clear" w:color="auto" w:fill="FFFFFF" w:themeFill="background1"/>
        </w:rPr>
        <w:t xml:space="preserve">); </w:t>
      </w:r>
      <w:r>
        <w:t xml:space="preserve">year 6 </w:t>
      </w:r>
      <w:r w:rsidRPr="00765CF2">
        <w:t xml:space="preserve">science literacy performance </w:t>
      </w:r>
      <w:r w:rsidRPr="00AC4675">
        <w:rPr>
          <w:shd w:val="clear" w:color="auto" w:fill="FFFFFF" w:themeFill="background1"/>
        </w:rPr>
        <w:t>(tables 4A.</w:t>
      </w:r>
      <w:r w:rsidR="002C12D6">
        <w:rPr>
          <w:shd w:val="clear" w:color="auto" w:fill="FFFFFF" w:themeFill="background1"/>
        </w:rPr>
        <w:t>78</w:t>
      </w:r>
      <w:r w:rsidRPr="00AC4675">
        <w:rPr>
          <w:shd w:val="clear" w:color="auto" w:fill="FFFFFF" w:themeFill="background1"/>
        </w:rPr>
        <w:t>–</w:t>
      </w:r>
      <w:r w:rsidR="002C12D6">
        <w:rPr>
          <w:shd w:val="clear" w:color="auto" w:fill="FFFFFF" w:themeFill="background1"/>
        </w:rPr>
        <w:t>82</w:t>
      </w:r>
      <w:r w:rsidRPr="00AC4675">
        <w:rPr>
          <w:shd w:val="clear" w:color="auto" w:fill="FFFFFF" w:themeFill="background1"/>
        </w:rPr>
        <w:t xml:space="preserve">); </w:t>
      </w:r>
      <w:r w:rsidR="00F539AD" w:rsidRPr="00AC4675">
        <w:rPr>
          <w:shd w:val="clear" w:color="auto" w:fill="FFFFFF" w:themeFill="background1"/>
        </w:rPr>
        <w:t xml:space="preserve">and </w:t>
      </w:r>
      <w:r w:rsidRPr="00AC4675">
        <w:rPr>
          <w:shd w:val="clear" w:color="auto" w:fill="FFFFFF" w:themeFill="background1"/>
        </w:rPr>
        <w:t>year 6 and year 10 civics and citizenship literacy performance (tables 4A.</w:t>
      </w:r>
      <w:r w:rsidR="002C12D6">
        <w:rPr>
          <w:shd w:val="clear" w:color="auto" w:fill="FFFFFF" w:themeFill="background1"/>
        </w:rPr>
        <w:t>83</w:t>
      </w:r>
      <w:r w:rsidRPr="00AC4675">
        <w:rPr>
          <w:shd w:val="clear" w:color="auto" w:fill="FFFFFF" w:themeFill="background1"/>
        </w:rPr>
        <w:t>–</w:t>
      </w:r>
      <w:r w:rsidR="002C12D6">
        <w:rPr>
          <w:shd w:val="clear" w:color="auto" w:fill="FFFFFF" w:themeFill="background1"/>
        </w:rPr>
        <w:t>87)</w:t>
      </w:r>
      <w:r w:rsidR="00F539AD">
        <w:rPr>
          <w:shd w:val="clear" w:color="auto" w:fill="FFFFFF" w:themeFill="background1"/>
        </w:rPr>
        <w:t>.</w:t>
      </w:r>
      <w:r w:rsidRPr="00AC4675">
        <w:rPr>
          <w:shd w:val="clear" w:color="auto" w:fill="FFFFFF" w:themeFill="background1"/>
        </w:rPr>
        <w:t xml:space="preserve"> </w:t>
      </w:r>
    </w:p>
    <w:p w:rsidR="004B0692" w:rsidRPr="00666ECE" w:rsidRDefault="004B0692" w:rsidP="004B0692">
      <w:pPr>
        <w:pStyle w:val="Heading5"/>
      </w:pPr>
      <w:r w:rsidRPr="00666ECE">
        <w:lastRenderedPageBreak/>
        <w:t>Participation in NAPLAN testing</w:t>
      </w:r>
    </w:p>
    <w:p w:rsidR="004B0692" w:rsidRPr="00666ECE" w:rsidRDefault="004B0692" w:rsidP="004B0692">
      <w:pPr>
        <w:pStyle w:val="BodyText"/>
      </w:pPr>
      <w:r w:rsidRPr="00666ECE">
        <w:t>NAPLAN testing reports the number of assessed, exempt, absent and withdrawn students</w:t>
      </w:r>
      <w:r w:rsidRPr="00CD7A77">
        <w:t xml:space="preserve">. Assessed students include all students who attempt the test and exempt students. Students </w:t>
      </w:r>
      <w:r w:rsidRPr="00666ECE">
        <w:t>with a languag</w:t>
      </w:r>
      <w:r>
        <w:t>e background other than English</w:t>
      </w:r>
      <w:r w:rsidRPr="00666ECE">
        <w:t xml:space="preserve"> who arrived from overseas less than a year before the test, </w:t>
      </w:r>
      <w:r>
        <w:t>and</w:t>
      </w:r>
      <w:r w:rsidRPr="00666ECE">
        <w:t xml:space="preserve"> students with significant intellectual disabilities </w:t>
      </w:r>
      <w:r>
        <w:t>may be exempted from testing</w:t>
      </w:r>
      <w:r w:rsidRPr="00666ECE">
        <w:t>. Participating students are those who were assessed or deemed exempt</w:t>
      </w:r>
      <w:r>
        <w:t xml:space="preserve"> — </w:t>
      </w:r>
      <w:r w:rsidRPr="00666ECE">
        <w:t xml:space="preserve">other students were either absent or withdrawn. </w:t>
      </w:r>
      <w:r>
        <w:t>A</w:t>
      </w:r>
      <w:r w:rsidRPr="00666ECE">
        <w:t xml:space="preserve"> higher or increasing proportion of students participating in NAPLAN testing suggests an improvement in that aspect of educational participation. Participation in the 201</w:t>
      </w:r>
      <w:r>
        <w:t>5</w:t>
      </w:r>
      <w:r w:rsidRPr="00666ECE">
        <w:t xml:space="preserve"> NAPLAN tests, by Indigenous status, for reading, </w:t>
      </w:r>
      <w:r w:rsidR="00642D88">
        <w:t xml:space="preserve">persuasive </w:t>
      </w:r>
      <w:r w:rsidRPr="00666ECE">
        <w:t xml:space="preserve">writing and numeracy are included in </w:t>
      </w:r>
      <w:r w:rsidRPr="00D32391">
        <w:rPr>
          <w:shd w:val="clear" w:color="auto" w:fill="FFFFFF" w:themeFill="background1"/>
        </w:rPr>
        <w:t>tables 4A.4</w:t>
      </w:r>
      <w:r>
        <w:rPr>
          <w:shd w:val="clear" w:color="auto" w:fill="FFFFFF" w:themeFill="background1"/>
        </w:rPr>
        <w:t>0</w:t>
      </w:r>
      <w:r w:rsidRPr="00D32391">
        <w:rPr>
          <w:shd w:val="clear" w:color="auto" w:fill="FFFFFF" w:themeFill="background1"/>
        </w:rPr>
        <w:t>, 4A.</w:t>
      </w:r>
      <w:r>
        <w:rPr>
          <w:shd w:val="clear" w:color="auto" w:fill="FFFFFF" w:themeFill="background1"/>
        </w:rPr>
        <w:t>54</w:t>
      </w:r>
      <w:r w:rsidRPr="00D32391">
        <w:rPr>
          <w:shd w:val="clear" w:color="auto" w:fill="FFFFFF" w:themeFill="background1"/>
        </w:rPr>
        <w:t xml:space="preserve"> and 4A.</w:t>
      </w:r>
      <w:r>
        <w:rPr>
          <w:shd w:val="clear" w:color="auto" w:fill="FFFFFF" w:themeFill="background1"/>
        </w:rPr>
        <w:t>68</w:t>
      </w:r>
      <w:r w:rsidRPr="00D32391">
        <w:rPr>
          <w:shd w:val="clear" w:color="auto" w:fill="FFFFFF" w:themeFill="background1"/>
        </w:rPr>
        <w:t xml:space="preserve"> respectively</w:t>
      </w:r>
      <w:r w:rsidRPr="00666ECE">
        <w:t xml:space="preserve">. The proportion of assessed, exempt, absent and withdrawn students in years 3, 5, 7 and 9 for reading, </w:t>
      </w:r>
      <w:r>
        <w:t xml:space="preserve">persuasive </w:t>
      </w:r>
      <w:r w:rsidRPr="00666ECE">
        <w:t>writing and numeracy in 201</w:t>
      </w:r>
      <w:r>
        <w:t>5</w:t>
      </w:r>
      <w:r w:rsidRPr="00666ECE">
        <w:t xml:space="preserve"> are </w:t>
      </w:r>
      <w:r>
        <w:t>also included in these tables</w:t>
      </w:r>
      <w:r w:rsidRPr="00666ECE">
        <w:t xml:space="preserve">. In all domains and year levels, a lower proportion of </w:t>
      </w:r>
      <w:r>
        <w:t>Aboriginal and Torres Strait Islander</w:t>
      </w:r>
      <w:r w:rsidRPr="00666ECE">
        <w:t xml:space="preserve"> students than non-Indigenous or all students participated in NAPLAN testing.</w:t>
      </w:r>
    </w:p>
    <w:p w:rsidR="004B0692" w:rsidRPr="00666ECE" w:rsidRDefault="00A95197" w:rsidP="004B0692">
      <w:pPr>
        <w:pStyle w:val="Heading4"/>
      </w:pPr>
      <w:r>
        <w:t>Student learning — l</w:t>
      </w:r>
      <w:r w:rsidR="004B0692" w:rsidRPr="00666ECE">
        <w:t>earning outcomes</w:t>
      </w:r>
    </w:p>
    <w:p w:rsidR="004B0692" w:rsidRDefault="004B0692" w:rsidP="004B0692">
      <w:pPr>
        <w:pStyle w:val="BodyText"/>
      </w:pPr>
      <w:r w:rsidRPr="00666ECE">
        <w:t>‘Learning outcomes’ is an indicator of governments’ objective that all students should attain a range of skills, including</w:t>
      </w:r>
      <w:r>
        <w:t>:</w:t>
      </w:r>
      <w:r w:rsidRPr="00666ECE">
        <w:t xml:space="preserve"> English literacy, such that every student should be able to read, write, spell and communicate at an appropriate level; skills in numeracy; and skills and becoming informed in areas such as science literacy</w:t>
      </w:r>
      <w:r>
        <w:t>;</w:t>
      </w:r>
      <w:r w:rsidRPr="00666ECE">
        <w:t xml:space="preserve"> information and communications technologies</w:t>
      </w:r>
      <w:r>
        <w:t>;</w:t>
      </w:r>
      <w:r w:rsidRPr="00666ECE">
        <w:t xml:space="preserve"> and civics and citizenship (box 4.</w:t>
      </w:r>
      <w:r w:rsidR="002E5EAF">
        <w:t>10</w:t>
      </w:r>
      <w:r w:rsidRPr="00666ECE">
        <w:t>).</w:t>
      </w:r>
    </w:p>
    <w:p w:rsidR="004B0692" w:rsidRDefault="004B0692" w:rsidP="004B069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B0692" w:rsidTr="006D7834">
        <w:tc>
          <w:tcPr>
            <w:tcW w:w="8771" w:type="dxa"/>
            <w:tcBorders>
              <w:top w:val="single" w:sz="6" w:space="0" w:color="78A22F"/>
              <w:left w:val="nil"/>
              <w:bottom w:val="nil"/>
              <w:right w:val="nil"/>
            </w:tcBorders>
            <w:shd w:val="clear" w:color="auto" w:fill="F2F2F2"/>
          </w:tcPr>
          <w:p w:rsidR="004B0692" w:rsidRDefault="004B0692" w:rsidP="006D7834">
            <w:pPr>
              <w:pStyle w:val="BoxTitle"/>
            </w:pPr>
            <w:r>
              <w:rPr>
                <w:b w:val="0"/>
              </w:rPr>
              <w:t>Box 4.</w:t>
            </w:r>
            <w:r w:rsidR="00FF4FBD">
              <w:rPr>
                <w:b w:val="0"/>
                <w:noProof/>
              </w:rPr>
              <w:t>10</w:t>
            </w:r>
            <w:r>
              <w:tab/>
            </w:r>
            <w:r w:rsidRPr="00043048">
              <w:t>Learning outcomes</w:t>
            </w:r>
          </w:p>
        </w:tc>
      </w:tr>
      <w:tr w:rsidR="004B0692" w:rsidTr="006D7834">
        <w:trPr>
          <w:cantSplit/>
        </w:trPr>
        <w:tc>
          <w:tcPr>
            <w:tcW w:w="8771" w:type="dxa"/>
            <w:tcBorders>
              <w:top w:val="nil"/>
              <w:left w:val="nil"/>
              <w:bottom w:val="nil"/>
              <w:right w:val="nil"/>
            </w:tcBorders>
            <w:shd w:val="clear" w:color="auto" w:fill="F2F2F2"/>
          </w:tcPr>
          <w:p w:rsidR="004B0692" w:rsidRPr="00166BCF" w:rsidRDefault="004B0692" w:rsidP="006D7834">
            <w:pPr>
              <w:pStyle w:val="Box"/>
            </w:pPr>
            <w:r>
              <w:t>‘</w:t>
            </w:r>
            <w:r w:rsidRPr="00166BCF">
              <w:t>Learning outcomes’ is defined by seven measures:</w:t>
            </w:r>
          </w:p>
          <w:p w:rsidR="004B0692" w:rsidRPr="00166BCF" w:rsidRDefault="004B0692" w:rsidP="006D7834">
            <w:pPr>
              <w:pStyle w:val="Box"/>
              <w:numPr>
                <w:ilvl w:val="0"/>
                <w:numId w:val="1"/>
              </w:numPr>
            </w:pPr>
            <w:r w:rsidRPr="00166BCF">
              <w:t xml:space="preserve">the proportion of years 3, 5, 7 and 9 students achieving at or above the national minimum standard in NAPLAN testing for reading, persuasive writing and numeracy for a given year, reported by Indigenous status, socio-economic status and MCEECDYA categories of geolocation. Significance of difference </w:t>
            </w:r>
            <w:r>
              <w:t>across</w:t>
            </w:r>
            <w:r w:rsidRPr="00166BCF">
              <w:t xml:space="preserve"> states and territories for all students is also identified. </w:t>
            </w:r>
          </w:p>
          <w:p w:rsidR="004B0692" w:rsidRPr="00166BCF" w:rsidRDefault="004B0692" w:rsidP="006D7834">
            <w:pPr>
              <w:pStyle w:val="Box"/>
              <w:numPr>
                <w:ilvl w:val="0"/>
                <w:numId w:val="1"/>
              </w:numPr>
            </w:pPr>
            <w:r w:rsidRPr="00166BCF">
              <w:t xml:space="preserve">the mean scale score (on the common national scale, ranging from 0 to 1000) achieved by years 3, 5, 7 and 9 students in NAPLAN </w:t>
            </w:r>
            <w:r w:rsidR="00137390">
              <w:t>testing</w:t>
            </w:r>
            <w:r w:rsidR="00137390" w:rsidRPr="00166BCF">
              <w:t xml:space="preserve"> </w:t>
            </w:r>
            <w:r w:rsidRPr="00166BCF">
              <w:t xml:space="preserve">for reading, persuasive writing and numeracy for a given year, reported by Indigenous status. Significance of difference </w:t>
            </w:r>
            <w:r>
              <w:t>across</w:t>
            </w:r>
            <w:r w:rsidRPr="00166BCF">
              <w:t xml:space="preserve"> states and territories for all students is also identified.</w:t>
            </w:r>
            <w:r>
              <w:t xml:space="preserve"> </w:t>
            </w:r>
          </w:p>
          <w:p w:rsidR="004B0692" w:rsidRPr="00166BCF" w:rsidRDefault="004B0692" w:rsidP="00442792">
            <w:pPr>
              <w:pStyle w:val="Box"/>
              <w:numPr>
                <w:ilvl w:val="0"/>
                <w:numId w:val="1"/>
              </w:numPr>
            </w:pPr>
            <w:r w:rsidRPr="00166BCF">
              <w:t>the proportion of sampled year 6 and year 10 students achieving at or above the proficient sta</w:t>
            </w:r>
            <w:r>
              <w:t>ndard in civics and citizenship;</w:t>
            </w:r>
            <w:r w:rsidRPr="00166BCF">
              <w:t xml:space="preserve"> information and communication technologies</w:t>
            </w:r>
            <w:r>
              <w:t>;</w:t>
            </w:r>
            <w:r w:rsidRPr="00166BCF">
              <w:t xml:space="preserve"> and science literacy (year 6 only). </w:t>
            </w:r>
            <w:r w:rsidR="006D7834" w:rsidRPr="00442792">
              <w:rPr>
                <w:shd w:val="clear" w:color="auto" w:fill="F2F2F2" w:themeFill="background1" w:themeFillShade="F2"/>
              </w:rPr>
              <w:t>The proficient standard</w:t>
            </w:r>
            <w:r w:rsidR="0000726C" w:rsidRPr="00442792">
              <w:rPr>
                <w:shd w:val="clear" w:color="auto" w:fill="F2F2F2" w:themeFill="background1" w:themeFillShade="F2"/>
              </w:rPr>
              <w:t>s, which</w:t>
            </w:r>
            <w:r w:rsidR="006D7834" w:rsidRPr="00442792">
              <w:rPr>
                <w:shd w:val="clear" w:color="auto" w:fill="F2F2F2" w:themeFill="background1" w:themeFillShade="F2"/>
              </w:rPr>
              <w:t xml:space="preserve"> </w:t>
            </w:r>
            <w:r w:rsidR="0000726C" w:rsidRPr="00442792">
              <w:rPr>
                <w:shd w:val="clear" w:color="auto" w:fill="F2F2F2" w:themeFill="background1" w:themeFillShade="F2"/>
              </w:rPr>
              <w:t>vary across the tests, are</w:t>
            </w:r>
            <w:r w:rsidR="006D7834" w:rsidRPr="00442792">
              <w:rPr>
                <w:shd w:val="clear" w:color="auto" w:fill="F2F2F2" w:themeFill="background1" w:themeFillShade="F2"/>
              </w:rPr>
              <w:t xml:space="preserve"> challenging but reasonable levels of performance, with students needing to demonstrate more than minimal or elementary skills expected at that year level to be regarded as reaching </w:t>
            </w:r>
            <w:r w:rsidR="000D2662" w:rsidRPr="00442792">
              <w:rPr>
                <w:shd w:val="clear" w:color="auto" w:fill="F2F2F2" w:themeFill="background1" w:themeFillShade="F2"/>
              </w:rPr>
              <w:t>them</w:t>
            </w:r>
            <w:r w:rsidR="006D7834" w:rsidRPr="00442792">
              <w:rPr>
                <w:shd w:val="clear" w:color="auto" w:fill="F2F2F2" w:themeFill="background1" w:themeFillShade="F2"/>
              </w:rPr>
              <w:t>.</w:t>
            </w:r>
            <w:r w:rsidR="006D7834" w:rsidRPr="006D7834">
              <w:t xml:space="preserve"> </w:t>
            </w:r>
            <w:r w:rsidRPr="00166BCF">
              <w:t xml:space="preserve">National data from the triennial </w:t>
            </w:r>
            <w:r w:rsidR="00137390">
              <w:t>NAP</w:t>
            </w:r>
            <w:r w:rsidRPr="00166BCF">
              <w:t xml:space="preserve"> tests are reported by sex, Indigenous status, LBOTE status, MCEECDYA categories of geolocation and socio-economic status</w:t>
            </w:r>
          </w:p>
          <w:p w:rsidR="004B0692" w:rsidRPr="00166BCF" w:rsidRDefault="004B0692" w:rsidP="006D7834">
            <w:pPr>
              <w:pStyle w:val="Box"/>
              <w:numPr>
                <w:ilvl w:val="0"/>
                <w:numId w:val="1"/>
              </w:numPr>
            </w:pPr>
            <w:r w:rsidRPr="00166BCF">
              <w:t>the proportion of sampled 15 year old students achieving at or above the proficient standard on the OECD PISA combined reading, mathematical literacy and science literacy scales in a triennial international assessment. National data are also reported by sex, Indigenous status, socio-economic status and geolocation.</w:t>
            </w:r>
          </w:p>
          <w:p w:rsidR="004B0692" w:rsidRDefault="004B0692" w:rsidP="006D7834">
            <w:pPr>
              <w:pStyle w:val="Box"/>
              <w:numPr>
                <w:ilvl w:val="0"/>
                <w:numId w:val="1"/>
              </w:numPr>
            </w:pPr>
            <w:r w:rsidRPr="00166BCF">
              <w:t>the proportion of sampled students achieving at or above the proficient standard on the TIMSS mathematical literacy and science literacy scales in a quadrennial assessment (assessed year 4 and year 8 students who achieve at or above the proficient standard on the TIMSS mathematical literacy scale for a given year). National data are also reported by sex, Indigenous status and MCEECDYA categories of geolocation</w:t>
            </w:r>
          </w:p>
          <w:p w:rsidR="004B0692" w:rsidRPr="00166BCF" w:rsidRDefault="004B0692" w:rsidP="006D7834">
            <w:pPr>
              <w:pStyle w:val="Box"/>
              <w:numPr>
                <w:ilvl w:val="0"/>
                <w:numId w:val="1"/>
              </w:numPr>
            </w:pPr>
            <w:r w:rsidRPr="00166BCF">
              <w:t>the proportion of sampled year 4 students achieving at or above the proficient standard on the 5 yearly PIRLS reading literacy test. National data are also reported by sex, Indigenous status and MCEECDYA categories of geolocation</w:t>
            </w:r>
          </w:p>
          <w:p w:rsidR="004B0692" w:rsidRPr="00FF2AB3" w:rsidRDefault="004B0692" w:rsidP="006D7834">
            <w:pPr>
              <w:pStyle w:val="Box"/>
              <w:numPr>
                <w:ilvl w:val="0"/>
                <w:numId w:val="1"/>
              </w:numPr>
            </w:pPr>
            <w:r w:rsidRPr="00FF2AB3">
              <w:t>the proportions of sampled students achieving at various proficiency levels, and</w:t>
            </w:r>
            <w:r>
              <w:t xml:space="preserve"> mean scale scores on the ICILS.</w:t>
            </w:r>
          </w:p>
          <w:p w:rsidR="00DC0442" w:rsidRDefault="00A5454F" w:rsidP="006D7834">
            <w:pPr>
              <w:pStyle w:val="Box"/>
            </w:pPr>
            <w:r>
              <w:t>Data for these measure</w:t>
            </w:r>
            <w:r w:rsidR="00DC0442" w:rsidRPr="00DC0442">
              <w:t>s include 95 per cent confidence intervals (in the form of error bars in figures and percentages in tables).</w:t>
            </w:r>
          </w:p>
          <w:p w:rsidR="004B0692" w:rsidRPr="00166BCF" w:rsidRDefault="004B0692" w:rsidP="006D7834">
            <w:pPr>
              <w:pStyle w:val="Box"/>
            </w:pPr>
            <w:r w:rsidRPr="00166BCF">
              <w:t>A high or increasing proportion of students achieving at or above the national minimum standard or proficient standard, or a high or increasing mean scale score for learning outcomes is desirable.</w:t>
            </w:r>
          </w:p>
          <w:p w:rsidR="004B0692" w:rsidRPr="00166BCF" w:rsidRDefault="004B0692" w:rsidP="006D7834">
            <w:pPr>
              <w:pStyle w:val="Box"/>
            </w:pPr>
            <w:r w:rsidRPr="00166BCF">
              <w:t>Data reported for all measures in this indicator are</w:t>
            </w:r>
            <w:r w:rsidR="00137390">
              <w:t>:</w:t>
            </w:r>
            <w:r w:rsidRPr="00166BCF">
              <w:t xml:space="preserve"> </w:t>
            </w:r>
          </w:p>
          <w:p w:rsidR="004B0692" w:rsidRPr="00166BCF" w:rsidRDefault="004B0692" w:rsidP="006D7834">
            <w:pPr>
              <w:pStyle w:val="Box"/>
              <w:numPr>
                <w:ilvl w:val="0"/>
                <w:numId w:val="1"/>
              </w:numPr>
            </w:pPr>
            <w:r w:rsidRPr="00166BCF">
              <w:t>comparable (subject to caveats) across jurisdictions and over time</w:t>
            </w:r>
          </w:p>
          <w:p w:rsidR="004B0692" w:rsidRPr="00166BCF" w:rsidRDefault="004B0692" w:rsidP="006D7834">
            <w:pPr>
              <w:pStyle w:val="Box"/>
              <w:numPr>
                <w:ilvl w:val="0"/>
                <w:numId w:val="1"/>
              </w:numPr>
            </w:pPr>
            <w:r w:rsidRPr="00166BCF">
              <w:t>complete for the current reporting period (subject to caveats). All required 201</w:t>
            </w:r>
            <w:r w:rsidR="00802D6A">
              <w:t>4</w:t>
            </w:r>
            <w:r w:rsidRPr="00166BCF">
              <w:t xml:space="preserve"> and 201</w:t>
            </w:r>
            <w:r w:rsidR="00802D6A">
              <w:t>5</w:t>
            </w:r>
            <w:r w:rsidRPr="00166BCF">
              <w:t xml:space="preserve"> data are available for all jurisdictions providing the service.</w:t>
            </w:r>
          </w:p>
          <w:p w:rsidR="004B0692" w:rsidRDefault="004B0692" w:rsidP="00033D89">
            <w:pPr>
              <w:pStyle w:val="Box"/>
            </w:pPr>
            <w:r w:rsidRPr="00166BCF">
              <w:t xml:space="preserve">Information about data quality for this indicator is at </w:t>
            </w:r>
            <w:r w:rsidR="00033D89" w:rsidRPr="00AD7395">
              <w:t>www.pc.gov.au/rogs/2016</w:t>
            </w:r>
            <w:r w:rsidRPr="00704CAD">
              <w:rPr>
                <w:rStyle w:val="Hyperlink"/>
                <w:color w:val="auto"/>
                <w:u w:val="none"/>
              </w:rPr>
              <w:t>.</w:t>
            </w:r>
          </w:p>
        </w:tc>
      </w:tr>
      <w:tr w:rsidR="004B0692" w:rsidTr="006D7834">
        <w:trPr>
          <w:cantSplit/>
        </w:trPr>
        <w:tc>
          <w:tcPr>
            <w:tcW w:w="8771" w:type="dxa"/>
            <w:tcBorders>
              <w:top w:val="nil"/>
              <w:left w:val="nil"/>
              <w:bottom w:val="single" w:sz="6" w:space="0" w:color="78A22F"/>
              <w:right w:val="nil"/>
            </w:tcBorders>
            <w:shd w:val="clear" w:color="auto" w:fill="F2F2F2"/>
          </w:tcPr>
          <w:p w:rsidR="004B0692" w:rsidRDefault="004B0692" w:rsidP="006D7834">
            <w:pPr>
              <w:pStyle w:val="Box"/>
              <w:spacing w:before="0" w:line="120" w:lineRule="exact"/>
            </w:pPr>
          </w:p>
        </w:tc>
      </w:tr>
      <w:tr w:rsidR="004B0692" w:rsidRPr="000863A5" w:rsidTr="006D7834">
        <w:tc>
          <w:tcPr>
            <w:tcW w:w="8771" w:type="dxa"/>
            <w:tcBorders>
              <w:top w:val="single" w:sz="6" w:space="0" w:color="78A22F"/>
              <w:left w:val="nil"/>
              <w:bottom w:val="nil"/>
              <w:right w:val="nil"/>
            </w:tcBorders>
          </w:tcPr>
          <w:p w:rsidR="004B0692" w:rsidRPr="00626D32" w:rsidRDefault="004B0692" w:rsidP="006D7834">
            <w:pPr>
              <w:pStyle w:val="BoxSpaceBelow"/>
            </w:pPr>
          </w:p>
        </w:tc>
      </w:tr>
    </w:tbl>
    <w:p w:rsidR="004B0692" w:rsidRDefault="004B0692" w:rsidP="004B0692">
      <w:pPr>
        <w:pStyle w:val="Heading5"/>
      </w:pPr>
      <w:r w:rsidRPr="00761B5C">
        <w:lastRenderedPageBreak/>
        <w:t>NAPLAN Reading</w:t>
      </w:r>
    </w:p>
    <w:p w:rsidR="004B0692" w:rsidRPr="00666ECE" w:rsidRDefault="004B0692" w:rsidP="004B0692">
      <w:pPr>
        <w:pStyle w:val="BodyText"/>
      </w:pPr>
      <w:r>
        <w:t>This section of the learning outcomes</w:t>
      </w:r>
      <w:r w:rsidRPr="00666ECE">
        <w:t xml:space="preserve"> indicator provides key outcomes for NAPLAN testing (years 3, 5, 7 and 9) in the reading domain. </w:t>
      </w:r>
      <w:r>
        <w:t>O</w:t>
      </w:r>
      <w:r w:rsidRPr="00666ECE">
        <w:t xml:space="preserve">utcomes </w:t>
      </w:r>
      <w:r>
        <w:t xml:space="preserve">by Indigenous status </w:t>
      </w:r>
      <w:r w:rsidRPr="00666ECE">
        <w:t xml:space="preserve">are highlighted, but outcomes for a range of other equity groups including geolocation and socio-economic status (parental education and parental occupation) are included in tables </w:t>
      </w:r>
      <w:r w:rsidRPr="00DA7139">
        <w:rPr>
          <w:shd w:val="clear" w:color="auto" w:fill="FFFFFF" w:themeFill="background1"/>
        </w:rPr>
        <w:t>4A.36–49.</w:t>
      </w:r>
      <w:r>
        <w:t xml:space="preserve"> </w:t>
      </w:r>
    </w:p>
    <w:p w:rsidR="004B0692" w:rsidRPr="00666ECE" w:rsidRDefault="004D736C" w:rsidP="004B0692">
      <w:pPr>
        <w:pStyle w:val="Heading6"/>
      </w:pPr>
      <w:r>
        <w:t>Year 3 reading</w:t>
      </w:r>
    </w:p>
    <w:p w:rsidR="004B0692" w:rsidRDefault="004B0692" w:rsidP="004B0692">
      <w:pPr>
        <w:pStyle w:val="BodyText"/>
      </w:pPr>
      <w:r w:rsidRPr="00666ECE">
        <w:t xml:space="preserve">The proportion </w:t>
      </w:r>
      <w:r w:rsidRPr="00EC1693">
        <w:t>of year 3 students who achieved at or above the reading national minimum standard in 201</w:t>
      </w:r>
      <w:r>
        <w:t>5</w:t>
      </w:r>
      <w:r w:rsidRPr="00EC1693">
        <w:t xml:space="preserve"> </w:t>
      </w:r>
      <w:r w:rsidRPr="00442792">
        <w:rPr>
          <w:shd w:val="clear" w:color="auto" w:fill="FFFFFF" w:themeFill="background1"/>
        </w:rPr>
        <w:t xml:space="preserve">was </w:t>
      </w:r>
      <w:r w:rsidR="000E3357" w:rsidRPr="00442792">
        <w:rPr>
          <w:shd w:val="clear" w:color="auto" w:fill="FFFFFF" w:themeFill="background1"/>
        </w:rPr>
        <w:t>94.4–94.8</w:t>
      </w:r>
      <w:r w:rsidRPr="00442792">
        <w:rPr>
          <w:shd w:val="clear" w:color="auto" w:fill="FFFFFF" w:themeFill="background1"/>
        </w:rPr>
        <w:t xml:space="preserve"> per cent nationally. The proportion for Aboriginal and Torres Strait Islander students (</w:t>
      </w:r>
      <w:r w:rsidR="000E3357" w:rsidRPr="00442792">
        <w:rPr>
          <w:shd w:val="clear" w:color="auto" w:fill="FFFFFF" w:themeFill="background1"/>
        </w:rPr>
        <w:t>77.4–</w:t>
      </w:r>
      <w:r w:rsidR="00C3749C">
        <w:rPr>
          <w:shd w:val="clear" w:color="auto" w:fill="FFFFFF" w:themeFill="background1"/>
        </w:rPr>
        <w:t>80</w:t>
      </w:r>
      <w:r w:rsidR="000E3357" w:rsidRPr="00442792">
        <w:rPr>
          <w:shd w:val="clear" w:color="auto" w:fill="FFFFFF" w:themeFill="background1"/>
        </w:rPr>
        <w:t>.0</w:t>
      </w:r>
      <w:r w:rsidRPr="00442792">
        <w:rPr>
          <w:shd w:val="clear" w:color="auto" w:fill="FFFFFF" w:themeFill="background1"/>
        </w:rPr>
        <w:t xml:space="preserve"> per cent) was significantly lower than for non</w:t>
      </w:r>
      <w:r w:rsidRPr="00442792">
        <w:rPr>
          <w:shd w:val="clear" w:color="auto" w:fill="FFFFFF" w:themeFill="background1"/>
        </w:rPr>
        <w:noBreakHyphen/>
        <w:t>Indigenous students (</w:t>
      </w:r>
      <w:r w:rsidR="002D6773" w:rsidRPr="00442792">
        <w:rPr>
          <w:shd w:val="clear" w:color="auto" w:fill="FFFFFF" w:themeFill="background1"/>
        </w:rPr>
        <w:t>95.4–95.8</w:t>
      </w:r>
      <w:r w:rsidRPr="00442792">
        <w:rPr>
          <w:shd w:val="clear" w:color="auto" w:fill="FFFFFF" w:themeFill="background1"/>
        </w:rPr>
        <w:t xml:space="preserve"> per</w:t>
      </w:r>
      <w:r w:rsidRPr="00EC1693">
        <w:t xml:space="preserve"> cent) (figure </w:t>
      </w:r>
      <w:r w:rsidRPr="00666ECE">
        <w:t>4.</w:t>
      </w:r>
      <w:r>
        <w:t>2</w:t>
      </w:r>
      <w:r w:rsidR="00033D89">
        <w:t>6</w:t>
      </w:r>
      <w:r w:rsidRPr="00666ECE">
        <w:t>). These proportions varied across jurisdictions.</w:t>
      </w:r>
    </w:p>
    <w:p w:rsidR="004B0692" w:rsidRDefault="004B0692" w:rsidP="004B069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B0692" w:rsidTr="006D7834">
        <w:tc>
          <w:tcPr>
            <w:tcW w:w="8771" w:type="dxa"/>
            <w:tcBorders>
              <w:top w:val="single" w:sz="6" w:space="0" w:color="78A22F"/>
              <w:left w:val="nil"/>
              <w:bottom w:val="nil"/>
              <w:right w:val="nil"/>
            </w:tcBorders>
            <w:shd w:val="clear" w:color="auto" w:fill="auto"/>
          </w:tcPr>
          <w:p w:rsidR="004B0692" w:rsidRPr="00176D3F" w:rsidRDefault="004B0692" w:rsidP="000D2662">
            <w:pPr>
              <w:pStyle w:val="FigureTitle"/>
            </w:pPr>
            <w:r w:rsidRPr="00784A05">
              <w:rPr>
                <w:b w:val="0"/>
              </w:rPr>
              <w:t xml:space="preserve">Figure </w:t>
            </w:r>
            <w:r>
              <w:rPr>
                <w:b w:val="0"/>
              </w:rPr>
              <w:t>4.</w:t>
            </w:r>
            <w:r w:rsidR="00FF4FBD">
              <w:rPr>
                <w:b w:val="0"/>
                <w:noProof/>
              </w:rPr>
              <w:t>26</w:t>
            </w:r>
            <w:r>
              <w:tab/>
            </w:r>
            <w:r w:rsidRPr="00BE4E82">
              <w:t>Proportion of year 3 students achieving at or above the reading national minimum standard, 201</w:t>
            </w:r>
            <w:r>
              <w:t>5</w:t>
            </w:r>
            <w:r w:rsidR="00391AA5">
              <w:rPr>
                <w:rStyle w:val="NoteLabel"/>
                <w:b/>
              </w:rPr>
              <w:t>a</w:t>
            </w:r>
            <w:r>
              <w:rPr>
                <w:rStyle w:val="NoteLabel"/>
                <w:b/>
              </w:rPr>
              <w:t xml:space="preserve"> </w:t>
            </w:r>
          </w:p>
        </w:tc>
      </w:tr>
      <w:tr w:rsidR="004B0692" w:rsidTr="00442792">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B0692" w:rsidTr="006D7834">
              <w:trPr>
                <w:jc w:val="center"/>
              </w:trPr>
              <w:tc>
                <w:tcPr>
                  <w:tcW w:w="5000" w:type="pct"/>
                  <w:tcBorders>
                    <w:top w:val="nil"/>
                    <w:bottom w:val="nil"/>
                  </w:tcBorders>
                </w:tcPr>
                <w:p w:rsidR="004B0692" w:rsidRDefault="00EE6972" w:rsidP="006D7834">
                  <w:pPr>
                    <w:pStyle w:val="Figure"/>
                    <w:spacing w:before="60" w:after="60"/>
                  </w:pPr>
                  <w:r>
                    <w:rPr>
                      <w:noProof/>
                    </w:rPr>
                    <w:drawing>
                      <wp:inline distT="0" distB="0" distL="0" distR="0">
                        <wp:extent cx="5391150" cy="2705100"/>
                        <wp:effectExtent l="0" t="0" r="0" b="0"/>
                        <wp:docPr id="29" name="Picture 29" descr="Figure 4.26 Proportion of year 3 students achieving at or above the reading national minimum standard,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4B0692" w:rsidRDefault="004B0692" w:rsidP="006D7834">
            <w:pPr>
              <w:pStyle w:val="Figure"/>
            </w:pPr>
          </w:p>
        </w:tc>
      </w:tr>
      <w:tr w:rsidR="004B0692" w:rsidRPr="00176D3F" w:rsidTr="006D7834">
        <w:tc>
          <w:tcPr>
            <w:tcW w:w="8771" w:type="dxa"/>
            <w:tcBorders>
              <w:top w:val="nil"/>
              <w:left w:val="nil"/>
              <w:bottom w:val="nil"/>
              <w:right w:val="nil"/>
            </w:tcBorders>
            <w:shd w:val="clear" w:color="auto" w:fill="auto"/>
          </w:tcPr>
          <w:p w:rsidR="004B0692" w:rsidRPr="00176D3F" w:rsidRDefault="005B3EDD" w:rsidP="005B3EDD">
            <w:pPr>
              <w:pStyle w:val="Source"/>
            </w:pPr>
            <w:r w:rsidRPr="00953E9C">
              <w:rPr>
                <w:rStyle w:val="NoteLabel"/>
              </w:rPr>
              <w:t>a</w:t>
            </w:r>
            <w:r w:rsidRPr="00953E9C">
              <w:t xml:space="preserve"> </w:t>
            </w:r>
            <w:r w:rsidRPr="007C767F">
              <w:t xml:space="preserve">See </w:t>
            </w:r>
            <w:r>
              <w:t xml:space="preserve">box </w:t>
            </w:r>
            <w:r w:rsidR="00496590" w:rsidRPr="00F8126D">
              <w:t>4.</w:t>
            </w:r>
            <w:r w:rsidR="00496590">
              <w:t>10</w:t>
            </w:r>
            <w:r w:rsidR="00496590" w:rsidRPr="00F8126D">
              <w:t xml:space="preserve"> </w:t>
            </w:r>
            <w:r>
              <w:t xml:space="preserve">and </w:t>
            </w:r>
            <w:r w:rsidRPr="007C767F">
              <w:t xml:space="preserve">table </w:t>
            </w:r>
            <w:r>
              <w:t xml:space="preserve">4A.36 </w:t>
            </w:r>
            <w:r w:rsidRPr="007C767F">
              <w:t>for detailed</w:t>
            </w:r>
            <w:r>
              <w:t xml:space="preserve"> </w:t>
            </w:r>
            <w:r w:rsidRPr="005B3EDD">
              <w:t>definitions, footnotes and caveats</w:t>
            </w:r>
            <w:r w:rsidRPr="007C767F">
              <w:t>.</w:t>
            </w:r>
          </w:p>
        </w:tc>
      </w:tr>
      <w:tr w:rsidR="004B0692" w:rsidRPr="00176D3F" w:rsidTr="006D7834">
        <w:tc>
          <w:tcPr>
            <w:tcW w:w="8771" w:type="dxa"/>
            <w:tcBorders>
              <w:top w:val="nil"/>
              <w:left w:val="nil"/>
              <w:bottom w:val="nil"/>
              <w:right w:val="nil"/>
            </w:tcBorders>
            <w:shd w:val="clear" w:color="auto" w:fill="auto"/>
          </w:tcPr>
          <w:p w:rsidR="004B0692" w:rsidRPr="00176D3F" w:rsidRDefault="004B0692" w:rsidP="006D7834">
            <w:pPr>
              <w:pStyle w:val="Source"/>
            </w:pPr>
            <w:r>
              <w:rPr>
                <w:i/>
              </w:rPr>
              <w:t>S</w:t>
            </w:r>
            <w:r w:rsidRPr="00784A05">
              <w:rPr>
                <w:i/>
              </w:rPr>
              <w:t>ource</w:t>
            </w:r>
            <w:r w:rsidRPr="00176D3F">
              <w:t xml:space="preserve">: </w:t>
            </w:r>
            <w:r w:rsidRPr="00BE4E82">
              <w:t>ACARA (201</w:t>
            </w:r>
            <w:r>
              <w:t>5</w:t>
            </w:r>
            <w:r w:rsidRPr="00BE4E82">
              <w:t xml:space="preserve"> and unpublished) </w:t>
            </w:r>
            <w:r w:rsidRPr="00BE4E82">
              <w:rPr>
                <w:i/>
              </w:rPr>
              <w:t>NAPLAN Achievement in Reading, Writing, Language Conventions and Numeracy: National Report for 201</w:t>
            </w:r>
            <w:r>
              <w:rPr>
                <w:i/>
              </w:rPr>
              <w:t>5</w:t>
            </w:r>
            <w:r w:rsidRPr="00BE4E82">
              <w:t>; table 4A.36.</w:t>
            </w:r>
          </w:p>
        </w:tc>
      </w:tr>
      <w:tr w:rsidR="004B0692" w:rsidTr="006D7834">
        <w:tc>
          <w:tcPr>
            <w:tcW w:w="8771" w:type="dxa"/>
            <w:tcBorders>
              <w:top w:val="nil"/>
              <w:left w:val="nil"/>
              <w:bottom w:val="single" w:sz="6" w:space="0" w:color="78A22F"/>
              <w:right w:val="nil"/>
            </w:tcBorders>
            <w:shd w:val="clear" w:color="auto" w:fill="auto"/>
          </w:tcPr>
          <w:p w:rsidR="004B0692" w:rsidRDefault="004B0692" w:rsidP="006D7834">
            <w:pPr>
              <w:pStyle w:val="Figurespace"/>
            </w:pPr>
          </w:p>
        </w:tc>
      </w:tr>
      <w:tr w:rsidR="004B0692" w:rsidRPr="000863A5" w:rsidTr="006D7834">
        <w:tc>
          <w:tcPr>
            <w:tcW w:w="8771" w:type="dxa"/>
            <w:tcBorders>
              <w:top w:val="single" w:sz="6" w:space="0" w:color="78A22F"/>
              <w:left w:val="nil"/>
              <w:bottom w:val="nil"/>
              <w:right w:val="nil"/>
            </w:tcBorders>
          </w:tcPr>
          <w:p w:rsidR="004B0692" w:rsidRPr="00626D32" w:rsidRDefault="004B0692" w:rsidP="006D7834">
            <w:pPr>
              <w:pStyle w:val="BoxSpaceBelow"/>
            </w:pPr>
          </w:p>
        </w:tc>
      </w:tr>
    </w:tbl>
    <w:p w:rsidR="004B0692" w:rsidRPr="0089766B" w:rsidRDefault="004B0692" w:rsidP="004B0692">
      <w:pPr>
        <w:pStyle w:val="BodyText"/>
      </w:pPr>
      <w:r w:rsidRPr="0089766B">
        <w:t>Statistical significance of differences across states and territories between proportions of year 3 students who achieved at or above the national minimum standard for reading in 201</w:t>
      </w:r>
      <w:r>
        <w:t>5</w:t>
      </w:r>
      <w:r w:rsidRPr="0089766B">
        <w:t xml:space="preserve"> are provided in table 4A.36.</w:t>
      </w:r>
    </w:p>
    <w:p w:rsidR="004B0692" w:rsidRDefault="004B0692" w:rsidP="004B0692">
      <w:pPr>
        <w:pStyle w:val="BodyText"/>
      </w:pPr>
      <w:r w:rsidRPr="0089766B">
        <w:t>The mean scale score for year 3 reading in 201</w:t>
      </w:r>
      <w:r>
        <w:t>5</w:t>
      </w:r>
      <w:r w:rsidRPr="0089766B">
        <w:t xml:space="preserve"> for all students </w:t>
      </w:r>
      <w:r w:rsidRPr="005E2523">
        <w:rPr>
          <w:shd w:val="clear" w:color="auto" w:fill="FFFFFF" w:themeFill="background1"/>
        </w:rPr>
        <w:t xml:space="preserve">was </w:t>
      </w:r>
      <w:r w:rsidR="002D6773" w:rsidRPr="005E2523">
        <w:rPr>
          <w:shd w:val="clear" w:color="auto" w:fill="FFFFFF" w:themeFill="background1"/>
        </w:rPr>
        <w:t>424.4</w:t>
      </w:r>
      <w:r w:rsidRPr="005E2523">
        <w:rPr>
          <w:shd w:val="clear" w:color="auto" w:fill="FFFFFF" w:themeFill="background1"/>
        </w:rPr>
        <w:t>–</w:t>
      </w:r>
      <w:r w:rsidR="002D6773" w:rsidRPr="005E2523">
        <w:rPr>
          <w:shd w:val="clear" w:color="auto" w:fill="FFFFFF" w:themeFill="background1"/>
        </w:rPr>
        <w:t>426.6</w:t>
      </w:r>
      <w:r w:rsidRPr="005E2523">
        <w:rPr>
          <w:shd w:val="clear" w:color="auto" w:fill="FFFFFF" w:themeFill="background1"/>
        </w:rPr>
        <w:t xml:space="preserve"> nationally. The mean scale score for Aboriginal and Torres Strait Islander students </w:t>
      </w:r>
      <w:r w:rsidRPr="005E2523">
        <w:rPr>
          <w:shd w:val="clear" w:color="auto" w:fill="FFFFFF" w:themeFill="background1"/>
        </w:rPr>
        <w:br/>
        <w:t>(</w:t>
      </w:r>
      <w:r w:rsidR="002D6773" w:rsidRPr="005E2523">
        <w:rPr>
          <w:shd w:val="clear" w:color="auto" w:fill="FFFFFF" w:themeFill="background1"/>
        </w:rPr>
        <w:t>340.0–346.8</w:t>
      </w:r>
      <w:r w:rsidRPr="005E2523">
        <w:rPr>
          <w:shd w:val="clear" w:color="auto" w:fill="FFFFFF" w:themeFill="background1"/>
        </w:rPr>
        <w:t>) was significantly lower than for non-Indigenous students (</w:t>
      </w:r>
      <w:r w:rsidR="002D6773" w:rsidRPr="005E2523">
        <w:rPr>
          <w:shd w:val="clear" w:color="auto" w:fill="FFFFFF" w:themeFill="background1"/>
        </w:rPr>
        <w:t>429.6–431.8</w:t>
      </w:r>
      <w:r w:rsidRPr="005E2523">
        <w:rPr>
          <w:shd w:val="clear" w:color="auto" w:fill="FFFFFF" w:themeFill="background1"/>
        </w:rPr>
        <w:t>).</w:t>
      </w:r>
      <w:r w:rsidRPr="0089766B">
        <w:t xml:space="preserve"> </w:t>
      </w:r>
      <w:r w:rsidRPr="0089766B">
        <w:lastRenderedPageBreak/>
        <w:t>Mean scale scores varied across jurisdictions (table 4A.3</w:t>
      </w:r>
      <w:r>
        <w:t>8</w:t>
      </w:r>
      <w:r w:rsidRPr="0089766B">
        <w:t>).</w:t>
      </w:r>
      <w:r>
        <w:t xml:space="preserve"> Table 4A.38 also </w:t>
      </w:r>
      <w:r w:rsidRPr="0089766B">
        <w:t>identifies statistical significance of differences between mean scale scores for year 3 reading outcomes across states and territories in 201</w:t>
      </w:r>
      <w:r>
        <w:t>5</w:t>
      </w:r>
      <w:r w:rsidRPr="0089766B">
        <w:t xml:space="preserve">. </w:t>
      </w:r>
    </w:p>
    <w:p w:rsidR="004D736C" w:rsidRDefault="004D736C" w:rsidP="002E5EAF">
      <w:pPr>
        <w:pStyle w:val="Heading6"/>
      </w:pPr>
      <w:r>
        <w:t>Year 5 reading</w:t>
      </w:r>
    </w:p>
    <w:p w:rsidR="004B0692" w:rsidRPr="00EC1693" w:rsidRDefault="004B0692" w:rsidP="004B0692">
      <w:pPr>
        <w:spacing w:before="240" w:line="320" w:lineRule="atLeast"/>
        <w:jc w:val="both"/>
        <w:rPr>
          <w:szCs w:val="20"/>
        </w:rPr>
      </w:pPr>
      <w:r w:rsidRPr="00666ECE">
        <w:rPr>
          <w:szCs w:val="20"/>
        </w:rPr>
        <w:t xml:space="preserve">The proportion of year 5 </w:t>
      </w:r>
      <w:r w:rsidRPr="00EC1693">
        <w:rPr>
          <w:szCs w:val="20"/>
        </w:rPr>
        <w:t>students who achieved at or above the reading national minimum standard in 201</w:t>
      </w:r>
      <w:r>
        <w:rPr>
          <w:szCs w:val="20"/>
        </w:rPr>
        <w:t>5</w:t>
      </w:r>
      <w:r w:rsidRPr="00EC1693">
        <w:rPr>
          <w:szCs w:val="20"/>
        </w:rPr>
        <w:t xml:space="preserve"> was </w:t>
      </w:r>
      <w:r w:rsidR="002D6773" w:rsidRPr="005E2523">
        <w:rPr>
          <w:shd w:val="clear" w:color="auto" w:fill="FFFFFF" w:themeFill="background1"/>
        </w:rPr>
        <w:t>93.1–93.5</w:t>
      </w:r>
      <w:r w:rsidRPr="005E2523">
        <w:rPr>
          <w:shd w:val="clear" w:color="auto" w:fill="FFFFFF" w:themeFill="background1"/>
        </w:rPr>
        <w:t xml:space="preserve"> </w:t>
      </w:r>
      <w:r w:rsidRPr="005E2523">
        <w:rPr>
          <w:szCs w:val="20"/>
          <w:shd w:val="clear" w:color="auto" w:fill="FFFFFF" w:themeFill="background1"/>
        </w:rPr>
        <w:t xml:space="preserve">per cent nationally. The proportion for </w:t>
      </w:r>
      <w:r w:rsidRPr="005E2523">
        <w:rPr>
          <w:shd w:val="clear" w:color="auto" w:fill="FFFFFF" w:themeFill="background1"/>
        </w:rPr>
        <w:t>Aboriginal and Torres Strait Islander</w:t>
      </w:r>
      <w:r w:rsidRPr="005E2523">
        <w:rPr>
          <w:szCs w:val="20"/>
          <w:shd w:val="clear" w:color="auto" w:fill="FFFFFF" w:themeFill="background1"/>
        </w:rPr>
        <w:t xml:space="preserve"> students (</w:t>
      </w:r>
      <w:r w:rsidR="002D6773" w:rsidRPr="005E2523">
        <w:rPr>
          <w:shd w:val="clear" w:color="auto" w:fill="FFFFFF" w:themeFill="background1"/>
        </w:rPr>
        <w:t>72.0</w:t>
      </w:r>
      <w:r w:rsidR="00C3749C">
        <w:rPr>
          <w:shd w:val="clear" w:color="auto" w:fill="FFFFFF" w:themeFill="background1"/>
        </w:rPr>
        <w:t>–</w:t>
      </w:r>
      <w:r w:rsidR="002D6773" w:rsidRPr="005E2523">
        <w:rPr>
          <w:shd w:val="clear" w:color="auto" w:fill="FFFFFF" w:themeFill="background1"/>
        </w:rPr>
        <w:t>75.2</w:t>
      </w:r>
      <w:r w:rsidRPr="005E2523">
        <w:rPr>
          <w:shd w:val="clear" w:color="auto" w:fill="FFFFFF" w:themeFill="background1"/>
        </w:rPr>
        <w:t xml:space="preserve"> </w:t>
      </w:r>
      <w:r w:rsidRPr="005E2523">
        <w:rPr>
          <w:szCs w:val="20"/>
          <w:shd w:val="clear" w:color="auto" w:fill="FFFFFF" w:themeFill="background1"/>
        </w:rPr>
        <w:t>per cent) was significantly lower than for non</w:t>
      </w:r>
      <w:r w:rsidRPr="005E2523">
        <w:rPr>
          <w:szCs w:val="20"/>
          <w:shd w:val="clear" w:color="auto" w:fill="FFFFFF" w:themeFill="background1"/>
        </w:rPr>
        <w:noBreakHyphen/>
        <w:t>Indigenous students (</w:t>
      </w:r>
      <w:r w:rsidR="002D6773" w:rsidRPr="005E2523">
        <w:rPr>
          <w:shd w:val="clear" w:color="auto" w:fill="FFFFFF" w:themeFill="background1"/>
        </w:rPr>
        <w:t>94.3</w:t>
      </w:r>
      <w:r w:rsidR="00C3749C">
        <w:rPr>
          <w:shd w:val="clear" w:color="auto" w:fill="FFFFFF" w:themeFill="background1"/>
        </w:rPr>
        <w:t>–</w:t>
      </w:r>
      <w:r w:rsidR="002D6773" w:rsidRPr="005E2523">
        <w:rPr>
          <w:shd w:val="clear" w:color="auto" w:fill="FFFFFF" w:themeFill="background1"/>
        </w:rPr>
        <w:t>94.7</w:t>
      </w:r>
      <w:r w:rsidRPr="005E2523">
        <w:rPr>
          <w:shd w:val="clear" w:color="auto" w:fill="FFFFFF" w:themeFill="background1"/>
        </w:rPr>
        <w:t xml:space="preserve"> </w:t>
      </w:r>
      <w:r w:rsidRPr="005E2523">
        <w:rPr>
          <w:szCs w:val="20"/>
          <w:shd w:val="clear" w:color="auto" w:fill="FFFFFF" w:themeFill="background1"/>
        </w:rPr>
        <w:t>per cent</w:t>
      </w:r>
      <w:r w:rsidRPr="00EC1693">
        <w:rPr>
          <w:szCs w:val="20"/>
        </w:rPr>
        <w:t>) (figure 4.2</w:t>
      </w:r>
      <w:r w:rsidR="00033D89">
        <w:rPr>
          <w:szCs w:val="20"/>
        </w:rPr>
        <w:t>7</w:t>
      </w:r>
      <w:r w:rsidRPr="00EC1693">
        <w:rPr>
          <w:szCs w:val="20"/>
        </w:rPr>
        <w:t>). These proportions varied across jurisdictions.</w:t>
      </w:r>
    </w:p>
    <w:p w:rsidR="004B0692" w:rsidRDefault="004B0692" w:rsidP="004B069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B0692" w:rsidTr="006D7834">
        <w:tc>
          <w:tcPr>
            <w:tcW w:w="8771" w:type="dxa"/>
            <w:tcBorders>
              <w:top w:val="single" w:sz="6" w:space="0" w:color="78A22F"/>
              <w:left w:val="nil"/>
              <w:bottom w:val="nil"/>
              <w:right w:val="nil"/>
            </w:tcBorders>
            <w:shd w:val="clear" w:color="auto" w:fill="auto"/>
          </w:tcPr>
          <w:p w:rsidR="004B0692" w:rsidRPr="00176D3F" w:rsidRDefault="004B0692" w:rsidP="000269CC">
            <w:pPr>
              <w:pStyle w:val="FigureTitle"/>
            </w:pPr>
            <w:r w:rsidRPr="00784A05">
              <w:rPr>
                <w:b w:val="0"/>
              </w:rPr>
              <w:t xml:space="preserve">Figure </w:t>
            </w:r>
            <w:r>
              <w:rPr>
                <w:b w:val="0"/>
              </w:rPr>
              <w:t>4.</w:t>
            </w:r>
            <w:r w:rsidR="00FF4FBD">
              <w:rPr>
                <w:b w:val="0"/>
                <w:noProof/>
              </w:rPr>
              <w:t>27</w:t>
            </w:r>
            <w:r>
              <w:tab/>
            </w:r>
            <w:r w:rsidRPr="00D2516E">
              <w:t>Proportion of year 5 students achieving at or above the reading national minimum standard, 201</w:t>
            </w:r>
            <w:r>
              <w:t>5</w:t>
            </w:r>
            <w:r w:rsidR="00391AA5">
              <w:rPr>
                <w:rStyle w:val="NoteLabel"/>
                <w:b/>
              </w:rPr>
              <w:t>a</w:t>
            </w:r>
            <w:r w:rsidRPr="00DA7139">
              <w:rPr>
                <w:rStyle w:val="DraftingNote"/>
                <w:rFonts w:ascii="Times New Roman" w:hAnsi="Times New Roman"/>
                <w:b/>
              </w:rPr>
              <w:t xml:space="preserve"> </w:t>
            </w:r>
          </w:p>
        </w:tc>
      </w:tr>
      <w:tr w:rsidR="004B0692" w:rsidTr="005E2523">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B0692" w:rsidTr="006D7834">
              <w:trPr>
                <w:jc w:val="center"/>
              </w:trPr>
              <w:tc>
                <w:tcPr>
                  <w:tcW w:w="5000" w:type="pct"/>
                  <w:tcBorders>
                    <w:top w:val="nil"/>
                    <w:bottom w:val="nil"/>
                  </w:tcBorders>
                </w:tcPr>
                <w:p w:rsidR="004B0692" w:rsidRDefault="00EE6972" w:rsidP="006D7834">
                  <w:pPr>
                    <w:pStyle w:val="Figure"/>
                    <w:spacing w:before="60" w:after="60"/>
                  </w:pPr>
                  <w:r>
                    <w:rPr>
                      <w:noProof/>
                    </w:rPr>
                    <w:drawing>
                      <wp:inline distT="0" distB="0" distL="0" distR="0">
                        <wp:extent cx="5391150" cy="2705100"/>
                        <wp:effectExtent l="0" t="0" r="0" b="0"/>
                        <wp:docPr id="30" name="Picture 30" descr="Figure 4.27 Proportion of year 5 students achieving at or above the reading national minimum standard,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4B0692" w:rsidRDefault="004B0692" w:rsidP="006D7834">
            <w:pPr>
              <w:pStyle w:val="Figure"/>
            </w:pPr>
          </w:p>
        </w:tc>
      </w:tr>
      <w:tr w:rsidR="005B3EDD" w:rsidRPr="00176D3F" w:rsidTr="006D7834">
        <w:tc>
          <w:tcPr>
            <w:tcW w:w="8771" w:type="dxa"/>
            <w:tcBorders>
              <w:top w:val="nil"/>
              <w:left w:val="nil"/>
              <w:bottom w:val="nil"/>
              <w:right w:val="nil"/>
            </w:tcBorders>
            <w:shd w:val="clear" w:color="auto" w:fill="auto"/>
          </w:tcPr>
          <w:p w:rsidR="005B3EDD" w:rsidRPr="00176D3F" w:rsidRDefault="005B3EDD" w:rsidP="00375613">
            <w:pPr>
              <w:pStyle w:val="Source"/>
            </w:pPr>
            <w:r w:rsidRPr="00953E9C">
              <w:rPr>
                <w:rStyle w:val="NoteLabel"/>
              </w:rPr>
              <w:t>a</w:t>
            </w:r>
            <w:r w:rsidRPr="00953E9C">
              <w:t xml:space="preserve"> </w:t>
            </w:r>
            <w:r w:rsidRPr="007C767F">
              <w:t xml:space="preserve">See </w:t>
            </w:r>
            <w:r>
              <w:t xml:space="preserve">box </w:t>
            </w:r>
            <w:r w:rsidR="00496590" w:rsidRPr="00F8126D">
              <w:t>4.</w:t>
            </w:r>
            <w:r w:rsidR="00496590">
              <w:t>10</w:t>
            </w:r>
            <w:r w:rsidR="00496590" w:rsidRPr="00F8126D">
              <w:t xml:space="preserve"> </w:t>
            </w:r>
            <w:r>
              <w:t xml:space="preserve">and </w:t>
            </w:r>
            <w:r w:rsidRPr="007C767F">
              <w:t xml:space="preserve">table </w:t>
            </w:r>
            <w:r>
              <w:t xml:space="preserve">4A.36 </w:t>
            </w:r>
            <w:r w:rsidRPr="007C767F">
              <w:t>for detailed</w:t>
            </w:r>
            <w:r>
              <w:t xml:space="preserve"> </w:t>
            </w:r>
            <w:r w:rsidRPr="005B3EDD">
              <w:t>definitions, footnotes and caveats</w:t>
            </w:r>
            <w:r w:rsidRPr="007C767F">
              <w:t>.</w:t>
            </w:r>
          </w:p>
        </w:tc>
      </w:tr>
      <w:tr w:rsidR="004B0692" w:rsidRPr="00176D3F" w:rsidTr="006D7834">
        <w:tc>
          <w:tcPr>
            <w:tcW w:w="8771" w:type="dxa"/>
            <w:tcBorders>
              <w:top w:val="nil"/>
              <w:left w:val="nil"/>
              <w:bottom w:val="nil"/>
              <w:right w:val="nil"/>
            </w:tcBorders>
            <w:shd w:val="clear" w:color="auto" w:fill="auto"/>
          </w:tcPr>
          <w:p w:rsidR="004B0692" w:rsidRPr="00176D3F" w:rsidRDefault="004B0692" w:rsidP="006D7834">
            <w:pPr>
              <w:pStyle w:val="Source"/>
            </w:pPr>
            <w:r>
              <w:rPr>
                <w:i/>
              </w:rPr>
              <w:t>S</w:t>
            </w:r>
            <w:r w:rsidRPr="00784A05">
              <w:rPr>
                <w:i/>
              </w:rPr>
              <w:t>ource</w:t>
            </w:r>
            <w:r w:rsidRPr="00176D3F">
              <w:t xml:space="preserve">: </w:t>
            </w:r>
            <w:r w:rsidRPr="00D2516E">
              <w:t>ACARA (201</w:t>
            </w:r>
            <w:r>
              <w:t>5</w:t>
            </w:r>
            <w:r w:rsidRPr="00D2516E">
              <w:t xml:space="preserve"> and unpublished) </w:t>
            </w:r>
            <w:r w:rsidRPr="00D2516E">
              <w:rPr>
                <w:i/>
              </w:rPr>
              <w:t>NAPLAN Achievement in Reading, Writing, Language Conventions and Numeracy: National Report for 201</w:t>
            </w:r>
            <w:r>
              <w:rPr>
                <w:i/>
              </w:rPr>
              <w:t>5</w:t>
            </w:r>
            <w:r w:rsidRPr="00D2516E">
              <w:t>; table 4A.36.</w:t>
            </w:r>
          </w:p>
        </w:tc>
      </w:tr>
      <w:tr w:rsidR="004B0692" w:rsidTr="006D7834">
        <w:tc>
          <w:tcPr>
            <w:tcW w:w="8771" w:type="dxa"/>
            <w:tcBorders>
              <w:top w:val="nil"/>
              <w:left w:val="nil"/>
              <w:bottom w:val="single" w:sz="6" w:space="0" w:color="78A22F"/>
              <w:right w:val="nil"/>
            </w:tcBorders>
            <w:shd w:val="clear" w:color="auto" w:fill="auto"/>
          </w:tcPr>
          <w:p w:rsidR="004B0692" w:rsidRDefault="004B0692" w:rsidP="006D7834">
            <w:pPr>
              <w:pStyle w:val="Figurespace"/>
            </w:pPr>
          </w:p>
        </w:tc>
      </w:tr>
      <w:tr w:rsidR="004B0692" w:rsidRPr="000863A5" w:rsidTr="006D7834">
        <w:tc>
          <w:tcPr>
            <w:tcW w:w="8771" w:type="dxa"/>
            <w:tcBorders>
              <w:top w:val="single" w:sz="6" w:space="0" w:color="78A22F"/>
              <w:left w:val="nil"/>
              <w:bottom w:val="nil"/>
              <w:right w:val="nil"/>
            </w:tcBorders>
          </w:tcPr>
          <w:p w:rsidR="004B0692" w:rsidRPr="00626D32" w:rsidRDefault="004B0692" w:rsidP="006D7834">
            <w:pPr>
              <w:pStyle w:val="BoxSpaceBelow"/>
            </w:pPr>
          </w:p>
        </w:tc>
      </w:tr>
    </w:tbl>
    <w:p w:rsidR="004B0692" w:rsidRPr="0089766B" w:rsidRDefault="004B0692" w:rsidP="004B0692">
      <w:pPr>
        <w:pStyle w:val="BodyText"/>
      </w:pPr>
      <w:r w:rsidRPr="0089766B">
        <w:t xml:space="preserve">Statistical significance of differences across states and territories between proportions of year </w:t>
      </w:r>
      <w:r>
        <w:t>5</w:t>
      </w:r>
      <w:r w:rsidRPr="0089766B">
        <w:t xml:space="preserve"> students who achieved at or above the national minimum standard for reading in 201</w:t>
      </w:r>
      <w:r>
        <w:t>5</w:t>
      </w:r>
      <w:r w:rsidRPr="0089766B">
        <w:t xml:space="preserve"> are provided in table 4A.36.</w:t>
      </w:r>
    </w:p>
    <w:p w:rsidR="004B0692" w:rsidRDefault="004B0692" w:rsidP="005E2523">
      <w:pPr>
        <w:pStyle w:val="BodyText"/>
        <w:shd w:val="clear" w:color="auto" w:fill="FFFFFF" w:themeFill="background1"/>
      </w:pPr>
      <w:r w:rsidRPr="0089766B">
        <w:t xml:space="preserve">The mean scale score for year </w:t>
      </w:r>
      <w:r>
        <w:t>5</w:t>
      </w:r>
      <w:r w:rsidRPr="0089766B">
        <w:t xml:space="preserve"> reading in 201</w:t>
      </w:r>
      <w:r>
        <w:t>5</w:t>
      </w:r>
      <w:r w:rsidRPr="0089766B">
        <w:t xml:space="preserve"> for all students </w:t>
      </w:r>
      <w:r w:rsidRPr="005E2523">
        <w:rPr>
          <w:shd w:val="clear" w:color="auto" w:fill="FFFFFF" w:themeFill="background1"/>
        </w:rPr>
        <w:t xml:space="preserve">was </w:t>
      </w:r>
      <w:r w:rsidR="002B0B2B" w:rsidRPr="005E2523">
        <w:rPr>
          <w:shd w:val="clear" w:color="auto" w:fill="FFFFFF" w:themeFill="background1"/>
        </w:rPr>
        <w:t>497.4–499.6</w:t>
      </w:r>
      <w:r w:rsidRPr="005E2523">
        <w:rPr>
          <w:shd w:val="clear" w:color="auto" w:fill="FFFFFF" w:themeFill="background1"/>
        </w:rPr>
        <w:t xml:space="preserve"> nationally. The mean scale score for Aboriginal and Torres Strait Islander students </w:t>
      </w:r>
      <w:r w:rsidRPr="005E2523">
        <w:rPr>
          <w:shd w:val="clear" w:color="auto" w:fill="FFFFFF" w:themeFill="background1"/>
        </w:rPr>
        <w:br/>
        <w:t>(</w:t>
      </w:r>
      <w:r w:rsidR="002B0B2B" w:rsidRPr="005E2523">
        <w:rPr>
          <w:shd w:val="clear" w:color="auto" w:fill="FFFFFF" w:themeFill="background1"/>
        </w:rPr>
        <w:t>421.8</w:t>
      </w:r>
      <w:r w:rsidR="00C3749C">
        <w:rPr>
          <w:shd w:val="clear" w:color="auto" w:fill="FFFFFF" w:themeFill="background1"/>
        </w:rPr>
        <w:t>–</w:t>
      </w:r>
      <w:r w:rsidR="002B0B2B" w:rsidRPr="005E2523">
        <w:rPr>
          <w:shd w:val="clear" w:color="auto" w:fill="FFFFFF" w:themeFill="background1"/>
        </w:rPr>
        <w:t>428.4</w:t>
      </w:r>
      <w:r w:rsidRPr="005E2523">
        <w:rPr>
          <w:shd w:val="clear" w:color="auto" w:fill="FFFFFF" w:themeFill="background1"/>
        </w:rPr>
        <w:t>) was significantly lower than for non-Indigenous students (</w:t>
      </w:r>
      <w:r w:rsidR="00010D96" w:rsidRPr="005E2523">
        <w:rPr>
          <w:shd w:val="clear" w:color="auto" w:fill="FFFFFF" w:themeFill="background1"/>
        </w:rPr>
        <w:t>501.9</w:t>
      </w:r>
      <w:r w:rsidR="00C3749C">
        <w:rPr>
          <w:shd w:val="clear" w:color="auto" w:fill="FFFFFF" w:themeFill="background1"/>
        </w:rPr>
        <w:t>–</w:t>
      </w:r>
      <w:r w:rsidR="00010D96" w:rsidRPr="005E2523">
        <w:rPr>
          <w:shd w:val="clear" w:color="auto" w:fill="FFFFFF" w:themeFill="background1"/>
        </w:rPr>
        <w:t>503.9</w:t>
      </w:r>
      <w:r w:rsidRPr="005E2523">
        <w:rPr>
          <w:shd w:val="clear" w:color="auto" w:fill="FFFFFF" w:themeFill="background1"/>
        </w:rPr>
        <w:t>). Mean scale scores varied across jurisdictions (table 4A.38). Table 4A.38 also identifi</w:t>
      </w:r>
      <w:r w:rsidRPr="0089766B">
        <w:t xml:space="preserve">es statistical significance of differences between mean scale scores for year </w:t>
      </w:r>
      <w:r>
        <w:t>5</w:t>
      </w:r>
      <w:r w:rsidRPr="0089766B">
        <w:t xml:space="preserve"> reading outcomes across states and territories in 201</w:t>
      </w:r>
      <w:r>
        <w:t>5</w:t>
      </w:r>
      <w:r w:rsidRPr="0089766B">
        <w:t xml:space="preserve">. </w:t>
      </w:r>
    </w:p>
    <w:p w:rsidR="004D736C" w:rsidRDefault="004D736C" w:rsidP="005E2523">
      <w:pPr>
        <w:pStyle w:val="Heading6"/>
        <w:shd w:val="clear" w:color="auto" w:fill="FFFFFF" w:themeFill="background1"/>
      </w:pPr>
      <w:r>
        <w:lastRenderedPageBreak/>
        <w:t>Year 7 reading</w:t>
      </w:r>
    </w:p>
    <w:p w:rsidR="004B0692" w:rsidRDefault="004B0692" w:rsidP="005E2523">
      <w:pPr>
        <w:shd w:val="clear" w:color="auto" w:fill="FFFFFF" w:themeFill="background1"/>
        <w:spacing w:before="240" w:line="320" w:lineRule="atLeast"/>
        <w:jc w:val="both"/>
        <w:rPr>
          <w:szCs w:val="20"/>
        </w:rPr>
      </w:pPr>
      <w:r w:rsidRPr="00666ECE">
        <w:rPr>
          <w:szCs w:val="20"/>
        </w:rPr>
        <w:t xml:space="preserve">The proportion of year 7 students who </w:t>
      </w:r>
      <w:r w:rsidRPr="002C5BBE">
        <w:rPr>
          <w:szCs w:val="20"/>
        </w:rPr>
        <w:t>achieved at or above the reading national minimum standard in 201</w:t>
      </w:r>
      <w:r>
        <w:rPr>
          <w:szCs w:val="20"/>
        </w:rPr>
        <w:t>5</w:t>
      </w:r>
      <w:r w:rsidRPr="002C5BBE">
        <w:rPr>
          <w:szCs w:val="20"/>
        </w:rPr>
        <w:t xml:space="preserve"> </w:t>
      </w:r>
      <w:r w:rsidRPr="005E2523">
        <w:rPr>
          <w:szCs w:val="20"/>
          <w:shd w:val="clear" w:color="auto" w:fill="FFFFFF" w:themeFill="background1"/>
        </w:rPr>
        <w:t xml:space="preserve">was </w:t>
      </w:r>
      <w:r w:rsidR="00010D96" w:rsidRPr="005E2523">
        <w:rPr>
          <w:shd w:val="clear" w:color="auto" w:fill="FFFFFF" w:themeFill="background1"/>
        </w:rPr>
        <w:t>95.1–95.7</w:t>
      </w:r>
      <w:r w:rsidRPr="005E2523">
        <w:rPr>
          <w:shd w:val="clear" w:color="auto" w:fill="FFFFFF" w:themeFill="background1"/>
        </w:rPr>
        <w:t xml:space="preserve"> </w:t>
      </w:r>
      <w:r w:rsidRPr="005E2523">
        <w:rPr>
          <w:szCs w:val="20"/>
          <w:shd w:val="clear" w:color="auto" w:fill="FFFFFF" w:themeFill="background1"/>
        </w:rPr>
        <w:t xml:space="preserve">per cent nationally. The proportion for </w:t>
      </w:r>
      <w:r w:rsidRPr="005E2523">
        <w:rPr>
          <w:shd w:val="clear" w:color="auto" w:fill="FFFFFF" w:themeFill="background1"/>
        </w:rPr>
        <w:t>Aboriginal and Torres Strait Islander</w:t>
      </w:r>
      <w:r w:rsidRPr="005E2523">
        <w:rPr>
          <w:szCs w:val="20"/>
          <w:shd w:val="clear" w:color="auto" w:fill="FFFFFF" w:themeFill="background1"/>
        </w:rPr>
        <w:t xml:space="preserve"> students (</w:t>
      </w:r>
      <w:r w:rsidR="00010D96" w:rsidRPr="005E2523">
        <w:rPr>
          <w:shd w:val="clear" w:color="auto" w:fill="FFFFFF" w:themeFill="background1"/>
        </w:rPr>
        <w:t>79.1–82.5</w:t>
      </w:r>
      <w:r w:rsidRPr="005E2523">
        <w:rPr>
          <w:shd w:val="clear" w:color="auto" w:fill="FFFFFF" w:themeFill="background1"/>
        </w:rPr>
        <w:t xml:space="preserve"> </w:t>
      </w:r>
      <w:r w:rsidRPr="005E2523">
        <w:rPr>
          <w:szCs w:val="20"/>
          <w:shd w:val="clear" w:color="auto" w:fill="FFFFFF" w:themeFill="background1"/>
        </w:rPr>
        <w:t>per cent) was significantly lower than for non</w:t>
      </w:r>
      <w:r w:rsidRPr="005E2523">
        <w:rPr>
          <w:szCs w:val="20"/>
          <w:shd w:val="clear" w:color="auto" w:fill="FFFFFF" w:themeFill="background1"/>
        </w:rPr>
        <w:noBreakHyphen/>
        <w:t>Indigenous students (</w:t>
      </w:r>
      <w:r w:rsidR="00010D96" w:rsidRPr="005E2523">
        <w:rPr>
          <w:shd w:val="clear" w:color="auto" w:fill="FFFFFF" w:themeFill="background1"/>
        </w:rPr>
        <w:t>96.1–96.5</w:t>
      </w:r>
      <w:r w:rsidRPr="005E2523">
        <w:rPr>
          <w:shd w:val="clear" w:color="auto" w:fill="FFFFFF" w:themeFill="background1"/>
        </w:rPr>
        <w:t xml:space="preserve"> </w:t>
      </w:r>
      <w:r w:rsidRPr="005E2523">
        <w:rPr>
          <w:szCs w:val="20"/>
          <w:shd w:val="clear" w:color="auto" w:fill="FFFFFF" w:themeFill="background1"/>
        </w:rPr>
        <w:t>per</w:t>
      </w:r>
      <w:r w:rsidRPr="002C5BBE">
        <w:rPr>
          <w:szCs w:val="20"/>
        </w:rPr>
        <w:t xml:space="preserve"> cent) (figure 4.2</w:t>
      </w:r>
      <w:r w:rsidR="00033D89">
        <w:rPr>
          <w:szCs w:val="20"/>
        </w:rPr>
        <w:t>8</w:t>
      </w:r>
      <w:r w:rsidRPr="002C5BBE">
        <w:rPr>
          <w:szCs w:val="20"/>
        </w:rPr>
        <w:t>). These proportions varied across jurisdictions.</w:t>
      </w:r>
    </w:p>
    <w:p w:rsidR="004B0692" w:rsidRDefault="004B0692" w:rsidP="004B069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B0692" w:rsidTr="006D7834">
        <w:tc>
          <w:tcPr>
            <w:tcW w:w="8771" w:type="dxa"/>
            <w:tcBorders>
              <w:top w:val="single" w:sz="6" w:space="0" w:color="78A22F"/>
              <w:left w:val="nil"/>
              <w:bottom w:val="nil"/>
              <w:right w:val="nil"/>
            </w:tcBorders>
            <w:shd w:val="clear" w:color="auto" w:fill="auto"/>
          </w:tcPr>
          <w:p w:rsidR="004B0692" w:rsidRPr="00176D3F" w:rsidRDefault="004B0692" w:rsidP="000269CC">
            <w:pPr>
              <w:pStyle w:val="FigureTitle"/>
            </w:pPr>
            <w:r w:rsidRPr="00784A05">
              <w:rPr>
                <w:b w:val="0"/>
              </w:rPr>
              <w:t xml:space="preserve">Figure </w:t>
            </w:r>
            <w:r>
              <w:rPr>
                <w:b w:val="0"/>
              </w:rPr>
              <w:t>4.</w:t>
            </w:r>
            <w:r w:rsidR="00FF4FBD">
              <w:rPr>
                <w:b w:val="0"/>
                <w:noProof/>
              </w:rPr>
              <w:t>28</w:t>
            </w:r>
            <w:r>
              <w:tab/>
            </w:r>
            <w:r w:rsidRPr="00D2516E">
              <w:t>Proportion of year 7 students achieving at or above the reading national minimum standard, 201</w:t>
            </w:r>
            <w:r>
              <w:t>5</w:t>
            </w:r>
            <w:r w:rsidR="00391AA5">
              <w:rPr>
                <w:rStyle w:val="NoteLabel"/>
                <w:b/>
              </w:rPr>
              <w:t>a</w:t>
            </w:r>
            <w:r w:rsidRPr="00DA7139">
              <w:rPr>
                <w:rStyle w:val="DraftingNote"/>
                <w:rFonts w:ascii="Times New Roman" w:hAnsi="Times New Roman"/>
                <w:b/>
              </w:rPr>
              <w:t xml:space="preserve"> </w:t>
            </w:r>
          </w:p>
        </w:tc>
      </w:tr>
      <w:tr w:rsidR="004B0692" w:rsidTr="005E2523">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B0692" w:rsidTr="006D7834">
              <w:trPr>
                <w:jc w:val="center"/>
              </w:trPr>
              <w:tc>
                <w:tcPr>
                  <w:tcW w:w="5000" w:type="pct"/>
                  <w:tcBorders>
                    <w:top w:val="nil"/>
                    <w:bottom w:val="nil"/>
                  </w:tcBorders>
                </w:tcPr>
                <w:p w:rsidR="004B0692" w:rsidRDefault="00EE6972" w:rsidP="006D7834">
                  <w:pPr>
                    <w:pStyle w:val="Figure"/>
                    <w:spacing w:before="60" w:after="60"/>
                  </w:pPr>
                  <w:r>
                    <w:rPr>
                      <w:noProof/>
                    </w:rPr>
                    <w:drawing>
                      <wp:inline distT="0" distB="0" distL="0" distR="0">
                        <wp:extent cx="5391150" cy="2705100"/>
                        <wp:effectExtent l="0" t="0" r="0" b="0"/>
                        <wp:docPr id="31" name="Picture 31" descr="Figure 4.28 Proportion of year 7 students achieving at or above the reading national minimum standard,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4B0692" w:rsidRDefault="004B0692" w:rsidP="006D7834">
            <w:pPr>
              <w:pStyle w:val="Figure"/>
            </w:pPr>
          </w:p>
        </w:tc>
      </w:tr>
      <w:tr w:rsidR="005B3EDD" w:rsidRPr="00176D3F" w:rsidTr="00375613">
        <w:tc>
          <w:tcPr>
            <w:tcW w:w="8771" w:type="dxa"/>
            <w:tcBorders>
              <w:top w:val="nil"/>
              <w:left w:val="nil"/>
              <w:bottom w:val="nil"/>
              <w:right w:val="nil"/>
            </w:tcBorders>
            <w:shd w:val="clear" w:color="auto" w:fill="auto"/>
          </w:tcPr>
          <w:p w:rsidR="005B3EDD" w:rsidRPr="00176D3F" w:rsidRDefault="005B3EDD" w:rsidP="00375613">
            <w:pPr>
              <w:pStyle w:val="Source"/>
            </w:pPr>
            <w:r w:rsidRPr="00953E9C">
              <w:rPr>
                <w:rStyle w:val="NoteLabel"/>
              </w:rPr>
              <w:t>a</w:t>
            </w:r>
            <w:r w:rsidRPr="00953E9C">
              <w:t xml:space="preserve"> </w:t>
            </w:r>
            <w:r w:rsidRPr="007C767F">
              <w:t xml:space="preserve">See </w:t>
            </w:r>
            <w:r>
              <w:t xml:space="preserve">box </w:t>
            </w:r>
            <w:r w:rsidR="00496590" w:rsidRPr="00F8126D">
              <w:t>4.</w:t>
            </w:r>
            <w:r w:rsidR="00496590">
              <w:t>10</w:t>
            </w:r>
            <w:r w:rsidR="00496590" w:rsidRPr="00F8126D">
              <w:t xml:space="preserve"> </w:t>
            </w:r>
            <w:r>
              <w:t xml:space="preserve">and </w:t>
            </w:r>
            <w:r w:rsidRPr="007C767F">
              <w:t xml:space="preserve">table </w:t>
            </w:r>
            <w:r>
              <w:t xml:space="preserve">4A.36 </w:t>
            </w:r>
            <w:r w:rsidRPr="007C767F">
              <w:t>for detailed</w:t>
            </w:r>
            <w:r>
              <w:t xml:space="preserve"> </w:t>
            </w:r>
            <w:r w:rsidRPr="005B3EDD">
              <w:t>definitions, footnotes and caveats</w:t>
            </w:r>
            <w:r w:rsidRPr="007C767F">
              <w:t>.</w:t>
            </w:r>
          </w:p>
        </w:tc>
      </w:tr>
      <w:tr w:rsidR="004B0692" w:rsidRPr="00176D3F" w:rsidTr="006D7834">
        <w:tc>
          <w:tcPr>
            <w:tcW w:w="8771" w:type="dxa"/>
            <w:tcBorders>
              <w:top w:val="nil"/>
              <w:left w:val="nil"/>
              <w:bottom w:val="nil"/>
              <w:right w:val="nil"/>
            </w:tcBorders>
            <w:shd w:val="clear" w:color="auto" w:fill="auto"/>
          </w:tcPr>
          <w:p w:rsidR="004B0692" w:rsidRPr="00176D3F" w:rsidRDefault="004B0692" w:rsidP="006D7834">
            <w:pPr>
              <w:pStyle w:val="Source"/>
            </w:pPr>
            <w:r>
              <w:rPr>
                <w:i/>
              </w:rPr>
              <w:t>S</w:t>
            </w:r>
            <w:r w:rsidRPr="00784A05">
              <w:rPr>
                <w:i/>
              </w:rPr>
              <w:t>ource</w:t>
            </w:r>
            <w:r w:rsidRPr="00176D3F">
              <w:t xml:space="preserve">: </w:t>
            </w:r>
            <w:r w:rsidRPr="00D2516E">
              <w:t>ACARA (201</w:t>
            </w:r>
            <w:r>
              <w:t>5</w:t>
            </w:r>
            <w:r w:rsidRPr="00D2516E">
              <w:t xml:space="preserve"> and unpublished) </w:t>
            </w:r>
            <w:r w:rsidRPr="00D2516E">
              <w:rPr>
                <w:i/>
              </w:rPr>
              <w:t>NAPLAN Achievement in Reading, Writing, Language Conventions and Numeracy: National Report for 201</w:t>
            </w:r>
            <w:r>
              <w:rPr>
                <w:i/>
              </w:rPr>
              <w:t>5</w:t>
            </w:r>
            <w:r w:rsidRPr="00D2516E">
              <w:t>; table 4A.36.</w:t>
            </w:r>
          </w:p>
        </w:tc>
      </w:tr>
      <w:tr w:rsidR="004B0692" w:rsidTr="006D7834">
        <w:tc>
          <w:tcPr>
            <w:tcW w:w="8771" w:type="dxa"/>
            <w:tcBorders>
              <w:top w:val="nil"/>
              <w:left w:val="nil"/>
              <w:bottom w:val="single" w:sz="6" w:space="0" w:color="78A22F"/>
              <w:right w:val="nil"/>
            </w:tcBorders>
            <w:shd w:val="clear" w:color="auto" w:fill="auto"/>
          </w:tcPr>
          <w:p w:rsidR="004B0692" w:rsidRDefault="004B0692" w:rsidP="006D7834">
            <w:pPr>
              <w:pStyle w:val="Figurespace"/>
            </w:pPr>
          </w:p>
        </w:tc>
      </w:tr>
      <w:tr w:rsidR="004B0692" w:rsidRPr="000863A5" w:rsidTr="006D7834">
        <w:tc>
          <w:tcPr>
            <w:tcW w:w="8771" w:type="dxa"/>
            <w:tcBorders>
              <w:top w:val="single" w:sz="6" w:space="0" w:color="78A22F"/>
              <w:left w:val="nil"/>
              <w:bottom w:val="nil"/>
              <w:right w:val="nil"/>
            </w:tcBorders>
          </w:tcPr>
          <w:p w:rsidR="004B0692" w:rsidRPr="00626D32" w:rsidRDefault="004B0692" w:rsidP="006D7834">
            <w:pPr>
              <w:pStyle w:val="BoxSpaceBelow"/>
            </w:pPr>
          </w:p>
        </w:tc>
      </w:tr>
    </w:tbl>
    <w:p w:rsidR="004B0692" w:rsidRPr="0089766B" w:rsidRDefault="004B0692" w:rsidP="004B0692">
      <w:pPr>
        <w:pStyle w:val="BodyText"/>
      </w:pPr>
      <w:r w:rsidRPr="0089766B">
        <w:t xml:space="preserve">Statistical significance of differences across states and territories between proportions of year </w:t>
      </w:r>
      <w:r>
        <w:t>7</w:t>
      </w:r>
      <w:r w:rsidRPr="0089766B">
        <w:t xml:space="preserve"> students who achieved at or above the national minimum standard for reading in 201</w:t>
      </w:r>
      <w:r>
        <w:t>5</w:t>
      </w:r>
      <w:r w:rsidRPr="0089766B">
        <w:t xml:space="preserve"> are provided in table 4A.36.</w:t>
      </w:r>
    </w:p>
    <w:p w:rsidR="0000726C" w:rsidRDefault="004B0692" w:rsidP="008F294A">
      <w:pPr>
        <w:pStyle w:val="BodyText"/>
      </w:pPr>
      <w:r w:rsidRPr="0089766B">
        <w:t xml:space="preserve">The mean scale score for year </w:t>
      </w:r>
      <w:r>
        <w:t>7</w:t>
      </w:r>
      <w:r w:rsidRPr="0089766B">
        <w:t xml:space="preserve"> reading in 201</w:t>
      </w:r>
      <w:r>
        <w:t>5</w:t>
      </w:r>
      <w:r w:rsidRPr="0089766B">
        <w:t xml:space="preserve"> for all students </w:t>
      </w:r>
      <w:r w:rsidRPr="005E2523">
        <w:rPr>
          <w:shd w:val="clear" w:color="auto" w:fill="FFFFFF" w:themeFill="background1"/>
        </w:rPr>
        <w:t xml:space="preserve">was </w:t>
      </w:r>
      <w:r w:rsidR="00C3749C">
        <w:rPr>
          <w:shd w:val="clear" w:color="auto" w:fill="FFFFFF" w:themeFill="background1"/>
        </w:rPr>
        <w:t>544.5</w:t>
      </w:r>
      <w:r w:rsidR="00010D96" w:rsidRPr="005E2523">
        <w:rPr>
          <w:shd w:val="clear" w:color="auto" w:fill="FFFFFF" w:themeFill="background1"/>
        </w:rPr>
        <w:t>–</w:t>
      </w:r>
      <w:r w:rsidR="00C3749C">
        <w:rPr>
          <w:shd w:val="clear" w:color="auto" w:fill="FFFFFF" w:themeFill="background1"/>
        </w:rPr>
        <w:t>547.5</w:t>
      </w:r>
      <w:r w:rsidRPr="005E2523">
        <w:rPr>
          <w:shd w:val="clear" w:color="auto" w:fill="FFFFFF" w:themeFill="background1"/>
        </w:rPr>
        <w:t xml:space="preserve">nationally. The mean scale score for Aboriginal and Torres Strait Islander students </w:t>
      </w:r>
      <w:r w:rsidRPr="005E2523">
        <w:rPr>
          <w:shd w:val="clear" w:color="auto" w:fill="FFFFFF" w:themeFill="background1"/>
        </w:rPr>
        <w:br/>
        <w:t>(</w:t>
      </w:r>
      <w:r w:rsidR="00010D96" w:rsidRPr="005E2523">
        <w:rPr>
          <w:shd w:val="clear" w:color="auto" w:fill="FFFFFF" w:themeFill="background1"/>
        </w:rPr>
        <w:t>480.7–487.3</w:t>
      </w:r>
      <w:r w:rsidRPr="005E2523">
        <w:rPr>
          <w:shd w:val="clear" w:color="auto" w:fill="FFFFFF" w:themeFill="background1"/>
        </w:rPr>
        <w:t>) was significantly lower than for non-Indigenous students (</w:t>
      </w:r>
      <w:r w:rsidR="00010D96" w:rsidRPr="005E2523">
        <w:rPr>
          <w:shd w:val="clear" w:color="auto" w:fill="FFFFFF" w:themeFill="background1"/>
        </w:rPr>
        <w:t>548.2–551.0</w:t>
      </w:r>
      <w:r w:rsidRPr="005E2523">
        <w:rPr>
          <w:shd w:val="clear" w:color="auto" w:fill="FFFFFF" w:themeFill="background1"/>
        </w:rPr>
        <w:t>). Mean scale scores varied across jurisdictions (table 4A.38). Table 4A.38 also identifies</w:t>
      </w:r>
      <w:r w:rsidRPr="0089766B">
        <w:t xml:space="preserve"> statistical significance of differences between mean scale scores for year </w:t>
      </w:r>
      <w:r>
        <w:t>7</w:t>
      </w:r>
      <w:r w:rsidRPr="0089766B">
        <w:t xml:space="preserve"> reading outcomes across states and territories in 201</w:t>
      </w:r>
      <w:r>
        <w:t>5</w:t>
      </w:r>
      <w:r w:rsidRPr="0089766B">
        <w:t xml:space="preserve">. </w:t>
      </w:r>
    </w:p>
    <w:p w:rsidR="0042126C" w:rsidRDefault="0042126C" w:rsidP="009F604D">
      <w:pPr>
        <w:pStyle w:val="Heading6"/>
      </w:pPr>
    </w:p>
    <w:p w:rsidR="0042126C" w:rsidRDefault="0042126C" w:rsidP="009F604D">
      <w:pPr>
        <w:pStyle w:val="Heading6"/>
      </w:pPr>
    </w:p>
    <w:p w:rsidR="004D736C" w:rsidRDefault="004D736C" w:rsidP="009F604D">
      <w:pPr>
        <w:pStyle w:val="Heading6"/>
      </w:pPr>
      <w:r>
        <w:lastRenderedPageBreak/>
        <w:t>Year 9 reading</w:t>
      </w:r>
    </w:p>
    <w:p w:rsidR="004B0692" w:rsidRDefault="004B0692" w:rsidP="004B0692">
      <w:pPr>
        <w:spacing w:before="240" w:line="320" w:lineRule="atLeast"/>
        <w:jc w:val="both"/>
        <w:rPr>
          <w:szCs w:val="20"/>
        </w:rPr>
      </w:pPr>
      <w:r w:rsidRPr="00666ECE">
        <w:rPr>
          <w:szCs w:val="20"/>
        </w:rPr>
        <w:t xml:space="preserve">The proportion of year </w:t>
      </w:r>
      <w:r>
        <w:rPr>
          <w:szCs w:val="20"/>
        </w:rPr>
        <w:t>9</w:t>
      </w:r>
      <w:r w:rsidRPr="00666ECE">
        <w:rPr>
          <w:szCs w:val="20"/>
        </w:rPr>
        <w:t xml:space="preserve"> students who </w:t>
      </w:r>
      <w:r w:rsidRPr="002C5BBE">
        <w:rPr>
          <w:szCs w:val="20"/>
        </w:rPr>
        <w:t>achieved at or above the reading national minimum standard in 201</w:t>
      </w:r>
      <w:r>
        <w:rPr>
          <w:szCs w:val="20"/>
        </w:rPr>
        <w:t>5</w:t>
      </w:r>
      <w:r w:rsidRPr="002C5BBE">
        <w:rPr>
          <w:szCs w:val="20"/>
        </w:rPr>
        <w:t xml:space="preserve"> </w:t>
      </w:r>
      <w:r w:rsidRPr="005E2523">
        <w:rPr>
          <w:szCs w:val="20"/>
          <w:shd w:val="clear" w:color="auto" w:fill="FFFFFF" w:themeFill="background1"/>
        </w:rPr>
        <w:t xml:space="preserve">was </w:t>
      </w:r>
      <w:r w:rsidR="00010D96" w:rsidRPr="005E2523">
        <w:rPr>
          <w:shd w:val="clear" w:color="auto" w:fill="FFFFFF" w:themeFill="background1"/>
        </w:rPr>
        <w:t>92.0–92.6</w:t>
      </w:r>
      <w:r w:rsidRPr="005E2523">
        <w:rPr>
          <w:shd w:val="clear" w:color="auto" w:fill="FFFFFF" w:themeFill="background1"/>
        </w:rPr>
        <w:t xml:space="preserve"> </w:t>
      </w:r>
      <w:r w:rsidRPr="005E2523">
        <w:rPr>
          <w:szCs w:val="20"/>
          <w:shd w:val="clear" w:color="auto" w:fill="FFFFFF" w:themeFill="background1"/>
        </w:rPr>
        <w:t xml:space="preserve">per cent nationally. The proportion for </w:t>
      </w:r>
      <w:r w:rsidRPr="005E2523">
        <w:rPr>
          <w:shd w:val="clear" w:color="auto" w:fill="FFFFFF" w:themeFill="background1"/>
        </w:rPr>
        <w:t>Aboriginal and Torres Strait Islander</w:t>
      </w:r>
      <w:r w:rsidRPr="005E2523">
        <w:rPr>
          <w:szCs w:val="20"/>
          <w:shd w:val="clear" w:color="auto" w:fill="FFFFFF" w:themeFill="background1"/>
        </w:rPr>
        <w:t xml:space="preserve"> students (</w:t>
      </w:r>
      <w:r w:rsidR="00010D96" w:rsidRPr="005E2523">
        <w:rPr>
          <w:shd w:val="clear" w:color="auto" w:fill="FFFFFF" w:themeFill="background1"/>
        </w:rPr>
        <w:t>70.0–73.4</w:t>
      </w:r>
      <w:r w:rsidRPr="005E2523">
        <w:rPr>
          <w:shd w:val="clear" w:color="auto" w:fill="FFFFFF" w:themeFill="background1"/>
        </w:rPr>
        <w:t xml:space="preserve"> </w:t>
      </w:r>
      <w:r w:rsidRPr="005E2523">
        <w:rPr>
          <w:szCs w:val="20"/>
          <w:shd w:val="clear" w:color="auto" w:fill="FFFFFF" w:themeFill="background1"/>
        </w:rPr>
        <w:t>per cent) was significantly lower than for non</w:t>
      </w:r>
      <w:r w:rsidRPr="005E2523">
        <w:rPr>
          <w:szCs w:val="20"/>
          <w:shd w:val="clear" w:color="auto" w:fill="FFFFFF" w:themeFill="background1"/>
        </w:rPr>
        <w:noBreakHyphen/>
        <w:t>Indigenous students (</w:t>
      </w:r>
      <w:r w:rsidR="00010D96" w:rsidRPr="005E2523">
        <w:rPr>
          <w:shd w:val="clear" w:color="auto" w:fill="FFFFFF" w:themeFill="background1"/>
        </w:rPr>
        <w:t>93.3–93.9</w:t>
      </w:r>
      <w:r w:rsidRPr="005E2523">
        <w:rPr>
          <w:shd w:val="clear" w:color="auto" w:fill="FFFFFF" w:themeFill="background1"/>
        </w:rPr>
        <w:t xml:space="preserve"> </w:t>
      </w:r>
      <w:r w:rsidRPr="005E2523">
        <w:rPr>
          <w:szCs w:val="20"/>
          <w:shd w:val="clear" w:color="auto" w:fill="FFFFFF" w:themeFill="background1"/>
        </w:rPr>
        <w:t>per</w:t>
      </w:r>
      <w:r w:rsidRPr="002C5BBE">
        <w:rPr>
          <w:szCs w:val="20"/>
        </w:rPr>
        <w:t xml:space="preserve"> cent) (figure 4.2</w:t>
      </w:r>
      <w:r w:rsidR="00033D89">
        <w:rPr>
          <w:szCs w:val="20"/>
        </w:rPr>
        <w:t>9</w:t>
      </w:r>
      <w:r w:rsidRPr="002C5BBE">
        <w:rPr>
          <w:szCs w:val="20"/>
        </w:rPr>
        <w:t>). These proportions varied across jurisdictions.</w:t>
      </w:r>
      <w:r w:rsidR="00720F21">
        <w:rPr>
          <w:szCs w:val="20"/>
        </w:rPr>
        <w:t xml:space="preserve"> </w:t>
      </w:r>
    </w:p>
    <w:p w:rsidR="00720F21" w:rsidRDefault="00720F21" w:rsidP="00720F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20F21" w:rsidTr="00720F21">
        <w:tc>
          <w:tcPr>
            <w:tcW w:w="8771" w:type="dxa"/>
            <w:tcBorders>
              <w:top w:val="single" w:sz="6" w:space="0" w:color="78A22F"/>
              <w:left w:val="nil"/>
              <w:bottom w:val="nil"/>
              <w:right w:val="nil"/>
            </w:tcBorders>
            <w:shd w:val="clear" w:color="auto" w:fill="auto"/>
          </w:tcPr>
          <w:p w:rsidR="00720F21" w:rsidRPr="00176D3F" w:rsidRDefault="00720F21" w:rsidP="00720F21">
            <w:pPr>
              <w:pStyle w:val="FigureTitle"/>
            </w:pPr>
            <w:r w:rsidRPr="00784A05">
              <w:rPr>
                <w:b w:val="0"/>
              </w:rPr>
              <w:t xml:space="preserve">Figure </w:t>
            </w:r>
            <w:r>
              <w:rPr>
                <w:b w:val="0"/>
              </w:rPr>
              <w:t>4.</w:t>
            </w:r>
            <w:r w:rsidR="00FF4FBD">
              <w:rPr>
                <w:b w:val="0"/>
                <w:noProof/>
              </w:rPr>
              <w:t>29</w:t>
            </w:r>
            <w:r>
              <w:tab/>
            </w:r>
            <w:r w:rsidRPr="00D2516E">
              <w:t>Proportion of year 9 students achieving at or above the reading national minimum standard, 201</w:t>
            </w:r>
            <w:r>
              <w:t>5</w:t>
            </w:r>
            <w:r>
              <w:rPr>
                <w:rStyle w:val="NoteLabel"/>
                <w:b/>
              </w:rPr>
              <w:t>a</w:t>
            </w:r>
          </w:p>
        </w:tc>
      </w:tr>
      <w:tr w:rsidR="00720F21" w:rsidTr="00720F2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20F21" w:rsidTr="00720F21">
              <w:trPr>
                <w:jc w:val="center"/>
              </w:trPr>
              <w:tc>
                <w:tcPr>
                  <w:tcW w:w="5000" w:type="pct"/>
                  <w:tcBorders>
                    <w:top w:val="nil"/>
                    <w:bottom w:val="nil"/>
                  </w:tcBorders>
                </w:tcPr>
                <w:p w:rsidR="00720F21" w:rsidRDefault="00EE6972" w:rsidP="00720F21">
                  <w:pPr>
                    <w:pStyle w:val="Figure"/>
                    <w:spacing w:before="60" w:after="60"/>
                  </w:pPr>
                  <w:r>
                    <w:rPr>
                      <w:noProof/>
                    </w:rPr>
                    <w:drawing>
                      <wp:inline distT="0" distB="0" distL="0" distR="0">
                        <wp:extent cx="5391150" cy="2695575"/>
                        <wp:effectExtent l="0" t="0" r="0" b="9525"/>
                        <wp:docPr id="32" name="Picture 32" descr="Figure 4.29 Proportion of year 9 students achieving at or above the reading national minimum standard,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720F21" w:rsidRDefault="00720F21" w:rsidP="00720F21">
            <w:pPr>
              <w:pStyle w:val="Figure"/>
            </w:pPr>
          </w:p>
        </w:tc>
      </w:tr>
      <w:tr w:rsidR="00720F21" w:rsidRPr="00176D3F" w:rsidTr="00720F21">
        <w:tc>
          <w:tcPr>
            <w:tcW w:w="8771" w:type="dxa"/>
            <w:tcBorders>
              <w:top w:val="nil"/>
              <w:left w:val="nil"/>
              <w:bottom w:val="nil"/>
              <w:right w:val="nil"/>
            </w:tcBorders>
            <w:shd w:val="clear" w:color="auto" w:fill="auto"/>
          </w:tcPr>
          <w:p w:rsidR="00720F21" w:rsidRPr="00720F21" w:rsidRDefault="00720F21" w:rsidP="00720F21">
            <w:pPr>
              <w:pStyle w:val="Source"/>
            </w:pPr>
            <w:r w:rsidRPr="00720F21">
              <w:rPr>
                <w:rStyle w:val="NoteLabel"/>
              </w:rPr>
              <w:t>a</w:t>
            </w:r>
            <w:r w:rsidRPr="00720F21">
              <w:t xml:space="preserve"> See box 4.10 and table 4A.36 for detailed definitions, footnotes and caveats.</w:t>
            </w:r>
          </w:p>
        </w:tc>
      </w:tr>
      <w:tr w:rsidR="00720F21" w:rsidRPr="00176D3F" w:rsidTr="00720F21">
        <w:tc>
          <w:tcPr>
            <w:tcW w:w="8771" w:type="dxa"/>
            <w:tcBorders>
              <w:top w:val="nil"/>
              <w:left w:val="nil"/>
              <w:bottom w:val="nil"/>
              <w:right w:val="nil"/>
            </w:tcBorders>
            <w:shd w:val="clear" w:color="auto" w:fill="auto"/>
          </w:tcPr>
          <w:p w:rsidR="00720F21" w:rsidRPr="00720F21" w:rsidRDefault="00720F21" w:rsidP="00720F21">
            <w:pPr>
              <w:pStyle w:val="Source"/>
            </w:pPr>
            <w:r w:rsidRPr="00720F21">
              <w:rPr>
                <w:i/>
              </w:rPr>
              <w:t>Source</w:t>
            </w:r>
            <w:r w:rsidRPr="00720F21">
              <w:t xml:space="preserve">: ACARA (2015 and unpublished) </w:t>
            </w:r>
            <w:r w:rsidRPr="00720F21">
              <w:rPr>
                <w:i/>
              </w:rPr>
              <w:t>NAPLAN Achievement in Reading, Writing, Language Conventions and Numeracy: National Report for 2015</w:t>
            </w:r>
            <w:r w:rsidRPr="00720F21">
              <w:t>; table 4A.36.</w:t>
            </w:r>
          </w:p>
        </w:tc>
      </w:tr>
      <w:tr w:rsidR="00720F21" w:rsidTr="00720F21">
        <w:tc>
          <w:tcPr>
            <w:tcW w:w="8771" w:type="dxa"/>
            <w:tcBorders>
              <w:top w:val="nil"/>
              <w:left w:val="nil"/>
              <w:bottom w:val="single" w:sz="6" w:space="0" w:color="78A22F"/>
              <w:right w:val="nil"/>
            </w:tcBorders>
            <w:shd w:val="clear" w:color="auto" w:fill="auto"/>
          </w:tcPr>
          <w:p w:rsidR="00720F21" w:rsidRDefault="00720F21" w:rsidP="00720F21">
            <w:pPr>
              <w:pStyle w:val="Figurespace"/>
            </w:pPr>
          </w:p>
        </w:tc>
      </w:tr>
      <w:tr w:rsidR="00720F21" w:rsidRPr="000863A5" w:rsidTr="00720F21">
        <w:tc>
          <w:tcPr>
            <w:tcW w:w="8771" w:type="dxa"/>
            <w:tcBorders>
              <w:top w:val="single" w:sz="6" w:space="0" w:color="78A22F"/>
              <w:left w:val="nil"/>
              <w:bottom w:val="nil"/>
              <w:right w:val="nil"/>
            </w:tcBorders>
          </w:tcPr>
          <w:p w:rsidR="00720F21" w:rsidRPr="00626D32" w:rsidRDefault="00720F21" w:rsidP="00720F21">
            <w:pPr>
              <w:pStyle w:val="BoxSpaceBelow"/>
            </w:pPr>
          </w:p>
        </w:tc>
      </w:tr>
    </w:tbl>
    <w:p w:rsidR="004B0692" w:rsidRPr="0089766B" w:rsidRDefault="004B0692" w:rsidP="004B0692">
      <w:pPr>
        <w:pStyle w:val="BodyText"/>
      </w:pPr>
      <w:r w:rsidRPr="0089766B">
        <w:t xml:space="preserve">Statistical significance of differences across states and territories between proportions of year </w:t>
      </w:r>
      <w:r>
        <w:t>9</w:t>
      </w:r>
      <w:r w:rsidRPr="0089766B">
        <w:t xml:space="preserve"> students who achieved at or above the national minimum standard for reading in 201</w:t>
      </w:r>
      <w:r>
        <w:t>5</w:t>
      </w:r>
      <w:r w:rsidRPr="0089766B">
        <w:t xml:space="preserve"> are provided in tabl</w:t>
      </w:r>
      <w:r w:rsidRPr="00704CAD">
        <w:t>e</w:t>
      </w:r>
      <w:r w:rsidRPr="0089766B">
        <w:t xml:space="preserve"> 4A.36.</w:t>
      </w:r>
    </w:p>
    <w:p w:rsidR="004B0692" w:rsidRDefault="004B0692" w:rsidP="004B0692">
      <w:pPr>
        <w:pStyle w:val="BodyText"/>
      </w:pPr>
      <w:r w:rsidRPr="0089766B">
        <w:t xml:space="preserve">The mean scale score for year </w:t>
      </w:r>
      <w:r>
        <w:t>9</w:t>
      </w:r>
      <w:r w:rsidRPr="0089766B">
        <w:t xml:space="preserve"> reading in 201</w:t>
      </w:r>
      <w:r>
        <w:t>5</w:t>
      </w:r>
      <w:r w:rsidRPr="0089766B">
        <w:t xml:space="preserve"> for all students </w:t>
      </w:r>
      <w:r w:rsidRPr="005E2523">
        <w:rPr>
          <w:shd w:val="clear" w:color="auto" w:fill="FFFFFF" w:themeFill="background1"/>
        </w:rPr>
        <w:t xml:space="preserve">was </w:t>
      </w:r>
      <w:r w:rsidR="00010D96" w:rsidRPr="005E2523">
        <w:rPr>
          <w:shd w:val="clear" w:color="auto" w:fill="FFFFFF" w:themeFill="background1"/>
        </w:rPr>
        <w:t>578.6–581.8</w:t>
      </w:r>
      <w:r w:rsidRPr="005E2523">
        <w:rPr>
          <w:shd w:val="clear" w:color="auto" w:fill="FFFFFF" w:themeFill="background1"/>
        </w:rPr>
        <w:t xml:space="preserve"> nationally. The mean scale score for Aboriginal and Torres Strait Islander students </w:t>
      </w:r>
      <w:r w:rsidRPr="005E2523">
        <w:rPr>
          <w:shd w:val="clear" w:color="auto" w:fill="FFFFFF" w:themeFill="background1"/>
        </w:rPr>
        <w:br/>
        <w:t>(</w:t>
      </w:r>
      <w:r w:rsidR="00010D96" w:rsidRPr="005E2523">
        <w:rPr>
          <w:shd w:val="clear" w:color="auto" w:fill="FFFFFF" w:themeFill="background1"/>
        </w:rPr>
        <w:t>515.3–521.3</w:t>
      </w:r>
      <w:r w:rsidRPr="005E2523">
        <w:rPr>
          <w:shd w:val="clear" w:color="auto" w:fill="FFFFFF" w:themeFill="background1"/>
        </w:rPr>
        <w:t>) was significantly lower than for non-Indigenous students (</w:t>
      </w:r>
      <w:r w:rsidR="00010D96" w:rsidRPr="005E2523">
        <w:rPr>
          <w:shd w:val="clear" w:color="auto" w:fill="FFFFFF" w:themeFill="background1"/>
        </w:rPr>
        <w:t>582.3–585.3</w:t>
      </w:r>
      <w:r w:rsidRPr="005E2523">
        <w:rPr>
          <w:shd w:val="clear" w:color="auto" w:fill="FFFFFF" w:themeFill="background1"/>
        </w:rPr>
        <w:t>). Mean scale scores varied across jurisdictions (table 4A.38). Table 4A.38 also identifies statistical significance of differences between mean scale scores for</w:t>
      </w:r>
      <w:r w:rsidRPr="0089766B">
        <w:t xml:space="preserve"> year </w:t>
      </w:r>
      <w:r>
        <w:t>9</w:t>
      </w:r>
      <w:r w:rsidRPr="0089766B">
        <w:t xml:space="preserve"> reading outcomes across states and territories in 201</w:t>
      </w:r>
      <w:r>
        <w:t>5</w:t>
      </w:r>
      <w:r w:rsidRPr="0089766B">
        <w:t xml:space="preserve">. </w:t>
      </w:r>
    </w:p>
    <w:p w:rsidR="004B0692" w:rsidRPr="00666ECE" w:rsidRDefault="004B0692" w:rsidP="004B0692">
      <w:pPr>
        <w:pStyle w:val="Heading6"/>
      </w:pPr>
      <w:r w:rsidRPr="00666ECE">
        <w:t>Geolocation</w:t>
      </w:r>
    </w:p>
    <w:p w:rsidR="004B0692" w:rsidRPr="007B32D4" w:rsidRDefault="004B0692" w:rsidP="004B0692">
      <w:pPr>
        <w:pStyle w:val="BodyText"/>
      </w:pPr>
      <w:r w:rsidRPr="00CE6669">
        <w:t>Nationally in 201</w:t>
      </w:r>
      <w:r>
        <w:t>5</w:t>
      </w:r>
      <w:r w:rsidRPr="00CE6669">
        <w:t xml:space="preserve">, reading </w:t>
      </w:r>
      <w:r w:rsidRPr="005E2523">
        <w:rPr>
          <w:shd w:val="clear" w:color="auto" w:fill="FFFFFF" w:themeFill="background1"/>
        </w:rPr>
        <w:t xml:space="preserve">outcomes tended to decline with remoteness. In year 3, for example, </w:t>
      </w:r>
      <w:r w:rsidR="00821F36" w:rsidRPr="005E2523">
        <w:rPr>
          <w:shd w:val="clear" w:color="auto" w:fill="FFFFFF" w:themeFill="background1"/>
        </w:rPr>
        <w:t>95.3–95.7</w:t>
      </w:r>
      <w:r w:rsidRPr="005E2523">
        <w:rPr>
          <w:shd w:val="clear" w:color="auto" w:fill="FFFFFF" w:themeFill="background1"/>
        </w:rPr>
        <w:t xml:space="preserve"> per cent of students in metropolitan areas achieved at or above the </w:t>
      </w:r>
      <w:r w:rsidRPr="005E2523">
        <w:rPr>
          <w:shd w:val="clear" w:color="auto" w:fill="FFFFFF" w:themeFill="background1"/>
        </w:rPr>
        <w:lastRenderedPageBreak/>
        <w:t>reading national minimum standard, significantly higher than</w:t>
      </w:r>
      <w:r w:rsidRPr="00CE6669">
        <w:t xml:space="preserve"> the proportions of provincial </w:t>
      </w:r>
      <w:r w:rsidRPr="005E2523">
        <w:rPr>
          <w:shd w:val="clear" w:color="auto" w:fill="FFFFFF" w:themeFill="background1"/>
        </w:rPr>
        <w:t>students (</w:t>
      </w:r>
      <w:r w:rsidR="00821F36" w:rsidRPr="005E2523">
        <w:rPr>
          <w:shd w:val="clear" w:color="auto" w:fill="FFFFFF" w:themeFill="background1"/>
        </w:rPr>
        <w:t>93.3–93.9</w:t>
      </w:r>
      <w:r w:rsidRPr="005E2523">
        <w:rPr>
          <w:shd w:val="clear" w:color="auto" w:fill="FFFFFF" w:themeFill="background1"/>
        </w:rPr>
        <w:t xml:space="preserve"> per cent), remote students (</w:t>
      </w:r>
      <w:r w:rsidR="00821F36" w:rsidRPr="005E2523">
        <w:rPr>
          <w:shd w:val="clear" w:color="auto" w:fill="FFFFFF" w:themeFill="background1"/>
        </w:rPr>
        <w:t>84.0–88.8</w:t>
      </w:r>
      <w:r w:rsidRPr="005E2523">
        <w:rPr>
          <w:shd w:val="clear" w:color="auto" w:fill="FFFFFF" w:themeFill="background1"/>
        </w:rPr>
        <w:t xml:space="preserve"> per cent) and very remote students (</w:t>
      </w:r>
      <w:r w:rsidR="00821F36" w:rsidRPr="005E2523">
        <w:rPr>
          <w:shd w:val="clear" w:color="auto" w:fill="FFFFFF" w:themeFill="background1"/>
        </w:rPr>
        <w:t>57.5–67.5</w:t>
      </w:r>
      <w:r w:rsidRPr="005E2523">
        <w:rPr>
          <w:shd w:val="clear" w:color="auto" w:fill="FFFFFF" w:themeFill="background1"/>
        </w:rPr>
        <w:t xml:space="preserve"> per cent</w:t>
      </w:r>
      <w:r w:rsidRPr="007B32D4">
        <w:t>) (figure 4.</w:t>
      </w:r>
      <w:r w:rsidR="00033D89">
        <w:t>30</w:t>
      </w:r>
      <w:r w:rsidRPr="007B32D4">
        <w:t>).</w:t>
      </w:r>
    </w:p>
    <w:p w:rsidR="004B0692" w:rsidRPr="007B32D4" w:rsidRDefault="004B0692" w:rsidP="004B0692">
      <w:pPr>
        <w:pStyle w:val="BodyText"/>
        <w:rPr>
          <w:szCs w:val="26"/>
        </w:rPr>
      </w:pPr>
      <w:r w:rsidRPr="007B32D4">
        <w:t xml:space="preserve">For all geolocation categories across years 3, 5, 7 and 9, reading outcomes nationally for </w:t>
      </w:r>
      <w:r>
        <w:t>Aboriginal and Torres Strait Islander</w:t>
      </w:r>
      <w:r w:rsidRPr="007B32D4">
        <w:t xml:space="preserve"> students </w:t>
      </w:r>
      <w:r w:rsidRPr="005E2523">
        <w:rPr>
          <w:shd w:val="clear" w:color="auto" w:fill="FFFFFF" w:themeFill="background1"/>
        </w:rPr>
        <w:t>were lower than those for non-Indigenous students. Nationally, outcomes for Aboriginal and Torres Strait Islander students generally declined as remoteness increased, and</w:t>
      </w:r>
      <w:r w:rsidRPr="005E2523">
        <w:rPr>
          <w:szCs w:val="26"/>
          <w:shd w:val="clear" w:color="auto" w:fill="FFFFFF" w:themeFill="background1"/>
        </w:rPr>
        <w:t xml:space="preserve"> the gap in learning outcomes between Aboriginal and Torres Strait Islander students and non-Indigenous students was generally greater in remote and very remote areas than in metropolitan and provincial </w:t>
      </w:r>
      <w:r w:rsidRPr="007B32D4">
        <w:rPr>
          <w:szCs w:val="26"/>
        </w:rPr>
        <w:t>areas.</w:t>
      </w:r>
    </w:p>
    <w:p w:rsidR="004B0692" w:rsidRPr="00666ECE" w:rsidRDefault="004B0692" w:rsidP="004B0692">
      <w:pPr>
        <w:pStyle w:val="BodyText"/>
      </w:pPr>
      <w:r w:rsidRPr="007B32D4">
        <w:t xml:space="preserve">State and Territory results by Indigenous status and geolocation for years 3, 5, </w:t>
      </w:r>
      <w:r w:rsidRPr="00666ECE">
        <w:t>7 and 9 reading literacy are in table 4A.3</w:t>
      </w:r>
      <w:r>
        <w:t>6</w:t>
      </w:r>
      <w:r w:rsidRPr="00666ECE">
        <w:t>. The general pattern in jurisdictions appears similar to the national results. However, due to relatively large confidence intervals, caution should be exercised when making comparisons for some data. Mean scale score results by Indigenous status and geolocation are provided in table 4A.</w:t>
      </w:r>
      <w:r>
        <w:t>38</w:t>
      </w:r>
      <w:r w:rsidRPr="00666ECE">
        <w:t>.</w:t>
      </w:r>
    </w:p>
    <w:p w:rsidR="004B0692" w:rsidRDefault="004B0692" w:rsidP="004B069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B0692" w:rsidTr="006D7834">
        <w:tc>
          <w:tcPr>
            <w:tcW w:w="8771" w:type="dxa"/>
            <w:tcBorders>
              <w:top w:val="single" w:sz="6" w:space="0" w:color="78A22F"/>
              <w:left w:val="nil"/>
              <w:bottom w:val="nil"/>
              <w:right w:val="nil"/>
            </w:tcBorders>
            <w:shd w:val="clear" w:color="auto" w:fill="auto"/>
          </w:tcPr>
          <w:p w:rsidR="004B0692" w:rsidRPr="00176D3F" w:rsidRDefault="004B0692" w:rsidP="000D2662">
            <w:pPr>
              <w:pStyle w:val="FigureTitle"/>
            </w:pPr>
            <w:r w:rsidRPr="00784A05">
              <w:rPr>
                <w:b w:val="0"/>
              </w:rPr>
              <w:t xml:space="preserve">Figure </w:t>
            </w:r>
            <w:r>
              <w:rPr>
                <w:b w:val="0"/>
              </w:rPr>
              <w:t>4.</w:t>
            </w:r>
            <w:r w:rsidR="00FF4FBD">
              <w:rPr>
                <w:b w:val="0"/>
                <w:noProof/>
              </w:rPr>
              <w:t>30</w:t>
            </w:r>
            <w:r>
              <w:tab/>
            </w:r>
            <w:r w:rsidRPr="0089766B">
              <w:t>National proportion of year 3 students achieving at or above the reading national minimum standard, by Indigenous status and geolocation, 201</w:t>
            </w:r>
            <w:r>
              <w:t>5</w:t>
            </w:r>
            <w:r w:rsidRPr="0089766B">
              <w:rPr>
                <w:rStyle w:val="NoteLabel"/>
                <w:b/>
              </w:rPr>
              <w:t>a</w:t>
            </w:r>
            <w:r w:rsidRPr="00DA7139">
              <w:rPr>
                <w:rStyle w:val="DraftingNote"/>
                <w:rFonts w:ascii="Times New Roman" w:hAnsi="Times New Roman"/>
                <w:b/>
              </w:rPr>
              <w:t xml:space="preserve"> </w:t>
            </w:r>
          </w:p>
        </w:tc>
      </w:tr>
      <w:tr w:rsidR="004B0692" w:rsidTr="0042126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B0692" w:rsidTr="006D7834">
              <w:trPr>
                <w:jc w:val="center"/>
              </w:trPr>
              <w:tc>
                <w:tcPr>
                  <w:tcW w:w="5000" w:type="pct"/>
                  <w:tcBorders>
                    <w:top w:val="nil"/>
                    <w:bottom w:val="nil"/>
                  </w:tcBorders>
                </w:tcPr>
                <w:p w:rsidR="004B0692" w:rsidRDefault="00EE6972" w:rsidP="006D7834">
                  <w:pPr>
                    <w:pStyle w:val="Figure"/>
                    <w:spacing w:before="60" w:after="60"/>
                  </w:pPr>
                  <w:r>
                    <w:rPr>
                      <w:noProof/>
                    </w:rPr>
                    <w:drawing>
                      <wp:inline distT="0" distB="0" distL="0" distR="0">
                        <wp:extent cx="5391150" cy="2705100"/>
                        <wp:effectExtent l="0" t="0" r="0" b="0"/>
                        <wp:docPr id="44" name="Picture 44" descr="Figure 4.30 National proportion of year 3 students achieving at or above the reading national minimum standard, by Indigenous status and geolocation,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4B0692" w:rsidRDefault="004B0692" w:rsidP="006D7834">
            <w:pPr>
              <w:pStyle w:val="Figure"/>
            </w:pPr>
          </w:p>
        </w:tc>
      </w:tr>
      <w:tr w:rsidR="005B3EDD" w:rsidRPr="00176D3F" w:rsidTr="00375613">
        <w:tc>
          <w:tcPr>
            <w:tcW w:w="8771" w:type="dxa"/>
            <w:tcBorders>
              <w:top w:val="nil"/>
              <w:left w:val="nil"/>
              <w:bottom w:val="nil"/>
              <w:right w:val="nil"/>
            </w:tcBorders>
            <w:shd w:val="clear" w:color="auto" w:fill="auto"/>
          </w:tcPr>
          <w:p w:rsidR="005B3EDD" w:rsidRPr="00176D3F" w:rsidRDefault="005B3EDD" w:rsidP="00375613">
            <w:pPr>
              <w:pStyle w:val="Source"/>
            </w:pPr>
            <w:r w:rsidRPr="00953E9C">
              <w:rPr>
                <w:rStyle w:val="NoteLabel"/>
              </w:rPr>
              <w:t>a</w:t>
            </w:r>
            <w:r w:rsidRPr="00953E9C">
              <w:t xml:space="preserve"> </w:t>
            </w:r>
            <w:r w:rsidRPr="007C767F">
              <w:t xml:space="preserve">See </w:t>
            </w:r>
            <w:r>
              <w:t xml:space="preserve">box </w:t>
            </w:r>
            <w:r w:rsidR="00496590" w:rsidRPr="00F8126D">
              <w:t>4.</w:t>
            </w:r>
            <w:r w:rsidR="00496590">
              <w:t>10</w:t>
            </w:r>
            <w:r w:rsidR="00496590" w:rsidRPr="00F8126D">
              <w:t xml:space="preserve"> </w:t>
            </w:r>
            <w:r>
              <w:t xml:space="preserve">and </w:t>
            </w:r>
            <w:r w:rsidRPr="007C767F">
              <w:t xml:space="preserve">table </w:t>
            </w:r>
            <w:r>
              <w:t xml:space="preserve">4A.36 </w:t>
            </w:r>
            <w:r w:rsidRPr="007C767F">
              <w:t>for detailed</w:t>
            </w:r>
            <w:r>
              <w:t xml:space="preserve"> </w:t>
            </w:r>
            <w:r w:rsidRPr="005B3EDD">
              <w:t>definitions, footnotes and caveats</w:t>
            </w:r>
            <w:r w:rsidRPr="007C767F">
              <w:t>.</w:t>
            </w:r>
          </w:p>
        </w:tc>
      </w:tr>
      <w:tr w:rsidR="004B0692" w:rsidRPr="00176D3F" w:rsidTr="006D7834">
        <w:tc>
          <w:tcPr>
            <w:tcW w:w="8771" w:type="dxa"/>
            <w:tcBorders>
              <w:top w:val="nil"/>
              <w:left w:val="nil"/>
              <w:bottom w:val="nil"/>
              <w:right w:val="nil"/>
            </w:tcBorders>
            <w:shd w:val="clear" w:color="auto" w:fill="auto"/>
          </w:tcPr>
          <w:p w:rsidR="004B0692" w:rsidRPr="00176D3F" w:rsidRDefault="004B0692" w:rsidP="006D7834">
            <w:pPr>
              <w:pStyle w:val="Source"/>
            </w:pPr>
            <w:r>
              <w:rPr>
                <w:i/>
              </w:rPr>
              <w:t>S</w:t>
            </w:r>
            <w:r w:rsidRPr="00784A05">
              <w:rPr>
                <w:i/>
              </w:rPr>
              <w:t>ource</w:t>
            </w:r>
            <w:r w:rsidRPr="00176D3F">
              <w:t xml:space="preserve">: </w:t>
            </w:r>
            <w:r w:rsidRPr="0089766B">
              <w:t>ACARA (201</w:t>
            </w:r>
            <w:r>
              <w:t>5</w:t>
            </w:r>
            <w:r w:rsidRPr="0089766B">
              <w:t xml:space="preserve"> and unpublished) </w:t>
            </w:r>
            <w:r w:rsidRPr="0089766B">
              <w:rPr>
                <w:i/>
              </w:rPr>
              <w:t>NAPLAN Achievement in Reading, Writing, Language Conventions and Numeracy: National Report for 201</w:t>
            </w:r>
            <w:r>
              <w:rPr>
                <w:i/>
              </w:rPr>
              <w:t>5</w:t>
            </w:r>
            <w:r w:rsidRPr="0089766B">
              <w:t>; table 4A.3</w:t>
            </w:r>
            <w:r>
              <w:t>6</w:t>
            </w:r>
            <w:r w:rsidRPr="0089766B">
              <w:t>.</w:t>
            </w:r>
          </w:p>
        </w:tc>
      </w:tr>
      <w:tr w:rsidR="004B0692" w:rsidTr="006D7834">
        <w:tc>
          <w:tcPr>
            <w:tcW w:w="8771" w:type="dxa"/>
            <w:tcBorders>
              <w:top w:val="nil"/>
              <w:left w:val="nil"/>
              <w:bottom w:val="single" w:sz="6" w:space="0" w:color="78A22F"/>
              <w:right w:val="nil"/>
            </w:tcBorders>
            <w:shd w:val="clear" w:color="auto" w:fill="auto"/>
          </w:tcPr>
          <w:p w:rsidR="004B0692" w:rsidRDefault="004B0692" w:rsidP="006D7834">
            <w:pPr>
              <w:pStyle w:val="Figurespace"/>
            </w:pPr>
          </w:p>
        </w:tc>
      </w:tr>
      <w:tr w:rsidR="004B0692" w:rsidRPr="000863A5" w:rsidTr="006D7834">
        <w:tc>
          <w:tcPr>
            <w:tcW w:w="8771" w:type="dxa"/>
            <w:tcBorders>
              <w:top w:val="single" w:sz="6" w:space="0" w:color="78A22F"/>
              <w:left w:val="nil"/>
              <w:bottom w:val="nil"/>
              <w:right w:val="nil"/>
            </w:tcBorders>
          </w:tcPr>
          <w:p w:rsidR="004B0692" w:rsidRPr="00626D32" w:rsidRDefault="004B0692" w:rsidP="006D7834">
            <w:pPr>
              <w:pStyle w:val="BoxSpaceBelow"/>
            </w:pPr>
          </w:p>
        </w:tc>
      </w:tr>
    </w:tbl>
    <w:p w:rsidR="004B0692" w:rsidRPr="00666ECE" w:rsidRDefault="004B0692" w:rsidP="004B0692">
      <w:pPr>
        <w:pStyle w:val="Heading6"/>
      </w:pPr>
      <w:r w:rsidRPr="00666ECE">
        <w:t>Socio</w:t>
      </w:r>
      <w:r>
        <w:t>-</w:t>
      </w:r>
      <w:r w:rsidRPr="00666ECE">
        <w:t>economic status</w:t>
      </w:r>
    </w:p>
    <w:p w:rsidR="004B0692" w:rsidRPr="00666ECE" w:rsidRDefault="004B0692" w:rsidP="005E2523">
      <w:pPr>
        <w:pStyle w:val="BodyText"/>
      </w:pPr>
      <w:r w:rsidRPr="00666ECE">
        <w:t xml:space="preserve">State and </w:t>
      </w:r>
      <w:r>
        <w:t>T</w:t>
      </w:r>
      <w:r w:rsidRPr="00666ECE">
        <w:t>erritory data on the proportions of students achieving at or above the national minimum standard and mean scale scores in reading assessment for years</w:t>
      </w:r>
      <w:r>
        <w:t xml:space="preserve"> </w:t>
      </w:r>
      <w:r w:rsidRPr="00666ECE">
        <w:t xml:space="preserve">3, 5, 7 and 9 by parental education and parental </w:t>
      </w:r>
      <w:r w:rsidRPr="005E2523">
        <w:rPr>
          <w:shd w:val="clear" w:color="auto" w:fill="FFFFFF" w:themeFill="background1"/>
        </w:rPr>
        <w:t xml:space="preserve">occupation for 2015 are included in tables 4A.37 and </w:t>
      </w:r>
      <w:r w:rsidRPr="005E2523">
        <w:rPr>
          <w:shd w:val="clear" w:color="auto" w:fill="FFFFFF" w:themeFill="background1"/>
        </w:rPr>
        <w:lastRenderedPageBreak/>
        <w:t xml:space="preserve">4A.39. </w:t>
      </w:r>
      <w:r w:rsidR="00EB3852" w:rsidRPr="005E2523">
        <w:rPr>
          <w:shd w:val="clear" w:color="auto" w:fill="FFFFFF" w:themeFill="background1"/>
        </w:rPr>
        <w:t xml:space="preserve">In general, outcomes were lower for students with lower levels of parental education and parental occupation. </w:t>
      </w:r>
      <w:r w:rsidRPr="005E2523">
        <w:rPr>
          <w:shd w:val="clear" w:color="auto" w:fill="FFFFFF" w:themeFill="background1"/>
        </w:rPr>
        <w:t xml:space="preserve">Data for </w:t>
      </w:r>
      <w:r>
        <w:t>2010</w:t>
      </w:r>
      <w:r w:rsidR="00704CAD">
        <w:t>–</w:t>
      </w:r>
      <w:r>
        <w:t>2014</w:t>
      </w:r>
      <w:r w:rsidRPr="00666ECE">
        <w:t xml:space="preserve"> were included in </w:t>
      </w:r>
      <w:r>
        <w:t>the earlier Reports</w:t>
      </w:r>
      <w:r w:rsidRPr="00666ECE">
        <w:t>.</w:t>
      </w:r>
    </w:p>
    <w:p w:rsidR="004B0692" w:rsidRDefault="004B0692" w:rsidP="004B0692">
      <w:pPr>
        <w:pStyle w:val="Heading6"/>
      </w:pPr>
      <w:r w:rsidRPr="00076F94">
        <w:t>Time series analysis of NAP</w:t>
      </w:r>
      <w:r>
        <w:t xml:space="preserve">LAN reading outcomes — </w:t>
      </w:r>
      <w:r w:rsidRPr="00076F94">
        <w:t>Statistical significance of differences between years</w:t>
      </w:r>
    </w:p>
    <w:p w:rsidR="004B0692" w:rsidRPr="0089766B" w:rsidRDefault="004B0692" w:rsidP="004B0692">
      <w:pPr>
        <w:pStyle w:val="BodyText"/>
      </w:pPr>
      <w:r w:rsidRPr="0089766B">
        <w:t>Th</w:t>
      </w:r>
      <w:r>
        <w:t>is chapter reports the</w:t>
      </w:r>
      <w:r w:rsidRPr="0089766B">
        <w:t xml:space="preserve"> difference between two given years for a level (for example, year 5 reading from 201</w:t>
      </w:r>
      <w:r>
        <w:t>4</w:t>
      </w:r>
      <w:r w:rsidRPr="0089766B">
        <w:t xml:space="preserve"> to 201</w:t>
      </w:r>
      <w:r>
        <w:t>5</w:t>
      </w:r>
      <w:r w:rsidRPr="0089766B">
        <w:t>), for both the proportion at and above the national minimum standard and mean scale scores.</w:t>
      </w:r>
    </w:p>
    <w:p w:rsidR="004B0692" w:rsidRDefault="004B0692" w:rsidP="004B0692">
      <w:pPr>
        <w:pStyle w:val="BodyText"/>
        <w:shd w:val="clear" w:color="auto" w:fill="FFFFFF" w:themeFill="background1"/>
      </w:pPr>
      <w:r w:rsidRPr="007B32D4">
        <w:t>Table 4.</w:t>
      </w:r>
      <w:r w:rsidR="004E7C84">
        <w:t>7</w:t>
      </w:r>
      <w:r w:rsidRPr="007B32D4">
        <w:t xml:space="preserve"> provides a summary of differences in achievement </w:t>
      </w:r>
      <w:r>
        <w:t xml:space="preserve">at year 5 </w:t>
      </w:r>
      <w:r w:rsidRPr="007B32D4">
        <w:t>for mean scale score and proportions at and above national minimum standard</w:t>
      </w:r>
      <w:r>
        <w:t xml:space="preserve"> for reading</w:t>
      </w:r>
      <w:r w:rsidRPr="007B32D4">
        <w:t>, by Indigenous status, on a national basis</w:t>
      </w:r>
      <w:r>
        <w:t>,</w:t>
      </w:r>
      <w:r w:rsidRPr="007B32D4">
        <w:t xml:space="preserve"> across various years. Data for states and territories are in </w:t>
      </w:r>
      <w:r>
        <w:br/>
      </w:r>
      <w:r w:rsidRPr="00653D15">
        <w:rPr>
          <w:shd w:val="clear" w:color="auto" w:fill="FFFFFF" w:themeFill="background1"/>
        </w:rPr>
        <w:t>tables 4A.4</w:t>
      </w:r>
      <w:r>
        <w:rPr>
          <w:shd w:val="clear" w:color="auto" w:fill="FFFFFF" w:themeFill="background1"/>
        </w:rPr>
        <w:t>1</w:t>
      </w:r>
      <w:r w:rsidRPr="00653D15">
        <w:rPr>
          <w:shd w:val="clear" w:color="auto" w:fill="FFFFFF" w:themeFill="background1"/>
        </w:rPr>
        <w:t>–</w:t>
      </w:r>
      <w:r>
        <w:rPr>
          <w:shd w:val="clear" w:color="auto" w:fill="FFFFFF" w:themeFill="background1"/>
        </w:rPr>
        <w:t>48</w:t>
      </w:r>
      <w:r w:rsidRPr="00653D15">
        <w:rPr>
          <w:shd w:val="clear" w:color="auto" w:fill="FFFFFF" w:themeFill="background1"/>
        </w:rPr>
        <w:t>.</w:t>
      </w:r>
      <w:r w:rsidRPr="007B32D4">
        <w:t xml:space="preserve"> These data are not comparable across jurisdictions and can only be used for a comparison across time for a jurisdiction, or nationally.</w:t>
      </w:r>
    </w:p>
    <w:p w:rsidR="004E7C84" w:rsidRPr="004E7C84" w:rsidRDefault="004E7C84" w:rsidP="004E7C84">
      <w:pPr>
        <w:pStyle w:val="BodyText"/>
      </w:pPr>
      <w:r w:rsidRPr="004E7C84">
        <w:t>Nationally, for year 5 reading:</w:t>
      </w:r>
    </w:p>
    <w:p w:rsidR="004E7C84" w:rsidRPr="004E7C84" w:rsidRDefault="004E7C84" w:rsidP="004E7C84">
      <w:pPr>
        <w:pStyle w:val="ListBullet"/>
      </w:pPr>
      <w:r w:rsidRPr="004E7C84">
        <w:t xml:space="preserve">the proportion of students achieving at or above the national minimum standard in 2015, and the mean scale score, was close to or not statistically significantly different from 2008 and 2014 </w:t>
      </w:r>
    </w:p>
    <w:p w:rsidR="004E7C84" w:rsidRPr="004E7C84" w:rsidRDefault="004E7C84" w:rsidP="004E7C84">
      <w:pPr>
        <w:pStyle w:val="ListBullet"/>
      </w:pPr>
      <w:r w:rsidRPr="004E7C84">
        <w:t xml:space="preserve">the proportion of Aboriginal and Torres Strait Islander students achieving at or above the national minimum standard in 2015, and the mean scale score for Aboriginal and Torres Strait </w:t>
      </w:r>
      <w:r w:rsidR="00C3749C">
        <w:t>I</w:t>
      </w:r>
      <w:r w:rsidRPr="004E7C84">
        <w:t>slander students in 2015 was higher than and was statistically significantly different from 2008, but close to or not statistically significantly different from 2014</w:t>
      </w:r>
    </w:p>
    <w:p w:rsidR="004E7C84" w:rsidRPr="004E7C84" w:rsidRDefault="004E7C84" w:rsidP="004E7C84">
      <w:pPr>
        <w:pStyle w:val="ListBullet"/>
      </w:pPr>
      <w:r w:rsidRPr="004E7C84">
        <w:t>the proportion of non-Indigenous students achieving at or above the national minimum standard in</w:t>
      </w:r>
      <w:r w:rsidR="00C3749C">
        <w:t xml:space="preserve"> 2015, and the mean scale score</w:t>
      </w:r>
      <w:r w:rsidRPr="004E7C84">
        <w:t>, was close to or not statistically significantly different from 2008 and 2014 (table 4.7).</w:t>
      </w:r>
    </w:p>
    <w:p w:rsidR="004B0692" w:rsidRDefault="004B0692" w:rsidP="004B0692">
      <w:pPr>
        <w:pStyle w:val="BoxSpaceAbove"/>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B0692" w:rsidTr="00D66BE8">
        <w:tc>
          <w:tcPr>
            <w:tcW w:w="8771" w:type="dxa"/>
            <w:tcBorders>
              <w:top w:val="single" w:sz="6" w:space="0" w:color="78A22F"/>
              <w:left w:val="nil"/>
              <w:bottom w:val="nil"/>
              <w:right w:val="nil"/>
            </w:tcBorders>
            <w:shd w:val="clear" w:color="auto" w:fill="auto"/>
          </w:tcPr>
          <w:p w:rsidR="004B0692" w:rsidRPr="00784A05" w:rsidRDefault="004B0692" w:rsidP="001A5611">
            <w:pPr>
              <w:pStyle w:val="TableTitle"/>
            </w:pPr>
            <w:r>
              <w:rPr>
                <w:b w:val="0"/>
              </w:rPr>
              <w:t>Table 4.</w:t>
            </w:r>
            <w:r w:rsidR="00FF4FBD">
              <w:rPr>
                <w:b w:val="0"/>
                <w:noProof/>
              </w:rPr>
              <w:t>7</w:t>
            </w:r>
            <w:r>
              <w:tab/>
            </w:r>
            <w:r w:rsidRPr="00D74DE6">
              <w:t>Mean scale scores and proportion of students who achieved at or above the national minimum standard</w:t>
            </w:r>
            <w:r w:rsidR="00EE0262">
              <w:t xml:space="preserve"> (NMS)</w:t>
            </w:r>
            <w:r w:rsidRPr="00D74DE6">
              <w:t xml:space="preserve"> for year 5 reading, </w:t>
            </w:r>
            <w:r w:rsidRPr="00197701">
              <w:rPr>
                <w:shd w:val="clear" w:color="auto" w:fill="FFFFFF" w:themeFill="background1"/>
              </w:rPr>
              <w:t xml:space="preserve">and nature of the </w:t>
            </w:r>
            <w:r w:rsidRPr="00E63525">
              <w:rPr>
                <w:shd w:val="clear" w:color="auto" w:fill="FFFFFF" w:themeFill="background1"/>
              </w:rPr>
              <w:t>differences</w:t>
            </w:r>
            <w:r w:rsidR="00E63525" w:rsidRPr="00E63525">
              <w:rPr>
                <w:shd w:val="clear" w:color="auto" w:fill="FFFFFF" w:themeFill="background1"/>
              </w:rPr>
              <w:t xml:space="preserve"> </w:t>
            </w:r>
            <w:r w:rsidR="00E63525" w:rsidRPr="00D37062">
              <w:rPr>
                <w:shd w:val="clear" w:color="auto" w:fill="FFFFFF" w:themeFill="background1"/>
              </w:rPr>
              <w:t>based on the effect size</w:t>
            </w:r>
            <w:r w:rsidRPr="00D37062">
              <w:rPr>
                <w:shd w:val="clear" w:color="auto" w:fill="FFFFFF" w:themeFill="background1"/>
              </w:rPr>
              <w:t>, 2008 and 2014 to 2015, Australia</w:t>
            </w:r>
            <w:r w:rsidRPr="00D37062">
              <w:rPr>
                <w:rStyle w:val="NoteLabel"/>
                <w:b/>
                <w:shd w:val="clear" w:color="auto" w:fill="FFFFFF" w:themeFill="background1"/>
              </w:rPr>
              <w:t>a</w:t>
            </w:r>
            <w:r w:rsidRPr="00D74DE6">
              <w:rPr>
                <w:rStyle w:val="NoteLabel"/>
                <w:b/>
              </w:rPr>
              <w:t>, b</w:t>
            </w:r>
          </w:p>
        </w:tc>
      </w:tr>
      <w:tr w:rsidR="004B0692" w:rsidTr="00D66BE8">
        <w:trPr>
          <w:cantSplit/>
        </w:trPr>
        <w:tc>
          <w:tcPr>
            <w:tcW w:w="8771" w:type="dxa"/>
            <w:tcBorders>
              <w:top w:val="nil"/>
              <w:left w:val="nil"/>
              <w:bottom w:val="nil"/>
              <w:right w:val="nil"/>
            </w:tcBorders>
            <w:shd w:val="clear" w:color="auto" w:fill="FFFFFF" w:themeFill="background1"/>
          </w:tcPr>
          <w:tbl>
            <w:tblPr>
              <w:tblW w:w="8484" w:type="dxa"/>
              <w:tblLayout w:type="fixed"/>
              <w:tblCellMar>
                <w:left w:w="0" w:type="dxa"/>
                <w:right w:w="0" w:type="dxa"/>
              </w:tblCellMar>
              <w:tblLook w:val="0000" w:firstRow="0" w:lastRow="0" w:firstColumn="0" w:lastColumn="0" w:noHBand="0" w:noVBand="0"/>
            </w:tblPr>
            <w:tblGrid>
              <w:gridCol w:w="1613"/>
              <w:gridCol w:w="493"/>
              <w:gridCol w:w="1132"/>
              <w:gridCol w:w="1273"/>
              <w:gridCol w:w="17"/>
              <w:gridCol w:w="1120"/>
              <w:gridCol w:w="141"/>
              <w:gridCol w:w="1278"/>
              <w:gridCol w:w="1417"/>
            </w:tblGrid>
            <w:tr w:rsidR="004B0692" w:rsidRPr="00F41936" w:rsidTr="006D7834">
              <w:trPr>
                <w:trHeight w:val="490"/>
              </w:trPr>
              <w:tc>
                <w:tcPr>
                  <w:tcW w:w="3329" w:type="pct"/>
                  <w:gridSpan w:val="6"/>
                  <w:tcBorders>
                    <w:top w:val="single" w:sz="6" w:space="0" w:color="BFBFBF" w:themeColor="background2"/>
                  </w:tcBorders>
                  <w:shd w:val="clear" w:color="auto" w:fill="auto"/>
                  <w:vAlign w:val="center"/>
                </w:tcPr>
                <w:p w:rsidR="004B0692" w:rsidRPr="00F41936" w:rsidRDefault="004B0692" w:rsidP="006D7834">
                  <w:pPr>
                    <w:pStyle w:val="TableColumnHeading"/>
                    <w:ind w:right="28"/>
                    <w:jc w:val="left"/>
                  </w:pPr>
                </w:p>
              </w:tc>
              <w:tc>
                <w:tcPr>
                  <w:tcW w:w="83" w:type="pct"/>
                  <w:tcBorders>
                    <w:top w:val="single" w:sz="6" w:space="0" w:color="BFBFBF" w:themeColor="background2"/>
                  </w:tcBorders>
                  <w:shd w:val="clear" w:color="auto" w:fill="auto"/>
                  <w:vAlign w:val="center"/>
                </w:tcPr>
                <w:p w:rsidR="004B0692" w:rsidRPr="00F41936" w:rsidRDefault="004B0692" w:rsidP="006D7834">
                  <w:pPr>
                    <w:pStyle w:val="TableColumnHeading"/>
                    <w:ind w:right="28"/>
                    <w:jc w:val="left"/>
                  </w:pPr>
                </w:p>
              </w:tc>
              <w:tc>
                <w:tcPr>
                  <w:tcW w:w="1588" w:type="pct"/>
                  <w:gridSpan w:val="2"/>
                  <w:tcBorders>
                    <w:top w:val="single" w:sz="6" w:space="0" w:color="BFBFBF" w:themeColor="background2"/>
                    <w:bottom w:val="single" w:sz="6" w:space="0" w:color="BFBFBF" w:themeColor="background2"/>
                  </w:tcBorders>
                  <w:shd w:val="clear" w:color="auto" w:fill="FFFFFF" w:themeFill="background1"/>
                  <w:vAlign w:val="center"/>
                </w:tcPr>
                <w:p w:rsidR="004B0692" w:rsidRPr="00F41936" w:rsidRDefault="004B0692" w:rsidP="006D7834">
                  <w:pPr>
                    <w:pStyle w:val="TableColumnHeading"/>
                    <w:ind w:left="0" w:right="0"/>
                    <w:jc w:val="center"/>
                  </w:pPr>
                  <w:r>
                    <w:t>Nature</w:t>
                  </w:r>
                  <w:r w:rsidRPr="00F41936">
                    <w:t xml:space="preserve"> of </w:t>
                  </w:r>
                  <w:r>
                    <w:t xml:space="preserve">the </w:t>
                  </w:r>
                  <w:r w:rsidRPr="00F41936">
                    <w:t>difference</w:t>
                  </w:r>
                  <w:r>
                    <w:t>s</w:t>
                  </w:r>
                </w:p>
              </w:tc>
            </w:tr>
            <w:tr w:rsidR="004B0692" w:rsidRPr="00D74DE6" w:rsidTr="006D7834">
              <w:tc>
                <w:tcPr>
                  <w:tcW w:w="951" w:type="pct"/>
                  <w:tcBorders>
                    <w:bottom w:val="single" w:sz="6" w:space="0" w:color="BFBFBF" w:themeColor="background2"/>
                  </w:tcBorders>
                  <w:vAlign w:val="center"/>
                </w:tcPr>
                <w:p w:rsidR="004B0692" w:rsidRPr="00D74DE6" w:rsidRDefault="004B0692" w:rsidP="006D7834">
                  <w:pPr>
                    <w:pStyle w:val="TableColumnHeading"/>
                    <w:jc w:val="center"/>
                  </w:pPr>
                </w:p>
              </w:tc>
              <w:tc>
                <w:tcPr>
                  <w:tcW w:w="291" w:type="pct"/>
                  <w:tcBorders>
                    <w:bottom w:val="single" w:sz="6" w:space="0" w:color="BFBFBF" w:themeColor="background2"/>
                  </w:tcBorders>
                </w:tcPr>
                <w:p w:rsidR="004B0692" w:rsidRPr="00D74DE6" w:rsidRDefault="004B0692" w:rsidP="006D7834">
                  <w:pPr>
                    <w:pStyle w:val="TableColumnHeading"/>
                    <w:ind w:left="350"/>
                    <w:jc w:val="center"/>
                  </w:pPr>
                </w:p>
              </w:tc>
              <w:tc>
                <w:tcPr>
                  <w:tcW w:w="667" w:type="pct"/>
                  <w:tcBorders>
                    <w:bottom w:val="single" w:sz="6" w:space="0" w:color="BFBFBF" w:themeColor="background2"/>
                  </w:tcBorders>
                  <w:vAlign w:val="center"/>
                </w:tcPr>
                <w:p w:rsidR="004B0692" w:rsidRPr="00D74DE6" w:rsidRDefault="004B0692" w:rsidP="006D7834">
                  <w:pPr>
                    <w:pStyle w:val="TableColumnHeading"/>
                    <w:ind w:left="0" w:right="28"/>
                  </w:pPr>
                  <w:r w:rsidRPr="00D74DE6">
                    <w:t>2008</w:t>
                  </w:r>
                </w:p>
              </w:tc>
              <w:tc>
                <w:tcPr>
                  <w:tcW w:w="750" w:type="pct"/>
                  <w:tcBorders>
                    <w:bottom w:val="single" w:sz="6" w:space="0" w:color="BFBFBF" w:themeColor="background2"/>
                  </w:tcBorders>
                  <w:vAlign w:val="center"/>
                </w:tcPr>
                <w:p w:rsidR="004B0692" w:rsidRPr="00D74DE6" w:rsidRDefault="004B0692" w:rsidP="006D7834">
                  <w:pPr>
                    <w:pStyle w:val="TableColumnHeading"/>
                    <w:ind w:left="0" w:right="28"/>
                  </w:pPr>
                  <w:r w:rsidRPr="00D74DE6">
                    <w:t>201</w:t>
                  </w:r>
                  <w:r>
                    <w:t>4</w:t>
                  </w:r>
                </w:p>
              </w:tc>
              <w:tc>
                <w:tcPr>
                  <w:tcW w:w="670" w:type="pct"/>
                  <w:gridSpan w:val="2"/>
                  <w:tcBorders>
                    <w:bottom w:val="single" w:sz="6" w:space="0" w:color="BFBFBF" w:themeColor="background2"/>
                  </w:tcBorders>
                  <w:vAlign w:val="center"/>
                </w:tcPr>
                <w:p w:rsidR="004B0692" w:rsidRPr="00D74DE6" w:rsidRDefault="004B0692" w:rsidP="006D7834">
                  <w:pPr>
                    <w:pStyle w:val="TableColumnHeading"/>
                    <w:ind w:left="0" w:right="28"/>
                  </w:pPr>
                  <w:r w:rsidRPr="00D74DE6">
                    <w:t>201</w:t>
                  </w:r>
                  <w:r>
                    <w:t>5</w:t>
                  </w:r>
                </w:p>
              </w:tc>
              <w:tc>
                <w:tcPr>
                  <w:tcW w:w="83" w:type="pct"/>
                  <w:tcBorders>
                    <w:bottom w:val="single" w:sz="6" w:space="0" w:color="BFBFBF" w:themeColor="background2"/>
                  </w:tcBorders>
                  <w:vAlign w:val="center"/>
                </w:tcPr>
                <w:p w:rsidR="004B0692" w:rsidRPr="00D74DE6" w:rsidRDefault="004B0692" w:rsidP="006D7834">
                  <w:pPr>
                    <w:pStyle w:val="TableColumnHeading"/>
                    <w:ind w:left="0" w:right="28"/>
                  </w:pPr>
                </w:p>
              </w:tc>
              <w:tc>
                <w:tcPr>
                  <w:tcW w:w="753" w:type="pct"/>
                  <w:tcBorders>
                    <w:top w:val="single" w:sz="6" w:space="0" w:color="BFBFBF" w:themeColor="background2"/>
                    <w:bottom w:val="single" w:sz="6" w:space="0" w:color="BFBFBF" w:themeColor="background2"/>
                  </w:tcBorders>
                  <w:vAlign w:val="center"/>
                </w:tcPr>
                <w:p w:rsidR="004B0692" w:rsidRPr="00D74DE6" w:rsidRDefault="004B0692" w:rsidP="006D7834">
                  <w:pPr>
                    <w:pStyle w:val="TableColumnHeading"/>
                    <w:ind w:left="0" w:right="28"/>
                  </w:pPr>
                  <w:r w:rsidRPr="00D74DE6">
                    <w:t>2008 to 201</w:t>
                  </w:r>
                  <w:r>
                    <w:t>5</w:t>
                  </w:r>
                </w:p>
              </w:tc>
              <w:tc>
                <w:tcPr>
                  <w:tcW w:w="835" w:type="pct"/>
                  <w:tcBorders>
                    <w:top w:val="single" w:sz="6" w:space="0" w:color="BFBFBF" w:themeColor="background2"/>
                    <w:bottom w:val="single" w:sz="6" w:space="0" w:color="BFBFBF" w:themeColor="background2"/>
                  </w:tcBorders>
                  <w:vAlign w:val="center"/>
                </w:tcPr>
                <w:p w:rsidR="004B0692" w:rsidRPr="00D74DE6" w:rsidRDefault="004B0692" w:rsidP="006D7834">
                  <w:pPr>
                    <w:pStyle w:val="TableColumnHeading"/>
                    <w:ind w:left="0" w:right="28"/>
                  </w:pPr>
                  <w:r w:rsidRPr="00D74DE6">
                    <w:t>201</w:t>
                  </w:r>
                  <w:r>
                    <w:t xml:space="preserve">4 </w:t>
                  </w:r>
                  <w:r w:rsidRPr="00D74DE6">
                    <w:t>to 201</w:t>
                  </w:r>
                  <w:r>
                    <w:t>5</w:t>
                  </w:r>
                </w:p>
              </w:tc>
            </w:tr>
            <w:tr w:rsidR="004B0692" w:rsidRPr="00F41936" w:rsidTr="006D7834">
              <w:tc>
                <w:tcPr>
                  <w:tcW w:w="5000" w:type="pct"/>
                  <w:gridSpan w:val="9"/>
                  <w:tcBorders>
                    <w:top w:val="single" w:sz="6" w:space="0" w:color="BFBFBF" w:themeColor="background2"/>
                  </w:tcBorders>
                </w:tcPr>
                <w:p w:rsidR="004B0692" w:rsidRPr="00F41936" w:rsidRDefault="004B0692" w:rsidP="006D7834">
                  <w:pPr>
                    <w:pStyle w:val="TableBodyText"/>
                    <w:spacing w:before="80"/>
                    <w:ind w:right="28"/>
                    <w:jc w:val="left"/>
                  </w:pPr>
                  <w:r w:rsidRPr="002D0E4E">
                    <w:rPr>
                      <w:b/>
                    </w:rPr>
                    <w:t>Aboriginal and Torres Strait Islander students</w:t>
                  </w:r>
                </w:p>
              </w:tc>
            </w:tr>
            <w:tr w:rsidR="00443ABF" w:rsidRPr="00F41936" w:rsidTr="005E2523">
              <w:tc>
                <w:tcPr>
                  <w:tcW w:w="951" w:type="pct"/>
                  <w:shd w:val="clear" w:color="auto" w:fill="FFFFFF" w:themeFill="background1"/>
                </w:tcPr>
                <w:p w:rsidR="00443ABF" w:rsidRPr="00F41936" w:rsidRDefault="00443ABF" w:rsidP="006D7834">
                  <w:pPr>
                    <w:pStyle w:val="TableUnitsRow"/>
                    <w:spacing w:before="0"/>
                    <w:jc w:val="left"/>
                  </w:pPr>
                  <w:r w:rsidRPr="00F41936">
                    <w:t>Mean scale score</w:t>
                  </w:r>
                </w:p>
              </w:tc>
              <w:tc>
                <w:tcPr>
                  <w:tcW w:w="291" w:type="pct"/>
                  <w:shd w:val="clear" w:color="auto" w:fill="FFFFFF" w:themeFill="background1"/>
                </w:tcPr>
                <w:p w:rsidR="00443ABF" w:rsidRDefault="00443ABF" w:rsidP="006D7834">
                  <w:pPr>
                    <w:pStyle w:val="TableUnitsRow"/>
                    <w:keepNext w:val="0"/>
                    <w:keepLines w:val="0"/>
                    <w:spacing w:before="0" w:line="240" w:lineRule="auto"/>
                    <w:ind w:left="0" w:right="0"/>
                  </w:pPr>
                  <w:r>
                    <w:t>no.</w:t>
                  </w:r>
                </w:p>
              </w:tc>
              <w:tc>
                <w:tcPr>
                  <w:tcW w:w="667" w:type="pct"/>
                  <w:shd w:val="clear" w:color="auto" w:fill="FFFFFF" w:themeFill="background1"/>
                  <w:vAlign w:val="center"/>
                </w:tcPr>
                <w:p w:rsidR="00443ABF" w:rsidRDefault="00443ABF" w:rsidP="006D7834">
                  <w:pPr>
                    <w:pStyle w:val="TableUnitsRow"/>
                    <w:keepNext w:val="0"/>
                    <w:keepLines w:val="0"/>
                    <w:spacing w:before="0" w:line="240" w:lineRule="auto"/>
                    <w:ind w:left="0" w:right="0"/>
                  </w:pPr>
                  <w:r>
                    <w:t>403.4 ± 4.1</w:t>
                  </w:r>
                </w:p>
              </w:tc>
              <w:tc>
                <w:tcPr>
                  <w:tcW w:w="760" w:type="pct"/>
                  <w:gridSpan w:val="2"/>
                  <w:shd w:val="clear" w:color="auto" w:fill="FFFFFF" w:themeFill="background1"/>
                  <w:vAlign w:val="center"/>
                </w:tcPr>
                <w:p w:rsidR="00443ABF" w:rsidRDefault="00443ABF" w:rsidP="006D7834">
                  <w:pPr>
                    <w:pStyle w:val="TableUnitsRow"/>
                    <w:keepNext w:val="0"/>
                    <w:keepLines w:val="0"/>
                    <w:spacing w:before="0" w:line="240" w:lineRule="auto"/>
                    <w:ind w:left="0" w:right="0"/>
                  </w:pPr>
                  <w:r>
                    <w:t>422.1 ± 3.4</w:t>
                  </w:r>
                </w:p>
              </w:tc>
              <w:tc>
                <w:tcPr>
                  <w:tcW w:w="660" w:type="pct"/>
                  <w:shd w:val="clear" w:color="auto" w:fill="FFFFFF" w:themeFill="background1"/>
                  <w:vAlign w:val="center"/>
                </w:tcPr>
                <w:p w:rsidR="00443ABF" w:rsidRDefault="00443ABF" w:rsidP="00EC166E">
                  <w:pPr>
                    <w:pStyle w:val="TableUnitsRow"/>
                    <w:keepNext w:val="0"/>
                    <w:keepLines w:val="0"/>
                    <w:spacing w:before="0" w:line="240" w:lineRule="auto"/>
                    <w:ind w:left="0" w:right="0"/>
                  </w:pPr>
                  <w:r>
                    <w:t>425.1 ± 3.3</w:t>
                  </w:r>
                </w:p>
              </w:tc>
              <w:tc>
                <w:tcPr>
                  <w:tcW w:w="83" w:type="pct"/>
                  <w:shd w:val="clear" w:color="auto" w:fill="FFFFFF" w:themeFill="background1"/>
                  <w:vAlign w:val="center"/>
                </w:tcPr>
                <w:p w:rsidR="00443ABF" w:rsidRDefault="00443ABF" w:rsidP="006D7834">
                  <w:pPr>
                    <w:pStyle w:val="TableUnitsRow"/>
                    <w:keepNext w:val="0"/>
                    <w:keepLines w:val="0"/>
                    <w:spacing w:before="0" w:line="240" w:lineRule="auto"/>
                    <w:ind w:left="0" w:right="0"/>
                  </w:pPr>
                </w:p>
              </w:tc>
              <w:tc>
                <w:tcPr>
                  <w:tcW w:w="753" w:type="pct"/>
                  <w:shd w:val="clear" w:color="auto" w:fill="FFFFFF" w:themeFill="background1"/>
                </w:tcPr>
                <w:p w:rsidR="00443ABF" w:rsidRDefault="00443ABF" w:rsidP="00443ABF">
                  <w:pPr>
                    <w:jc w:val="center"/>
                    <w:rPr>
                      <w:rFonts w:ascii="Arial" w:hAnsi="Arial" w:cs="Arial"/>
                      <w:sz w:val="20"/>
                      <w:szCs w:val="20"/>
                    </w:rPr>
                  </w:pPr>
                  <w:r>
                    <w:rPr>
                      <w:rFonts w:ascii="Cambria Math" w:hAnsi="Cambria Math" w:cs="Cambria Math"/>
                      <w:sz w:val="20"/>
                      <w:szCs w:val="20"/>
                    </w:rPr>
                    <w:t>△</w:t>
                  </w:r>
                </w:p>
              </w:tc>
              <w:tc>
                <w:tcPr>
                  <w:tcW w:w="835" w:type="pct"/>
                  <w:shd w:val="clear" w:color="auto" w:fill="FFFFFF" w:themeFill="background1"/>
                </w:tcPr>
                <w:p w:rsidR="00443ABF" w:rsidRDefault="00443ABF" w:rsidP="00443ABF">
                  <w:pPr>
                    <w:jc w:val="center"/>
                    <w:rPr>
                      <w:rFonts w:ascii="Arial" w:hAnsi="Arial" w:cs="Arial"/>
                      <w:sz w:val="20"/>
                      <w:szCs w:val="20"/>
                    </w:rPr>
                  </w:pPr>
                  <w:r>
                    <w:rPr>
                      <w:rFonts w:ascii="Arial" w:hAnsi="Arial" w:cs="Arial"/>
                      <w:sz w:val="20"/>
                      <w:szCs w:val="20"/>
                    </w:rPr>
                    <w:t>■</w:t>
                  </w:r>
                </w:p>
              </w:tc>
            </w:tr>
            <w:tr w:rsidR="00443ABF" w:rsidRPr="00F41936" w:rsidTr="005E2523">
              <w:tc>
                <w:tcPr>
                  <w:tcW w:w="951" w:type="pct"/>
                  <w:shd w:val="clear" w:color="auto" w:fill="FFFFFF" w:themeFill="background1"/>
                </w:tcPr>
                <w:p w:rsidR="00443ABF" w:rsidRPr="00F41936" w:rsidRDefault="00443ABF" w:rsidP="006D7834">
                  <w:pPr>
                    <w:pStyle w:val="TableUnitsRow"/>
                    <w:spacing w:before="0"/>
                    <w:jc w:val="left"/>
                  </w:pPr>
                  <w:r w:rsidRPr="00F41936">
                    <w:t>At or above NMS</w:t>
                  </w:r>
                </w:p>
              </w:tc>
              <w:tc>
                <w:tcPr>
                  <w:tcW w:w="291" w:type="pct"/>
                  <w:shd w:val="clear" w:color="auto" w:fill="FFFFFF" w:themeFill="background1"/>
                </w:tcPr>
                <w:p w:rsidR="00443ABF" w:rsidRDefault="00443ABF" w:rsidP="006D7834">
                  <w:pPr>
                    <w:pStyle w:val="TableUnitsRow"/>
                    <w:keepNext w:val="0"/>
                    <w:keepLines w:val="0"/>
                    <w:spacing w:before="0" w:line="240" w:lineRule="auto"/>
                    <w:ind w:left="0" w:right="0"/>
                  </w:pPr>
                  <w:r>
                    <w:t>%</w:t>
                  </w:r>
                </w:p>
              </w:tc>
              <w:tc>
                <w:tcPr>
                  <w:tcW w:w="667" w:type="pct"/>
                  <w:shd w:val="clear" w:color="auto" w:fill="FFFFFF" w:themeFill="background1"/>
                  <w:vAlign w:val="center"/>
                </w:tcPr>
                <w:p w:rsidR="00443ABF" w:rsidRDefault="00443ABF" w:rsidP="006D7834">
                  <w:pPr>
                    <w:pStyle w:val="TableUnitsRow"/>
                    <w:keepNext w:val="0"/>
                    <w:keepLines w:val="0"/>
                    <w:spacing w:before="0" w:line="240" w:lineRule="auto"/>
                    <w:ind w:left="0" w:right="0"/>
                  </w:pPr>
                  <w:r>
                    <w:t>63.4 ± 1.8</w:t>
                  </w:r>
                </w:p>
              </w:tc>
              <w:tc>
                <w:tcPr>
                  <w:tcW w:w="760" w:type="pct"/>
                  <w:gridSpan w:val="2"/>
                  <w:shd w:val="clear" w:color="auto" w:fill="FFFFFF" w:themeFill="background1"/>
                  <w:vAlign w:val="center"/>
                </w:tcPr>
                <w:p w:rsidR="00443ABF" w:rsidRDefault="00443ABF" w:rsidP="006D7834">
                  <w:pPr>
                    <w:pStyle w:val="TableUnitsRow"/>
                    <w:keepNext w:val="0"/>
                    <w:keepLines w:val="0"/>
                    <w:spacing w:before="0" w:line="240" w:lineRule="auto"/>
                    <w:ind w:left="0" w:right="0"/>
                  </w:pPr>
                  <w:r>
                    <w:t>70.3 ± 1.6</w:t>
                  </w:r>
                </w:p>
              </w:tc>
              <w:tc>
                <w:tcPr>
                  <w:tcW w:w="660" w:type="pct"/>
                  <w:shd w:val="clear" w:color="auto" w:fill="FFFFFF" w:themeFill="background1"/>
                  <w:vAlign w:val="center"/>
                </w:tcPr>
                <w:p w:rsidR="00443ABF" w:rsidRDefault="00443ABF" w:rsidP="00EC166E">
                  <w:pPr>
                    <w:pStyle w:val="TableUnitsRow"/>
                    <w:keepNext w:val="0"/>
                    <w:keepLines w:val="0"/>
                    <w:spacing w:before="0" w:line="240" w:lineRule="auto"/>
                    <w:ind w:left="0" w:right="0"/>
                  </w:pPr>
                  <w:r>
                    <w:t>73.6 ± 1.6</w:t>
                  </w:r>
                </w:p>
              </w:tc>
              <w:tc>
                <w:tcPr>
                  <w:tcW w:w="83" w:type="pct"/>
                  <w:shd w:val="clear" w:color="auto" w:fill="FFFFFF" w:themeFill="background1"/>
                  <w:vAlign w:val="center"/>
                </w:tcPr>
                <w:p w:rsidR="00443ABF" w:rsidRDefault="00443ABF" w:rsidP="006D7834">
                  <w:pPr>
                    <w:pStyle w:val="TableUnitsRow"/>
                    <w:keepNext w:val="0"/>
                    <w:keepLines w:val="0"/>
                    <w:spacing w:before="0" w:line="240" w:lineRule="auto"/>
                    <w:ind w:left="0" w:right="0"/>
                  </w:pPr>
                </w:p>
              </w:tc>
              <w:tc>
                <w:tcPr>
                  <w:tcW w:w="753" w:type="pct"/>
                  <w:shd w:val="clear" w:color="auto" w:fill="FFFFFF" w:themeFill="background1"/>
                </w:tcPr>
                <w:p w:rsidR="00443ABF" w:rsidRDefault="00443ABF" w:rsidP="00443ABF">
                  <w:pPr>
                    <w:jc w:val="center"/>
                    <w:rPr>
                      <w:rFonts w:ascii="Arial" w:hAnsi="Arial" w:cs="Arial"/>
                      <w:sz w:val="20"/>
                      <w:szCs w:val="20"/>
                    </w:rPr>
                  </w:pPr>
                  <w:r>
                    <w:rPr>
                      <w:rFonts w:ascii="Cambria Math" w:hAnsi="Cambria Math" w:cs="Cambria Math"/>
                      <w:sz w:val="20"/>
                      <w:szCs w:val="20"/>
                    </w:rPr>
                    <w:t>△</w:t>
                  </w:r>
                </w:p>
              </w:tc>
              <w:tc>
                <w:tcPr>
                  <w:tcW w:w="835" w:type="pct"/>
                  <w:shd w:val="clear" w:color="auto" w:fill="FFFFFF" w:themeFill="background1"/>
                </w:tcPr>
                <w:p w:rsidR="00443ABF" w:rsidRDefault="00443ABF" w:rsidP="00443ABF">
                  <w:pPr>
                    <w:jc w:val="center"/>
                    <w:rPr>
                      <w:rFonts w:ascii="Arial" w:hAnsi="Arial" w:cs="Arial"/>
                      <w:sz w:val="20"/>
                      <w:szCs w:val="20"/>
                    </w:rPr>
                  </w:pPr>
                  <w:r>
                    <w:rPr>
                      <w:rFonts w:ascii="Arial" w:hAnsi="Arial" w:cs="Arial"/>
                      <w:sz w:val="20"/>
                      <w:szCs w:val="20"/>
                    </w:rPr>
                    <w:t>■</w:t>
                  </w:r>
                </w:p>
              </w:tc>
            </w:tr>
            <w:tr w:rsidR="00443ABF" w:rsidRPr="00F41936" w:rsidTr="006D7834">
              <w:tc>
                <w:tcPr>
                  <w:tcW w:w="5000" w:type="pct"/>
                  <w:gridSpan w:val="9"/>
                  <w:shd w:val="clear" w:color="auto" w:fill="FFFFFF" w:themeFill="background1"/>
                  <w:vAlign w:val="center"/>
                </w:tcPr>
                <w:p w:rsidR="00443ABF" w:rsidRPr="009D1C5F" w:rsidRDefault="00443ABF" w:rsidP="006D7834">
                  <w:pPr>
                    <w:pStyle w:val="TableBodyText"/>
                    <w:spacing w:before="80"/>
                    <w:ind w:right="28"/>
                    <w:jc w:val="left"/>
                    <w:rPr>
                      <w:szCs w:val="18"/>
                    </w:rPr>
                  </w:pPr>
                  <w:r w:rsidRPr="0023294D">
                    <w:rPr>
                      <w:b/>
                    </w:rPr>
                    <w:t>Non-Indigenous students</w:t>
                  </w:r>
                </w:p>
              </w:tc>
            </w:tr>
            <w:tr w:rsidR="00443ABF" w:rsidRPr="00F41936" w:rsidTr="005E2523">
              <w:tc>
                <w:tcPr>
                  <w:tcW w:w="951" w:type="pct"/>
                  <w:shd w:val="clear" w:color="auto" w:fill="FFFFFF" w:themeFill="background1"/>
                  <w:vAlign w:val="center"/>
                </w:tcPr>
                <w:p w:rsidR="00443ABF" w:rsidRPr="00F41936" w:rsidRDefault="00443ABF" w:rsidP="006D7834">
                  <w:pPr>
                    <w:pStyle w:val="TableUnitsRow"/>
                    <w:spacing w:before="0"/>
                    <w:jc w:val="left"/>
                  </w:pPr>
                  <w:r w:rsidRPr="00F41936">
                    <w:t>Mean scale score</w:t>
                  </w:r>
                </w:p>
              </w:tc>
              <w:tc>
                <w:tcPr>
                  <w:tcW w:w="291" w:type="pct"/>
                  <w:shd w:val="clear" w:color="auto" w:fill="FFFFFF" w:themeFill="background1"/>
                </w:tcPr>
                <w:p w:rsidR="00443ABF" w:rsidRDefault="00443ABF" w:rsidP="006D7834">
                  <w:pPr>
                    <w:pStyle w:val="TableUnitsRow"/>
                    <w:keepNext w:val="0"/>
                    <w:keepLines w:val="0"/>
                    <w:spacing w:before="0" w:line="240" w:lineRule="auto"/>
                    <w:ind w:left="0" w:right="0"/>
                  </w:pPr>
                  <w:r>
                    <w:t>no.</w:t>
                  </w:r>
                </w:p>
              </w:tc>
              <w:tc>
                <w:tcPr>
                  <w:tcW w:w="667" w:type="pct"/>
                  <w:shd w:val="clear" w:color="auto" w:fill="FFFFFF" w:themeFill="background1"/>
                  <w:vAlign w:val="center"/>
                </w:tcPr>
                <w:p w:rsidR="00443ABF" w:rsidRDefault="00443ABF" w:rsidP="006D7834">
                  <w:pPr>
                    <w:pStyle w:val="TableUnitsRow"/>
                    <w:keepNext w:val="0"/>
                    <w:keepLines w:val="0"/>
                    <w:spacing w:before="0" w:line="240" w:lineRule="auto"/>
                    <w:ind w:left="0" w:right="0"/>
                  </w:pPr>
                  <w:r>
                    <w:t>488.7 ± 1.0</w:t>
                  </w:r>
                </w:p>
              </w:tc>
              <w:tc>
                <w:tcPr>
                  <w:tcW w:w="760" w:type="pct"/>
                  <w:gridSpan w:val="2"/>
                  <w:shd w:val="clear" w:color="auto" w:fill="FFFFFF" w:themeFill="background1"/>
                  <w:vAlign w:val="center"/>
                </w:tcPr>
                <w:p w:rsidR="00443ABF" w:rsidRDefault="00443ABF" w:rsidP="006D7834">
                  <w:pPr>
                    <w:pStyle w:val="TableUnitsRow"/>
                    <w:keepNext w:val="0"/>
                    <w:keepLines w:val="0"/>
                    <w:spacing w:before="0" w:line="240" w:lineRule="auto"/>
                    <w:ind w:left="0" w:right="0"/>
                  </w:pPr>
                  <w:r>
                    <w:t>505.0 ± 1.0</w:t>
                  </w:r>
                </w:p>
              </w:tc>
              <w:tc>
                <w:tcPr>
                  <w:tcW w:w="660" w:type="pct"/>
                  <w:shd w:val="clear" w:color="auto" w:fill="FFFFFF" w:themeFill="background1"/>
                  <w:vAlign w:val="center"/>
                </w:tcPr>
                <w:p w:rsidR="00443ABF" w:rsidRDefault="00443ABF" w:rsidP="00EC166E">
                  <w:pPr>
                    <w:pStyle w:val="TableUnitsRow"/>
                    <w:keepNext w:val="0"/>
                    <w:keepLines w:val="0"/>
                    <w:spacing w:before="0" w:line="240" w:lineRule="auto"/>
                    <w:ind w:left="0" w:right="0"/>
                  </w:pPr>
                  <w:r>
                    <w:t>502.9 ± 1.1</w:t>
                  </w:r>
                </w:p>
              </w:tc>
              <w:tc>
                <w:tcPr>
                  <w:tcW w:w="83" w:type="pct"/>
                  <w:shd w:val="clear" w:color="auto" w:fill="FFFFFF" w:themeFill="background1"/>
                  <w:vAlign w:val="center"/>
                </w:tcPr>
                <w:p w:rsidR="00443ABF" w:rsidRDefault="00443ABF" w:rsidP="006D7834">
                  <w:pPr>
                    <w:pStyle w:val="TableUnitsRow"/>
                    <w:keepNext w:val="0"/>
                    <w:keepLines w:val="0"/>
                    <w:spacing w:before="0" w:line="240" w:lineRule="auto"/>
                    <w:ind w:left="0" w:right="0"/>
                  </w:pPr>
                </w:p>
              </w:tc>
              <w:tc>
                <w:tcPr>
                  <w:tcW w:w="753" w:type="pct"/>
                  <w:shd w:val="clear" w:color="auto" w:fill="FFFFFF" w:themeFill="background1"/>
                </w:tcPr>
                <w:p w:rsidR="00443ABF" w:rsidRDefault="00443ABF" w:rsidP="00443ABF">
                  <w:pPr>
                    <w:jc w:val="center"/>
                    <w:rPr>
                      <w:rFonts w:ascii="Arial" w:hAnsi="Arial" w:cs="Arial"/>
                      <w:sz w:val="20"/>
                      <w:szCs w:val="20"/>
                    </w:rPr>
                  </w:pPr>
                  <w:r>
                    <w:rPr>
                      <w:rFonts w:ascii="Arial" w:hAnsi="Arial" w:cs="Arial"/>
                      <w:sz w:val="20"/>
                      <w:szCs w:val="20"/>
                    </w:rPr>
                    <w:t>■</w:t>
                  </w:r>
                </w:p>
              </w:tc>
              <w:tc>
                <w:tcPr>
                  <w:tcW w:w="835" w:type="pct"/>
                  <w:shd w:val="clear" w:color="auto" w:fill="FFFFFF" w:themeFill="background1"/>
                </w:tcPr>
                <w:p w:rsidR="00443ABF" w:rsidRDefault="00443ABF" w:rsidP="00443ABF">
                  <w:pPr>
                    <w:jc w:val="center"/>
                    <w:rPr>
                      <w:rFonts w:ascii="Arial" w:hAnsi="Arial" w:cs="Arial"/>
                      <w:sz w:val="20"/>
                      <w:szCs w:val="20"/>
                    </w:rPr>
                  </w:pPr>
                  <w:r>
                    <w:rPr>
                      <w:rFonts w:ascii="Arial" w:hAnsi="Arial" w:cs="Arial"/>
                      <w:sz w:val="20"/>
                      <w:szCs w:val="20"/>
                    </w:rPr>
                    <w:t>■</w:t>
                  </w:r>
                </w:p>
              </w:tc>
            </w:tr>
            <w:tr w:rsidR="00443ABF" w:rsidRPr="00F41936" w:rsidTr="005E2523">
              <w:tc>
                <w:tcPr>
                  <w:tcW w:w="951" w:type="pct"/>
                  <w:shd w:val="clear" w:color="auto" w:fill="FFFFFF" w:themeFill="background1"/>
                  <w:vAlign w:val="center"/>
                </w:tcPr>
                <w:p w:rsidR="00443ABF" w:rsidRPr="00F41936" w:rsidRDefault="00443ABF" w:rsidP="006D7834">
                  <w:pPr>
                    <w:pStyle w:val="TableUnitsRow"/>
                    <w:spacing w:before="0"/>
                    <w:jc w:val="left"/>
                  </w:pPr>
                  <w:r w:rsidRPr="00F41936">
                    <w:t>At or above NMS</w:t>
                  </w:r>
                </w:p>
              </w:tc>
              <w:tc>
                <w:tcPr>
                  <w:tcW w:w="291" w:type="pct"/>
                  <w:shd w:val="clear" w:color="auto" w:fill="FFFFFF" w:themeFill="background1"/>
                </w:tcPr>
                <w:p w:rsidR="00443ABF" w:rsidRDefault="00443ABF" w:rsidP="006D7834">
                  <w:pPr>
                    <w:pStyle w:val="TableUnitsRow"/>
                    <w:keepNext w:val="0"/>
                    <w:keepLines w:val="0"/>
                    <w:spacing w:before="0" w:line="240" w:lineRule="auto"/>
                    <w:ind w:left="0" w:right="0"/>
                  </w:pPr>
                  <w:r>
                    <w:t>%</w:t>
                  </w:r>
                </w:p>
              </w:tc>
              <w:tc>
                <w:tcPr>
                  <w:tcW w:w="667" w:type="pct"/>
                  <w:shd w:val="clear" w:color="auto" w:fill="FFFFFF" w:themeFill="background1"/>
                  <w:vAlign w:val="center"/>
                </w:tcPr>
                <w:p w:rsidR="00443ABF" w:rsidRDefault="00443ABF" w:rsidP="006D7834">
                  <w:pPr>
                    <w:pStyle w:val="TableUnitsRow"/>
                    <w:keepNext w:val="0"/>
                    <w:keepLines w:val="0"/>
                    <w:spacing w:before="0" w:line="240" w:lineRule="auto"/>
                    <w:ind w:left="0" w:right="0"/>
                  </w:pPr>
                  <w:r>
                    <w:t>92.6 ± 0.2</w:t>
                  </w:r>
                </w:p>
              </w:tc>
              <w:tc>
                <w:tcPr>
                  <w:tcW w:w="760" w:type="pct"/>
                  <w:gridSpan w:val="2"/>
                  <w:shd w:val="clear" w:color="auto" w:fill="FFFFFF" w:themeFill="background1"/>
                  <w:vAlign w:val="center"/>
                </w:tcPr>
                <w:p w:rsidR="00443ABF" w:rsidRDefault="00443ABF" w:rsidP="006D7834">
                  <w:pPr>
                    <w:pStyle w:val="TableUnitsRow"/>
                    <w:keepNext w:val="0"/>
                    <w:keepLines w:val="0"/>
                    <w:spacing w:before="0" w:line="240" w:lineRule="auto"/>
                    <w:ind w:left="0" w:right="0"/>
                  </w:pPr>
                  <w:r>
                    <w:t>94.2 ± 0.2</w:t>
                  </w:r>
                </w:p>
              </w:tc>
              <w:tc>
                <w:tcPr>
                  <w:tcW w:w="660" w:type="pct"/>
                  <w:shd w:val="clear" w:color="auto" w:fill="FFFFFF" w:themeFill="background1"/>
                  <w:vAlign w:val="center"/>
                </w:tcPr>
                <w:p w:rsidR="00443ABF" w:rsidRDefault="00443ABF" w:rsidP="00EC166E">
                  <w:pPr>
                    <w:pStyle w:val="TableUnitsRow"/>
                    <w:keepNext w:val="0"/>
                    <w:keepLines w:val="0"/>
                    <w:spacing w:before="0" w:line="240" w:lineRule="auto"/>
                    <w:ind w:left="0" w:right="0"/>
                  </w:pPr>
                  <w:r>
                    <w:t>94.5 ± 0.2</w:t>
                  </w:r>
                </w:p>
              </w:tc>
              <w:tc>
                <w:tcPr>
                  <w:tcW w:w="83" w:type="pct"/>
                  <w:shd w:val="clear" w:color="auto" w:fill="FFFFFF" w:themeFill="background1"/>
                  <w:vAlign w:val="center"/>
                </w:tcPr>
                <w:p w:rsidR="00443ABF" w:rsidRDefault="00443ABF" w:rsidP="006D7834">
                  <w:pPr>
                    <w:pStyle w:val="TableUnitsRow"/>
                    <w:keepNext w:val="0"/>
                    <w:keepLines w:val="0"/>
                    <w:spacing w:before="0" w:line="240" w:lineRule="auto"/>
                    <w:ind w:left="0" w:right="0"/>
                  </w:pPr>
                </w:p>
              </w:tc>
              <w:tc>
                <w:tcPr>
                  <w:tcW w:w="753" w:type="pct"/>
                  <w:shd w:val="clear" w:color="auto" w:fill="FFFFFF" w:themeFill="background1"/>
                </w:tcPr>
                <w:p w:rsidR="00443ABF" w:rsidRDefault="00443ABF" w:rsidP="00443ABF">
                  <w:pPr>
                    <w:jc w:val="center"/>
                    <w:rPr>
                      <w:rFonts w:ascii="Arial" w:hAnsi="Arial" w:cs="Arial"/>
                      <w:sz w:val="20"/>
                      <w:szCs w:val="20"/>
                    </w:rPr>
                  </w:pPr>
                  <w:r>
                    <w:rPr>
                      <w:rFonts w:ascii="Arial" w:hAnsi="Arial" w:cs="Arial"/>
                      <w:sz w:val="20"/>
                      <w:szCs w:val="20"/>
                    </w:rPr>
                    <w:t>■</w:t>
                  </w:r>
                </w:p>
              </w:tc>
              <w:tc>
                <w:tcPr>
                  <w:tcW w:w="835" w:type="pct"/>
                  <w:shd w:val="clear" w:color="auto" w:fill="FFFFFF" w:themeFill="background1"/>
                </w:tcPr>
                <w:p w:rsidR="00443ABF" w:rsidRDefault="00443ABF" w:rsidP="00443ABF">
                  <w:pPr>
                    <w:jc w:val="center"/>
                    <w:rPr>
                      <w:rFonts w:ascii="Arial" w:hAnsi="Arial" w:cs="Arial"/>
                      <w:sz w:val="20"/>
                      <w:szCs w:val="20"/>
                    </w:rPr>
                  </w:pPr>
                  <w:r>
                    <w:rPr>
                      <w:rFonts w:ascii="Arial" w:hAnsi="Arial" w:cs="Arial"/>
                      <w:sz w:val="20"/>
                      <w:szCs w:val="20"/>
                    </w:rPr>
                    <w:t>■</w:t>
                  </w:r>
                </w:p>
              </w:tc>
            </w:tr>
            <w:tr w:rsidR="00443ABF" w:rsidRPr="00F41936" w:rsidTr="005E2523">
              <w:tc>
                <w:tcPr>
                  <w:tcW w:w="5000" w:type="pct"/>
                  <w:gridSpan w:val="9"/>
                  <w:shd w:val="clear" w:color="auto" w:fill="FFFFFF" w:themeFill="background1"/>
                </w:tcPr>
                <w:p w:rsidR="00443ABF" w:rsidRPr="009D1C5F" w:rsidRDefault="00443ABF" w:rsidP="006D7834">
                  <w:pPr>
                    <w:pStyle w:val="TableBodyText"/>
                    <w:spacing w:before="80"/>
                    <w:ind w:right="28"/>
                    <w:jc w:val="left"/>
                    <w:rPr>
                      <w:szCs w:val="18"/>
                    </w:rPr>
                  </w:pPr>
                  <w:r w:rsidRPr="002D5668">
                    <w:rPr>
                      <w:b/>
                    </w:rPr>
                    <w:t>All students</w:t>
                  </w:r>
                </w:p>
              </w:tc>
            </w:tr>
            <w:tr w:rsidR="00443ABF" w:rsidRPr="00F41936" w:rsidTr="005E2523">
              <w:tc>
                <w:tcPr>
                  <w:tcW w:w="951" w:type="pct"/>
                  <w:shd w:val="clear" w:color="auto" w:fill="FFFFFF" w:themeFill="background1"/>
                  <w:vAlign w:val="center"/>
                </w:tcPr>
                <w:p w:rsidR="00443ABF" w:rsidRPr="00F41936" w:rsidRDefault="00443ABF" w:rsidP="006D7834">
                  <w:pPr>
                    <w:pStyle w:val="TableUnitsRow"/>
                    <w:spacing w:before="0"/>
                    <w:jc w:val="left"/>
                  </w:pPr>
                  <w:r w:rsidRPr="00F41936">
                    <w:t>Mean scale score</w:t>
                  </w:r>
                </w:p>
              </w:tc>
              <w:tc>
                <w:tcPr>
                  <w:tcW w:w="291" w:type="pct"/>
                  <w:shd w:val="clear" w:color="auto" w:fill="FFFFFF" w:themeFill="background1"/>
                </w:tcPr>
                <w:p w:rsidR="00443ABF" w:rsidRDefault="00443ABF" w:rsidP="006D7834">
                  <w:pPr>
                    <w:pStyle w:val="TableUnitsRow"/>
                    <w:keepNext w:val="0"/>
                    <w:keepLines w:val="0"/>
                    <w:spacing w:before="0" w:line="240" w:lineRule="auto"/>
                    <w:ind w:left="0" w:right="0"/>
                  </w:pPr>
                  <w:r>
                    <w:t>no.</w:t>
                  </w:r>
                </w:p>
              </w:tc>
              <w:tc>
                <w:tcPr>
                  <w:tcW w:w="667" w:type="pct"/>
                  <w:shd w:val="clear" w:color="auto" w:fill="FFFFFF" w:themeFill="background1"/>
                  <w:vAlign w:val="center"/>
                </w:tcPr>
                <w:p w:rsidR="00443ABF" w:rsidRDefault="00443ABF" w:rsidP="006D7834">
                  <w:pPr>
                    <w:pStyle w:val="TableUnitsRow"/>
                    <w:keepNext w:val="0"/>
                    <w:keepLines w:val="0"/>
                    <w:spacing w:before="0" w:line="240" w:lineRule="auto"/>
                    <w:ind w:left="0" w:right="0"/>
                  </w:pPr>
                  <w:r>
                    <w:t>484.4 ± 1.1</w:t>
                  </w:r>
                </w:p>
              </w:tc>
              <w:tc>
                <w:tcPr>
                  <w:tcW w:w="760" w:type="pct"/>
                  <w:gridSpan w:val="2"/>
                  <w:shd w:val="clear" w:color="auto" w:fill="FFFFFF" w:themeFill="background1"/>
                  <w:vAlign w:val="center"/>
                </w:tcPr>
                <w:p w:rsidR="00443ABF" w:rsidRDefault="00443ABF" w:rsidP="006D7834">
                  <w:pPr>
                    <w:pStyle w:val="TableUnitsRow"/>
                    <w:keepNext w:val="0"/>
                    <w:keepLines w:val="0"/>
                    <w:spacing w:before="0" w:line="240" w:lineRule="auto"/>
                    <w:ind w:left="0" w:right="0"/>
                  </w:pPr>
                  <w:r>
                    <w:t>500.6 ± 1.0</w:t>
                  </w:r>
                </w:p>
              </w:tc>
              <w:tc>
                <w:tcPr>
                  <w:tcW w:w="660" w:type="pct"/>
                  <w:shd w:val="clear" w:color="auto" w:fill="FFFFFF" w:themeFill="background1"/>
                  <w:vAlign w:val="center"/>
                </w:tcPr>
                <w:p w:rsidR="00443ABF" w:rsidRDefault="00443ABF" w:rsidP="00EC166E">
                  <w:pPr>
                    <w:pStyle w:val="TableUnitsRow"/>
                    <w:keepNext w:val="0"/>
                    <w:keepLines w:val="0"/>
                    <w:spacing w:before="0" w:line="240" w:lineRule="auto"/>
                    <w:ind w:left="0" w:right="0"/>
                  </w:pPr>
                  <w:r>
                    <w:t>498.5 ± 1.1</w:t>
                  </w:r>
                </w:p>
              </w:tc>
              <w:tc>
                <w:tcPr>
                  <w:tcW w:w="83" w:type="pct"/>
                  <w:shd w:val="clear" w:color="auto" w:fill="FFFFFF" w:themeFill="background1"/>
                  <w:vAlign w:val="center"/>
                </w:tcPr>
                <w:p w:rsidR="00443ABF" w:rsidRDefault="00443ABF" w:rsidP="006D7834">
                  <w:pPr>
                    <w:pStyle w:val="TableUnitsRow"/>
                    <w:keepNext w:val="0"/>
                    <w:keepLines w:val="0"/>
                    <w:spacing w:before="0" w:line="240" w:lineRule="auto"/>
                    <w:ind w:left="0" w:right="0"/>
                  </w:pPr>
                </w:p>
              </w:tc>
              <w:tc>
                <w:tcPr>
                  <w:tcW w:w="753" w:type="pct"/>
                  <w:shd w:val="clear" w:color="auto" w:fill="FFFFFF" w:themeFill="background1"/>
                </w:tcPr>
                <w:p w:rsidR="00443ABF" w:rsidRDefault="00443ABF" w:rsidP="00443ABF">
                  <w:pPr>
                    <w:jc w:val="center"/>
                    <w:rPr>
                      <w:rFonts w:ascii="Arial" w:hAnsi="Arial" w:cs="Arial"/>
                      <w:sz w:val="20"/>
                      <w:szCs w:val="20"/>
                    </w:rPr>
                  </w:pPr>
                  <w:r>
                    <w:rPr>
                      <w:rFonts w:ascii="Arial" w:hAnsi="Arial" w:cs="Arial"/>
                      <w:sz w:val="20"/>
                      <w:szCs w:val="20"/>
                    </w:rPr>
                    <w:t>■</w:t>
                  </w:r>
                </w:p>
              </w:tc>
              <w:tc>
                <w:tcPr>
                  <w:tcW w:w="835" w:type="pct"/>
                  <w:shd w:val="clear" w:color="auto" w:fill="FFFFFF" w:themeFill="background1"/>
                </w:tcPr>
                <w:p w:rsidR="00443ABF" w:rsidRDefault="00443ABF" w:rsidP="00443ABF">
                  <w:pPr>
                    <w:jc w:val="center"/>
                    <w:rPr>
                      <w:rFonts w:ascii="Arial" w:hAnsi="Arial" w:cs="Arial"/>
                      <w:sz w:val="20"/>
                      <w:szCs w:val="20"/>
                    </w:rPr>
                  </w:pPr>
                  <w:r>
                    <w:rPr>
                      <w:rFonts w:ascii="Arial" w:hAnsi="Arial" w:cs="Arial"/>
                      <w:sz w:val="20"/>
                      <w:szCs w:val="20"/>
                    </w:rPr>
                    <w:t>■</w:t>
                  </w:r>
                </w:p>
              </w:tc>
            </w:tr>
            <w:tr w:rsidR="00443ABF" w:rsidRPr="00F41936" w:rsidTr="005E2523">
              <w:tc>
                <w:tcPr>
                  <w:tcW w:w="951" w:type="pct"/>
                  <w:tcBorders>
                    <w:bottom w:val="single" w:sz="6" w:space="0" w:color="BFBFBF" w:themeColor="background2"/>
                  </w:tcBorders>
                  <w:shd w:val="clear" w:color="auto" w:fill="FFFFFF" w:themeFill="background1"/>
                  <w:vAlign w:val="center"/>
                </w:tcPr>
                <w:p w:rsidR="00443ABF" w:rsidRPr="00F41936" w:rsidRDefault="00443ABF" w:rsidP="006D7834">
                  <w:pPr>
                    <w:pStyle w:val="TableUnitsRow"/>
                    <w:spacing w:before="0"/>
                    <w:jc w:val="left"/>
                  </w:pPr>
                  <w:r w:rsidRPr="00F41936">
                    <w:t>At or above NMS</w:t>
                  </w:r>
                </w:p>
              </w:tc>
              <w:tc>
                <w:tcPr>
                  <w:tcW w:w="291" w:type="pct"/>
                  <w:tcBorders>
                    <w:bottom w:val="single" w:sz="6" w:space="0" w:color="BFBFBF" w:themeColor="background2"/>
                  </w:tcBorders>
                  <w:shd w:val="clear" w:color="auto" w:fill="FFFFFF" w:themeFill="background1"/>
                </w:tcPr>
                <w:p w:rsidR="00443ABF" w:rsidRDefault="00443ABF" w:rsidP="006D7834">
                  <w:pPr>
                    <w:pStyle w:val="TableUnitsRow"/>
                    <w:keepNext w:val="0"/>
                    <w:keepLines w:val="0"/>
                    <w:spacing w:before="0" w:line="240" w:lineRule="auto"/>
                    <w:ind w:left="0" w:right="0"/>
                  </w:pPr>
                  <w:r>
                    <w:t>%</w:t>
                  </w:r>
                </w:p>
              </w:tc>
              <w:tc>
                <w:tcPr>
                  <w:tcW w:w="667" w:type="pct"/>
                  <w:tcBorders>
                    <w:bottom w:val="single" w:sz="6" w:space="0" w:color="BFBFBF" w:themeColor="background2"/>
                  </w:tcBorders>
                  <w:shd w:val="clear" w:color="auto" w:fill="FFFFFF" w:themeFill="background1"/>
                  <w:vAlign w:val="center"/>
                </w:tcPr>
                <w:p w:rsidR="00443ABF" w:rsidRDefault="00443ABF" w:rsidP="006D7834">
                  <w:pPr>
                    <w:pStyle w:val="TableUnitsRow"/>
                    <w:keepNext w:val="0"/>
                    <w:keepLines w:val="0"/>
                    <w:spacing w:before="0" w:line="240" w:lineRule="auto"/>
                    <w:ind w:left="0" w:right="0"/>
                  </w:pPr>
                  <w:r>
                    <w:t>91.0 ± 0.3</w:t>
                  </w:r>
                </w:p>
              </w:tc>
              <w:tc>
                <w:tcPr>
                  <w:tcW w:w="760" w:type="pct"/>
                  <w:gridSpan w:val="2"/>
                  <w:tcBorders>
                    <w:bottom w:val="single" w:sz="6" w:space="0" w:color="BFBFBF" w:themeColor="background2"/>
                  </w:tcBorders>
                  <w:shd w:val="clear" w:color="auto" w:fill="FFFFFF" w:themeFill="background1"/>
                  <w:vAlign w:val="center"/>
                </w:tcPr>
                <w:p w:rsidR="00443ABF" w:rsidRDefault="00443ABF" w:rsidP="006D7834">
                  <w:pPr>
                    <w:pStyle w:val="TableUnitsRow"/>
                    <w:keepNext w:val="0"/>
                    <w:keepLines w:val="0"/>
                    <w:spacing w:before="0" w:line="240" w:lineRule="auto"/>
                    <w:ind w:left="0" w:right="0"/>
                  </w:pPr>
                  <w:r>
                    <w:t>92.9 ± 0.2</w:t>
                  </w:r>
                </w:p>
              </w:tc>
              <w:tc>
                <w:tcPr>
                  <w:tcW w:w="660" w:type="pct"/>
                  <w:tcBorders>
                    <w:bottom w:val="single" w:sz="6" w:space="0" w:color="BFBFBF" w:themeColor="background2"/>
                  </w:tcBorders>
                  <w:shd w:val="clear" w:color="auto" w:fill="FFFFFF" w:themeFill="background1"/>
                  <w:vAlign w:val="center"/>
                </w:tcPr>
                <w:p w:rsidR="00443ABF" w:rsidRDefault="00443ABF" w:rsidP="00EC166E">
                  <w:pPr>
                    <w:pStyle w:val="TableUnitsRow"/>
                    <w:keepNext w:val="0"/>
                    <w:keepLines w:val="0"/>
                    <w:spacing w:before="0" w:line="240" w:lineRule="auto"/>
                    <w:ind w:left="0" w:right="0"/>
                  </w:pPr>
                  <w:r>
                    <w:t>93.3 ± 0.2</w:t>
                  </w:r>
                </w:p>
              </w:tc>
              <w:tc>
                <w:tcPr>
                  <w:tcW w:w="83" w:type="pct"/>
                  <w:tcBorders>
                    <w:bottom w:val="single" w:sz="6" w:space="0" w:color="BFBFBF" w:themeColor="background2"/>
                  </w:tcBorders>
                  <w:shd w:val="clear" w:color="auto" w:fill="FFFFFF" w:themeFill="background1"/>
                  <w:vAlign w:val="center"/>
                </w:tcPr>
                <w:p w:rsidR="00443ABF" w:rsidRDefault="00443ABF" w:rsidP="006D7834">
                  <w:pPr>
                    <w:pStyle w:val="TableUnitsRow"/>
                    <w:keepNext w:val="0"/>
                    <w:keepLines w:val="0"/>
                    <w:spacing w:before="0" w:line="240" w:lineRule="auto"/>
                    <w:ind w:left="0" w:right="0"/>
                  </w:pPr>
                </w:p>
              </w:tc>
              <w:tc>
                <w:tcPr>
                  <w:tcW w:w="753" w:type="pct"/>
                  <w:tcBorders>
                    <w:bottom w:val="single" w:sz="6" w:space="0" w:color="BFBFBF" w:themeColor="background2"/>
                  </w:tcBorders>
                  <w:shd w:val="clear" w:color="auto" w:fill="FFFFFF" w:themeFill="background1"/>
                </w:tcPr>
                <w:p w:rsidR="00443ABF" w:rsidRDefault="00443ABF" w:rsidP="00443ABF">
                  <w:pPr>
                    <w:jc w:val="center"/>
                    <w:rPr>
                      <w:rFonts w:ascii="Arial" w:hAnsi="Arial" w:cs="Arial"/>
                      <w:sz w:val="20"/>
                      <w:szCs w:val="20"/>
                    </w:rPr>
                  </w:pPr>
                  <w:r>
                    <w:rPr>
                      <w:rFonts w:ascii="Arial" w:hAnsi="Arial" w:cs="Arial"/>
                      <w:sz w:val="20"/>
                      <w:szCs w:val="20"/>
                    </w:rPr>
                    <w:t>■</w:t>
                  </w:r>
                </w:p>
              </w:tc>
              <w:tc>
                <w:tcPr>
                  <w:tcW w:w="835" w:type="pct"/>
                  <w:tcBorders>
                    <w:bottom w:val="single" w:sz="6" w:space="0" w:color="BFBFBF" w:themeColor="background2"/>
                  </w:tcBorders>
                  <w:shd w:val="clear" w:color="auto" w:fill="FFFFFF" w:themeFill="background1"/>
                </w:tcPr>
                <w:p w:rsidR="00443ABF" w:rsidRDefault="00443ABF" w:rsidP="00443ABF">
                  <w:pPr>
                    <w:jc w:val="center"/>
                    <w:rPr>
                      <w:rFonts w:ascii="Arial" w:hAnsi="Arial" w:cs="Arial"/>
                      <w:sz w:val="20"/>
                      <w:szCs w:val="20"/>
                    </w:rPr>
                  </w:pPr>
                  <w:r>
                    <w:rPr>
                      <w:rFonts w:ascii="Arial" w:hAnsi="Arial" w:cs="Arial"/>
                      <w:sz w:val="20"/>
                      <w:szCs w:val="20"/>
                    </w:rPr>
                    <w:t>■</w:t>
                  </w:r>
                </w:p>
              </w:tc>
            </w:tr>
          </w:tbl>
          <w:p w:rsidR="004B0692" w:rsidRDefault="004B0692" w:rsidP="006D7834">
            <w:pPr>
              <w:pStyle w:val="Box"/>
            </w:pPr>
          </w:p>
        </w:tc>
      </w:tr>
      <w:tr w:rsidR="00D66BE8" w:rsidRPr="00D66BE8" w:rsidTr="00D66BE8">
        <w:trPr>
          <w:cantSplit/>
        </w:trPr>
        <w:tc>
          <w:tcPr>
            <w:tcW w:w="8771" w:type="dxa"/>
            <w:tcBorders>
              <w:top w:val="nil"/>
              <w:left w:val="nil"/>
              <w:bottom w:val="nil"/>
              <w:right w:val="nil"/>
            </w:tcBorders>
            <w:shd w:val="clear" w:color="auto" w:fill="auto"/>
          </w:tcPr>
          <w:p w:rsidR="00D66BE8" w:rsidRDefault="00D66BE8" w:rsidP="00720F21">
            <w:pPr>
              <w:pStyle w:val="Note"/>
            </w:pPr>
            <w:r>
              <w:t>NMS=National Minimum Standard</w:t>
            </w:r>
          </w:p>
          <w:p w:rsidR="00D66BE8" w:rsidRDefault="00D66BE8" w:rsidP="00720F21">
            <w:pPr>
              <w:pStyle w:val="Note"/>
            </w:pPr>
            <w:r>
              <w:t xml:space="preserve">For comparison of mean scale scores: </w:t>
            </w:r>
            <w:r>
              <w:rPr>
                <w:rFonts w:ascii="Cambria Math" w:hAnsi="Cambria Math" w:cs="Cambria Math"/>
              </w:rPr>
              <w:t>△</w:t>
            </w:r>
            <w:r>
              <w:t xml:space="preserve"> Average achievement is above and is statistically significantly different from the base year (or previous year). </w:t>
            </w:r>
            <w:r>
              <w:rPr>
                <w:rFonts w:ascii="Times New Roman" w:hAnsi="Times New Roman"/>
              </w:rPr>
              <w:t>■</w:t>
            </w:r>
            <w:r>
              <w:t xml:space="preserve"> Average achievement is close to or not statistically different from the base year (or previous year). </w:t>
            </w:r>
          </w:p>
          <w:p w:rsidR="00D66BE8" w:rsidRDefault="00D66BE8" w:rsidP="00720F21">
            <w:pPr>
              <w:pStyle w:val="Note"/>
            </w:pPr>
            <w:r>
              <w:t xml:space="preserve">For comparison of percentage of students at or above national minimum standard: </w:t>
            </w:r>
            <w:r>
              <w:rPr>
                <w:rFonts w:ascii="Cambria Math" w:hAnsi="Cambria Math" w:cs="Cambria Math"/>
              </w:rPr>
              <w:t>△</w:t>
            </w:r>
            <w:r>
              <w:t xml:space="preserve"> Percentage of students at or above national minimum standard is higher than and is statistically significantly different from the base year (or previous year). </w:t>
            </w:r>
            <w:r>
              <w:rPr>
                <w:rFonts w:ascii="Times New Roman" w:hAnsi="Times New Roman"/>
              </w:rPr>
              <w:t>■</w:t>
            </w:r>
            <w:r>
              <w:t xml:space="preserve"> Percentage of students at or above national minimum standard is close to or not statistically different from the base year (or previous year). </w:t>
            </w:r>
          </w:p>
          <w:p w:rsidR="00D66BE8" w:rsidRPr="00D66BE8" w:rsidRDefault="00D66BE8" w:rsidP="00720F21">
            <w:pPr>
              <w:pStyle w:val="Note"/>
            </w:pPr>
            <w:r w:rsidRPr="00D66BE8">
              <w:rPr>
                <w:rStyle w:val="NoteLabel"/>
              </w:rPr>
              <w:t>a</w:t>
            </w:r>
            <w:r>
              <w:t xml:space="preserve"> Effect size is a measure for quantifying the difference between two groups or the same group over time. Effect size measures complement statistical tests (which examine whether the difference is statistically probable) and focus on the magnitude of the difference. </w:t>
            </w:r>
            <w:r w:rsidRPr="00D66BE8">
              <w:rPr>
                <w:rStyle w:val="NoteLabel"/>
              </w:rPr>
              <w:t>b</w:t>
            </w:r>
            <w:r>
              <w:t xml:space="preserve"> See box 4.10 and table 4A.49 for detailed definitions, footnotes and caveats.</w:t>
            </w:r>
          </w:p>
        </w:tc>
      </w:tr>
      <w:tr w:rsidR="004B0692" w:rsidTr="00D66BE8">
        <w:trPr>
          <w:cantSplit/>
        </w:trPr>
        <w:tc>
          <w:tcPr>
            <w:tcW w:w="8771" w:type="dxa"/>
            <w:tcBorders>
              <w:top w:val="nil"/>
              <w:left w:val="nil"/>
              <w:bottom w:val="nil"/>
              <w:right w:val="nil"/>
            </w:tcBorders>
            <w:shd w:val="clear" w:color="auto" w:fill="auto"/>
          </w:tcPr>
          <w:p w:rsidR="004B0692" w:rsidRDefault="004B0692" w:rsidP="006D7834">
            <w:pPr>
              <w:pStyle w:val="Source"/>
            </w:pPr>
            <w:r>
              <w:rPr>
                <w:i/>
              </w:rPr>
              <w:t>Source</w:t>
            </w:r>
            <w:r w:rsidRPr="00167F06">
              <w:t xml:space="preserve">: </w:t>
            </w:r>
            <w:r w:rsidRPr="002D5668">
              <w:t>ACARA (201</w:t>
            </w:r>
            <w:r>
              <w:t>5</w:t>
            </w:r>
            <w:r w:rsidRPr="002D5668">
              <w:t xml:space="preserve"> and unpublished) </w:t>
            </w:r>
            <w:r w:rsidRPr="002D5668">
              <w:rPr>
                <w:i/>
              </w:rPr>
              <w:t>NAPLAN Achievement in Reading, Writing, Language Conventions and Numeracy: National Report for 201</w:t>
            </w:r>
            <w:r>
              <w:rPr>
                <w:i/>
              </w:rPr>
              <w:t>5</w:t>
            </w:r>
            <w:r w:rsidRPr="002D5668">
              <w:t xml:space="preserve"> ACARA, Sydney; table 4A.</w:t>
            </w:r>
            <w:r>
              <w:t>49</w:t>
            </w:r>
            <w:r w:rsidRPr="002D5668">
              <w:t>.</w:t>
            </w:r>
          </w:p>
        </w:tc>
      </w:tr>
      <w:tr w:rsidR="004B0692" w:rsidTr="00D66BE8">
        <w:trPr>
          <w:cantSplit/>
        </w:trPr>
        <w:tc>
          <w:tcPr>
            <w:tcW w:w="8771" w:type="dxa"/>
            <w:tcBorders>
              <w:top w:val="nil"/>
              <w:left w:val="nil"/>
              <w:bottom w:val="single" w:sz="6" w:space="0" w:color="78A22F"/>
              <w:right w:val="nil"/>
            </w:tcBorders>
            <w:shd w:val="clear" w:color="auto" w:fill="auto"/>
          </w:tcPr>
          <w:p w:rsidR="004B0692" w:rsidRDefault="004B0692" w:rsidP="006D7834">
            <w:pPr>
              <w:pStyle w:val="Box"/>
              <w:spacing w:before="0" w:line="120" w:lineRule="exact"/>
            </w:pPr>
          </w:p>
        </w:tc>
      </w:tr>
      <w:tr w:rsidR="004B0692" w:rsidRPr="000863A5" w:rsidTr="00D66BE8">
        <w:tc>
          <w:tcPr>
            <w:tcW w:w="8771" w:type="dxa"/>
            <w:tcBorders>
              <w:top w:val="single" w:sz="6" w:space="0" w:color="78A22F"/>
              <w:left w:val="nil"/>
              <w:bottom w:val="nil"/>
              <w:right w:val="nil"/>
            </w:tcBorders>
          </w:tcPr>
          <w:p w:rsidR="004B0692" w:rsidRPr="00626D32" w:rsidRDefault="004B0692" w:rsidP="006D7834">
            <w:pPr>
              <w:pStyle w:val="BoxSpaceBelow"/>
            </w:pPr>
          </w:p>
        </w:tc>
      </w:tr>
    </w:tbl>
    <w:p w:rsidR="004B0692" w:rsidRPr="00666ECE" w:rsidRDefault="004B0692" w:rsidP="004B0692">
      <w:pPr>
        <w:pStyle w:val="Heading5"/>
      </w:pPr>
      <w:r w:rsidRPr="00666ECE">
        <w:t>NAPLAN Numeracy</w:t>
      </w:r>
    </w:p>
    <w:p w:rsidR="004B0692" w:rsidRPr="00391AA5" w:rsidRDefault="004B0692" w:rsidP="004B0692">
      <w:pPr>
        <w:pStyle w:val="BodyText"/>
      </w:pPr>
      <w:r>
        <w:t>This section of the learning outcomes</w:t>
      </w:r>
      <w:r w:rsidRPr="00666ECE">
        <w:t xml:space="preserve"> indicator provides key outcomes for NAPLAN testing (years 3, 5, 7 and 9) in the numeracy domain. </w:t>
      </w:r>
      <w:r>
        <w:t>O</w:t>
      </w:r>
      <w:r w:rsidRPr="00666ECE">
        <w:t xml:space="preserve">utcomes </w:t>
      </w:r>
      <w:r>
        <w:t xml:space="preserve">by Indigenous status </w:t>
      </w:r>
      <w:r w:rsidRPr="00666ECE">
        <w:t xml:space="preserve">are highlighted, but outcomes for a </w:t>
      </w:r>
      <w:r w:rsidRPr="00391AA5">
        <w:t>range of other equity groups including geolocation and socio-economic status (parental education and parental occupation) are included in tables</w:t>
      </w:r>
      <w:r w:rsidR="00391AA5">
        <w:t> </w:t>
      </w:r>
      <w:r w:rsidRPr="00391AA5">
        <w:rPr>
          <w:shd w:val="clear" w:color="auto" w:fill="FFFFFF" w:themeFill="background1"/>
        </w:rPr>
        <w:t>4A.64–77.</w:t>
      </w:r>
      <w:r w:rsidRPr="00391AA5">
        <w:t xml:space="preserve"> </w:t>
      </w:r>
    </w:p>
    <w:p w:rsidR="004B0692" w:rsidRPr="00666ECE" w:rsidRDefault="004D745F" w:rsidP="004B0692">
      <w:pPr>
        <w:pStyle w:val="Heading6"/>
      </w:pPr>
      <w:r>
        <w:t>Year 3 numeracy</w:t>
      </w:r>
    </w:p>
    <w:p w:rsidR="004B0692" w:rsidRDefault="004B0692" w:rsidP="004B0692">
      <w:pPr>
        <w:spacing w:before="240" w:line="320" w:lineRule="atLeast"/>
        <w:jc w:val="both"/>
        <w:rPr>
          <w:szCs w:val="20"/>
        </w:rPr>
      </w:pPr>
      <w:r w:rsidRPr="00666ECE">
        <w:rPr>
          <w:szCs w:val="20"/>
        </w:rPr>
        <w:t xml:space="preserve">The proportion of year 3 </w:t>
      </w:r>
      <w:r w:rsidRPr="00E116EB">
        <w:rPr>
          <w:szCs w:val="20"/>
        </w:rPr>
        <w:t xml:space="preserve">students who achieved at or above the numeracy national minimum </w:t>
      </w:r>
      <w:r w:rsidRPr="00EC1693">
        <w:t>standard in 201</w:t>
      </w:r>
      <w:r>
        <w:t>5</w:t>
      </w:r>
      <w:r w:rsidRPr="00EC1693">
        <w:t xml:space="preserve"> was </w:t>
      </w:r>
      <w:r w:rsidR="001471F7" w:rsidRPr="005E2523">
        <w:rPr>
          <w:shd w:val="clear" w:color="auto" w:fill="FFFFFF" w:themeFill="background1"/>
        </w:rPr>
        <w:t>94.2–94.6</w:t>
      </w:r>
      <w:r w:rsidRPr="005E2523">
        <w:rPr>
          <w:shd w:val="clear" w:color="auto" w:fill="FFFFFF" w:themeFill="background1"/>
        </w:rPr>
        <w:t xml:space="preserve"> per cent nationally. The proportion for Aboriginal and Torres Strait Islander students (</w:t>
      </w:r>
      <w:r w:rsidR="001471F7" w:rsidRPr="005E2523">
        <w:rPr>
          <w:shd w:val="clear" w:color="auto" w:fill="FFFFFF" w:themeFill="background1"/>
        </w:rPr>
        <w:t>76.9</w:t>
      </w:r>
      <w:r w:rsidR="00A63943" w:rsidRPr="005E2523">
        <w:rPr>
          <w:shd w:val="clear" w:color="auto" w:fill="FFFFFF" w:themeFill="background1"/>
        </w:rPr>
        <w:t>–</w:t>
      </w:r>
      <w:r w:rsidR="001471F7" w:rsidRPr="005E2523">
        <w:rPr>
          <w:shd w:val="clear" w:color="auto" w:fill="FFFFFF" w:themeFill="background1"/>
        </w:rPr>
        <w:t>79.5</w:t>
      </w:r>
      <w:r w:rsidRPr="005E2523">
        <w:rPr>
          <w:shd w:val="clear" w:color="auto" w:fill="FFFFFF" w:themeFill="background1"/>
        </w:rPr>
        <w:t xml:space="preserve"> per cent) was significantly lower than for non</w:t>
      </w:r>
      <w:r w:rsidRPr="005E2523">
        <w:rPr>
          <w:shd w:val="clear" w:color="auto" w:fill="FFFFFF" w:themeFill="background1"/>
        </w:rPr>
        <w:noBreakHyphen/>
        <w:t>Indigenous students (</w:t>
      </w:r>
      <w:r w:rsidR="001471F7" w:rsidRPr="005E2523">
        <w:rPr>
          <w:shd w:val="clear" w:color="auto" w:fill="FFFFFF" w:themeFill="background1"/>
        </w:rPr>
        <w:t>95.3–95.7</w:t>
      </w:r>
      <w:r w:rsidRPr="005E2523">
        <w:rPr>
          <w:shd w:val="clear" w:color="auto" w:fill="FFFFFF" w:themeFill="background1"/>
        </w:rPr>
        <w:t xml:space="preserve"> per</w:t>
      </w:r>
      <w:r w:rsidRPr="00EC1693">
        <w:t xml:space="preserve"> cent) (figure </w:t>
      </w:r>
      <w:r w:rsidRPr="00666ECE">
        <w:t>4.</w:t>
      </w:r>
      <w:r w:rsidR="00033D89">
        <w:t>31</w:t>
      </w:r>
      <w:r w:rsidRPr="00666ECE">
        <w:t>). These proportions varied across jurisdictions</w:t>
      </w:r>
      <w:r w:rsidRPr="00E116EB">
        <w:rPr>
          <w:szCs w:val="20"/>
        </w:rPr>
        <w:t>.</w:t>
      </w:r>
    </w:p>
    <w:p w:rsidR="00720F21" w:rsidRDefault="00720F21" w:rsidP="00720F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20F21" w:rsidTr="00720F21">
        <w:tc>
          <w:tcPr>
            <w:tcW w:w="8771" w:type="dxa"/>
            <w:tcBorders>
              <w:top w:val="single" w:sz="6" w:space="0" w:color="78A22F"/>
              <w:left w:val="nil"/>
              <w:bottom w:val="nil"/>
              <w:right w:val="nil"/>
            </w:tcBorders>
            <w:shd w:val="clear" w:color="auto" w:fill="auto"/>
          </w:tcPr>
          <w:p w:rsidR="00720F21" w:rsidRPr="00176D3F" w:rsidRDefault="00720F21" w:rsidP="00720F21">
            <w:pPr>
              <w:pStyle w:val="FigureTitle"/>
            </w:pPr>
            <w:r w:rsidRPr="00784A05">
              <w:rPr>
                <w:b w:val="0"/>
              </w:rPr>
              <w:t xml:space="preserve">Figure </w:t>
            </w:r>
            <w:r>
              <w:rPr>
                <w:b w:val="0"/>
              </w:rPr>
              <w:t>4.</w:t>
            </w:r>
            <w:r w:rsidR="00FF4FBD">
              <w:rPr>
                <w:b w:val="0"/>
                <w:noProof/>
              </w:rPr>
              <w:t>31</w:t>
            </w:r>
            <w:r>
              <w:tab/>
            </w:r>
            <w:r w:rsidRPr="00E66784">
              <w:t>Proportion of year 3 students achieving at or above the numeracy national minimum standard, 201</w:t>
            </w:r>
            <w:r>
              <w:t>5</w:t>
            </w:r>
            <w:r w:rsidRPr="00E66784">
              <w:rPr>
                <w:rStyle w:val="NoteLabel"/>
                <w:b/>
              </w:rPr>
              <w:t>a</w:t>
            </w:r>
          </w:p>
        </w:tc>
      </w:tr>
      <w:tr w:rsidR="00720F21" w:rsidTr="00720F2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20F21" w:rsidTr="00720F21">
              <w:trPr>
                <w:jc w:val="center"/>
              </w:trPr>
              <w:tc>
                <w:tcPr>
                  <w:tcW w:w="5000" w:type="pct"/>
                  <w:tcBorders>
                    <w:top w:val="nil"/>
                    <w:bottom w:val="nil"/>
                  </w:tcBorders>
                </w:tcPr>
                <w:p w:rsidR="00720F21" w:rsidRDefault="00EE6972" w:rsidP="00720F21">
                  <w:pPr>
                    <w:pStyle w:val="Figure"/>
                    <w:spacing w:before="60" w:after="60"/>
                  </w:pPr>
                  <w:r>
                    <w:rPr>
                      <w:noProof/>
                    </w:rPr>
                    <w:drawing>
                      <wp:inline distT="0" distB="0" distL="0" distR="0">
                        <wp:extent cx="5391150" cy="2695575"/>
                        <wp:effectExtent l="0" t="0" r="0" b="9525"/>
                        <wp:docPr id="34" name="Picture 34" descr="Figure 4.31 Proportion of year 3 students achieving at or above the numeracy national minimum standard,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720F21" w:rsidRDefault="00720F21" w:rsidP="00720F21">
            <w:pPr>
              <w:pStyle w:val="Figure"/>
            </w:pPr>
          </w:p>
        </w:tc>
      </w:tr>
      <w:tr w:rsidR="00720F21" w:rsidRPr="00176D3F" w:rsidTr="00720F21">
        <w:tc>
          <w:tcPr>
            <w:tcW w:w="8771" w:type="dxa"/>
            <w:tcBorders>
              <w:top w:val="nil"/>
              <w:left w:val="nil"/>
              <w:bottom w:val="nil"/>
              <w:right w:val="nil"/>
            </w:tcBorders>
            <w:shd w:val="clear" w:color="auto" w:fill="auto"/>
          </w:tcPr>
          <w:p w:rsidR="00720F21" w:rsidRPr="00176D3F" w:rsidRDefault="00720F21" w:rsidP="00720F21">
            <w:pPr>
              <w:pStyle w:val="Note"/>
            </w:pPr>
            <w:r>
              <w:rPr>
                <w:rStyle w:val="NoteLabel"/>
              </w:rPr>
              <w:t>a</w:t>
            </w:r>
            <w:r>
              <w:t xml:space="preserve"> </w:t>
            </w:r>
            <w:r w:rsidRPr="007C767F">
              <w:t xml:space="preserve">See </w:t>
            </w:r>
            <w:r>
              <w:t xml:space="preserve">box </w:t>
            </w:r>
            <w:r w:rsidRPr="00F8126D">
              <w:t>4.</w:t>
            </w:r>
            <w:r>
              <w:t>10</w:t>
            </w:r>
            <w:r w:rsidRPr="00F8126D">
              <w:t xml:space="preserve"> </w:t>
            </w:r>
            <w:r>
              <w:t xml:space="preserve">and </w:t>
            </w:r>
            <w:r w:rsidRPr="007C767F">
              <w:t xml:space="preserve">table </w:t>
            </w:r>
            <w:r>
              <w:t xml:space="preserve">4A.64 </w:t>
            </w:r>
            <w:r w:rsidRPr="007C767F">
              <w:t>for detailed</w:t>
            </w:r>
            <w:r>
              <w:t xml:space="preserve"> </w:t>
            </w:r>
            <w:r w:rsidRPr="005B3EDD">
              <w:t>definitions, footnotes and caveats</w:t>
            </w:r>
            <w:r>
              <w:t>.</w:t>
            </w:r>
          </w:p>
        </w:tc>
      </w:tr>
      <w:tr w:rsidR="00720F21" w:rsidRPr="00176D3F" w:rsidTr="00720F21">
        <w:tc>
          <w:tcPr>
            <w:tcW w:w="8771" w:type="dxa"/>
            <w:tcBorders>
              <w:top w:val="nil"/>
              <w:left w:val="nil"/>
              <w:bottom w:val="nil"/>
              <w:right w:val="nil"/>
            </w:tcBorders>
            <w:shd w:val="clear" w:color="auto" w:fill="auto"/>
          </w:tcPr>
          <w:p w:rsidR="00720F21" w:rsidRPr="00176D3F" w:rsidRDefault="00720F21" w:rsidP="00720F21">
            <w:pPr>
              <w:pStyle w:val="Source"/>
            </w:pPr>
            <w:r>
              <w:rPr>
                <w:i/>
              </w:rPr>
              <w:t>S</w:t>
            </w:r>
            <w:r w:rsidRPr="00784A05">
              <w:rPr>
                <w:i/>
              </w:rPr>
              <w:t>ource</w:t>
            </w:r>
            <w:r w:rsidRPr="00176D3F">
              <w:t xml:space="preserve">: </w:t>
            </w:r>
            <w:r w:rsidRPr="00E66784">
              <w:t>ACARA (201</w:t>
            </w:r>
            <w:r>
              <w:t>5</w:t>
            </w:r>
            <w:r w:rsidRPr="00E66784">
              <w:t xml:space="preserve"> and unpublished) </w:t>
            </w:r>
            <w:r w:rsidRPr="00E66784">
              <w:rPr>
                <w:i/>
              </w:rPr>
              <w:t>NAPLAN Achievement in Reading, Writing, Language Conventions and Numeracy: National Report for 201</w:t>
            </w:r>
            <w:r>
              <w:rPr>
                <w:i/>
              </w:rPr>
              <w:t>5</w:t>
            </w:r>
            <w:r w:rsidRPr="00E66784">
              <w:t>; table 4A.</w:t>
            </w:r>
            <w:r>
              <w:t>64.</w:t>
            </w:r>
          </w:p>
        </w:tc>
      </w:tr>
      <w:tr w:rsidR="00720F21" w:rsidTr="00720F21">
        <w:tc>
          <w:tcPr>
            <w:tcW w:w="8771" w:type="dxa"/>
            <w:tcBorders>
              <w:top w:val="nil"/>
              <w:left w:val="nil"/>
              <w:bottom w:val="single" w:sz="6" w:space="0" w:color="78A22F"/>
              <w:right w:val="nil"/>
            </w:tcBorders>
            <w:shd w:val="clear" w:color="auto" w:fill="auto"/>
          </w:tcPr>
          <w:p w:rsidR="00720F21" w:rsidRDefault="00720F21" w:rsidP="00720F21">
            <w:pPr>
              <w:pStyle w:val="Figurespace"/>
            </w:pPr>
          </w:p>
        </w:tc>
      </w:tr>
      <w:tr w:rsidR="00720F21" w:rsidRPr="000863A5" w:rsidTr="00720F21">
        <w:tc>
          <w:tcPr>
            <w:tcW w:w="8771" w:type="dxa"/>
            <w:tcBorders>
              <w:top w:val="single" w:sz="6" w:space="0" w:color="78A22F"/>
              <w:left w:val="nil"/>
              <w:bottom w:val="nil"/>
              <w:right w:val="nil"/>
            </w:tcBorders>
          </w:tcPr>
          <w:p w:rsidR="00720F21" w:rsidRPr="00626D32" w:rsidRDefault="00720F21" w:rsidP="00720F21">
            <w:pPr>
              <w:pStyle w:val="BoxSpaceBelow"/>
            </w:pPr>
          </w:p>
        </w:tc>
      </w:tr>
    </w:tbl>
    <w:p w:rsidR="004B0692" w:rsidRPr="0089766B" w:rsidRDefault="004B0692" w:rsidP="004B0692">
      <w:pPr>
        <w:pStyle w:val="BodyText"/>
      </w:pPr>
      <w:r w:rsidRPr="0089766B">
        <w:t xml:space="preserve">Statistical significance of differences across states and territories between proportions of year </w:t>
      </w:r>
      <w:r>
        <w:t>3</w:t>
      </w:r>
      <w:r w:rsidRPr="0089766B">
        <w:t xml:space="preserve"> students who achieved at or above the national minimum standard for </w:t>
      </w:r>
      <w:r>
        <w:t>numeracy</w:t>
      </w:r>
      <w:r w:rsidRPr="0089766B">
        <w:t xml:space="preserve"> in 201</w:t>
      </w:r>
      <w:r>
        <w:t>5</w:t>
      </w:r>
      <w:r w:rsidRPr="0089766B">
        <w:t xml:space="preserve"> are provided in table 4A.</w:t>
      </w:r>
      <w:r>
        <w:t>64</w:t>
      </w:r>
      <w:r w:rsidRPr="0089766B">
        <w:t>.</w:t>
      </w:r>
    </w:p>
    <w:p w:rsidR="004B0692" w:rsidRDefault="004B0692" w:rsidP="004B0692">
      <w:pPr>
        <w:pStyle w:val="BodyText"/>
      </w:pPr>
      <w:r w:rsidRPr="0089766B">
        <w:t xml:space="preserve">The mean scale score for year </w:t>
      </w:r>
      <w:r>
        <w:t>3</w:t>
      </w:r>
      <w:r w:rsidRPr="0089766B">
        <w:t xml:space="preserve"> </w:t>
      </w:r>
      <w:r>
        <w:t>numeracy</w:t>
      </w:r>
      <w:r w:rsidRPr="0089766B">
        <w:t xml:space="preserve"> in 201</w:t>
      </w:r>
      <w:r>
        <w:t>5</w:t>
      </w:r>
      <w:r w:rsidRPr="0089766B">
        <w:t xml:space="preserve"> for all </w:t>
      </w:r>
      <w:r w:rsidRPr="005E2523">
        <w:rPr>
          <w:shd w:val="clear" w:color="auto" w:fill="FFFFFF" w:themeFill="background1"/>
        </w:rPr>
        <w:t xml:space="preserve">students was </w:t>
      </w:r>
      <w:r w:rsidR="001471F7" w:rsidRPr="005E2523">
        <w:rPr>
          <w:shd w:val="clear" w:color="auto" w:fill="FFFFFF" w:themeFill="background1"/>
        </w:rPr>
        <w:t>396.8–398.8</w:t>
      </w:r>
      <w:r w:rsidRPr="005E2523">
        <w:rPr>
          <w:shd w:val="clear" w:color="auto" w:fill="FFFFFF" w:themeFill="background1"/>
        </w:rPr>
        <w:t xml:space="preserve"> nationally. The mean scale score for Aboriginal and Torres Strait Islander students </w:t>
      </w:r>
      <w:r w:rsidRPr="005E2523">
        <w:rPr>
          <w:shd w:val="clear" w:color="auto" w:fill="FFFFFF" w:themeFill="background1"/>
        </w:rPr>
        <w:br/>
        <w:t>(</w:t>
      </w:r>
      <w:r w:rsidR="001471F7" w:rsidRPr="005E2523">
        <w:rPr>
          <w:shd w:val="clear" w:color="auto" w:fill="FFFFFF" w:themeFill="background1"/>
        </w:rPr>
        <w:t>327.5–332.5</w:t>
      </w:r>
      <w:r w:rsidRPr="005E2523">
        <w:rPr>
          <w:shd w:val="clear" w:color="auto" w:fill="FFFFFF" w:themeFill="background1"/>
        </w:rPr>
        <w:t>) was significantly lower than for non-Indigenous students (</w:t>
      </w:r>
      <w:r w:rsidR="001471F7" w:rsidRPr="005E2523">
        <w:rPr>
          <w:shd w:val="clear" w:color="auto" w:fill="FFFFFF" w:themeFill="background1"/>
        </w:rPr>
        <w:t>401.1–402.9</w:t>
      </w:r>
      <w:r w:rsidRPr="005E2523">
        <w:rPr>
          <w:shd w:val="clear" w:color="auto" w:fill="FFFFFF" w:themeFill="background1"/>
        </w:rPr>
        <w:t>). Mean scale scores varied across jurisdictions (table 4A.66). Table 4A</w:t>
      </w:r>
      <w:r>
        <w:t>.66</w:t>
      </w:r>
      <w:r w:rsidRPr="0089766B">
        <w:t xml:space="preserve"> </w:t>
      </w:r>
      <w:r>
        <w:t xml:space="preserve">also </w:t>
      </w:r>
      <w:r w:rsidRPr="0089766B">
        <w:t xml:space="preserve">identifies statistical significance of differences between mean scale scores for year </w:t>
      </w:r>
      <w:r>
        <w:t>3</w:t>
      </w:r>
      <w:r w:rsidRPr="0089766B">
        <w:t xml:space="preserve"> </w:t>
      </w:r>
      <w:r>
        <w:t>numeracy</w:t>
      </w:r>
      <w:r w:rsidRPr="0089766B">
        <w:t xml:space="preserve"> outcomes across states and territories in 201</w:t>
      </w:r>
      <w:r>
        <w:t>5</w:t>
      </w:r>
      <w:r w:rsidRPr="0089766B">
        <w:t xml:space="preserve">. </w:t>
      </w:r>
    </w:p>
    <w:p w:rsidR="004D745F" w:rsidRDefault="004D745F" w:rsidP="00391AA5">
      <w:pPr>
        <w:pStyle w:val="Heading6"/>
      </w:pPr>
      <w:r>
        <w:t>Year 5 numeracy</w:t>
      </w:r>
    </w:p>
    <w:p w:rsidR="004B0692" w:rsidRDefault="004B0692" w:rsidP="004B0692">
      <w:pPr>
        <w:spacing w:before="240" w:line="320" w:lineRule="atLeast"/>
        <w:jc w:val="both"/>
        <w:rPr>
          <w:szCs w:val="20"/>
        </w:rPr>
      </w:pPr>
      <w:r w:rsidRPr="00891EF6">
        <w:rPr>
          <w:szCs w:val="20"/>
        </w:rPr>
        <w:t xml:space="preserve">The proportion of year </w:t>
      </w:r>
      <w:r>
        <w:rPr>
          <w:szCs w:val="20"/>
        </w:rPr>
        <w:t>5</w:t>
      </w:r>
      <w:r w:rsidRPr="00891EF6">
        <w:rPr>
          <w:szCs w:val="20"/>
        </w:rPr>
        <w:t xml:space="preserve"> students who achieved at or above the numeracy national minimum standard in </w:t>
      </w:r>
      <w:r w:rsidRPr="00EC1693">
        <w:rPr>
          <w:szCs w:val="20"/>
        </w:rPr>
        <w:t>201</w:t>
      </w:r>
      <w:r>
        <w:rPr>
          <w:szCs w:val="20"/>
        </w:rPr>
        <w:t>5</w:t>
      </w:r>
      <w:r w:rsidRPr="00EC1693">
        <w:rPr>
          <w:szCs w:val="20"/>
        </w:rPr>
        <w:t xml:space="preserve"> </w:t>
      </w:r>
      <w:r w:rsidRPr="005E2523">
        <w:rPr>
          <w:szCs w:val="20"/>
          <w:shd w:val="clear" w:color="auto" w:fill="FFFFFF" w:themeFill="background1"/>
        </w:rPr>
        <w:t xml:space="preserve">was </w:t>
      </w:r>
      <w:r w:rsidR="001471F7" w:rsidRPr="005E2523">
        <w:rPr>
          <w:shd w:val="clear" w:color="auto" w:fill="FFFFFF" w:themeFill="background1"/>
        </w:rPr>
        <w:t>94.9–95.3</w:t>
      </w:r>
      <w:r w:rsidRPr="005E2523">
        <w:rPr>
          <w:shd w:val="clear" w:color="auto" w:fill="FFFFFF" w:themeFill="background1"/>
        </w:rPr>
        <w:t xml:space="preserve"> </w:t>
      </w:r>
      <w:r w:rsidRPr="005E2523">
        <w:rPr>
          <w:szCs w:val="20"/>
          <w:shd w:val="clear" w:color="auto" w:fill="FFFFFF" w:themeFill="background1"/>
        </w:rPr>
        <w:t xml:space="preserve">per cent nationally. The proportion for </w:t>
      </w:r>
      <w:r w:rsidRPr="005E2523">
        <w:rPr>
          <w:shd w:val="clear" w:color="auto" w:fill="FFFFFF" w:themeFill="background1"/>
        </w:rPr>
        <w:t>Aboriginal and Torres Strait Islander</w:t>
      </w:r>
      <w:r w:rsidRPr="005E2523">
        <w:rPr>
          <w:szCs w:val="20"/>
          <w:shd w:val="clear" w:color="auto" w:fill="FFFFFF" w:themeFill="background1"/>
        </w:rPr>
        <w:t xml:space="preserve"> students (</w:t>
      </w:r>
      <w:r w:rsidR="001471F7" w:rsidRPr="005E2523">
        <w:rPr>
          <w:shd w:val="clear" w:color="auto" w:fill="FFFFFF" w:themeFill="background1"/>
        </w:rPr>
        <w:t>77.1–80.1</w:t>
      </w:r>
      <w:r w:rsidRPr="005E2523">
        <w:rPr>
          <w:shd w:val="clear" w:color="auto" w:fill="FFFFFF" w:themeFill="background1"/>
        </w:rPr>
        <w:t xml:space="preserve"> </w:t>
      </w:r>
      <w:r w:rsidRPr="005E2523">
        <w:rPr>
          <w:szCs w:val="20"/>
          <w:shd w:val="clear" w:color="auto" w:fill="FFFFFF" w:themeFill="background1"/>
        </w:rPr>
        <w:t>per cent) was significantly lower than for non</w:t>
      </w:r>
      <w:r w:rsidRPr="005E2523">
        <w:rPr>
          <w:szCs w:val="20"/>
          <w:shd w:val="clear" w:color="auto" w:fill="FFFFFF" w:themeFill="background1"/>
        </w:rPr>
        <w:noBreakHyphen/>
        <w:t>Indigenous students (</w:t>
      </w:r>
      <w:r w:rsidR="001471F7" w:rsidRPr="005E2523">
        <w:rPr>
          <w:shd w:val="clear" w:color="auto" w:fill="FFFFFF" w:themeFill="background1"/>
        </w:rPr>
        <w:t>95.9–96.3</w:t>
      </w:r>
      <w:r w:rsidRPr="005E2523">
        <w:rPr>
          <w:shd w:val="clear" w:color="auto" w:fill="FFFFFF" w:themeFill="background1"/>
        </w:rPr>
        <w:t xml:space="preserve"> </w:t>
      </w:r>
      <w:r w:rsidRPr="005E2523">
        <w:rPr>
          <w:szCs w:val="20"/>
          <w:shd w:val="clear" w:color="auto" w:fill="FFFFFF" w:themeFill="background1"/>
        </w:rPr>
        <w:t>per cent) (figure 4.3</w:t>
      </w:r>
      <w:r w:rsidR="00033D89" w:rsidRPr="005E2523">
        <w:rPr>
          <w:szCs w:val="20"/>
          <w:shd w:val="clear" w:color="auto" w:fill="FFFFFF" w:themeFill="background1"/>
        </w:rPr>
        <w:t>2</w:t>
      </w:r>
      <w:r w:rsidRPr="005E2523">
        <w:rPr>
          <w:szCs w:val="20"/>
          <w:shd w:val="clear" w:color="auto" w:fill="FFFFFF" w:themeFill="background1"/>
        </w:rPr>
        <w:t>). These proportions varied across jur</w:t>
      </w:r>
      <w:r w:rsidRPr="00EC1693">
        <w:rPr>
          <w:szCs w:val="20"/>
        </w:rPr>
        <w:t>isdictions.</w:t>
      </w:r>
    </w:p>
    <w:p w:rsidR="00720F21" w:rsidRDefault="00720F21" w:rsidP="00720F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20F21" w:rsidTr="00720F21">
        <w:tc>
          <w:tcPr>
            <w:tcW w:w="8771" w:type="dxa"/>
            <w:tcBorders>
              <w:top w:val="single" w:sz="6" w:space="0" w:color="78A22F"/>
              <w:left w:val="nil"/>
              <w:bottom w:val="nil"/>
              <w:right w:val="nil"/>
            </w:tcBorders>
            <w:shd w:val="clear" w:color="auto" w:fill="auto"/>
          </w:tcPr>
          <w:p w:rsidR="00720F21" w:rsidRPr="00176D3F" w:rsidRDefault="00720F21" w:rsidP="00720F21">
            <w:pPr>
              <w:pStyle w:val="FigureTitle"/>
            </w:pPr>
            <w:r w:rsidRPr="00784A05">
              <w:rPr>
                <w:b w:val="0"/>
              </w:rPr>
              <w:t xml:space="preserve">Figure </w:t>
            </w:r>
            <w:r>
              <w:rPr>
                <w:b w:val="0"/>
              </w:rPr>
              <w:t>4.</w:t>
            </w:r>
            <w:r w:rsidR="00FF4FBD">
              <w:rPr>
                <w:b w:val="0"/>
                <w:noProof/>
              </w:rPr>
              <w:t>32</w:t>
            </w:r>
            <w:r>
              <w:tab/>
            </w:r>
            <w:r w:rsidRPr="005E2523">
              <w:t>Proportion of year 5 students achieving at or above the numeracy national minimum standard, 2015</w:t>
            </w:r>
            <w:r w:rsidRPr="005E2523">
              <w:rPr>
                <w:rStyle w:val="NoteLabel"/>
                <w:b/>
              </w:rPr>
              <w:t>a</w:t>
            </w:r>
          </w:p>
        </w:tc>
      </w:tr>
      <w:tr w:rsidR="00720F21" w:rsidTr="00720F2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20F21" w:rsidTr="00720F21">
              <w:trPr>
                <w:jc w:val="center"/>
              </w:trPr>
              <w:tc>
                <w:tcPr>
                  <w:tcW w:w="5000" w:type="pct"/>
                  <w:tcBorders>
                    <w:top w:val="nil"/>
                    <w:bottom w:val="nil"/>
                  </w:tcBorders>
                </w:tcPr>
                <w:p w:rsidR="00720F21" w:rsidRDefault="00EE6972" w:rsidP="00720F21">
                  <w:pPr>
                    <w:pStyle w:val="Figure"/>
                    <w:spacing w:before="60" w:after="60"/>
                  </w:pPr>
                  <w:r>
                    <w:rPr>
                      <w:noProof/>
                    </w:rPr>
                    <w:drawing>
                      <wp:inline distT="0" distB="0" distL="0" distR="0">
                        <wp:extent cx="5391150" cy="2695575"/>
                        <wp:effectExtent l="0" t="0" r="0" b="9525"/>
                        <wp:docPr id="35" name="Picture 35" descr="Figure 4.32 Proportion of year 5 students achieving at or above the numeracy national minimum standard,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720F21" w:rsidRDefault="00720F21" w:rsidP="00720F21">
            <w:pPr>
              <w:pStyle w:val="Figure"/>
            </w:pPr>
          </w:p>
        </w:tc>
      </w:tr>
      <w:tr w:rsidR="00720F21" w:rsidRPr="00176D3F" w:rsidTr="00720F21">
        <w:tc>
          <w:tcPr>
            <w:tcW w:w="8771" w:type="dxa"/>
            <w:tcBorders>
              <w:top w:val="nil"/>
              <w:left w:val="nil"/>
              <w:bottom w:val="nil"/>
              <w:right w:val="nil"/>
            </w:tcBorders>
            <w:shd w:val="clear" w:color="auto" w:fill="auto"/>
          </w:tcPr>
          <w:p w:rsidR="00720F21" w:rsidRPr="00176D3F" w:rsidRDefault="00720F21" w:rsidP="00720F21">
            <w:pPr>
              <w:pStyle w:val="Note"/>
            </w:pPr>
            <w:r>
              <w:rPr>
                <w:rStyle w:val="NoteLabel"/>
              </w:rPr>
              <w:t>a</w:t>
            </w:r>
            <w:r w:rsidRPr="00984F75" w:rsidDel="004D745F">
              <w:t xml:space="preserve"> </w:t>
            </w:r>
            <w:r w:rsidRPr="007C767F">
              <w:t xml:space="preserve">See </w:t>
            </w:r>
            <w:r>
              <w:t xml:space="preserve">box </w:t>
            </w:r>
            <w:r w:rsidRPr="00F8126D">
              <w:t>4.</w:t>
            </w:r>
            <w:r>
              <w:t>10</w:t>
            </w:r>
            <w:r w:rsidRPr="00F8126D">
              <w:t xml:space="preserve"> </w:t>
            </w:r>
            <w:r>
              <w:t xml:space="preserve">and </w:t>
            </w:r>
            <w:r w:rsidRPr="007C767F">
              <w:t xml:space="preserve">table </w:t>
            </w:r>
            <w:r>
              <w:t xml:space="preserve">4A.64 </w:t>
            </w:r>
            <w:r w:rsidRPr="007C767F">
              <w:t>for detailed</w:t>
            </w:r>
            <w:r>
              <w:t xml:space="preserve"> </w:t>
            </w:r>
            <w:r w:rsidRPr="005B3EDD">
              <w:t>definitions, footnotes and caveats</w:t>
            </w:r>
            <w:r>
              <w:t>.</w:t>
            </w:r>
          </w:p>
        </w:tc>
      </w:tr>
      <w:tr w:rsidR="00720F21" w:rsidRPr="00176D3F" w:rsidTr="00720F21">
        <w:tc>
          <w:tcPr>
            <w:tcW w:w="8771" w:type="dxa"/>
            <w:tcBorders>
              <w:top w:val="nil"/>
              <w:left w:val="nil"/>
              <w:bottom w:val="nil"/>
              <w:right w:val="nil"/>
            </w:tcBorders>
            <w:shd w:val="clear" w:color="auto" w:fill="auto"/>
          </w:tcPr>
          <w:p w:rsidR="00720F21" w:rsidRPr="00176D3F" w:rsidRDefault="00720F21" w:rsidP="00720F21">
            <w:pPr>
              <w:pStyle w:val="Source"/>
            </w:pPr>
            <w:r>
              <w:rPr>
                <w:i/>
              </w:rPr>
              <w:t>S</w:t>
            </w:r>
            <w:r w:rsidRPr="00784A05">
              <w:rPr>
                <w:i/>
              </w:rPr>
              <w:t>ource</w:t>
            </w:r>
            <w:r w:rsidRPr="00176D3F">
              <w:t xml:space="preserve">: </w:t>
            </w:r>
            <w:r w:rsidRPr="00984F75">
              <w:t>ACARA (201</w:t>
            </w:r>
            <w:r>
              <w:t>5</w:t>
            </w:r>
            <w:r w:rsidRPr="00984F75">
              <w:t xml:space="preserve"> and unpublished) </w:t>
            </w:r>
            <w:r w:rsidRPr="00984F75">
              <w:rPr>
                <w:i/>
              </w:rPr>
              <w:t>NAPLAN Achievement in Reading, Writing, Language Conventions and Numeracy: National Report for 201</w:t>
            </w:r>
            <w:r>
              <w:rPr>
                <w:i/>
              </w:rPr>
              <w:t>5</w:t>
            </w:r>
            <w:r w:rsidRPr="00984F75">
              <w:t>; table 4A.</w:t>
            </w:r>
            <w:r>
              <w:t>64</w:t>
            </w:r>
            <w:r w:rsidRPr="00984F75">
              <w:t>.</w:t>
            </w:r>
          </w:p>
        </w:tc>
      </w:tr>
      <w:tr w:rsidR="00720F21" w:rsidTr="00720F21">
        <w:tc>
          <w:tcPr>
            <w:tcW w:w="8771" w:type="dxa"/>
            <w:tcBorders>
              <w:top w:val="nil"/>
              <w:left w:val="nil"/>
              <w:bottom w:val="single" w:sz="6" w:space="0" w:color="78A22F"/>
              <w:right w:val="nil"/>
            </w:tcBorders>
            <w:shd w:val="clear" w:color="auto" w:fill="auto"/>
          </w:tcPr>
          <w:p w:rsidR="00720F21" w:rsidRDefault="00720F21" w:rsidP="00720F21">
            <w:pPr>
              <w:pStyle w:val="Figurespace"/>
            </w:pPr>
          </w:p>
        </w:tc>
      </w:tr>
      <w:tr w:rsidR="00720F21" w:rsidRPr="000863A5" w:rsidTr="00720F21">
        <w:tc>
          <w:tcPr>
            <w:tcW w:w="8771" w:type="dxa"/>
            <w:tcBorders>
              <w:top w:val="single" w:sz="6" w:space="0" w:color="78A22F"/>
              <w:left w:val="nil"/>
              <w:bottom w:val="nil"/>
              <w:right w:val="nil"/>
            </w:tcBorders>
          </w:tcPr>
          <w:p w:rsidR="00720F21" w:rsidRPr="00626D32" w:rsidRDefault="00720F21" w:rsidP="00720F21">
            <w:pPr>
              <w:pStyle w:val="BoxSpaceBelow"/>
            </w:pPr>
          </w:p>
        </w:tc>
      </w:tr>
    </w:tbl>
    <w:p w:rsidR="004B0692" w:rsidRPr="0089766B" w:rsidRDefault="004B0692" w:rsidP="004B0692">
      <w:pPr>
        <w:pStyle w:val="BodyText"/>
      </w:pPr>
      <w:r w:rsidRPr="0089766B">
        <w:t xml:space="preserve">Statistical significance of differences across states and territories between proportions of year </w:t>
      </w:r>
      <w:r>
        <w:t>5</w:t>
      </w:r>
      <w:r w:rsidRPr="0089766B">
        <w:t xml:space="preserve"> students who achieved at or above the national minimum standard for </w:t>
      </w:r>
      <w:r>
        <w:t>numeracy</w:t>
      </w:r>
      <w:r w:rsidRPr="0089766B">
        <w:t xml:space="preserve"> in 201</w:t>
      </w:r>
      <w:r>
        <w:t>5</w:t>
      </w:r>
      <w:r w:rsidRPr="0089766B">
        <w:t xml:space="preserve"> are provided in table 4A.</w:t>
      </w:r>
      <w:r>
        <w:t>64</w:t>
      </w:r>
      <w:r w:rsidRPr="0089766B">
        <w:t>.</w:t>
      </w:r>
    </w:p>
    <w:p w:rsidR="004B0692" w:rsidRDefault="004B0692" w:rsidP="004B0692">
      <w:pPr>
        <w:pStyle w:val="BodyText"/>
      </w:pPr>
      <w:r w:rsidRPr="0089766B">
        <w:t xml:space="preserve">The mean scale score for year </w:t>
      </w:r>
      <w:r>
        <w:t>5</w:t>
      </w:r>
      <w:r w:rsidRPr="0089766B">
        <w:t xml:space="preserve"> </w:t>
      </w:r>
      <w:r>
        <w:t>numeracy</w:t>
      </w:r>
      <w:r w:rsidRPr="0089766B">
        <w:t xml:space="preserve"> </w:t>
      </w:r>
      <w:r w:rsidRPr="005E2523">
        <w:rPr>
          <w:shd w:val="clear" w:color="auto" w:fill="FFFFFF" w:themeFill="background1"/>
        </w:rPr>
        <w:t xml:space="preserve">in 2015 for all students was </w:t>
      </w:r>
      <w:r w:rsidR="001471F7" w:rsidRPr="005E2523">
        <w:rPr>
          <w:shd w:val="clear" w:color="auto" w:fill="FFFFFF" w:themeFill="background1"/>
        </w:rPr>
        <w:t>491.5–493.5</w:t>
      </w:r>
      <w:r w:rsidRPr="005E2523">
        <w:rPr>
          <w:shd w:val="clear" w:color="auto" w:fill="FFFFFF" w:themeFill="background1"/>
        </w:rPr>
        <w:t xml:space="preserve"> nationally. The mean scale score for Aboriginal and Torres Strait Islander students </w:t>
      </w:r>
      <w:r w:rsidRPr="005E2523">
        <w:rPr>
          <w:shd w:val="clear" w:color="auto" w:fill="FFFFFF" w:themeFill="background1"/>
        </w:rPr>
        <w:br/>
        <w:t>(</w:t>
      </w:r>
      <w:r w:rsidR="001471F7" w:rsidRPr="005E2523">
        <w:rPr>
          <w:shd w:val="clear" w:color="auto" w:fill="FFFFFF" w:themeFill="background1"/>
        </w:rPr>
        <w:t>425.5–430.5</w:t>
      </w:r>
      <w:r w:rsidRPr="005E2523">
        <w:rPr>
          <w:shd w:val="clear" w:color="auto" w:fill="FFFFFF" w:themeFill="background1"/>
        </w:rPr>
        <w:t>) was significantly lower than for</w:t>
      </w:r>
      <w:r w:rsidRPr="0089766B">
        <w:t xml:space="preserve"> non-Indigenous students (</w:t>
      </w:r>
      <w:r w:rsidR="00DF4FBD">
        <w:rPr>
          <w:shd w:val="clear" w:color="auto" w:fill="FFFFFF" w:themeFill="background1"/>
        </w:rPr>
        <w:t>495.5–497.5</w:t>
      </w:r>
      <w:r w:rsidRPr="0089766B">
        <w:t>). Mean scale scores varied across jurisdictions (table 4A.</w:t>
      </w:r>
      <w:r>
        <w:t>66</w:t>
      </w:r>
      <w:r w:rsidRPr="0089766B">
        <w:t>).</w:t>
      </w:r>
      <w:r>
        <w:t xml:space="preserve"> </w:t>
      </w:r>
      <w:r w:rsidRPr="0089766B">
        <w:t>Table 4</w:t>
      </w:r>
      <w:r>
        <w:t>A.66 also</w:t>
      </w:r>
      <w:r w:rsidRPr="0089766B">
        <w:t xml:space="preserve"> identifies statistical significance of differences between mean scale scores for year </w:t>
      </w:r>
      <w:r>
        <w:t>5</w:t>
      </w:r>
      <w:r w:rsidRPr="0089766B">
        <w:t xml:space="preserve"> </w:t>
      </w:r>
      <w:r>
        <w:t>numeracy</w:t>
      </w:r>
      <w:r w:rsidRPr="0089766B">
        <w:t xml:space="preserve"> outcomes across states and territories in 201</w:t>
      </w:r>
      <w:r>
        <w:t>5</w:t>
      </w:r>
      <w:r w:rsidRPr="0089766B">
        <w:t xml:space="preserve">. </w:t>
      </w:r>
    </w:p>
    <w:p w:rsidR="004D745F" w:rsidRDefault="004D745F" w:rsidP="00391AA5">
      <w:pPr>
        <w:pStyle w:val="Heading6"/>
      </w:pPr>
      <w:r>
        <w:t>Year 7 numeracy</w:t>
      </w:r>
    </w:p>
    <w:p w:rsidR="004B0692" w:rsidRDefault="004B0692" w:rsidP="004B0692">
      <w:pPr>
        <w:spacing w:before="240" w:line="320" w:lineRule="atLeast"/>
        <w:jc w:val="both"/>
        <w:rPr>
          <w:szCs w:val="20"/>
        </w:rPr>
      </w:pPr>
      <w:r w:rsidRPr="00891EF6">
        <w:rPr>
          <w:szCs w:val="20"/>
        </w:rPr>
        <w:t xml:space="preserve">The proportion of year </w:t>
      </w:r>
      <w:r>
        <w:rPr>
          <w:szCs w:val="20"/>
        </w:rPr>
        <w:t>7</w:t>
      </w:r>
      <w:r w:rsidRPr="00891EF6">
        <w:rPr>
          <w:szCs w:val="20"/>
        </w:rPr>
        <w:t xml:space="preserve"> students who achieved at or above the numeracy national minimum standard in </w:t>
      </w:r>
      <w:r w:rsidRPr="002C5BBE">
        <w:rPr>
          <w:szCs w:val="20"/>
        </w:rPr>
        <w:t>201</w:t>
      </w:r>
      <w:r>
        <w:rPr>
          <w:szCs w:val="20"/>
        </w:rPr>
        <w:t>5</w:t>
      </w:r>
      <w:r w:rsidRPr="002C5BBE">
        <w:rPr>
          <w:szCs w:val="20"/>
        </w:rPr>
        <w:t xml:space="preserve"> </w:t>
      </w:r>
      <w:r w:rsidRPr="005E2523">
        <w:rPr>
          <w:szCs w:val="20"/>
          <w:shd w:val="clear" w:color="auto" w:fill="FFFFFF" w:themeFill="background1"/>
        </w:rPr>
        <w:t xml:space="preserve">was </w:t>
      </w:r>
      <w:r w:rsidR="00DF4FBD" w:rsidRPr="005E2523">
        <w:rPr>
          <w:shd w:val="clear" w:color="auto" w:fill="FFFFFF" w:themeFill="background1"/>
        </w:rPr>
        <w:t>95.7–96.1</w:t>
      </w:r>
      <w:r w:rsidRPr="005E2523">
        <w:rPr>
          <w:shd w:val="clear" w:color="auto" w:fill="FFFFFF" w:themeFill="background1"/>
        </w:rPr>
        <w:t xml:space="preserve"> </w:t>
      </w:r>
      <w:r w:rsidRPr="005E2523">
        <w:rPr>
          <w:szCs w:val="20"/>
          <w:shd w:val="clear" w:color="auto" w:fill="FFFFFF" w:themeFill="background1"/>
        </w:rPr>
        <w:t xml:space="preserve">per cent nationally. The proportion for </w:t>
      </w:r>
      <w:r w:rsidRPr="005E2523">
        <w:rPr>
          <w:shd w:val="clear" w:color="auto" w:fill="FFFFFF" w:themeFill="background1"/>
        </w:rPr>
        <w:t>Aboriginal and Torres Strait Islander</w:t>
      </w:r>
      <w:r w:rsidRPr="005E2523">
        <w:rPr>
          <w:szCs w:val="20"/>
          <w:shd w:val="clear" w:color="auto" w:fill="FFFFFF" w:themeFill="background1"/>
        </w:rPr>
        <w:t xml:space="preserve"> students (</w:t>
      </w:r>
      <w:r w:rsidR="00DF4FBD" w:rsidRPr="005E2523">
        <w:rPr>
          <w:shd w:val="clear" w:color="auto" w:fill="FFFFFF" w:themeFill="background1"/>
        </w:rPr>
        <w:t>81.3–84.3</w:t>
      </w:r>
      <w:r w:rsidRPr="005E2523">
        <w:rPr>
          <w:shd w:val="clear" w:color="auto" w:fill="FFFFFF" w:themeFill="background1"/>
        </w:rPr>
        <w:t xml:space="preserve"> </w:t>
      </w:r>
      <w:r w:rsidRPr="005E2523">
        <w:rPr>
          <w:szCs w:val="20"/>
          <w:shd w:val="clear" w:color="auto" w:fill="FFFFFF" w:themeFill="background1"/>
        </w:rPr>
        <w:t>per cent) was significantly lower than for non</w:t>
      </w:r>
      <w:r w:rsidRPr="005E2523">
        <w:rPr>
          <w:szCs w:val="20"/>
          <w:shd w:val="clear" w:color="auto" w:fill="FFFFFF" w:themeFill="background1"/>
        </w:rPr>
        <w:noBreakHyphen/>
        <w:t>Indigenous students (</w:t>
      </w:r>
      <w:r w:rsidR="00DF4FBD" w:rsidRPr="005E2523">
        <w:rPr>
          <w:shd w:val="clear" w:color="auto" w:fill="FFFFFF" w:themeFill="background1"/>
        </w:rPr>
        <w:t>96.5–96.9</w:t>
      </w:r>
      <w:r w:rsidRPr="005E2523">
        <w:rPr>
          <w:shd w:val="clear" w:color="auto" w:fill="FFFFFF" w:themeFill="background1"/>
        </w:rPr>
        <w:t xml:space="preserve"> </w:t>
      </w:r>
      <w:r w:rsidRPr="005E2523">
        <w:rPr>
          <w:szCs w:val="20"/>
          <w:shd w:val="clear" w:color="auto" w:fill="FFFFFF" w:themeFill="background1"/>
        </w:rPr>
        <w:t>per cent) (figure 4.3</w:t>
      </w:r>
      <w:r w:rsidR="00033D89" w:rsidRPr="005E2523">
        <w:rPr>
          <w:szCs w:val="20"/>
          <w:shd w:val="clear" w:color="auto" w:fill="FFFFFF" w:themeFill="background1"/>
        </w:rPr>
        <w:t>3</w:t>
      </w:r>
      <w:r w:rsidRPr="005E2523">
        <w:rPr>
          <w:szCs w:val="20"/>
          <w:shd w:val="clear" w:color="auto" w:fill="FFFFFF" w:themeFill="background1"/>
        </w:rPr>
        <w:t>). These proportions varied across jurisdiction</w:t>
      </w:r>
      <w:r w:rsidRPr="002C5BBE">
        <w:rPr>
          <w:szCs w:val="20"/>
        </w:rPr>
        <w:t>s.</w:t>
      </w:r>
    </w:p>
    <w:p w:rsidR="00720F21" w:rsidRDefault="00720F21" w:rsidP="00720F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20F21" w:rsidTr="00720F21">
        <w:tc>
          <w:tcPr>
            <w:tcW w:w="8771" w:type="dxa"/>
            <w:tcBorders>
              <w:top w:val="single" w:sz="6" w:space="0" w:color="78A22F"/>
              <w:left w:val="nil"/>
              <w:bottom w:val="nil"/>
              <w:right w:val="nil"/>
            </w:tcBorders>
            <w:shd w:val="clear" w:color="auto" w:fill="auto"/>
          </w:tcPr>
          <w:p w:rsidR="00720F21" w:rsidRPr="00176D3F" w:rsidRDefault="00720F21" w:rsidP="00720F21">
            <w:pPr>
              <w:pStyle w:val="FigureTitle"/>
            </w:pPr>
            <w:r w:rsidRPr="00784A05">
              <w:rPr>
                <w:b w:val="0"/>
              </w:rPr>
              <w:t xml:space="preserve">Figure </w:t>
            </w:r>
            <w:r>
              <w:rPr>
                <w:b w:val="0"/>
              </w:rPr>
              <w:t>4.</w:t>
            </w:r>
            <w:r w:rsidR="00FF4FBD">
              <w:rPr>
                <w:b w:val="0"/>
                <w:noProof/>
              </w:rPr>
              <w:t>33</w:t>
            </w:r>
            <w:r>
              <w:tab/>
            </w:r>
            <w:r w:rsidRPr="00001089">
              <w:t>Proportion of year 7 students achieving at or above the numeracy national minimum standard, 201</w:t>
            </w:r>
            <w:r>
              <w:t>5</w:t>
            </w:r>
            <w:r w:rsidRPr="00001089">
              <w:rPr>
                <w:rStyle w:val="NoteLabel"/>
                <w:b/>
              </w:rPr>
              <w:t>a</w:t>
            </w:r>
          </w:p>
        </w:tc>
      </w:tr>
      <w:tr w:rsidR="00720F21" w:rsidTr="00720F2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20F21" w:rsidTr="00720F21">
              <w:trPr>
                <w:jc w:val="center"/>
              </w:trPr>
              <w:tc>
                <w:tcPr>
                  <w:tcW w:w="5000" w:type="pct"/>
                  <w:tcBorders>
                    <w:top w:val="nil"/>
                    <w:bottom w:val="nil"/>
                  </w:tcBorders>
                </w:tcPr>
                <w:p w:rsidR="00720F21" w:rsidRDefault="00EE6972" w:rsidP="00720F21">
                  <w:pPr>
                    <w:pStyle w:val="Figure"/>
                    <w:spacing w:before="60" w:after="60"/>
                  </w:pPr>
                  <w:r>
                    <w:rPr>
                      <w:noProof/>
                    </w:rPr>
                    <w:drawing>
                      <wp:inline distT="0" distB="0" distL="0" distR="0">
                        <wp:extent cx="5391150" cy="2695575"/>
                        <wp:effectExtent l="0" t="0" r="0" b="9525"/>
                        <wp:docPr id="36" name="Picture 36" descr="Figure 4.33 Proportion of year 7 students achieving at or above the numeracy national minimum standard,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720F21" w:rsidRDefault="00720F21" w:rsidP="00720F21">
            <w:pPr>
              <w:pStyle w:val="Figure"/>
            </w:pPr>
          </w:p>
        </w:tc>
      </w:tr>
      <w:tr w:rsidR="00720F21" w:rsidRPr="00176D3F" w:rsidTr="00720F21">
        <w:tc>
          <w:tcPr>
            <w:tcW w:w="8771" w:type="dxa"/>
            <w:tcBorders>
              <w:top w:val="nil"/>
              <w:left w:val="nil"/>
              <w:bottom w:val="nil"/>
              <w:right w:val="nil"/>
            </w:tcBorders>
            <w:shd w:val="clear" w:color="auto" w:fill="auto"/>
          </w:tcPr>
          <w:p w:rsidR="00720F21" w:rsidRPr="00176D3F" w:rsidRDefault="00720F21" w:rsidP="00720F21">
            <w:pPr>
              <w:pStyle w:val="Note"/>
            </w:pPr>
            <w:r>
              <w:rPr>
                <w:rStyle w:val="NoteLabel"/>
              </w:rPr>
              <w:t>a</w:t>
            </w:r>
            <w:r w:rsidRPr="00001089">
              <w:t> </w:t>
            </w:r>
            <w:r w:rsidRPr="007C767F">
              <w:t xml:space="preserve">See </w:t>
            </w:r>
            <w:r>
              <w:t xml:space="preserve">box </w:t>
            </w:r>
            <w:r w:rsidRPr="00F8126D">
              <w:t>4.</w:t>
            </w:r>
            <w:r>
              <w:t>10</w:t>
            </w:r>
            <w:r w:rsidRPr="00F8126D">
              <w:t xml:space="preserve"> </w:t>
            </w:r>
            <w:r>
              <w:t xml:space="preserve">and </w:t>
            </w:r>
            <w:r w:rsidRPr="007C767F">
              <w:t xml:space="preserve">table </w:t>
            </w:r>
            <w:r>
              <w:t xml:space="preserve">4A.64 </w:t>
            </w:r>
            <w:r w:rsidRPr="007C767F">
              <w:t>for detailed</w:t>
            </w:r>
            <w:r>
              <w:t xml:space="preserve"> </w:t>
            </w:r>
            <w:r w:rsidRPr="005B3EDD">
              <w:t>definitions, footnotes and caveats</w:t>
            </w:r>
            <w:r>
              <w:t>.</w:t>
            </w:r>
          </w:p>
        </w:tc>
      </w:tr>
      <w:tr w:rsidR="00720F21" w:rsidRPr="00176D3F" w:rsidTr="00720F21">
        <w:tc>
          <w:tcPr>
            <w:tcW w:w="8771" w:type="dxa"/>
            <w:tcBorders>
              <w:top w:val="nil"/>
              <w:left w:val="nil"/>
              <w:bottom w:val="nil"/>
              <w:right w:val="nil"/>
            </w:tcBorders>
            <w:shd w:val="clear" w:color="auto" w:fill="auto"/>
          </w:tcPr>
          <w:p w:rsidR="00720F21" w:rsidRPr="00176D3F" w:rsidRDefault="00720F21" w:rsidP="00720F21">
            <w:pPr>
              <w:pStyle w:val="Source"/>
            </w:pPr>
            <w:r>
              <w:rPr>
                <w:i/>
              </w:rPr>
              <w:t>S</w:t>
            </w:r>
            <w:r w:rsidRPr="00784A05">
              <w:rPr>
                <w:i/>
              </w:rPr>
              <w:t>ource</w:t>
            </w:r>
            <w:r w:rsidRPr="00176D3F">
              <w:t xml:space="preserve">: </w:t>
            </w:r>
            <w:r w:rsidRPr="0099541F">
              <w:t>ACARA (201</w:t>
            </w:r>
            <w:r>
              <w:t>5</w:t>
            </w:r>
            <w:r w:rsidRPr="0099541F">
              <w:t xml:space="preserve"> and unpublished) </w:t>
            </w:r>
            <w:r w:rsidRPr="0099541F">
              <w:rPr>
                <w:i/>
              </w:rPr>
              <w:t>NAPLAN Achievement in Reading, Writing, Language Conventions and Numeracy: National Report for 201</w:t>
            </w:r>
            <w:r>
              <w:rPr>
                <w:i/>
              </w:rPr>
              <w:t>5</w:t>
            </w:r>
            <w:r w:rsidRPr="0099541F">
              <w:t>; table 4A.</w:t>
            </w:r>
            <w:r>
              <w:t>64.</w:t>
            </w:r>
          </w:p>
        </w:tc>
      </w:tr>
      <w:tr w:rsidR="00720F21" w:rsidTr="00720F21">
        <w:tc>
          <w:tcPr>
            <w:tcW w:w="8771" w:type="dxa"/>
            <w:tcBorders>
              <w:top w:val="nil"/>
              <w:left w:val="nil"/>
              <w:bottom w:val="single" w:sz="6" w:space="0" w:color="78A22F"/>
              <w:right w:val="nil"/>
            </w:tcBorders>
            <w:shd w:val="clear" w:color="auto" w:fill="auto"/>
          </w:tcPr>
          <w:p w:rsidR="00720F21" w:rsidRDefault="00720F21" w:rsidP="00720F21">
            <w:pPr>
              <w:pStyle w:val="Figurespace"/>
            </w:pPr>
          </w:p>
        </w:tc>
      </w:tr>
      <w:tr w:rsidR="00720F21" w:rsidRPr="000863A5" w:rsidTr="00720F21">
        <w:tc>
          <w:tcPr>
            <w:tcW w:w="8771" w:type="dxa"/>
            <w:tcBorders>
              <w:top w:val="single" w:sz="6" w:space="0" w:color="78A22F"/>
              <w:left w:val="nil"/>
              <w:bottom w:val="nil"/>
              <w:right w:val="nil"/>
            </w:tcBorders>
          </w:tcPr>
          <w:p w:rsidR="00720F21" w:rsidRPr="00626D32" w:rsidRDefault="00720F21" w:rsidP="00720F21">
            <w:pPr>
              <w:pStyle w:val="BoxSpaceBelow"/>
            </w:pPr>
          </w:p>
        </w:tc>
      </w:tr>
    </w:tbl>
    <w:p w:rsidR="004B0692" w:rsidRPr="0089766B" w:rsidRDefault="004B0692" w:rsidP="004B0692">
      <w:pPr>
        <w:pStyle w:val="BodyText"/>
      </w:pPr>
      <w:r w:rsidRPr="0089766B">
        <w:t xml:space="preserve">Statistical significance of differences across states and territories between proportions of year </w:t>
      </w:r>
      <w:r>
        <w:t>7</w:t>
      </w:r>
      <w:r w:rsidRPr="0089766B">
        <w:t xml:space="preserve"> students who achieved at or above the national minimum standard for </w:t>
      </w:r>
      <w:r>
        <w:t>numeracy</w:t>
      </w:r>
      <w:r w:rsidRPr="0089766B">
        <w:t xml:space="preserve"> in 201</w:t>
      </w:r>
      <w:r>
        <w:t>5</w:t>
      </w:r>
      <w:r w:rsidRPr="0089766B">
        <w:t xml:space="preserve"> are provided in table 4A.</w:t>
      </w:r>
      <w:r>
        <w:t>64</w:t>
      </w:r>
      <w:r w:rsidRPr="0089766B">
        <w:t>.</w:t>
      </w:r>
    </w:p>
    <w:p w:rsidR="004B0692" w:rsidRPr="00EC7D00" w:rsidRDefault="004B0692" w:rsidP="004B0692">
      <w:pPr>
        <w:pStyle w:val="BodyText"/>
        <w:rPr>
          <w:shd w:val="clear" w:color="auto" w:fill="FFFFFF" w:themeFill="background1"/>
        </w:rPr>
      </w:pPr>
      <w:r w:rsidRPr="0089766B">
        <w:t xml:space="preserve">The mean scale score for year </w:t>
      </w:r>
      <w:r>
        <w:t>7</w:t>
      </w:r>
      <w:r w:rsidRPr="0089766B">
        <w:t xml:space="preserve"> </w:t>
      </w:r>
      <w:r>
        <w:t>numeracy</w:t>
      </w:r>
      <w:r w:rsidRPr="0089766B">
        <w:t xml:space="preserve"> in 201</w:t>
      </w:r>
      <w:r>
        <w:t>5</w:t>
      </w:r>
      <w:r w:rsidRPr="0089766B">
        <w:t xml:space="preserve"> </w:t>
      </w:r>
      <w:r w:rsidRPr="005E2523">
        <w:rPr>
          <w:shd w:val="clear" w:color="auto" w:fill="FFFFFF" w:themeFill="background1"/>
        </w:rPr>
        <w:t xml:space="preserve">for all students was </w:t>
      </w:r>
      <w:r w:rsidR="00EC7D00" w:rsidRPr="005E2523">
        <w:rPr>
          <w:shd w:val="clear" w:color="auto" w:fill="FFFFFF" w:themeFill="background1"/>
        </w:rPr>
        <w:t>540.8–544.2</w:t>
      </w:r>
      <w:r w:rsidRPr="005E2523">
        <w:rPr>
          <w:shd w:val="clear" w:color="auto" w:fill="FFFFFF" w:themeFill="background1"/>
        </w:rPr>
        <w:t xml:space="preserve"> nationally. The mean scale score for Aboriginal and Torres Strait Islander students </w:t>
      </w:r>
      <w:r w:rsidRPr="005E2523">
        <w:rPr>
          <w:shd w:val="clear" w:color="auto" w:fill="FFFFFF" w:themeFill="background1"/>
        </w:rPr>
        <w:br/>
        <w:t>(</w:t>
      </w:r>
      <w:r w:rsidR="00EC7D00" w:rsidRPr="005E2523">
        <w:rPr>
          <w:shd w:val="clear" w:color="auto" w:fill="FFFFFF" w:themeFill="background1"/>
        </w:rPr>
        <w:t>477.8–483.2</w:t>
      </w:r>
      <w:r w:rsidRPr="005E2523">
        <w:rPr>
          <w:shd w:val="clear" w:color="auto" w:fill="FFFFFF" w:themeFill="background1"/>
        </w:rPr>
        <w:t>) was significantly lower than for non-Indigenous students (</w:t>
      </w:r>
      <w:r w:rsidR="00EC7D00" w:rsidRPr="005E2523">
        <w:rPr>
          <w:shd w:val="clear" w:color="auto" w:fill="FFFFFF" w:themeFill="background1"/>
        </w:rPr>
        <w:t>544.5–547.9</w:t>
      </w:r>
      <w:r w:rsidRPr="005E2523">
        <w:rPr>
          <w:shd w:val="clear" w:color="auto" w:fill="FFFFFF" w:themeFill="background1"/>
        </w:rPr>
        <w:t>). Mean scale scores varied across jurisdictions (table 4A.66</w:t>
      </w:r>
      <w:r>
        <w:t>)</w:t>
      </w:r>
      <w:r w:rsidRPr="0089766B">
        <w:t>.</w:t>
      </w:r>
      <w:r>
        <w:t xml:space="preserve"> Table 4A.66 also</w:t>
      </w:r>
      <w:r w:rsidRPr="0089766B">
        <w:t xml:space="preserve"> identifies statistical significance of differences between mean scale scores for year </w:t>
      </w:r>
      <w:r>
        <w:t>7</w:t>
      </w:r>
      <w:r w:rsidRPr="0089766B">
        <w:t xml:space="preserve"> </w:t>
      </w:r>
      <w:r>
        <w:t>numeracy</w:t>
      </w:r>
      <w:r w:rsidRPr="0089766B">
        <w:t xml:space="preserve"> outcomes across states and territories in 201</w:t>
      </w:r>
      <w:r>
        <w:t>5</w:t>
      </w:r>
      <w:r w:rsidRPr="0089766B">
        <w:t xml:space="preserve">. </w:t>
      </w:r>
    </w:p>
    <w:p w:rsidR="004D745F" w:rsidRDefault="004D745F" w:rsidP="0064504F">
      <w:pPr>
        <w:pStyle w:val="Heading6"/>
      </w:pPr>
      <w:r>
        <w:t>Year 9 numeracy</w:t>
      </w:r>
    </w:p>
    <w:p w:rsidR="004B0692" w:rsidRDefault="004B0692" w:rsidP="004B0692">
      <w:pPr>
        <w:spacing w:before="240" w:line="320" w:lineRule="atLeast"/>
        <w:jc w:val="both"/>
        <w:rPr>
          <w:szCs w:val="20"/>
        </w:rPr>
      </w:pPr>
      <w:r w:rsidRPr="00891EF6">
        <w:rPr>
          <w:szCs w:val="20"/>
        </w:rPr>
        <w:t xml:space="preserve">The proportion of year </w:t>
      </w:r>
      <w:r>
        <w:rPr>
          <w:szCs w:val="20"/>
        </w:rPr>
        <w:t>9</w:t>
      </w:r>
      <w:r w:rsidRPr="00891EF6">
        <w:rPr>
          <w:szCs w:val="20"/>
        </w:rPr>
        <w:t xml:space="preserve"> students who achieved at or above the numeracy national minimum standard in </w:t>
      </w:r>
      <w:r w:rsidRPr="002C5BBE">
        <w:rPr>
          <w:szCs w:val="20"/>
        </w:rPr>
        <w:t>201</w:t>
      </w:r>
      <w:r>
        <w:rPr>
          <w:szCs w:val="20"/>
        </w:rPr>
        <w:t>5</w:t>
      </w:r>
      <w:r w:rsidRPr="002C5BBE">
        <w:rPr>
          <w:szCs w:val="20"/>
        </w:rPr>
        <w:t xml:space="preserve"> </w:t>
      </w:r>
      <w:r w:rsidRPr="005E2523">
        <w:rPr>
          <w:szCs w:val="20"/>
          <w:shd w:val="clear" w:color="auto" w:fill="FFFFFF" w:themeFill="background1"/>
        </w:rPr>
        <w:t xml:space="preserve">was </w:t>
      </w:r>
      <w:r w:rsidR="00EC7D00" w:rsidRPr="005E2523">
        <w:rPr>
          <w:shd w:val="clear" w:color="auto" w:fill="FFFFFF" w:themeFill="background1"/>
        </w:rPr>
        <w:t>95.5–95.9</w:t>
      </w:r>
      <w:r w:rsidRPr="005E2523">
        <w:rPr>
          <w:shd w:val="clear" w:color="auto" w:fill="FFFFFF" w:themeFill="background1"/>
        </w:rPr>
        <w:t xml:space="preserve"> </w:t>
      </w:r>
      <w:r w:rsidRPr="005E2523">
        <w:rPr>
          <w:szCs w:val="20"/>
          <w:shd w:val="clear" w:color="auto" w:fill="FFFFFF" w:themeFill="background1"/>
        </w:rPr>
        <w:t xml:space="preserve">per cent nationally. The proportion for </w:t>
      </w:r>
      <w:r w:rsidRPr="005E2523">
        <w:rPr>
          <w:shd w:val="clear" w:color="auto" w:fill="FFFFFF" w:themeFill="background1"/>
        </w:rPr>
        <w:t>Aboriginal and Torres Strait Islander</w:t>
      </w:r>
      <w:r w:rsidRPr="005E2523">
        <w:rPr>
          <w:szCs w:val="20"/>
          <w:shd w:val="clear" w:color="auto" w:fill="FFFFFF" w:themeFill="background1"/>
        </w:rPr>
        <w:t xml:space="preserve"> students (</w:t>
      </w:r>
      <w:r w:rsidR="00EC7D00" w:rsidRPr="005E2523">
        <w:rPr>
          <w:shd w:val="clear" w:color="auto" w:fill="FFFFFF" w:themeFill="background1"/>
        </w:rPr>
        <w:t>81.5–84.1</w:t>
      </w:r>
      <w:r w:rsidRPr="005E2523">
        <w:rPr>
          <w:shd w:val="clear" w:color="auto" w:fill="FFFFFF" w:themeFill="background1"/>
        </w:rPr>
        <w:t xml:space="preserve"> </w:t>
      </w:r>
      <w:r w:rsidRPr="005E2523">
        <w:rPr>
          <w:szCs w:val="20"/>
          <w:shd w:val="clear" w:color="auto" w:fill="FFFFFF" w:themeFill="background1"/>
        </w:rPr>
        <w:t>per cent) was significantly lower than for non</w:t>
      </w:r>
      <w:r w:rsidRPr="005E2523">
        <w:rPr>
          <w:szCs w:val="20"/>
          <w:shd w:val="clear" w:color="auto" w:fill="FFFFFF" w:themeFill="background1"/>
        </w:rPr>
        <w:noBreakHyphen/>
        <w:t>Indigenous students (</w:t>
      </w:r>
      <w:r w:rsidR="00EC7D00" w:rsidRPr="005E2523">
        <w:rPr>
          <w:shd w:val="clear" w:color="auto" w:fill="FFFFFF" w:themeFill="background1"/>
        </w:rPr>
        <w:t>96.2–96.6</w:t>
      </w:r>
      <w:r w:rsidRPr="005E2523">
        <w:rPr>
          <w:shd w:val="clear" w:color="auto" w:fill="FFFFFF" w:themeFill="background1"/>
        </w:rPr>
        <w:t xml:space="preserve"> </w:t>
      </w:r>
      <w:r w:rsidRPr="005E2523">
        <w:rPr>
          <w:szCs w:val="20"/>
          <w:shd w:val="clear" w:color="auto" w:fill="FFFFFF" w:themeFill="background1"/>
        </w:rPr>
        <w:t>per</w:t>
      </w:r>
      <w:r w:rsidRPr="002C5BBE">
        <w:rPr>
          <w:szCs w:val="20"/>
        </w:rPr>
        <w:t xml:space="preserve"> cent) (figure 4.</w:t>
      </w:r>
      <w:r>
        <w:rPr>
          <w:szCs w:val="20"/>
        </w:rPr>
        <w:t>3</w:t>
      </w:r>
      <w:r w:rsidR="00033D89">
        <w:rPr>
          <w:szCs w:val="20"/>
        </w:rPr>
        <w:t>4</w:t>
      </w:r>
      <w:r w:rsidRPr="002C5BBE">
        <w:rPr>
          <w:szCs w:val="20"/>
        </w:rPr>
        <w:t>). These proportions varied across jurisdictions.</w:t>
      </w:r>
    </w:p>
    <w:p w:rsidR="004B0692" w:rsidRDefault="004B0692" w:rsidP="004B069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B0692" w:rsidTr="006D7834">
        <w:tc>
          <w:tcPr>
            <w:tcW w:w="8771" w:type="dxa"/>
            <w:tcBorders>
              <w:top w:val="single" w:sz="6" w:space="0" w:color="78A22F"/>
              <w:left w:val="nil"/>
              <w:bottom w:val="nil"/>
              <w:right w:val="nil"/>
            </w:tcBorders>
            <w:shd w:val="clear" w:color="auto" w:fill="auto"/>
          </w:tcPr>
          <w:p w:rsidR="004B0692" w:rsidRPr="00176D3F" w:rsidRDefault="004B0692" w:rsidP="00A63943">
            <w:pPr>
              <w:pStyle w:val="FigureTitle"/>
            </w:pPr>
            <w:r w:rsidRPr="00784A05">
              <w:rPr>
                <w:b w:val="0"/>
              </w:rPr>
              <w:t xml:space="preserve">Figure </w:t>
            </w:r>
            <w:r>
              <w:rPr>
                <w:b w:val="0"/>
              </w:rPr>
              <w:t>4.</w:t>
            </w:r>
            <w:r w:rsidR="00FF4FBD">
              <w:rPr>
                <w:b w:val="0"/>
                <w:noProof/>
              </w:rPr>
              <w:t>34</w:t>
            </w:r>
            <w:r>
              <w:tab/>
            </w:r>
            <w:r w:rsidRPr="0099541F">
              <w:t>Proportion of year 9 students achieving at or above the numeracy national minimum standard, 201</w:t>
            </w:r>
            <w:r>
              <w:t>5</w:t>
            </w:r>
            <w:r w:rsidRPr="0099541F">
              <w:rPr>
                <w:rStyle w:val="NoteLabel"/>
                <w:b/>
              </w:rPr>
              <w:t>a</w:t>
            </w:r>
            <w:r w:rsidRPr="00DA7139">
              <w:rPr>
                <w:rStyle w:val="DraftingNote"/>
                <w:rFonts w:ascii="Times New Roman" w:hAnsi="Times New Roman"/>
                <w:b/>
              </w:rPr>
              <w:t xml:space="preserve"> </w:t>
            </w:r>
          </w:p>
        </w:tc>
      </w:tr>
      <w:tr w:rsidR="004B0692" w:rsidTr="005E2523">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B0692" w:rsidTr="006D7834">
              <w:trPr>
                <w:jc w:val="center"/>
              </w:trPr>
              <w:tc>
                <w:tcPr>
                  <w:tcW w:w="5000" w:type="pct"/>
                  <w:tcBorders>
                    <w:top w:val="nil"/>
                    <w:bottom w:val="nil"/>
                  </w:tcBorders>
                </w:tcPr>
                <w:p w:rsidR="004B0692" w:rsidRDefault="00EE6972" w:rsidP="006D7834">
                  <w:pPr>
                    <w:pStyle w:val="Figure"/>
                    <w:spacing w:before="60" w:after="60"/>
                  </w:pPr>
                  <w:r>
                    <w:rPr>
                      <w:noProof/>
                    </w:rPr>
                    <w:drawing>
                      <wp:inline distT="0" distB="0" distL="0" distR="0">
                        <wp:extent cx="5391150" cy="2705100"/>
                        <wp:effectExtent l="0" t="0" r="0" b="0"/>
                        <wp:docPr id="37" name="Picture 37" descr="Figure 4.34 Proportion of year 9 students achieving at or above the numeracy national minimum standard,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4B0692" w:rsidRDefault="004B0692" w:rsidP="006D7834">
            <w:pPr>
              <w:pStyle w:val="Figure"/>
            </w:pPr>
          </w:p>
        </w:tc>
      </w:tr>
      <w:tr w:rsidR="004B0692" w:rsidRPr="00176D3F" w:rsidTr="006D7834">
        <w:tc>
          <w:tcPr>
            <w:tcW w:w="8771" w:type="dxa"/>
            <w:tcBorders>
              <w:top w:val="nil"/>
              <w:left w:val="nil"/>
              <w:bottom w:val="nil"/>
              <w:right w:val="nil"/>
            </w:tcBorders>
            <w:shd w:val="clear" w:color="auto" w:fill="auto"/>
          </w:tcPr>
          <w:p w:rsidR="004B0692" w:rsidRPr="00176D3F" w:rsidRDefault="004B0692" w:rsidP="00496590">
            <w:pPr>
              <w:pStyle w:val="Note"/>
            </w:pPr>
            <w:r>
              <w:rPr>
                <w:rStyle w:val="NoteLabel"/>
              </w:rPr>
              <w:t>a</w:t>
            </w:r>
            <w:r>
              <w:t xml:space="preserve"> </w:t>
            </w:r>
            <w:r w:rsidR="00D20DC5" w:rsidRPr="007C767F">
              <w:t xml:space="preserve">See </w:t>
            </w:r>
            <w:r w:rsidR="00D20DC5">
              <w:t xml:space="preserve">box </w:t>
            </w:r>
            <w:r w:rsidR="00496590" w:rsidRPr="00F8126D">
              <w:t>4.</w:t>
            </w:r>
            <w:r w:rsidR="00496590">
              <w:t>10</w:t>
            </w:r>
            <w:r w:rsidR="00D20DC5">
              <w:t xml:space="preserve"> and </w:t>
            </w:r>
            <w:r w:rsidR="00D20DC5" w:rsidRPr="007C767F">
              <w:t xml:space="preserve">table </w:t>
            </w:r>
            <w:r w:rsidR="00D20DC5">
              <w:t xml:space="preserve">4A.64 </w:t>
            </w:r>
            <w:r w:rsidR="00D20DC5" w:rsidRPr="007C767F">
              <w:t>for detailed</w:t>
            </w:r>
            <w:r w:rsidR="00D20DC5">
              <w:t xml:space="preserve"> </w:t>
            </w:r>
            <w:r w:rsidR="00D20DC5" w:rsidRPr="005B3EDD">
              <w:t>definitions, footnotes and caveats</w:t>
            </w:r>
            <w:r w:rsidR="00D20DC5">
              <w:t>.</w:t>
            </w:r>
          </w:p>
        </w:tc>
      </w:tr>
      <w:tr w:rsidR="004B0692" w:rsidRPr="00176D3F" w:rsidTr="006D7834">
        <w:tc>
          <w:tcPr>
            <w:tcW w:w="8771" w:type="dxa"/>
            <w:tcBorders>
              <w:top w:val="nil"/>
              <w:left w:val="nil"/>
              <w:bottom w:val="nil"/>
              <w:right w:val="nil"/>
            </w:tcBorders>
            <w:shd w:val="clear" w:color="auto" w:fill="auto"/>
          </w:tcPr>
          <w:p w:rsidR="004B0692" w:rsidRPr="00176D3F" w:rsidRDefault="004B0692" w:rsidP="006D7834">
            <w:pPr>
              <w:pStyle w:val="Source"/>
            </w:pPr>
            <w:r>
              <w:rPr>
                <w:i/>
              </w:rPr>
              <w:t>S</w:t>
            </w:r>
            <w:r w:rsidRPr="00784A05">
              <w:rPr>
                <w:i/>
              </w:rPr>
              <w:t>ource</w:t>
            </w:r>
            <w:r w:rsidRPr="00176D3F">
              <w:t xml:space="preserve">: </w:t>
            </w:r>
            <w:r w:rsidRPr="0099541F">
              <w:t>ACARA (201</w:t>
            </w:r>
            <w:r>
              <w:t>5</w:t>
            </w:r>
            <w:r w:rsidRPr="0099541F">
              <w:t xml:space="preserve"> and unpublished) </w:t>
            </w:r>
            <w:r w:rsidRPr="0099541F">
              <w:rPr>
                <w:i/>
              </w:rPr>
              <w:t>NAPLAN Achievement in Reading, Writing, Language Conventions and Numeracy: National Report for 201</w:t>
            </w:r>
            <w:r>
              <w:rPr>
                <w:i/>
              </w:rPr>
              <w:t>5</w:t>
            </w:r>
            <w:r w:rsidRPr="0099541F">
              <w:t>; table 4A.</w:t>
            </w:r>
            <w:r>
              <w:t>64</w:t>
            </w:r>
            <w:r w:rsidRPr="0099541F">
              <w:t>.</w:t>
            </w:r>
          </w:p>
        </w:tc>
      </w:tr>
      <w:tr w:rsidR="004B0692" w:rsidTr="006D7834">
        <w:tc>
          <w:tcPr>
            <w:tcW w:w="8771" w:type="dxa"/>
            <w:tcBorders>
              <w:top w:val="nil"/>
              <w:left w:val="nil"/>
              <w:bottom w:val="single" w:sz="6" w:space="0" w:color="78A22F"/>
              <w:right w:val="nil"/>
            </w:tcBorders>
            <w:shd w:val="clear" w:color="auto" w:fill="auto"/>
          </w:tcPr>
          <w:p w:rsidR="004B0692" w:rsidRDefault="004B0692" w:rsidP="006D7834">
            <w:pPr>
              <w:pStyle w:val="Figurespace"/>
            </w:pPr>
          </w:p>
        </w:tc>
      </w:tr>
      <w:tr w:rsidR="004B0692" w:rsidRPr="000863A5" w:rsidTr="006D7834">
        <w:tc>
          <w:tcPr>
            <w:tcW w:w="8771" w:type="dxa"/>
            <w:tcBorders>
              <w:top w:val="single" w:sz="6" w:space="0" w:color="78A22F"/>
              <w:left w:val="nil"/>
              <w:bottom w:val="nil"/>
              <w:right w:val="nil"/>
            </w:tcBorders>
          </w:tcPr>
          <w:p w:rsidR="004B0692" w:rsidRPr="00626D32" w:rsidRDefault="004B0692" w:rsidP="006D7834">
            <w:pPr>
              <w:pStyle w:val="BoxSpaceBelow"/>
            </w:pPr>
          </w:p>
        </w:tc>
      </w:tr>
    </w:tbl>
    <w:p w:rsidR="004B0692" w:rsidRPr="0089766B" w:rsidRDefault="004B0692" w:rsidP="004B0692">
      <w:pPr>
        <w:pStyle w:val="BodyText"/>
      </w:pPr>
      <w:r w:rsidRPr="0089766B">
        <w:t xml:space="preserve">Statistical significance of differences across states and territories between proportions of year </w:t>
      </w:r>
      <w:r>
        <w:t>9</w:t>
      </w:r>
      <w:r w:rsidRPr="0089766B">
        <w:t xml:space="preserve"> students who achieved at or above the national minimum standard for </w:t>
      </w:r>
      <w:r>
        <w:t>numeracy</w:t>
      </w:r>
      <w:r w:rsidRPr="0089766B">
        <w:t xml:space="preserve"> in 201</w:t>
      </w:r>
      <w:r>
        <w:t>5</w:t>
      </w:r>
      <w:r w:rsidRPr="0089766B">
        <w:t xml:space="preserve"> are provided in table 4A.</w:t>
      </w:r>
      <w:r>
        <w:t>64</w:t>
      </w:r>
      <w:r w:rsidRPr="0089766B">
        <w:t>.</w:t>
      </w:r>
    </w:p>
    <w:p w:rsidR="004B0692" w:rsidRDefault="004B0692" w:rsidP="004B0692">
      <w:pPr>
        <w:pStyle w:val="BodyText"/>
      </w:pPr>
      <w:r w:rsidRPr="0089766B">
        <w:t xml:space="preserve">The mean scale score for year </w:t>
      </w:r>
      <w:r>
        <w:t>9</w:t>
      </w:r>
      <w:r w:rsidRPr="0089766B">
        <w:t xml:space="preserve"> </w:t>
      </w:r>
      <w:r>
        <w:t>numeracy</w:t>
      </w:r>
      <w:r w:rsidRPr="0089766B">
        <w:t xml:space="preserve"> in 201</w:t>
      </w:r>
      <w:r>
        <w:t>5</w:t>
      </w:r>
      <w:r w:rsidRPr="0089766B">
        <w:t xml:space="preserve"> for all </w:t>
      </w:r>
      <w:r w:rsidRPr="005E2523">
        <w:rPr>
          <w:shd w:val="clear" w:color="auto" w:fill="FFFFFF" w:themeFill="background1"/>
        </w:rPr>
        <w:t xml:space="preserve">students was </w:t>
      </w:r>
      <w:r w:rsidR="00EC7D00" w:rsidRPr="005E2523">
        <w:rPr>
          <w:shd w:val="clear" w:color="auto" w:fill="FFFFFF" w:themeFill="background1"/>
        </w:rPr>
        <w:t>589.8</w:t>
      </w:r>
      <w:r w:rsidRPr="005E2523">
        <w:rPr>
          <w:shd w:val="clear" w:color="auto" w:fill="FFFFFF" w:themeFill="background1"/>
        </w:rPr>
        <w:t>–</w:t>
      </w:r>
      <w:r w:rsidR="00EC7D00" w:rsidRPr="005E2523">
        <w:rPr>
          <w:shd w:val="clear" w:color="auto" w:fill="FFFFFF" w:themeFill="background1"/>
        </w:rPr>
        <w:t>593.6</w:t>
      </w:r>
      <w:r w:rsidRPr="005E2523">
        <w:rPr>
          <w:shd w:val="clear" w:color="auto" w:fill="FFFFFF" w:themeFill="background1"/>
        </w:rPr>
        <w:t xml:space="preserve"> nationally. The mean scale score for Aboriginal and Torres Strait Islander students </w:t>
      </w:r>
      <w:r w:rsidRPr="005E2523">
        <w:rPr>
          <w:shd w:val="clear" w:color="auto" w:fill="FFFFFF" w:themeFill="background1"/>
        </w:rPr>
        <w:br/>
        <w:t>(</w:t>
      </w:r>
      <w:r w:rsidR="00EC7D00" w:rsidRPr="005E2523">
        <w:rPr>
          <w:shd w:val="clear" w:color="auto" w:fill="FFFFFF" w:themeFill="background1"/>
        </w:rPr>
        <w:t>529.6</w:t>
      </w:r>
      <w:r w:rsidRPr="005E2523">
        <w:rPr>
          <w:shd w:val="clear" w:color="auto" w:fill="FFFFFF" w:themeFill="background1"/>
        </w:rPr>
        <w:t>–</w:t>
      </w:r>
      <w:r w:rsidR="00EC7D00" w:rsidRPr="005E2523">
        <w:rPr>
          <w:shd w:val="clear" w:color="auto" w:fill="FFFFFF" w:themeFill="background1"/>
        </w:rPr>
        <w:t>534.2</w:t>
      </w:r>
      <w:r w:rsidRPr="005E2523">
        <w:rPr>
          <w:shd w:val="clear" w:color="auto" w:fill="FFFFFF" w:themeFill="background1"/>
        </w:rPr>
        <w:t>) was significantly lower than for non-Indigenous students (</w:t>
      </w:r>
      <w:r w:rsidR="00EC7D00" w:rsidRPr="005E2523">
        <w:rPr>
          <w:shd w:val="clear" w:color="auto" w:fill="FFFFFF" w:themeFill="background1"/>
        </w:rPr>
        <w:t>593.3</w:t>
      </w:r>
      <w:r w:rsidRPr="005E2523">
        <w:rPr>
          <w:shd w:val="clear" w:color="auto" w:fill="FFFFFF" w:themeFill="background1"/>
        </w:rPr>
        <w:t>–</w:t>
      </w:r>
      <w:r w:rsidR="00EC7D00" w:rsidRPr="005E2523">
        <w:rPr>
          <w:shd w:val="clear" w:color="auto" w:fill="FFFFFF" w:themeFill="background1"/>
        </w:rPr>
        <w:t>597.1</w:t>
      </w:r>
      <w:r w:rsidRPr="005E2523">
        <w:rPr>
          <w:shd w:val="clear" w:color="auto" w:fill="FFFFFF" w:themeFill="background1"/>
        </w:rPr>
        <w:t>). Mean scale scores varied across jurisdictions (table 4A.66</w:t>
      </w:r>
      <w:r w:rsidR="00EC7D00" w:rsidRPr="005E2523">
        <w:rPr>
          <w:shd w:val="clear" w:color="auto" w:fill="FFFFFF" w:themeFill="background1"/>
        </w:rPr>
        <w:t>)</w:t>
      </w:r>
      <w:r w:rsidRPr="005E2523">
        <w:rPr>
          <w:shd w:val="clear" w:color="auto" w:fill="FFFFFF" w:themeFill="background1"/>
        </w:rPr>
        <w:t>. Table 4A</w:t>
      </w:r>
      <w:r>
        <w:t xml:space="preserve">.66 also </w:t>
      </w:r>
      <w:r w:rsidRPr="0089766B">
        <w:t xml:space="preserve">identifies statistical significance of differences between mean scale scores for year </w:t>
      </w:r>
      <w:r>
        <w:t>9</w:t>
      </w:r>
      <w:r w:rsidRPr="0089766B">
        <w:t xml:space="preserve"> </w:t>
      </w:r>
      <w:r>
        <w:t xml:space="preserve">numeracy </w:t>
      </w:r>
      <w:r w:rsidRPr="0089766B">
        <w:t>outcomes across states and territories in 201</w:t>
      </w:r>
      <w:r>
        <w:t>5</w:t>
      </w:r>
      <w:r w:rsidRPr="0089766B">
        <w:t xml:space="preserve">. </w:t>
      </w:r>
    </w:p>
    <w:p w:rsidR="004B0692" w:rsidRPr="00666ECE" w:rsidRDefault="004B0692" w:rsidP="004B0692">
      <w:pPr>
        <w:pStyle w:val="Heading6"/>
      </w:pPr>
      <w:r w:rsidRPr="00666ECE">
        <w:t>Geolocation</w:t>
      </w:r>
    </w:p>
    <w:p w:rsidR="004B0692" w:rsidRPr="000A554E" w:rsidRDefault="004B0692" w:rsidP="004B0692">
      <w:pPr>
        <w:pStyle w:val="BodyText"/>
      </w:pPr>
      <w:r w:rsidRPr="00666ECE">
        <w:t xml:space="preserve">Across all year levels, </w:t>
      </w:r>
      <w:r w:rsidRPr="00891EF6">
        <w:t xml:space="preserve">numeracy outcomes tended to decline with remoteness. For year </w:t>
      </w:r>
      <w:r>
        <w:t>3</w:t>
      </w:r>
      <w:r w:rsidRPr="00891EF6">
        <w:t xml:space="preserve">, for </w:t>
      </w:r>
      <w:r w:rsidRPr="000A554E">
        <w:t>example</w:t>
      </w:r>
      <w:r w:rsidRPr="005E2523">
        <w:rPr>
          <w:shd w:val="clear" w:color="auto" w:fill="FFFFFF" w:themeFill="background1"/>
        </w:rPr>
        <w:t xml:space="preserve">, </w:t>
      </w:r>
      <w:r w:rsidR="00EC7D00" w:rsidRPr="005E2523">
        <w:rPr>
          <w:shd w:val="clear" w:color="auto" w:fill="FFFFFF" w:themeFill="background1"/>
        </w:rPr>
        <w:t>95.1</w:t>
      </w:r>
      <w:r w:rsidR="00A63943" w:rsidRPr="005E2523">
        <w:rPr>
          <w:shd w:val="clear" w:color="auto" w:fill="FFFFFF" w:themeFill="background1"/>
        </w:rPr>
        <w:t>–</w:t>
      </w:r>
      <w:r w:rsidR="00EC7D00" w:rsidRPr="005E2523">
        <w:rPr>
          <w:shd w:val="clear" w:color="auto" w:fill="FFFFFF" w:themeFill="background1"/>
        </w:rPr>
        <w:t>95.5</w:t>
      </w:r>
      <w:r w:rsidRPr="005E2523">
        <w:rPr>
          <w:shd w:val="clear" w:color="auto" w:fill="FFFFFF" w:themeFill="background1"/>
        </w:rPr>
        <w:t xml:space="preserve"> per cent of students in metropolitan areas achieved at or above the national minimum standard, higher than the proportion for provincial students </w:t>
      </w:r>
      <w:r w:rsidRPr="005E2523">
        <w:rPr>
          <w:shd w:val="clear" w:color="auto" w:fill="FFFFFF" w:themeFill="background1"/>
        </w:rPr>
        <w:br/>
        <w:t>(</w:t>
      </w:r>
      <w:r w:rsidR="00C3749C">
        <w:rPr>
          <w:shd w:val="clear" w:color="auto" w:fill="FFFFFF" w:themeFill="background1"/>
        </w:rPr>
        <w:t>93.2</w:t>
      </w:r>
      <w:r w:rsidR="00E262C3">
        <w:rPr>
          <w:shd w:val="clear" w:color="auto" w:fill="FFFFFF" w:themeFill="background1"/>
        </w:rPr>
        <w:t>–</w:t>
      </w:r>
      <w:r w:rsidR="00EC7D00" w:rsidRPr="005E2523">
        <w:rPr>
          <w:shd w:val="clear" w:color="auto" w:fill="FFFFFF" w:themeFill="background1"/>
        </w:rPr>
        <w:t>94.0</w:t>
      </w:r>
      <w:r w:rsidRPr="005E2523">
        <w:rPr>
          <w:shd w:val="clear" w:color="auto" w:fill="FFFFFF" w:themeFill="background1"/>
        </w:rPr>
        <w:t xml:space="preserve"> per cent), remote students (</w:t>
      </w:r>
      <w:r w:rsidR="00390679">
        <w:rPr>
          <w:shd w:val="clear" w:color="auto" w:fill="FFFFFF" w:themeFill="background1"/>
        </w:rPr>
        <w:t>85.8</w:t>
      </w:r>
      <w:r w:rsidR="00EC7D00" w:rsidRPr="005E2523">
        <w:rPr>
          <w:shd w:val="clear" w:color="auto" w:fill="FFFFFF" w:themeFill="background1"/>
        </w:rPr>
        <w:t>–</w:t>
      </w:r>
      <w:r w:rsidR="00390679">
        <w:rPr>
          <w:shd w:val="clear" w:color="auto" w:fill="FFFFFF" w:themeFill="background1"/>
        </w:rPr>
        <w:t>90.2</w:t>
      </w:r>
      <w:r w:rsidRPr="005E2523">
        <w:rPr>
          <w:shd w:val="clear" w:color="auto" w:fill="FFFFFF" w:themeFill="background1"/>
        </w:rPr>
        <w:t xml:space="preserve"> per cent) and very remote students </w:t>
      </w:r>
      <w:r w:rsidRPr="005E2523">
        <w:rPr>
          <w:shd w:val="clear" w:color="auto" w:fill="FFFFFF" w:themeFill="background1"/>
        </w:rPr>
        <w:br/>
        <w:t>(</w:t>
      </w:r>
      <w:r w:rsidR="00390679">
        <w:rPr>
          <w:shd w:val="clear" w:color="auto" w:fill="FFFFFF" w:themeFill="background1"/>
        </w:rPr>
        <w:t>59.4</w:t>
      </w:r>
      <w:r w:rsidR="00EC7D00" w:rsidRPr="005E2523">
        <w:rPr>
          <w:shd w:val="clear" w:color="auto" w:fill="FFFFFF" w:themeFill="background1"/>
        </w:rPr>
        <w:t>–</w:t>
      </w:r>
      <w:r w:rsidR="00390679">
        <w:rPr>
          <w:shd w:val="clear" w:color="auto" w:fill="FFFFFF" w:themeFill="background1"/>
        </w:rPr>
        <w:t>69.0</w:t>
      </w:r>
      <w:r w:rsidRPr="005E2523">
        <w:rPr>
          <w:shd w:val="clear" w:color="auto" w:fill="FFFFFF" w:themeFill="background1"/>
        </w:rPr>
        <w:t xml:space="preserve"> per cent) (figure</w:t>
      </w:r>
      <w:r w:rsidRPr="000A554E">
        <w:t xml:space="preserve"> 4.</w:t>
      </w:r>
      <w:r>
        <w:t>3</w:t>
      </w:r>
      <w:r w:rsidR="00033D89">
        <w:t>5</w:t>
      </w:r>
      <w:r w:rsidRPr="000A554E">
        <w:t>).</w:t>
      </w:r>
    </w:p>
    <w:p w:rsidR="004B0692" w:rsidRDefault="004B0692" w:rsidP="004B069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B0692" w:rsidTr="006D7834">
        <w:tc>
          <w:tcPr>
            <w:tcW w:w="8771" w:type="dxa"/>
            <w:tcBorders>
              <w:top w:val="single" w:sz="6" w:space="0" w:color="78A22F"/>
              <w:left w:val="nil"/>
              <w:bottom w:val="nil"/>
              <w:right w:val="nil"/>
            </w:tcBorders>
            <w:shd w:val="clear" w:color="auto" w:fill="auto"/>
          </w:tcPr>
          <w:p w:rsidR="004B0692" w:rsidRPr="00176D3F" w:rsidRDefault="004B0692" w:rsidP="009F604D">
            <w:pPr>
              <w:pStyle w:val="FigureTitle"/>
            </w:pPr>
            <w:r w:rsidRPr="00784A05">
              <w:rPr>
                <w:b w:val="0"/>
              </w:rPr>
              <w:t xml:space="preserve">Figure </w:t>
            </w:r>
            <w:r>
              <w:rPr>
                <w:b w:val="0"/>
              </w:rPr>
              <w:t>4.</w:t>
            </w:r>
            <w:r w:rsidR="00FF4FBD">
              <w:rPr>
                <w:b w:val="0"/>
                <w:noProof/>
              </w:rPr>
              <w:t>35</w:t>
            </w:r>
            <w:r>
              <w:tab/>
            </w:r>
            <w:r w:rsidRPr="006C72B4">
              <w:t>National proportion of year 3 students achieving at or above the numeracy national minimum standard, by Indigenous status and geolocation, 201</w:t>
            </w:r>
            <w:r>
              <w:t>5</w:t>
            </w:r>
            <w:r w:rsidR="00D20DC5">
              <w:rPr>
                <w:rStyle w:val="NoteLabel"/>
                <w:b/>
              </w:rPr>
              <w:t>a</w:t>
            </w:r>
          </w:p>
        </w:tc>
      </w:tr>
      <w:tr w:rsidR="004B0692" w:rsidTr="005E2523">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B0692" w:rsidTr="006D7834">
              <w:trPr>
                <w:jc w:val="center"/>
              </w:trPr>
              <w:tc>
                <w:tcPr>
                  <w:tcW w:w="5000" w:type="pct"/>
                  <w:tcBorders>
                    <w:top w:val="nil"/>
                    <w:bottom w:val="nil"/>
                  </w:tcBorders>
                </w:tcPr>
                <w:p w:rsidR="004B0692" w:rsidRDefault="00EE6972" w:rsidP="006D7834">
                  <w:pPr>
                    <w:pStyle w:val="Figure"/>
                    <w:spacing w:before="60" w:after="60"/>
                  </w:pPr>
                  <w:r>
                    <w:rPr>
                      <w:noProof/>
                    </w:rPr>
                    <w:drawing>
                      <wp:inline distT="0" distB="0" distL="0" distR="0">
                        <wp:extent cx="5391150" cy="2705100"/>
                        <wp:effectExtent l="0" t="0" r="0" b="0"/>
                        <wp:docPr id="38" name="Picture 38" descr="Figure 4.35 National proportion of year 3 students achieving at or above the numeracy national minimum standard, by Indigenous status and geolocation,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4B0692" w:rsidRDefault="004B0692" w:rsidP="006D7834">
            <w:pPr>
              <w:pStyle w:val="Figure"/>
            </w:pPr>
          </w:p>
        </w:tc>
      </w:tr>
      <w:tr w:rsidR="004B0692" w:rsidRPr="00176D3F" w:rsidTr="006D7834">
        <w:tc>
          <w:tcPr>
            <w:tcW w:w="8771" w:type="dxa"/>
            <w:tcBorders>
              <w:top w:val="nil"/>
              <w:left w:val="nil"/>
              <w:bottom w:val="nil"/>
              <w:right w:val="nil"/>
            </w:tcBorders>
            <w:shd w:val="clear" w:color="auto" w:fill="auto"/>
          </w:tcPr>
          <w:p w:rsidR="004B0692" w:rsidRPr="00176D3F" w:rsidRDefault="004B0692" w:rsidP="00D20DC5">
            <w:pPr>
              <w:pStyle w:val="Note"/>
            </w:pPr>
            <w:r>
              <w:rPr>
                <w:rStyle w:val="NoteLabel"/>
              </w:rPr>
              <w:t>a</w:t>
            </w:r>
            <w:r>
              <w:t xml:space="preserve"> </w:t>
            </w:r>
            <w:r w:rsidR="00D20DC5" w:rsidRPr="00D20DC5">
              <w:t xml:space="preserve">See box </w:t>
            </w:r>
            <w:r w:rsidR="002E5EAF" w:rsidRPr="00F8126D">
              <w:t>4.</w:t>
            </w:r>
            <w:r w:rsidR="002E5EAF">
              <w:t>10</w:t>
            </w:r>
            <w:r w:rsidR="002E5EAF" w:rsidRPr="00F8126D">
              <w:t xml:space="preserve"> </w:t>
            </w:r>
            <w:r w:rsidR="00D20DC5" w:rsidRPr="00D20DC5">
              <w:t>and table 4A.64 for detailed definitions, footnotes and caveats.</w:t>
            </w:r>
            <w:r w:rsidRPr="006C72B4">
              <w:t xml:space="preserve"> </w:t>
            </w:r>
          </w:p>
        </w:tc>
      </w:tr>
      <w:tr w:rsidR="004B0692" w:rsidRPr="00176D3F" w:rsidTr="006D7834">
        <w:tc>
          <w:tcPr>
            <w:tcW w:w="8771" w:type="dxa"/>
            <w:tcBorders>
              <w:top w:val="nil"/>
              <w:left w:val="nil"/>
              <w:bottom w:val="nil"/>
              <w:right w:val="nil"/>
            </w:tcBorders>
            <w:shd w:val="clear" w:color="auto" w:fill="auto"/>
          </w:tcPr>
          <w:p w:rsidR="004B0692" w:rsidRPr="00176D3F" w:rsidRDefault="004B0692" w:rsidP="006D7834">
            <w:pPr>
              <w:pStyle w:val="Source"/>
            </w:pPr>
            <w:r>
              <w:rPr>
                <w:i/>
              </w:rPr>
              <w:t>S</w:t>
            </w:r>
            <w:r w:rsidRPr="00784A05">
              <w:rPr>
                <w:i/>
              </w:rPr>
              <w:t>ource</w:t>
            </w:r>
            <w:r w:rsidRPr="00176D3F">
              <w:t xml:space="preserve">: </w:t>
            </w:r>
            <w:r w:rsidRPr="006C72B4">
              <w:t>ACARA (201</w:t>
            </w:r>
            <w:r>
              <w:t>5</w:t>
            </w:r>
            <w:r w:rsidRPr="006C72B4">
              <w:t xml:space="preserve"> and unpublished) </w:t>
            </w:r>
            <w:r w:rsidRPr="006C72B4">
              <w:rPr>
                <w:i/>
              </w:rPr>
              <w:t>NAPLAN Achievement in Reading, Writing, Language Conventions and Numeracy: National Report for 201</w:t>
            </w:r>
            <w:r>
              <w:rPr>
                <w:i/>
              </w:rPr>
              <w:t>5</w:t>
            </w:r>
            <w:r w:rsidRPr="006C72B4">
              <w:t>; table 4A.</w:t>
            </w:r>
            <w:r>
              <w:t>64.</w:t>
            </w:r>
            <w:r w:rsidR="00D20DC5">
              <w:t xml:space="preserve"> </w:t>
            </w:r>
          </w:p>
        </w:tc>
      </w:tr>
      <w:tr w:rsidR="004B0692" w:rsidTr="006D7834">
        <w:tc>
          <w:tcPr>
            <w:tcW w:w="8771" w:type="dxa"/>
            <w:tcBorders>
              <w:top w:val="nil"/>
              <w:left w:val="nil"/>
              <w:bottom w:val="single" w:sz="6" w:space="0" w:color="78A22F"/>
              <w:right w:val="nil"/>
            </w:tcBorders>
            <w:shd w:val="clear" w:color="auto" w:fill="auto"/>
          </w:tcPr>
          <w:p w:rsidR="004B0692" w:rsidRDefault="004B0692" w:rsidP="006D7834">
            <w:pPr>
              <w:pStyle w:val="Figurespace"/>
            </w:pPr>
          </w:p>
        </w:tc>
      </w:tr>
      <w:tr w:rsidR="004B0692" w:rsidRPr="000863A5" w:rsidTr="006D7834">
        <w:tc>
          <w:tcPr>
            <w:tcW w:w="8771" w:type="dxa"/>
            <w:tcBorders>
              <w:top w:val="single" w:sz="6" w:space="0" w:color="78A22F"/>
              <w:left w:val="nil"/>
              <w:bottom w:val="nil"/>
              <w:right w:val="nil"/>
            </w:tcBorders>
          </w:tcPr>
          <w:p w:rsidR="004B0692" w:rsidRPr="00626D32" w:rsidRDefault="004B0692" w:rsidP="006D7834">
            <w:pPr>
              <w:pStyle w:val="BoxSpaceBelow"/>
            </w:pPr>
          </w:p>
        </w:tc>
      </w:tr>
    </w:tbl>
    <w:p w:rsidR="004D745F" w:rsidRPr="00666ECE" w:rsidRDefault="004D745F" w:rsidP="004D745F">
      <w:pPr>
        <w:pStyle w:val="BodyText"/>
      </w:pPr>
      <w:r w:rsidRPr="00666ECE">
        <w:t xml:space="preserve">For all geolocation categories across years 3, 5, 7 and 9, the numeracy outcomes nationally for </w:t>
      </w:r>
      <w:r>
        <w:t>Aboriginal and Torres Strait Islander</w:t>
      </w:r>
      <w:r w:rsidRPr="00666ECE">
        <w:t xml:space="preserve"> </w:t>
      </w:r>
      <w:r w:rsidRPr="005E2523">
        <w:rPr>
          <w:shd w:val="clear" w:color="auto" w:fill="FFFFFF" w:themeFill="background1"/>
        </w:rPr>
        <w:t>students were lower than those for non</w:t>
      </w:r>
      <w:r w:rsidRPr="005E2523">
        <w:rPr>
          <w:shd w:val="clear" w:color="auto" w:fill="FFFFFF" w:themeFill="background1"/>
        </w:rPr>
        <w:noBreakHyphen/>
        <w:t xml:space="preserve">Indigenous students. Nationally, outcomes for </w:t>
      </w:r>
      <w:r w:rsidRPr="005E2523">
        <w:rPr>
          <w:szCs w:val="26"/>
          <w:shd w:val="clear" w:color="auto" w:fill="FFFFFF" w:themeFill="background1"/>
        </w:rPr>
        <w:t>Aboriginal and Torres Strait Islander</w:t>
      </w:r>
      <w:r w:rsidRPr="005E2523">
        <w:rPr>
          <w:shd w:val="clear" w:color="auto" w:fill="FFFFFF" w:themeFill="background1"/>
        </w:rPr>
        <w:t xml:space="preserve"> students generally declined as remoteness increased, and </w:t>
      </w:r>
      <w:r w:rsidRPr="005E2523">
        <w:rPr>
          <w:szCs w:val="26"/>
          <w:shd w:val="clear" w:color="auto" w:fill="FFFFFF" w:themeFill="background1"/>
        </w:rPr>
        <w:t xml:space="preserve">the gap in learning outcomes between </w:t>
      </w:r>
      <w:r w:rsidRPr="005E2523">
        <w:rPr>
          <w:shd w:val="clear" w:color="auto" w:fill="FFFFFF" w:themeFill="background1"/>
        </w:rPr>
        <w:t>Aboriginal and Torres Strait Islander</w:t>
      </w:r>
      <w:r w:rsidRPr="005E2523">
        <w:rPr>
          <w:szCs w:val="26"/>
          <w:shd w:val="clear" w:color="auto" w:fill="FFFFFF" w:themeFill="background1"/>
        </w:rPr>
        <w:t xml:space="preserve"> students and non-Indigenous students was generally greater in remote and very remote areas t</w:t>
      </w:r>
      <w:r w:rsidRPr="00666ECE">
        <w:rPr>
          <w:szCs w:val="26"/>
        </w:rPr>
        <w:t>han in metropolitan and provincial areas.</w:t>
      </w:r>
    </w:p>
    <w:p w:rsidR="004D745F" w:rsidRPr="00666ECE" w:rsidRDefault="004D745F" w:rsidP="004D745F">
      <w:pPr>
        <w:pStyle w:val="BodyText"/>
      </w:pPr>
      <w:r w:rsidRPr="00666ECE">
        <w:t>State and Territory results by Indigenous status and geolocation for years 3, 5, 7 and 9 numeracy literacy are in table 4A.</w:t>
      </w:r>
      <w:r>
        <w:t>64</w:t>
      </w:r>
      <w:r w:rsidRPr="00666ECE">
        <w:t>. The general pattern in jurisdictions appears similar to the national results. However, due to relatively large confidence intervals, caution should be exercised when making comparisons for some data. Mean scale score results by Indigenous status and geolocation are provided in table 4A.</w:t>
      </w:r>
      <w:r>
        <w:t>66</w:t>
      </w:r>
      <w:r w:rsidRPr="00666ECE">
        <w:t>.</w:t>
      </w:r>
    </w:p>
    <w:p w:rsidR="004B0692" w:rsidRPr="00666ECE" w:rsidRDefault="004B0692" w:rsidP="004B0692">
      <w:pPr>
        <w:pStyle w:val="Heading6"/>
      </w:pPr>
      <w:r w:rsidRPr="00666ECE">
        <w:t>Socio-economic status</w:t>
      </w:r>
    </w:p>
    <w:p w:rsidR="004B0692" w:rsidRPr="00666ECE" w:rsidRDefault="004B0692" w:rsidP="005E2523">
      <w:pPr>
        <w:pStyle w:val="BodyText"/>
      </w:pPr>
      <w:r w:rsidRPr="00666ECE">
        <w:t xml:space="preserve">State and </w:t>
      </w:r>
      <w:r>
        <w:t>T</w:t>
      </w:r>
      <w:r w:rsidRPr="00666ECE">
        <w:t xml:space="preserve">erritory data on the proportions of students achieving at or above the national minimum standard and mean scale scores in </w:t>
      </w:r>
      <w:r>
        <w:t>numeracy</w:t>
      </w:r>
      <w:r w:rsidRPr="00666ECE">
        <w:t xml:space="preserve"> assessment for years</w:t>
      </w:r>
      <w:r>
        <w:t xml:space="preserve"> </w:t>
      </w:r>
      <w:r w:rsidRPr="00666ECE">
        <w:t xml:space="preserve">3, 5, 7 and 9 by parental education and parental </w:t>
      </w:r>
      <w:r w:rsidRPr="005E2523">
        <w:rPr>
          <w:shd w:val="clear" w:color="auto" w:fill="FFFFFF" w:themeFill="background1"/>
        </w:rPr>
        <w:t xml:space="preserve">occupation for 2015 are included in tables 4A.65 and 4A.67. </w:t>
      </w:r>
      <w:r w:rsidR="00EB3852" w:rsidRPr="005E2523">
        <w:rPr>
          <w:shd w:val="clear" w:color="auto" w:fill="FFFFFF" w:themeFill="background1"/>
        </w:rPr>
        <w:t xml:space="preserve">In general, outcomes were lower for students with lower levels of parental education and parental occupation. </w:t>
      </w:r>
      <w:r w:rsidRPr="005E2523">
        <w:rPr>
          <w:shd w:val="clear" w:color="auto" w:fill="FFFFFF" w:themeFill="background1"/>
        </w:rPr>
        <w:t>Data</w:t>
      </w:r>
      <w:r>
        <w:t xml:space="preserve"> for 2010</w:t>
      </w:r>
      <w:r w:rsidR="00A63943" w:rsidRPr="005E2523">
        <w:rPr>
          <w:shd w:val="clear" w:color="auto" w:fill="FFFFFF" w:themeFill="background1"/>
        </w:rPr>
        <w:t>–</w:t>
      </w:r>
      <w:r w:rsidRPr="005E2523">
        <w:rPr>
          <w:shd w:val="clear" w:color="auto" w:fill="FFFFFF" w:themeFill="background1"/>
        </w:rPr>
        <w:t>2014</w:t>
      </w:r>
      <w:r w:rsidRPr="00666ECE">
        <w:t xml:space="preserve"> were included in </w:t>
      </w:r>
      <w:r>
        <w:t>the earlier Reports</w:t>
      </w:r>
      <w:r w:rsidRPr="00666ECE">
        <w:t>.</w:t>
      </w:r>
    </w:p>
    <w:p w:rsidR="004B0692" w:rsidRDefault="004B0692" w:rsidP="004B0692">
      <w:pPr>
        <w:pStyle w:val="Heading6"/>
      </w:pPr>
      <w:r w:rsidRPr="00076F94">
        <w:lastRenderedPageBreak/>
        <w:t>Time series analysis of NAP</w:t>
      </w:r>
      <w:r>
        <w:t xml:space="preserve">LAN </w:t>
      </w:r>
      <w:r w:rsidR="00E93B08">
        <w:t>numeracy</w:t>
      </w:r>
      <w:r>
        <w:t xml:space="preserve"> outcomes — </w:t>
      </w:r>
      <w:r w:rsidRPr="00076F94">
        <w:t>Statistical significance of differences between years</w:t>
      </w:r>
    </w:p>
    <w:p w:rsidR="004B0692" w:rsidRPr="0089766B" w:rsidRDefault="004B0692" w:rsidP="004B0692">
      <w:pPr>
        <w:pStyle w:val="BodyText"/>
      </w:pPr>
      <w:r w:rsidRPr="0089766B">
        <w:t>Th</w:t>
      </w:r>
      <w:r>
        <w:t>is chapter reports the</w:t>
      </w:r>
      <w:r w:rsidRPr="0089766B">
        <w:t xml:space="preserve"> difference between two given years for a level (for example, year 5 </w:t>
      </w:r>
      <w:r>
        <w:t>numeracy</w:t>
      </w:r>
      <w:r w:rsidRPr="0089766B">
        <w:t xml:space="preserve"> from 201</w:t>
      </w:r>
      <w:r>
        <w:t>4</w:t>
      </w:r>
      <w:r w:rsidRPr="0089766B">
        <w:t xml:space="preserve"> to 201</w:t>
      </w:r>
      <w:r>
        <w:t>5</w:t>
      </w:r>
      <w:r w:rsidRPr="0089766B">
        <w:t>), for both the proportion at and above the national minimum standard and mean scale scores.</w:t>
      </w:r>
    </w:p>
    <w:p w:rsidR="004B0692" w:rsidRPr="007B32D4" w:rsidRDefault="004B0692" w:rsidP="004B0692">
      <w:pPr>
        <w:pStyle w:val="BodyText"/>
        <w:shd w:val="clear" w:color="auto" w:fill="FFFFFF" w:themeFill="background1"/>
      </w:pPr>
      <w:r w:rsidRPr="007B32D4">
        <w:t>Table 4.</w:t>
      </w:r>
      <w:r w:rsidR="00E262C3">
        <w:t>8</w:t>
      </w:r>
      <w:r w:rsidR="004D745F" w:rsidRPr="007B32D4">
        <w:t xml:space="preserve"> </w:t>
      </w:r>
      <w:r w:rsidRPr="007B32D4">
        <w:t xml:space="preserve">provides a summary of differences in achievement </w:t>
      </w:r>
      <w:r>
        <w:t xml:space="preserve">at year 5 </w:t>
      </w:r>
      <w:r w:rsidRPr="007B32D4">
        <w:t>for mean scale score and proportions at and above national minimum standard</w:t>
      </w:r>
      <w:r>
        <w:t xml:space="preserve"> for numeracy</w:t>
      </w:r>
      <w:r w:rsidRPr="007B32D4">
        <w:t>, by Indigenous status, on a national basis</w:t>
      </w:r>
      <w:r>
        <w:t>,</w:t>
      </w:r>
      <w:r w:rsidRPr="007B32D4">
        <w:t xml:space="preserve"> across various years. Data for states and territories are in </w:t>
      </w:r>
      <w:r w:rsidRPr="00653D15">
        <w:rPr>
          <w:shd w:val="clear" w:color="auto" w:fill="FFFFFF" w:themeFill="background1"/>
        </w:rPr>
        <w:t>tables 4A.</w:t>
      </w:r>
      <w:r>
        <w:rPr>
          <w:shd w:val="clear" w:color="auto" w:fill="FFFFFF" w:themeFill="background1"/>
        </w:rPr>
        <w:t>69–77</w:t>
      </w:r>
      <w:r w:rsidRPr="00653D15">
        <w:rPr>
          <w:shd w:val="clear" w:color="auto" w:fill="FFFFFF" w:themeFill="background1"/>
        </w:rPr>
        <w:t>.</w:t>
      </w:r>
      <w:r w:rsidRPr="007B32D4">
        <w:t xml:space="preserve"> These data are not comparable across jurisdictions and can only be used for a comparison across time for a jurisdiction, or nationally.</w:t>
      </w:r>
    </w:p>
    <w:p w:rsidR="004B0692" w:rsidRDefault="004B0692" w:rsidP="004B0692">
      <w:pPr>
        <w:pStyle w:val="BodyText"/>
        <w:shd w:val="clear" w:color="auto" w:fill="FFFFFF" w:themeFill="background1"/>
      </w:pPr>
      <w:r w:rsidRPr="007B32D4">
        <w:t xml:space="preserve">Nationally, </w:t>
      </w:r>
      <w:r>
        <w:t>for year 5 numeracy:</w:t>
      </w:r>
    </w:p>
    <w:p w:rsidR="004B0692" w:rsidRDefault="004B0692" w:rsidP="004B0692">
      <w:pPr>
        <w:pStyle w:val="ListBullet"/>
        <w:shd w:val="clear" w:color="auto" w:fill="FFFFFF" w:themeFill="background1"/>
      </w:pPr>
      <w:r w:rsidRPr="007B32D4">
        <w:t>the</w:t>
      </w:r>
      <w:r>
        <w:t xml:space="preserve"> percentage of students achieving at or above the national minimum standard in 2015, and the mean scale </w:t>
      </w:r>
      <w:r w:rsidRPr="00CD1611">
        <w:rPr>
          <w:shd w:val="clear" w:color="auto" w:fill="FFFFFF" w:themeFill="background1"/>
        </w:rPr>
        <w:t>scores, were close to or not statistically significantly different from 2014</w:t>
      </w:r>
      <w:r w:rsidR="004E7C84" w:rsidRPr="00CD1611">
        <w:rPr>
          <w:shd w:val="clear" w:color="auto" w:fill="FFFFFF" w:themeFill="background1"/>
        </w:rPr>
        <w:t xml:space="preserve"> but higher and statistically</w:t>
      </w:r>
      <w:r w:rsidR="004E7C84">
        <w:t xml:space="preserve"> significantly different from 2008</w:t>
      </w:r>
    </w:p>
    <w:p w:rsidR="004E7C84" w:rsidRPr="004E7C84" w:rsidRDefault="004B0692" w:rsidP="004B0692">
      <w:pPr>
        <w:pStyle w:val="ListBullet"/>
        <w:shd w:val="clear" w:color="auto" w:fill="FFFFFF" w:themeFill="background1"/>
      </w:pPr>
      <w:r w:rsidRPr="007B32D4">
        <w:t>the</w:t>
      </w:r>
      <w:r>
        <w:t xml:space="preserve"> percentage of Aboriginal and Torres Strait Islander students achieving at or above the national minimum standard in </w:t>
      </w:r>
      <w:r w:rsidRPr="00CD1611">
        <w:rPr>
          <w:shd w:val="clear" w:color="auto" w:fill="FFFFFF" w:themeFill="background1"/>
        </w:rPr>
        <w:t xml:space="preserve">2015, were </w:t>
      </w:r>
      <w:r w:rsidR="004E7C84" w:rsidRPr="00CD1611">
        <w:rPr>
          <w:shd w:val="clear" w:color="auto" w:fill="FFFFFF" w:themeFill="background1"/>
        </w:rPr>
        <w:t>higher than and statistically significantly different to both 2014 and 2008. The mean scale score for Aboriginal and Torres Strait Islander students were close to or not statistically significantly different from 2014 but higher and statistically significantly different from 2008</w:t>
      </w:r>
      <w:r w:rsidR="004E7C84" w:rsidRPr="004E7C84">
        <w:rPr>
          <w:shd w:val="clear" w:color="auto" w:fill="FFFF00"/>
        </w:rPr>
        <w:t xml:space="preserve"> </w:t>
      </w:r>
    </w:p>
    <w:p w:rsidR="004B0692" w:rsidRDefault="004B0692" w:rsidP="004B0692">
      <w:pPr>
        <w:pStyle w:val="ListBullet"/>
        <w:shd w:val="clear" w:color="auto" w:fill="FFFFFF" w:themeFill="background1"/>
      </w:pPr>
      <w:r w:rsidRPr="007B32D4">
        <w:t>the</w:t>
      </w:r>
      <w:r>
        <w:t xml:space="preserve"> percentage of non-Indigenous students </w:t>
      </w:r>
      <w:r w:rsidR="004E7C84" w:rsidRPr="004E7C84">
        <w:t>achieving at or above the national minimum standard in 2015, and the mean scale scores, were close to or not statistically significantly different from 2014 but higher and statistically significantly different from 2008</w:t>
      </w:r>
      <w:r>
        <w:t xml:space="preserve"> (table 4.</w:t>
      </w:r>
      <w:r w:rsidR="00E262C3">
        <w:t>8</w:t>
      </w:r>
      <w:r>
        <w:t>).</w:t>
      </w:r>
    </w:p>
    <w:p w:rsidR="004B0692" w:rsidRDefault="004B0692" w:rsidP="004B0692">
      <w:pPr>
        <w:pStyle w:val="BoxSpaceAbove"/>
      </w:pPr>
    </w:p>
    <w:tbl>
      <w:tblPr>
        <w:tblW w:w="8771"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4B0692" w:rsidTr="006D7834">
        <w:tc>
          <w:tcPr>
            <w:tcW w:w="8771" w:type="dxa"/>
            <w:tcBorders>
              <w:top w:val="single" w:sz="6" w:space="0" w:color="78A22F"/>
              <w:left w:val="nil"/>
              <w:bottom w:val="nil"/>
              <w:right w:val="nil"/>
            </w:tcBorders>
            <w:shd w:val="clear" w:color="auto" w:fill="auto"/>
          </w:tcPr>
          <w:p w:rsidR="004B0692" w:rsidRPr="00784A05" w:rsidRDefault="004B0692" w:rsidP="001A5611">
            <w:pPr>
              <w:pStyle w:val="TableTitle"/>
            </w:pPr>
            <w:r>
              <w:rPr>
                <w:b w:val="0"/>
              </w:rPr>
              <w:t>Table 4.</w:t>
            </w:r>
            <w:r w:rsidR="00FF4FBD">
              <w:rPr>
                <w:b w:val="0"/>
                <w:noProof/>
              </w:rPr>
              <w:t>8</w:t>
            </w:r>
            <w:r>
              <w:tab/>
            </w:r>
            <w:r w:rsidRPr="00D74DE6">
              <w:t>Mean scale scores and proportion of students who achieved at or above the national minimum standard</w:t>
            </w:r>
            <w:r w:rsidR="004D745F">
              <w:t xml:space="preserve"> (NMS)</w:t>
            </w:r>
            <w:r w:rsidRPr="00D74DE6">
              <w:t xml:space="preserve"> for year 5 </w:t>
            </w:r>
            <w:r>
              <w:t>numeracy</w:t>
            </w:r>
            <w:r w:rsidRPr="00197701">
              <w:rPr>
                <w:shd w:val="clear" w:color="auto" w:fill="FFFFFF" w:themeFill="background1"/>
              </w:rPr>
              <w:t>, 2008 and 201</w:t>
            </w:r>
            <w:r>
              <w:rPr>
                <w:shd w:val="clear" w:color="auto" w:fill="FFFFFF" w:themeFill="background1"/>
              </w:rPr>
              <w:t>4</w:t>
            </w:r>
            <w:r w:rsidRPr="00197701">
              <w:rPr>
                <w:shd w:val="clear" w:color="auto" w:fill="FFFFFF" w:themeFill="background1"/>
              </w:rPr>
              <w:t xml:space="preserve"> to 201</w:t>
            </w:r>
            <w:r>
              <w:rPr>
                <w:shd w:val="clear" w:color="auto" w:fill="FFFFFF" w:themeFill="background1"/>
              </w:rPr>
              <w:t>5</w:t>
            </w:r>
            <w:r w:rsidRPr="00197701">
              <w:rPr>
                <w:shd w:val="clear" w:color="auto" w:fill="FFFFFF" w:themeFill="background1"/>
              </w:rPr>
              <w:t xml:space="preserve">, and nature of the differences </w:t>
            </w:r>
            <w:r w:rsidR="00E63525" w:rsidRPr="00191335">
              <w:rPr>
                <w:shd w:val="clear" w:color="auto" w:fill="FFFFFF" w:themeFill="background1"/>
              </w:rPr>
              <w:t>based on the effect size,</w:t>
            </w:r>
            <w:r w:rsidR="00E63525" w:rsidRPr="00197701">
              <w:rPr>
                <w:shd w:val="clear" w:color="auto" w:fill="FFFFFF" w:themeFill="background1"/>
              </w:rPr>
              <w:t xml:space="preserve"> </w:t>
            </w:r>
            <w:r w:rsidRPr="00197701">
              <w:rPr>
                <w:shd w:val="clear" w:color="auto" w:fill="FFFFFF" w:themeFill="background1"/>
              </w:rPr>
              <w:t>Australia</w:t>
            </w:r>
            <w:r w:rsidRPr="00197701">
              <w:rPr>
                <w:rStyle w:val="NoteLabel"/>
                <w:b/>
                <w:shd w:val="clear" w:color="auto" w:fill="FFFFFF" w:themeFill="background1"/>
              </w:rPr>
              <w:t>a</w:t>
            </w:r>
            <w:r w:rsidRPr="00D74DE6">
              <w:rPr>
                <w:rStyle w:val="NoteLabel"/>
                <w:b/>
              </w:rPr>
              <w:t>, b</w:t>
            </w:r>
          </w:p>
        </w:tc>
      </w:tr>
      <w:tr w:rsidR="004B0692" w:rsidTr="006D7834">
        <w:trPr>
          <w:cantSplit/>
        </w:trPr>
        <w:tc>
          <w:tcPr>
            <w:tcW w:w="8771" w:type="dxa"/>
            <w:tcBorders>
              <w:top w:val="nil"/>
              <w:left w:val="nil"/>
              <w:bottom w:val="nil"/>
              <w:right w:val="nil"/>
            </w:tcBorders>
            <w:shd w:val="clear" w:color="auto" w:fill="FFFFFF" w:themeFill="background1"/>
          </w:tcPr>
          <w:tbl>
            <w:tblPr>
              <w:tblW w:w="8487" w:type="dxa"/>
              <w:tblCellMar>
                <w:left w:w="0" w:type="dxa"/>
                <w:right w:w="0" w:type="dxa"/>
              </w:tblCellMar>
              <w:tblLook w:val="0000" w:firstRow="0" w:lastRow="0" w:firstColumn="0" w:lastColumn="0" w:noHBand="0" w:noVBand="0"/>
            </w:tblPr>
            <w:tblGrid>
              <w:gridCol w:w="1639"/>
              <w:gridCol w:w="526"/>
              <w:gridCol w:w="1098"/>
              <w:gridCol w:w="1097"/>
              <w:gridCol w:w="1282"/>
              <w:gridCol w:w="114"/>
              <w:gridCol w:w="1448"/>
              <w:gridCol w:w="34"/>
              <w:gridCol w:w="1249"/>
            </w:tblGrid>
            <w:tr w:rsidR="004B0692" w:rsidRPr="00F41936" w:rsidTr="006D7834">
              <w:tc>
                <w:tcPr>
                  <w:tcW w:w="966" w:type="pct"/>
                  <w:tcBorders>
                    <w:top w:val="single" w:sz="6" w:space="0" w:color="BFBFBF" w:themeColor="background2"/>
                  </w:tcBorders>
                  <w:shd w:val="clear" w:color="auto" w:fill="auto"/>
                </w:tcPr>
                <w:p w:rsidR="004B0692" w:rsidRPr="00F41936" w:rsidRDefault="004B0692" w:rsidP="006D7834">
                  <w:pPr>
                    <w:pStyle w:val="TableColumnHeading"/>
                    <w:jc w:val="left"/>
                  </w:pPr>
                </w:p>
              </w:tc>
              <w:tc>
                <w:tcPr>
                  <w:tcW w:w="310" w:type="pct"/>
                  <w:tcBorders>
                    <w:top w:val="single" w:sz="6" w:space="0" w:color="BFBFBF" w:themeColor="background2"/>
                  </w:tcBorders>
                </w:tcPr>
                <w:p w:rsidR="004B0692" w:rsidRPr="00F41936" w:rsidRDefault="004B0692" w:rsidP="006D7834">
                  <w:pPr>
                    <w:pStyle w:val="TableColumnHeading"/>
                    <w:ind w:right="628"/>
                  </w:pPr>
                </w:p>
              </w:tc>
              <w:tc>
                <w:tcPr>
                  <w:tcW w:w="647" w:type="pct"/>
                  <w:tcBorders>
                    <w:top w:val="single" w:sz="6" w:space="0" w:color="BFBFBF" w:themeColor="background2"/>
                  </w:tcBorders>
                  <w:shd w:val="clear" w:color="auto" w:fill="auto"/>
                </w:tcPr>
                <w:p w:rsidR="004B0692" w:rsidRPr="00F41936" w:rsidRDefault="004B0692" w:rsidP="006D7834">
                  <w:pPr>
                    <w:pStyle w:val="TableColumnHeading"/>
                  </w:pPr>
                </w:p>
              </w:tc>
              <w:tc>
                <w:tcPr>
                  <w:tcW w:w="646" w:type="pct"/>
                  <w:tcBorders>
                    <w:top w:val="single" w:sz="6" w:space="0" w:color="BFBFBF" w:themeColor="background2"/>
                  </w:tcBorders>
                </w:tcPr>
                <w:p w:rsidR="004B0692" w:rsidRPr="00F41936" w:rsidRDefault="004B0692" w:rsidP="006D7834">
                  <w:pPr>
                    <w:pStyle w:val="TableColumnHeading"/>
                    <w:ind w:right="28"/>
                  </w:pPr>
                </w:p>
              </w:tc>
              <w:tc>
                <w:tcPr>
                  <w:tcW w:w="822" w:type="pct"/>
                  <w:gridSpan w:val="2"/>
                  <w:tcBorders>
                    <w:top w:val="single" w:sz="6" w:space="0" w:color="BFBFBF" w:themeColor="background2"/>
                  </w:tcBorders>
                  <w:shd w:val="clear" w:color="auto" w:fill="FFFFFF" w:themeFill="background1"/>
                </w:tcPr>
                <w:p w:rsidR="004B0692" w:rsidRPr="00F41936" w:rsidRDefault="004B0692" w:rsidP="006D7834">
                  <w:pPr>
                    <w:pStyle w:val="TableColumnHeading"/>
                    <w:ind w:right="28"/>
                  </w:pPr>
                </w:p>
              </w:tc>
              <w:tc>
                <w:tcPr>
                  <w:tcW w:w="1609" w:type="pct"/>
                  <w:gridSpan w:val="3"/>
                  <w:tcBorders>
                    <w:top w:val="single" w:sz="6" w:space="0" w:color="BFBFBF" w:themeColor="background2"/>
                    <w:bottom w:val="single" w:sz="6" w:space="0" w:color="BFBFBF" w:themeColor="background2"/>
                  </w:tcBorders>
                  <w:shd w:val="clear" w:color="auto" w:fill="FFFFFF" w:themeFill="background1"/>
                  <w:vAlign w:val="center"/>
                </w:tcPr>
                <w:p w:rsidR="004B0692" w:rsidRPr="00F41936" w:rsidRDefault="004B0692" w:rsidP="006D7834">
                  <w:pPr>
                    <w:pStyle w:val="TableColumnHeading"/>
                    <w:ind w:left="0" w:right="0"/>
                    <w:jc w:val="center"/>
                  </w:pPr>
                  <w:r>
                    <w:t>Nature</w:t>
                  </w:r>
                  <w:r w:rsidRPr="00F41936">
                    <w:t xml:space="preserve"> of </w:t>
                  </w:r>
                  <w:r>
                    <w:t xml:space="preserve">the </w:t>
                  </w:r>
                  <w:r w:rsidRPr="00F41936">
                    <w:t>difference</w:t>
                  </w:r>
                </w:p>
              </w:tc>
            </w:tr>
            <w:tr w:rsidR="004B0692" w:rsidRPr="00D74DE6" w:rsidTr="006D7834">
              <w:tc>
                <w:tcPr>
                  <w:tcW w:w="966" w:type="pct"/>
                  <w:tcBorders>
                    <w:bottom w:val="single" w:sz="6" w:space="0" w:color="BFBFBF" w:themeColor="background2"/>
                  </w:tcBorders>
                  <w:vAlign w:val="center"/>
                </w:tcPr>
                <w:p w:rsidR="004B0692" w:rsidRPr="00D74DE6" w:rsidRDefault="004B0692" w:rsidP="006D7834">
                  <w:pPr>
                    <w:pStyle w:val="TableColumnHeading"/>
                    <w:jc w:val="center"/>
                  </w:pPr>
                </w:p>
              </w:tc>
              <w:tc>
                <w:tcPr>
                  <w:tcW w:w="310" w:type="pct"/>
                  <w:tcBorders>
                    <w:bottom w:val="single" w:sz="6" w:space="0" w:color="BFBFBF" w:themeColor="background2"/>
                  </w:tcBorders>
                </w:tcPr>
                <w:p w:rsidR="004B0692" w:rsidRPr="00D74DE6" w:rsidRDefault="004B0692" w:rsidP="006D7834">
                  <w:pPr>
                    <w:pStyle w:val="TableColumnHeading"/>
                    <w:ind w:left="350" w:right="628"/>
                  </w:pPr>
                </w:p>
              </w:tc>
              <w:tc>
                <w:tcPr>
                  <w:tcW w:w="647" w:type="pct"/>
                  <w:tcBorders>
                    <w:bottom w:val="single" w:sz="6" w:space="0" w:color="BFBFBF" w:themeColor="background2"/>
                  </w:tcBorders>
                  <w:vAlign w:val="center"/>
                </w:tcPr>
                <w:p w:rsidR="004B0692" w:rsidRPr="00D74DE6" w:rsidRDefault="004B0692" w:rsidP="006D7834">
                  <w:pPr>
                    <w:pStyle w:val="TableColumnHeading"/>
                    <w:ind w:left="0" w:right="28"/>
                  </w:pPr>
                  <w:r w:rsidRPr="00D74DE6">
                    <w:t>2008</w:t>
                  </w:r>
                </w:p>
              </w:tc>
              <w:tc>
                <w:tcPr>
                  <w:tcW w:w="646" w:type="pct"/>
                  <w:tcBorders>
                    <w:bottom w:val="single" w:sz="6" w:space="0" w:color="BFBFBF" w:themeColor="background2"/>
                  </w:tcBorders>
                  <w:vAlign w:val="center"/>
                </w:tcPr>
                <w:p w:rsidR="004B0692" w:rsidRPr="00D74DE6" w:rsidRDefault="004B0692" w:rsidP="006D7834">
                  <w:pPr>
                    <w:pStyle w:val="TableColumnHeading"/>
                    <w:ind w:left="0" w:right="28"/>
                  </w:pPr>
                  <w:r w:rsidRPr="00D74DE6">
                    <w:t>201</w:t>
                  </w:r>
                  <w:r>
                    <w:t>4</w:t>
                  </w:r>
                </w:p>
              </w:tc>
              <w:tc>
                <w:tcPr>
                  <w:tcW w:w="755" w:type="pct"/>
                  <w:tcBorders>
                    <w:bottom w:val="single" w:sz="6" w:space="0" w:color="BFBFBF" w:themeColor="background2"/>
                  </w:tcBorders>
                  <w:vAlign w:val="center"/>
                </w:tcPr>
                <w:p w:rsidR="004B0692" w:rsidRPr="00D74DE6" w:rsidRDefault="004B0692" w:rsidP="006D7834">
                  <w:pPr>
                    <w:pStyle w:val="TableColumnHeading"/>
                    <w:ind w:left="0" w:right="28"/>
                  </w:pPr>
                  <w:r w:rsidRPr="00D74DE6">
                    <w:t>201</w:t>
                  </w:r>
                  <w:r>
                    <w:t>5</w:t>
                  </w:r>
                </w:p>
              </w:tc>
              <w:tc>
                <w:tcPr>
                  <w:tcW w:w="67" w:type="pct"/>
                  <w:tcBorders>
                    <w:bottom w:val="single" w:sz="6" w:space="0" w:color="BFBFBF" w:themeColor="background2"/>
                  </w:tcBorders>
                  <w:vAlign w:val="center"/>
                </w:tcPr>
                <w:p w:rsidR="004B0692" w:rsidRPr="00D74DE6" w:rsidRDefault="004B0692" w:rsidP="006D7834">
                  <w:pPr>
                    <w:pStyle w:val="TableColumnHeading"/>
                    <w:ind w:left="350"/>
                    <w:jc w:val="center"/>
                  </w:pPr>
                </w:p>
              </w:tc>
              <w:tc>
                <w:tcPr>
                  <w:tcW w:w="873" w:type="pct"/>
                  <w:gridSpan w:val="2"/>
                  <w:tcBorders>
                    <w:top w:val="single" w:sz="6" w:space="0" w:color="BFBFBF" w:themeColor="background2"/>
                    <w:bottom w:val="single" w:sz="6" w:space="0" w:color="BFBFBF" w:themeColor="background2"/>
                  </w:tcBorders>
                  <w:vAlign w:val="center"/>
                </w:tcPr>
                <w:p w:rsidR="004B0692" w:rsidRPr="00D74DE6" w:rsidRDefault="004B0692" w:rsidP="006D7834">
                  <w:pPr>
                    <w:pStyle w:val="TableColumnHeading"/>
                    <w:ind w:left="0" w:right="28"/>
                  </w:pPr>
                  <w:r w:rsidRPr="00D74DE6">
                    <w:t xml:space="preserve">2008 to </w:t>
                  </w:r>
                  <w:r>
                    <w:t>2</w:t>
                  </w:r>
                  <w:r w:rsidRPr="00D74DE6">
                    <w:t>01</w:t>
                  </w:r>
                  <w:r>
                    <w:t>5</w:t>
                  </w:r>
                </w:p>
              </w:tc>
              <w:tc>
                <w:tcPr>
                  <w:tcW w:w="736" w:type="pct"/>
                  <w:tcBorders>
                    <w:top w:val="single" w:sz="6" w:space="0" w:color="BFBFBF" w:themeColor="background2"/>
                    <w:bottom w:val="single" w:sz="6" w:space="0" w:color="BFBFBF" w:themeColor="background2"/>
                  </w:tcBorders>
                  <w:vAlign w:val="center"/>
                </w:tcPr>
                <w:p w:rsidR="004B0692" w:rsidRPr="00D74DE6" w:rsidRDefault="004B0692" w:rsidP="006D7834">
                  <w:pPr>
                    <w:pStyle w:val="TableColumnHeading"/>
                    <w:ind w:left="0" w:right="28"/>
                  </w:pPr>
                  <w:r w:rsidRPr="00D74DE6">
                    <w:t>201</w:t>
                  </w:r>
                  <w:r>
                    <w:t>4</w:t>
                  </w:r>
                  <w:r w:rsidRPr="00D74DE6">
                    <w:t xml:space="preserve"> to 201</w:t>
                  </w:r>
                  <w:r>
                    <w:t>5</w:t>
                  </w:r>
                </w:p>
              </w:tc>
            </w:tr>
            <w:tr w:rsidR="004B0692" w:rsidRPr="00F41936" w:rsidTr="006D7834">
              <w:tc>
                <w:tcPr>
                  <w:tcW w:w="5000" w:type="pct"/>
                  <w:gridSpan w:val="9"/>
                  <w:tcBorders>
                    <w:top w:val="single" w:sz="6" w:space="0" w:color="BFBFBF" w:themeColor="background2"/>
                  </w:tcBorders>
                </w:tcPr>
                <w:p w:rsidR="004B0692" w:rsidRPr="00F41936" w:rsidRDefault="004B0692" w:rsidP="006D7834">
                  <w:pPr>
                    <w:pStyle w:val="TableBodyText"/>
                    <w:spacing w:before="80"/>
                    <w:ind w:right="629"/>
                    <w:jc w:val="left"/>
                  </w:pPr>
                  <w:r w:rsidRPr="002D0E4E">
                    <w:rPr>
                      <w:b/>
                    </w:rPr>
                    <w:t>Aboriginal and Torres Strait Islander students</w:t>
                  </w:r>
                </w:p>
              </w:tc>
            </w:tr>
            <w:tr w:rsidR="00443ABF" w:rsidRPr="00F41936" w:rsidTr="00CD1611">
              <w:tc>
                <w:tcPr>
                  <w:tcW w:w="966" w:type="pct"/>
                  <w:vAlign w:val="center"/>
                </w:tcPr>
                <w:p w:rsidR="00443ABF" w:rsidRPr="00F41936" w:rsidRDefault="00443ABF" w:rsidP="006D7834">
                  <w:pPr>
                    <w:pStyle w:val="TableUnitsRow"/>
                    <w:spacing w:before="0"/>
                    <w:jc w:val="left"/>
                  </w:pPr>
                  <w:r w:rsidRPr="00F41936">
                    <w:t>Mean scale score</w:t>
                  </w:r>
                </w:p>
              </w:tc>
              <w:tc>
                <w:tcPr>
                  <w:tcW w:w="310" w:type="pct"/>
                </w:tcPr>
                <w:p w:rsidR="00443ABF" w:rsidRDefault="00443ABF" w:rsidP="006D7834">
                  <w:pPr>
                    <w:pStyle w:val="TableBodyText"/>
                  </w:pPr>
                  <w:r>
                    <w:t>no.</w:t>
                  </w:r>
                </w:p>
              </w:tc>
              <w:tc>
                <w:tcPr>
                  <w:tcW w:w="647" w:type="pct"/>
                  <w:vAlign w:val="center"/>
                </w:tcPr>
                <w:p w:rsidR="00443ABF" w:rsidRDefault="00443ABF" w:rsidP="006D7834">
                  <w:pPr>
                    <w:pStyle w:val="TableBodyText"/>
                    <w:keepNext w:val="0"/>
                    <w:keepLines w:val="0"/>
                    <w:spacing w:after="0" w:line="240" w:lineRule="auto"/>
                    <w:ind w:left="0" w:right="28"/>
                  </w:pPr>
                  <w:r>
                    <w:t>408.0 ± 2.8</w:t>
                  </w:r>
                </w:p>
              </w:tc>
              <w:tc>
                <w:tcPr>
                  <w:tcW w:w="646" w:type="pct"/>
                  <w:vAlign w:val="center"/>
                </w:tcPr>
                <w:p w:rsidR="00443ABF" w:rsidRDefault="00443ABF" w:rsidP="006D7834">
                  <w:pPr>
                    <w:pStyle w:val="TableBodyText"/>
                    <w:keepNext w:val="0"/>
                    <w:keepLines w:val="0"/>
                    <w:spacing w:after="0" w:line="240" w:lineRule="auto"/>
                    <w:ind w:left="0" w:right="28"/>
                  </w:pPr>
                  <w:r>
                    <w:t>417.9 ± 2.6</w:t>
                  </w:r>
                </w:p>
              </w:tc>
              <w:tc>
                <w:tcPr>
                  <w:tcW w:w="755" w:type="pct"/>
                  <w:shd w:val="clear" w:color="auto" w:fill="FFFFFF" w:themeFill="background1"/>
                  <w:vAlign w:val="center"/>
                </w:tcPr>
                <w:p w:rsidR="00443ABF" w:rsidRDefault="00443ABF" w:rsidP="008E1C10">
                  <w:pPr>
                    <w:pStyle w:val="TableUnitsRow"/>
                    <w:keepNext w:val="0"/>
                    <w:keepLines w:val="0"/>
                    <w:spacing w:before="0" w:line="240" w:lineRule="auto"/>
                    <w:ind w:left="0" w:right="0"/>
                  </w:pPr>
                  <w:r>
                    <w:t>428.0 ± 2.5</w:t>
                  </w:r>
                </w:p>
              </w:tc>
              <w:tc>
                <w:tcPr>
                  <w:tcW w:w="67" w:type="pct"/>
                  <w:shd w:val="clear" w:color="auto" w:fill="FFFFFF" w:themeFill="background1"/>
                  <w:vAlign w:val="center"/>
                </w:tcPr>
                <w:p w:rsidR="00443ABF" w:rsidRDefault="00443ABF" w:rsidP="006D7834">
                  <w:pPr>
                    <w:pStyle w:val="TableUnitsRow"/>
                    <w:keepNext w:val="0"/>
                    <w:keepLines w:val="0"/>
                    <w:spacing w:before="0" w:line="240" w:lineRule="auto"/>
                    <w:ind w:left="0" w:right="0"/>
                  </w:pPr>
                </w:p>
              </w:tc>
              <w:tc>
                <w:tcPr>
                  <w:tcW w:w="853" w:type="pct"/>
                  <w:shd w:val="clear" w:color="auto" w:fill="FFFFFF" w:themeFill="background1"/>
                  <w:vAlign w:val="center"/>
                </w:tcPr>
                <w:p w:rsidR="00443ABF" w:rsidRDefault="00443ABF">
                  <w:pPr>
                    <w:jc w:val="center"/>
                    <w:rPr>
                      <w:rFonts w:ascii="Arial" w:hAnsi="Arial" w:cs="Arial"/>
                      <w:sz w:val="20"/>
                      <w:szCs w:val="20"/>
                    </w:rPr>
                  </w:pPr>
                  <w:r>
                    <w:rPr>
                      <w:rFonts w:ascii="Cambria Math" w:hAnsi="Cambria Math" w:cs="Cambria Math"/>
                      <w:sz w:val="20"/>
                      <w:szCs w:val="20"/>
                    </w:rPr>
                    <w:t>△</w:t>
                  </w:r>
                </w:p>
              </w:tc>
              <w:tc>
                <w:tcPr>
                  <w:tcW w:w="756" w:type="pct"/>
                  <w:gridSpan w:val="2"/>
                  <w:shd w:val="clear" w:color="auto" w:fill="FFFFFF" w:themeFill="background1"/>
                  <w:vAlign w:val="center"/>
                </w:tcPr>
                <w:p w:rsidR="00443ABF" w:rsidRDefault="00443ABF">
                  <w:pPr>
                    <w:jc w:val="center"/>
                    <w:rPr>
                      <w:rFonts w:ascii="Arial" w:hAnsi="Arial" w:cs="Arial"/>
                      <w:sz w:val="20"/>
                      <w:szCs w:val="20"/>
                    </w:rPr>
                  </w:pPr>
                  <w:r>
                    <w:rPr>
                      <w:rFonts w:ascii="Arial" w:hAnsi="Arial" w:cs="Arial"/>
                      <w:sz w:val="20"/>
                      <w:szCs w:val="20"/>
                    </w:rPr>
                    <w:t>■</w:t>
                  </w:r>
                </w:p>
              </w:tc>
            </w:tr>
            <w:tr w:rsidR="00443ABF" w:rsidRPr="00F41936" w:rsidTr="00CD1611">
              <w:tc>
                <w:tcPr>
                  <w:tcW w:w="966" w:type="pct"/>
                  <w:vAlign w:val="center"/>
                </w:tcPr>
                <w:p w:rsidR="00443ABF" w:rsidRPr="00F41936" w:rsidRDefault="00443ABF" w:rsidP="006D7834">
                  <w:pPr>
                    <w:pStyle w:val="TableUnitsRow"/>
                    <w:spacing w:before="0"/>
                    <w:jc w:val="left"/>
                  </w:pPr>
                  <w:r w:rsidRPr="00F41936">
                    <w:t>At or above NMS</w:t>
                  </w:r>
                </w:p>
              </w:tc>
              <w:tc>
                <w:tcPr>
                  <w:tcW w:w="310" w:type="pct"/>
                </w:tcPr>
                <w:p w:rsidR="00443ABF" w:rsidRDefault="00443ABF" w:rsidP="006D7834">
                  <w:pPr>
                    <w:pStyle w:val="TableBodyText"/>
                    <w:jc w:val="left"/>
                  </w:pPr>
                  <w:r>
                    <w:t>%</w:t>
                  </w:r>
                </w:p>
              </w:tc>
              <w:tc>
                <w:tcPr>
                  <w:tcW w:w="647" w:type="pct"/>
                  <w:vAlign w:val="center"/>
                </w:tcPr>
                <w:p w:rsidR="00443ABF" w:rsidRDefault="00443ABF" w:rsidP="006D7834">
                  <w:pPr>
                    <w:pStyle w:val="TableBodyText"/>
                    <w:ind w:left="0" w:right="28"/>
                  </w:pPr>
                  <w:r>
                    <w:t>69.2 ± 1.7</w:t>
                  </w:r>
                </w:p>
              </w:tc>
              <w:tc>
                <w:tcPr>
                  <w:tcW w:w="646" w:type="pct"/>
                  <w:vAlign w:val="center"/>
                </w:tcPr>
                <w:p w:rsidR="00443ABF" w:rsidRDefault="00443ABF" w:rsidP="006D7834">
                  <w:pPr>
                    <w:pStyle w:val="TableBodyText"/>
                    <w:ind w:left="0" w:right="28"/>
                  </w:pPr>
                  <w:r>
                    <w:t>71.1 ± 1.6</w:t>
                  </w:r>
                </w:p>
              </w:tc>
              <w:tc>
                <w:tcPr>
                  <w:tcW w:w="755" w:type="pct"/>
                  <w:shd w:val="clear" w:color="auto" w:fill="FFFFFF" w:themeFill="background1"/>
                  <w:vAlign w:val="center"/>
                </w:tcPr>
                <w:p w:rsidR="00443ABF" w:rsidRDefault="00443ABF" w:rsidP="008E1C10">
                  <w:pPr>
                    <w:pStyle w:val="TableUnitsRow"/>
                    <w:keepNext w:val="0"/>
                    <w:keepLines w:val="0"/>
                    <w:spacing w:before="0" w:line="240" w:lineRule="auto"/>
                    <w:ind w:left="0" w:right="0"/>
                  </w:pPr>
                  <w:r>
                    <w:t>78.6 ± 1.5</w:t>
                  </w:r>
                </w:p>
              </w:tc>
              <w:tc>
                <w:tcPr>
                  <w:tcW w:w="67" w:type="pct"/>
                  <w:shd w:val="clear" w:color="auto" w:fill="FFFFFF" w:themeFill="background1"/>
                  <w:vAlign w:val="center"/>
                </w:tcPr>
                <w:p w:rsidR="00443ABF" w:rsidRDefault="00443ABF" w:rsidP="006D7834">
                  <w:pPr>
                    <w:pStyle w:val="TableUnitsRow"/>
                    <w:keepNext w:val="0"/>
                    <w:keepLines w:val="0"/>
                    <w:spacing w:before="0" w:line="240" w:lineRule="auto"/>
                    <w:ind w:left="0" w:right="0"/>
                  </w:pPr>
                </w:p>
              </w:tc>
              <w:tc>
                <w:tcPr>
                  <w:tcW w:w="853" w:type="pct"/>
                  <w:shd w:val="clear" w:color="auto" w:fill="FFFFFF" w:themeFill="background1"/>
                  <w:vAlign w:val="center"/>
                </w:tcPr>
                <w:p w:rsidR="00443ABF" w:rsidRDefault="00443ABF">
                  <w:pPr>
                    <w:jc w:val="center"/>
                    <w:rPr>
                      <w:rFonts w:ascii="Arial" w:hAnsi="Arial" w:cs="Arial"/>
                      <w:sz w:val="20"/>
                      <w:szCs w:val="20"/>
                    </w:rPr>
                  </w:pPr>
                  <w:r>
                    <w:rPr>
                      <w:rFonts w:ascii="Cambria Math" w:hAnsi="Cambria Math" w:cs="Cambria Math"/>
                      <w:sz w:val="20"/>
                      <w:szCs w:val="20"/>
                    </w:rPr>
                    <w:t>△</w:t>
                  </w:r>
                </w:p>
              </w:tc>
              <w:tc>
                <w:tcPr>
                  <w:tcW w:w="756" w:type="pct"/>
                  <w:gridSpan w:val="2"/>
                  <w:shd w:val="clear" w:color="auto" w:fill="FFFFFF" w:themeFill="background1"/>
                  <w:vAlign w:val="center"/>
                </w:tcPr>
                <w:p w:rsidR="00443ABF" w:rsidRDefault="00443ABF">
                  <w:pPr>
                    <w:jc w:val="center"/>
                    <w:rPr>
                      <w:rFonts w:ascii="Arial" w:hAnsi="Arial" w:cs="Arial"/>
                      <w:sz w:val="20"/>
                      <w:szCs w:val="20"/>
                    </w:rPr>
                  </w:pPr>
                  <w:r>
                    <w:rPr>
                      <w:rFonts w:ascii="Cambria Math" w:hAnsi="Cambria Math" w:cs="Cambria Math"/>
                      <w:sz w:val="20"/>
                      <w:szCs w:val="20"/>
                    </w:rPr>
                    <w:t>△</w:t>
                  </w:r>
                </w:p>
              </w:tc>
            </w:tr>
            <w:tr w:rsidR="00443ABF" w:rsidRPr="00F41936" w:rsidTr="006D7834">
              <w:tc>
                <w:tcPr>
                  <w:tcW w:w="5000" w:type="pct"/>
                  <w:gridSpan w:val="9"/>
                  <w:shd w:val="clear" w:color="auto" w:fill="FFFFFF" w:themeFill="background1"/>
                </w:tcPr>
                <w:p w:rsidR="00443ABF" w:rsidRPr="0044511E" w:rsidRDefault="00443ABF" w:rsidP="006D7834">
                  <w:pPr>
                    <w:pStyle w:val="TableBodyText"/>
                    <w:spacing w:before="80"/>
                    <w:ind w:right="629"/>
                    <w:jc w:val="left"/>
                    <w:rPr>
                      <w:szCs w:val="18"/>
                    </w:rPr>
                  </w:pPr>
                  <w:r w:rsidRPr="002D5668">
                    <w:rPr>
                      <w:b/>
                    </w:rPr>
                    <w:t>Non-Indigenous students</w:t>
                  </w:r>
                </w:p>
              </w:tc>
            </w:tr>
            <w:tr w:rsidR="00443ABF" w:rsidRPr="00F41936" w:rsidTr="00CD1611">
              <w:tc>
                <w:tcPr>
                  <w:tcW w:w="966" w:type="pct"/>
                  <w:vAlign w:val="center"/>
                </w:tcPr>
                <w:p w:rsidR="00443ABF" w:rsidRPr="00F41936" w:rsidRDefault="00443ABF" w:rsidP="006D7834">
                  <w:pPr>
                    <w:pStyle w:val="TableUnitsRow"/>
                    <w:spacing w:before="0"/>
                    <w:jc w:val="left"/>
                  </w:pPr>
                  <w:r w:rsidRPr="00F41936">
                    <w:t>Mean scale score</w:t>
                  </w:r>
                </w:p>
              </w:tc>
              <w:tc>
                <w:tcPr>
                  <w:tcW w:w="310" w:type="pct"/>
                </w:tcPr>
                <w:p w:rsidR="00443ABF" w:rsidRDefault="00443ABF" w:rsidP="006D7834">
                  <w:pPr>
                    <w:pStyle w:val="TableBodyText"/>
                    <w:jc w:val="left"/>
                  </w:pPr>
                  <w:r>
                    <w:t>no.</w:t>
                  </w:r>
                </w:p>
              </w:tc>
              <w:tc>
                <w:tcPr>
                  <w:tcW w:w="647" w:type="pct"/>
                  <w:vAlign w:val="center"/>
                </w:tcPr>
                <w:p w:rsidR="00443ABF" w:rsidRDefault="00443ABF" w:rsidP="006D7834">
                  <w:pPr>
                    <w:pStyle w:val="TableBodyText"/>
                    <w:ind w:left="0" w:right="28"/>
                  </w:pPr>
                  <w:r>
                    <w:t>479.5 ± 1.0</w:t>
                  </w:r>
                </w:p>
              </w:tc>
              <w:tc>
                <w:tcPr>
                  <w:tcW w:w="646" w:type="pct"/>
                  <w:vAlign w:val="center"/>
                </w:tcPr>
                <w:p w:rsidR="00443ABF" w:rsidRDefault="00443ABF" w:rsidP="006D7834">
                  <w:pPr>
                    <w:pStyle w:val="TableBodyText"/>
                    <w:ind w:left="0" w:right="28"/>
                  </w:pPr>
                  <w:r>
                    <w:t>491.5 ± 0.9</w:t>
                  </w:r>
                </w:p>
              </w:tc>
              <w:tc>
                <w:tcPr>
                  <w:tcW w:w="755" w:type="pct"/>
                  <w:shd w:val="clear" w:color="auto" w:fill="FFFFFF" w:themeFill="background1"/>
                  <w:vAlign w:val="center"/>
                </w:tcPr>
                <w:p w:rsidR="00443ABF" w:rsidRDefault="00443ABF" w:rsidP="008E1C10">
                  <w:pPr>
                    <w:pStyle w:val="TableUnitsRow"/>
                    <w:keepNext w:val="0"/>
                    <w:keepLines w:val="0"/>
                    <w:spacing w:before="0" w:line="240" w:lineRule="auto"/>
                    <w:ind w:left="0" w:right="0"/>
                  </w:pPr>
                  <w:r>
                    <w:t>496.5 ± 1.0</w:t>
                  </w:r>
                </w:p>
              </w:tc>
              <w:tc>
                <w:tcPr>
                  <w:tcW w:w="67" w:type="pct"/>
                  <w:shd w:val="clear" w:color="auto" w:fill="FFFFFF" w:themeFill="background1"/>
                  <w:vAlign w:val="center"/>
                </w:tcPr>
                <w:p w:rsidR="00443ABF" w:rsidRDefault="00443ABF" w:rsidP="006D7834">
                  <w:pPr>
                    <w:pStyle w:val="TableBodyText"/>
                  </w:pPr>
                </w:p>
              </w:tc>
              <w:tc>
                <w:tcPr>
                  <w:tcW w:w="853" w:type="pct"/>
                  <w:shd w:val="clear" w:color="auto" w:fill="FFFFFF" w:themeFill="background1"/>
                  <w:vAlign w:val="center"/>
                </w:tcPr>
                <w:p w:rsidR="00443ABF" w:rsidRDefault="00443ABF">
                  <w:pPr>
                    <w:jc w:val="center"/>
                    <w:rPr>
                      <w:rFonts w:ascii="Arial" w:hAnsi="Arial" w:cs="Arial"/>
                      <w:sz w:val="20"/>
                      <w:szCs w:val="20"/>
                    </w:rPr>
                  </w:pPr>
                  <w:r>
                    <w:rPr>
                      <w:rFonts w:ascii="Cambria Math" w:hAnsi="Cambria Math" w:cs="Cambria Math"/>
                      <w:sz w:val="20"/>
                      <w:szCs w:val="20"/>
                    </w:rPr>
                    <w:t>△</w:t>
                  </w:r>
                </w:p>
              </w:tc>
              <w:tc>
                <w:tcPr>
                  <w:tcW w:w="756" w:type="pct"/>
                  <w:gridSpan w:val="2"/>
                  <w:shd w:val="clear" w:color="auto" w:fill="FFFFFF" w:themeFill="background1"/>
                  <w:vAlign w:val="center"/>
                </w:tcPr>
                <w:p w:rsidR="00443ABF" w:rsidRDefault="00443ABF">
                  <w:pPr>
                    <w:jc w:val="center"/>
                    <w:rPr>
                      <w:rFonts w:ascii="Arial" w:hAnsi="Arial" w:cs="Arial"/>
                      <w:sz w:val="20"/>
                      <w:szCs w:val="20"/>
                    </w:rPr>
                  </w:pPr>
                  <w:r>
                    <w:rPr>
                      <w:rFonts w:ascii="Arial" w:hAnsi="Arial" w:cs="Arial"/>
                      <w:sz w:val="20"/>
                      <w:szCs w:val="20"/>
                    </w:rPr>
                    <w:t>■</w:t>
                  </w:r>
                </w:p>
              </w:tc>
            </w:tr>
            <w:tr w:rsidR="00443ABF" w:rsidRPr="00F41936" w:rsidTr="00CD1611">
              <w:tc>
                <w:tcPr>
                  <w:tcW w:w="966" w:type="pct"/>
                  <w:vAlign w:val="center"/>
                </w:tcPr>
                <w:p w:rsidR="00443ABF" w:rsidRPr="00F41936" w:rsidRDefault="00443ABF" w:rsidP="006D7834">
                  <w:pPr>
                    <w:pStyle w:val="TableUnitsRow"/>
                    <w:spacing w:before="0"/>
                    <w:jc w:val="left"/>
                  </w:pPr>
                  <w:r w:rsidRPr="00F41936">
                    <w:t>At or above NMS</w:t>
                  </w:r>
                </w:p>
              </w:tc>
              <w:tc>
                <w:tcPr>
                  <w:tcW w:w="310" w:type="pct"/>
                </w:tcPr>
                <w:p w:rsidR="00443ABF" w:rsidRDefault="00443ABF" w:rsidP="006D7834">
                  <w:pPr>
                    <w:pStyle w:val="TableBodyText"/>
                    <w:jc w:val="left"/>
                  </w:pPr>
                  <w:r>
                    <w:t>%</w:t>
                  </w:r>
                </w:p>
              </w:tc>
              <w:tc>
                <w:tcPr>
                  <w:tcW w:w="647" w:type="pct"/>
                  <w:vAlign w:val="center"/>
                </w:tcPr>
                <w:p w:rsidR="00443ABF" w:rsidRDefault="00443ABF" w:rsidP="006D7834">
                  <w:pPr>
                    <w:pStyle w:val="TableBodyText"/>
                    <w:ind w:left="0" w:right="28"/>
                  </w:pPr>
                  <w:r>
                    <w:t>94.0 ± 0.2</w:t>
                  </w:r>
                </w:p>
              </w:tc>
              <w:tc>
                <w:tcPr>
                  <w:tcW w:w="646" w:type="pct"/>
                  <w:vAlign w:val="center"/>
                </w:tcPr>
                <w:p w:rsidR="00443ABF" w:rsidRDefault="00443ABF" w:rsidP="006D7834">
                  <w:pPr>
                    <w:pStyle w:val="TableBodyText"/>
                    <w:ind w:left="0" w:right="28"/>
                  </w:pPr>
                  <w:r>
                    <w:t>94.8 ± 0.2</w:t>
                  </w:r>
                </w:p>
              </w:tc>
              <w:tc>
                <w:tcPr>
                  <w:tcW w:w="755" w:type="pct"/>
                  <w:shd w:val="clear" w:color="auto" w:fill="FFFFFF" w:themeFill="background1"/>
                  <w:vAlign w:val="center"/>
                </w:tcPr>
                <w:p w:rsidR="00443ABF" w:rsidRDefault="00443ABF" w:rsidP="006B318B">
                  <w:pPr>
                    <w:pStyle w:val="TableUnitsRow"/>
                    <w:keepNext w:val="0"/>
                    <w:keepLines w:val="0"/>
                    <w:spacing w:before="0" w:line="240" w:lineRule="auto"/>
                    <w:ind w:left="0" w:right="0"/>
                  </w:pPr>
                  <w:r>
                    <w:t>96.1 ± 0.2</w:t>
                  </w:r>
                </w:p>
              </w:tc>
              <w:tc>
                <w:tcPr>
                  <w:tcW w:w="67" w:type="pct"/>
                  <w:shd w:val="clear" w:color="auto" w:fill="FFFFFF" w:themeFill="background1"/>
                  <w:vAlign w:val="center"/>
                </w:tcPr>
                <w:p w:rsidR="00443ABF" w:rsidRDefault="00443ABF" w:rsidP="006D7834">
                  <w:pPr>
                    <w:pStyle w:val="TableBodyText"/>
                  </w:pPr>
                </w:p>
              </w:tc>
              <w:tc>
                <w:tcPr>
                  <w:tcW w:w="853" w:type="pct"/>
                  <w:shd w:val="clear" w:color="auto" w:fill="FFFFFF" w:themeFill="background1"/>
                  <w:vAlign w:val="center"/>
                </w:tcPr>
                <w:p w:rsidR="00443ABF" w:rsidRDefault="00443ABF">
                  <w:pPr>
                    <w:jc w:val="center"/>
                    <w:rPr>
                      <w:rFonts w:ascii="Arial" w:hAnsi="Arial" w:cs="Arial"/>
                      <w:sz w:val="20"/>
                      <w:szCs w:val="20"/>
                    </w:rPr>
                  </w:pPr>
                  <w:r>
                    <w:rPr>
                      <w:rFonts w:ascii="Cambria Math" w:hAnsi="Cambria Math" w:cs="Cambria Math"/>
                      <w:sz w:val="20"/>
                      <w:szCs w:val="20"/>
                    </w:rPr>
                    <w:t>△</w:t>
                  </w:r>
                </w:p>
              </w:tc>
              <w:tc>
                <w:tcPr>
                  <w:tcW w:w="756" w:type="pct"/>
                  <w:gridSpan w:val="2"/>
                  <w:shd w:val="clear" w:color="auto" w:fill="FFFFFF" w:themeFill="background1"/>
                  <w:vAlign w:val="center"/>
                </w:tcPr>
                <w:p w:rsidR="00443ABF" w:rsidRDefault="00443ABF">
                  <w:pPr>
                    <w:jc w:val="center"/>
                    <w:rPr>
                      <w:rFonts w:ascii="Arial" w:hAnsi="Arial" w:cs="Arial"/>
                      <w:sz w:val="20"/>
                      <w:szCs w:val="20"/>
                    </w:rPr>
                  </w:pPr>
                  <w:r>
                    <w:rPr>
                      <w:rFonts w:ascii="Arial" w:hAnsi="Arial" w:cs="Arial"/>
                      <w:sz w:val="20"/>
                      <w:szCs w:val="20"/>
                    </w:rPr>
                    <w:t>■</w:t>
                  </w:r>
                </w:p>
              </w:tc>
            </w:tr>
            <w:tr w:rsidR="00443ABF" w:rsidRPr="00F41936" w:rsidTr="00CD1611">
              <w:tc>
                <w:tcPr>
                  <w:tcW w:w="5000" w:type="pct"/>
                  <w:gridSpan w:val="9"/>
                  <w:shd w:val="clear" w:color="auto" w:fill="FFFFFF" w:themeFill="background1"/>
                </w:tcPr>
                <w:p w:rsidR="00443ABF" w:rsidRPr="0044511E" w:rsidRDefault="00443ABF" w:rsidP="006D7834">
                  <w:pPr>
                    <w:pStyle w:val="TableBodyText"/>
                    <w:spacing w:before="80"/>
                    <w:ind w:right="629"/>
                    <w:jc w:val="left"/>
                    <w:rPr>
                      <w:szCs w:val="18"/>
                    </w:rPr>
                  </w:pPr>
                  <w:r w:rsidRPr="002D5668">
                    <w:rPr>
                      <w:b/>
                    </w:rPr>
                    <w:t>All students</w:t>
                  </w:r>
                </w:p>
              </w:tc>
            </w:tr>
            <w:tr w:rsidR="00443ABF" w:rsidRPr="00F41936" w:rsidTr="00CD1611">
              <w:tc>
                <w:tcPr>
                  <w:tcW w:w="966" w:type="pct"/>
                  <w:vAlign w:val="center"/>
                </w:tcPr>
                <w:p w:rsidR="00443ABF" w:rsidRPr="00F41936" w:rsidRDefault="00443ABF" w:rsidP="006D7834">
                  <w:pPr>
                    <w:pStyle w:val="TableUnitsRow"/>
                    <w:spacing w:before="0"/>
                    <w:jc w:val="left"/>
                  </w:pPr>
                  <w:r w:rsidRPr="00F41936">
                    <w:t>Mean scale score</w:t>
                  </w:r>
                </w:p>
              </w:tc>
              <w:tc>
                <w:tcPr>
                  <w:tcW w:w="310" w:type="pct"/>
                </w:tcPr>
                <w:p w:rsidR="00443ABF" w:rsidRDefault="00443ABF" w:rsidP="006D7834">
                  <w:pPr>
                    <w:pStyle w:val="TableBodyText"/>
                    <w:jc w:val="left"/>
                  </w:pPr>
                  <w:r>
                    <w:t>no.</w:t>
                  </w:r>
                </w:p>
              </w:tc>
              <w:tc>
                <w:tcPr>
                  <w:tcW w:w="647" w:type="pct"/>
                  <w:vAlign w:val="center"/>
                </w:tcPr>
                <w:p w:rsidR="00443ABF" w:rsidRDefault="00443ABF" w:rsidP="006D7834">
                  <w:pPr>
                    <w:pStyle w:val="TableBodyText"/>
                    <w:ind w:left="0" w:right="28"/>
                  </w:pPr>
                  <w:r>
                    <w:t>475.9 ± 1.1</w:t>
                  </w:r>
                </w:p>
              </w:tc>
              <w:tc>
                <w:tcPr>
                  <w:tcW w:w="646" w:type="pct"/>
                  <w:vAlign w:val="center"/>
                </w:tcPr>
                <w:p w:rsidR="00443ABF" w:rsidRDefault="00443ABF" w:rsidP="006D7834">
                  <w:pPr>
                    <w:pStyle w:val="TableBodyText"/>
                    <w:ind w:left="0" w:right="28"/>
                  </w:pPr>
                  <w:r>
                    <w:t>487.6 ± 1.0</w:t>
                  </w:r>
                </w:p>
              </w:tc>
              <w:tc>
                <w:tcPr>
                  <w:tcW w:w="755" w:type="pct"/>
                  <w:shd w:val="clear" w:color="auto" w:fill="FFFFFF" w:themeFill="background1"/>
                  <w:vAlign w:val="center"/>
                </w:tcPr>
                <w:p w:rsidR="00443ABF" w:rsidRDefault="00443ABF" w:rsidP="008E1C10">
                  <w:pPr>
                    <w:pStyle w:val="TableUnitsRow"/>
                    <w:keepNext w:val="0"/>
                    <w:keepLines w:val="0"/>
                    <w:spacing w:before="0" w:line="240" w:lineRule="auto"/>
                    <w:ind w:left="0" w:right="0"/>
                  </w:pPr>
                  <w:r>
                    <w:t>492.5 ± 1.0</w:t>
                  </w:r>
                </w:p>
              </w:tc>
              <w:tc>
                <w:tcPr>
                  <w:tcW w:w="67" w:type="pct"/>
                  <w:shd w:val="clear" w:color="auto" w:fill="FFFFFF" w:themeFill="background1"/>
                  <w:vAlign w:val="center"/>
                </w:tcPr>
                <w:p w:rsidR="00443ABF" w:rsidRDefault="00443ABF" w:rsidP="006D7834">
                  <w:pPr>
                    <w:pStyle w:val="TableBodyText"/>
                  </w:pPr>
                </w:p>
              </w:tc>
              <w:tc>
                <w:tcPr>
                  <w:tcW w:w="853" w:type="pct"/>
                  <w:shd w:val="clear" w:color="auto" w:fill="FFFFFF" w:themeFill="background1"/>
                  <w:vAlign w:val="center"/>
                </w:tcPr>
                <w:p w:rsidR="00443ABF" w:rsidRDefault="00443ABF">
                  <w:pPr>
                    <w:jc w:val="center"/>
                    <w:rPr>
                      <w:rFonts w:ascii="Arial" w:hAnsi="Arial" w:cs="Arial"/>
                      <w:sz w:val="20"/>
                      <w:szCs w:val="20"/>
                    </w:rPr>
                  </w:pPr>
                  <w:r>
                    <w:rPr>
                      <w:rFonts w:ascii="Cambria Math" w:hAnsi="Cambria Math" w:cs="Cambria Math"/>
                      <w:sz w:val="20"/>
                      <w:szCs w:val="20"/>
                    </w:rPr>
                    <w:t>△</w:t>
                  </w:r>
                </w:p>
              </w:tc>
              <w:tc>
                <w:tcPr>
                  <w:tcW w:w="756" w:type="pct"/>
                  <w:gridSpan w:val="2"/>
                  <w:shd w:val="clear" w:color="auto" w:fill="FFFFFF" w:themeFill="background1"/>
                  <w:vAlign w:val="center"/>
                </w:tcPr>
                <w:p w:rsidR="00443ABF" w:rsidRDefault="00443ABF">
                  <w:pPr>
                    <w:jc w:val="center"/>
                    <w:rPr>
                      <w:rFonts w:ascii="Arial" w:hAnsi="Arial" w:cs="Arial"/>
                      <w:sz w:val="20"/>
                      <w:szCs w:val="20"/>
                    </w:rPr>
                  </w:pPr>
                  <w:r>
                    <w:rPr>
                      <w:rFonts w:ascii="Arial" w:hAnsi="Arial" w:cs="Arial"/>
                      <w:sz w:val="20"/>
                      <w:szCs w:val="20"/>
                    </w:rPr>
                    <w:t>■</w:t>
                  </w:r>
                </w:p>
              </w:tc>
            </w:tr>
            <w:tr w:rsidR="00443ABF" w:rsidRPr="00F41936" w:rsidTr="00CD1611">
              <w:tc>
                <w:tcPr>
                  <w:tcW w:w="966" w:type="pct"/>
                  <w:tcBorders>
                    <w:bottom w:val="single" w:sz="6" w:space="0" w:color="BFBFBF" w:themeColor="background2"/>
                  </w:tcBorders>
                  <w:shd w:val="clear" w:color="auto" w:fill="auto"/>
                  <w:vAlign w:val="center"/>
                </w:tcPr>
                <w:p w:rsidR="00443ABF" w:rsidRPr="00F41936" w:rsidRDefault="00443ABF" w:rsidP="006D7834">
                  <w:pPr>
                    <w:pStyle w:val="TableUnitsRow"/>
                    <w:spacing w:before="0"/>
                    <w:jc w:val="left"/>
                  </w:pPr>
                  <w:r w:rsidRPr="00F41936">
                    <w:t>At or above NMS</w:t>
                  </w:r>
                </w:p>
              </w:tc>
              <w:tc>
                <w:tcPr>
                  <w:tcW w:w="310" w:type="pct"/>
                  <w:tcBorders>
                    <w:bottom w:val="single" w:sz="6" w:space="0" w:color="BFBFBF" w:themeColor="background2"/>
                  </w:tcBorders>
                </w:tcPr>
                <w:p w:rsidR="00443ABF" w:rsidRDefault="00443ABF" w:rsidP="006D7834">
                  <w:pPr>
                    <w:pStyle w:val="TableBodyText"/>
                    <w:jc w:val="left"/>
                  </w:pPr>
                  <w:r>
                    <w:t>%</w:t>
                  </w:r>
                </w:p>
              </w:tc>
              <w:tc>
                <w:tcPr>
                  <w:tcW w:w="647" w:type="pct"/>
                  <w:tcBorders>
                    <w:bottom w:val="single" w:sz="6" w:space="0" w:color="BFBFBF" w:themeColor="background2"/>
                  </w:tcBorders>
                  <w:shd w:val="clear" w:color="auto" w:fill="auto"/>
                  <w:vAlign w:val="center"/>
                </w:tcPr>
                <w:p w:rsidR="00443ABF" w:rsidRDefault="00443ABF" w:rsidP="006D7834">
                  <w:pPr>
                    <w:pStyle w:val="TableBodyText"/>
                    <w:ind w:left="0" w:right="28"/>
                  </w:pPr>
                  <w:r>
                    <w:t>92.7 ± 0.2</w:t>
                  </w:r>
                </w:p>
              </w:tc>
              <w:tc>
                <w:tcPr>
                  <w:tcW w:w="646" w:type="pct"/>
                  <w:tcBorders>
                    <w:bottom w:val="single" w:sz="6" w:space="0" w:color="BFBFBF" w:themeColor="background2"/>
                  </w:tcBorders>
                  <w:vAlign w:val="center"/>
                </w:tcPr>
                <w:p w:rsidR="00443ABF" w:rsidRDefault="00443ABF" w:rsidP="006D7834">
                  <w:pPr>
                    <w:pStyle w:val="TableBodyText"/>
                    <w:ind w:left="0" w:right="28"/>
                  </w:pPr>
                  <w:r>
                    <w:t>93.5 ± 0.2</w:t>
                  </w:r>
                </w:p>
              </w:tc>
              <w:tc>
                <w:tcPr>
                  <w:tcW w:w="755" w:type="pct"/>
                  <w:tcBorders>
                    <w:bottom w:val="single" w:sz="6" w:space="0" w:color="BFBFBF" w:themeColor="background2"/>
                  </w:tcBorders>
                  <w:shd w:val="clear" w:color="auto" w:fill="FFFFFF" w:themeFill="background1"/>
                  <w:vAlign w:val="center"/>
                </w:tcPr>
                <w:p w:rsidR="00443ABF" w:rsidRDefault="00443ABF" w:rsidP="008E1C10">
                  <w:pPr>
                    <w:pStyle w:val="TableUnitsRow"/>
                    <w:keepNext w:val="0"/>
                    <w:keepLines w:val="0"/>
                    <w:spacing w:before="0" w:line="240" w:lineRule="auto"/>
                    <w:ind w:left="0" w:right="0"/>
                  </w:pPr>
                  <w:r>
                    <w:t>95.1 ± 0.2</w:t>
                  </w:r>
                </w:p>
              </w:tc>
              <w:tc>
                <w:tcPr>
                  <w:tcW w:w="67" w:type="pct"/>
                  <w:tcBorders>
                    <w:bottom w:val="single" w:sz="6" w:space="0" w:color="BFBFBF" w:themeColor="background2"/>
                  </w:tcBorders>
                  <w:shd w:val="clear" w:color="auto" w:fill="FFFFFF" w:themeFill="background1"/>
                  <w:vAlign w:val="center"/>
                </w:tcPr>
                <w:p w:rsidR="00443ABF" w:rsidRDefault="00443ABF" w:rsidP="006D7834">
                  <w:pPr>
                    <w:pStyle w:val="TableBodyText"/>
                  </w:pPr>
                </w:p>
              </w:tc>
              <w:tc>
                <w:tcPr>
                  <w:tcW w:w="853" w:type="pct"/>
                  <w:tcBorders>
                    <w:bottom w:val="single" w:sz="6" w:space="0" w:color="BFBFBF" w:themeColor="background2"/>
                  </w:tcBorders>
                  <w:shd w:val="clear" w:color="auto" w:fill="FFFFFF" w:themeFill="background1"/>
                  <w:vAlign w:val="center"/>
                </w:tcPr>
                <w:p w:rsidR="00443ABF" w:rsidRDefault="00443ABF">
                  <w:pPr>
                    <w:jc w:val="center"/>
                    <w:rPr>
                      <w:rFonts w:ascii="Arial" w:hAnsi="Arial" w:cs="Arial"/>
                      <w:sz w:val="20"/>
                      <w:szCs w:val="20"/>
                    </w:rPr>
                  </w:pPr>
                  <w:r>
                    <w:rPr>
                      <w:rFonts w:ascii="Cambria Math" w:hAnsi="Cambria Math" w:cs="Cambria Math"/>
                      <w:sz w:val="20"/>
                      <w:szCs w:val="20"/>
                    </w:rPr>
                    <w:t>△</w:t>
                  </w:r>
                </w:p>
              </w:tc>
              <w:tc>
                <w:tcPr>
                  <w:tcW w:w="756" w:type="pct"/>
                  <w:gridSpan w:val="2"/>
                  <w:tcBorders>
                    <w:bottom w:val="single" w:sz="6" w:space="0" w:color="BFBFBF" w:themeColor="background2"/>
                  </w:tcBorders>
                  <w:shd w:val="clear" w:color="auto" w:fill="FFFFFF" w:themeFill="background1"/>
                  <w:vAlign w:val="center"/>
                </w:tcPr>
                <w:p w:rsidR="00443ABF" w:rsidRDefault="00443ABF">
                  <w:pPr>
                    <w:jc w:val="center"/>
                    <w:rPr>
                      <w:rFonts w:ascii="Arial" w:hAnsi="Arial" w:cs="Arial"/>
                      <w:sz w:val="20"/>
                      <w:szCs w:val="20"/>
                    </w:rPr>
                  </w:pPr>
                  <w:r>
                    <w:rPr>
                      <w:rFonts w:ascii="Arial" w:hAnsi="Arial" w:cs="Arial"/>
                      <w:sz w:val="20"/>
                      <w:szCs w:val="20"/>
                    </w:rPr>
                    <w:t>■</w:t>
                  </w:r>
                </w:p>
              </w:tc>
            </w:tr>
          </w:tbl>
          <w:p w:rsidR="004B0692" w:rsidRDefault="004B0692" w:rsidP="006D7834">
            <w:pPr>
              <w:pStyle w:val="Box"/>
            </w:pPr>
          </w:p>
        </w:tc>
      </w:tr>
      <w:tr w:rsidR="004B0692" w:rsidTr="006D7834">
        <w:trPr>
          <w:cantSplit/>
        </w:trPr>
        <w:tc>
          <w:tcPr>
            <w:tcW w:w="8771" w:type="dxa"/>
            <w:tcBorders>
              <w:top w:val="nil"/>
              <w:left w:val="nil"/>
              <w:bottom w:val="nil"/>
              <w:right w:val="nil"/>
            </w:tcBorders>
            <w:shd w:val="clear" w:color="auto" w:fill="FFFFFF" w:themeFill="background1"/>
          </w:tcPr>
          <w:p w:rsidR="00D66BE8" w:rsidRDefault="00D66BE8" w:rsidP="00D66BE8">
            <w:pPr>
              <w:pStyle w:val="Note"/>
            </w:pPr>
            <w:r>
              <w:t xml:space="preserve">For comparison of mean scale scores: </w:t>
            </w:r>
            <w:r>
              <w:rPr>
                <w:rFonts w:ascii="Cambria Math" w:hAnsi="Cambria Math" w:cs="Cambria Math"/>
              </w:rPr>
              <w:t>△</w:t>
            </w:r>
            <w:r>
              <w:t xml:space="preserve"> Average achievement is above and is statistically significantly different from the base year (or previous year). </w:t>
            </w:r>
            <w:r>
              <w:rPr>
                <w:rFonts w:ascii="Times New Roman" w:hAnsi="Times New Roman"/>
              </w:rPr>
              <w:t>■</w:t>
            </w:r>
            <w:r>
              <w:t xml:space="preserve"> Average achievement is close to or not statistically different from the base year (or previous year). </w:t>
            </w:r>
          </w:p>
          <w:p w:rsidR="00D66BE8" w:rsidRDefault="00D66BE8" w:rsidP="00D66BE8">
            <w:pPr>
              <w:pStyle w:val="Note"/>
            </w:pPr>
            <w:r>
              <w:t xml:space="preserve">For comparison of percentage of students at or above national minimum standard: </w:t>
            </w:r>
            <w:r>
              <w:rPr>
                <w:rFonts w:ascii="Cambria Math" w:hAnsi="Cambria Math" w:cs="Cambria Math"/>
              </w:rPr>
              <w:t>△</w:t>
            </w:r>
            <w:r>
              <w:t xml:space="preserve"> Percentage of students at or above national minimum standard is higher than and is statistically significantly different from the base year (or previous year). </w:t>
            </w:r>
            <w:r>
              <w:rPr>
                <w:rFonts w:ascii="Times New Roman" w:hAnsi="Times New Roman"/>
              </w:rPr>
              <w:t>■</w:t>
            </w:r>
            <w:r>
              <w:t xml:space="preserve"> Percentage of students at or above national minimum standard is close to or not statistically different from the base year (or previous year). </w:t>
            </w:r>
          </w:p>
          <w:p w:rsidR="004B0692" w:rsidRPr="00197701" w:rsidRDefault="00D66BE8" w:rsidP="00D66BE8">
            <w:pPr>
              <w:pStyle w:val="Note"/>
              <w:shd w:val="clear" w:color="auto" w:fill="FFFFFF" w:themeFill="background1"/>
              <w:rPr>
                <w:i/>
              </w:rPr>
            </w:pPr>
            <w:r w:rsidRPr="00D66BE8">
              <w:rPr>
                <w:rStyle w:val="NoteLabel"/>
              </w:rPr>
              <w:t>a</w:t>
            </w:r>
            <w:r>
              <w:t xml:space="preserve"> Effect size is a measure for quantifying the difference between two groups or the same group over time. Effect size measures complement statistical tests (which examine whether the difference is statistically probable) and focus on the magnitude of the difference. </w:t>
            </w:r>
            <w:r w:rsidRPr="00D66BE8">
              <w:rPr>
                <w:rStyle w:val="NoteLabel"/>
              </w:rPr>
              <w:t>b</w:t>
            </w:r>
            <w:r>
              <w:t xml:space="preserve"> See box 4.10 and table 4A.77 for detailed definitions, footnotes and caveats.</w:t>
            </w:r>
          </w:p>
        </w:tc>
      </w:tr>
      <w:tr w:rsidR="004B0692" w:rsidTr="006D7834">
        <w:trPr>
          <w:cantSplit/>
        </w:trPr>
        <w:tc>
          <w:tcPr>
            <w:tcW w:w="8771" w:type="dxa"/>
            <w:tcBorders>
              <w:top w:val="nil"/>
              <w:left w:val="nil"/>
              <w:bottom w:val="nil"/>
              <w:right w:val="nil"/>
            </w:tcBorders>
            <w:shd w:val="clear" w:color="auto" w:fill="FFFFFF" w:themeFill="background1"/>
          </w:tcPr>
          <w:p w:rsidR="004B0692" w:rsidRPr="00197701" w:rsidRDefault="004B0692" w:rsidP="006D7834">
            <w:pPr>
              <w:pStyle w:val="Source"/>
            </w:pPr>
            <w:r w:rsidRPr="00197701">
              <w:rPr>
                <w:i/>
              </w:rPr>
              <w:t>Source</w:t>
            </w:r>
            <w:r w:rsidRPr="00197701">
              <w:t>: ACARA (201</w:t>
            </w:r>
            <w:r>
              <w:t>5</w:t>
            </w:r>
            <w:r w:rsidRPr="00197701">
              <w:t xml:space="preserve"> and unpublished) </w:t>
            </w:r>
            <w:r w:rsidRPr="00197701">
              <w:rPr>
                <w:i/>
              </w:rPr>
              <w:t>NAPLAN Achievement in Reading, Writing, Language Conventions and Numeracy: National Report for 201</w:t>
            </w:r>
            <w:r>
              <w:rPr>
                <w:i/>
              </w:rPr>
              <w:t>5</w:t>
            </w:r>
            <w:r w:rsidRPr="00197701">
              <w:t>, ACARA, Sydney; table 4A.</w:t>
            </w:r>
            <w:r>
              <w:t>77.</w:t>
            </w:r>
          </w:p>
        </w:tc>
      </w:tr>
      <w:tr w:rsidR="004B0692" w:rsidTr="006D7834">
        <w:trPr>
          <w:cantSplit/>
        </w:trPr>
        <w:tc>
          <w:tcPr>
            <w:tcW w:w="8771" w:type="dxa"/>
            <w:tcBorders>
              <w:top w:val="nil"/>
              <w:left w:val="nil"/>
              <w:bottom w:val="single" w:sz="6" w:space="0" w:color="78A22F"/>
              <w:right w:val="nil"/>
            </w:tcBorders>
            <w:shd w:val="clear" w:color="auto" w:fill="FFFFFF" w:themeFill="background1"/>
          </w:tcPr>
          <w:p w:rsidR="004B0692" w:rsidRPr="00197701" w:rsidRDefault="004B0692" w:rsidP="006D7834">
            <w:pPr>
              <w:pStyle w:val="Box"/>
              <w:spacing w:before="0" w:line="120" w:lineRule="exact"/>
            </w:pPr>
          </w:p>
        </w:tc>
      </w:tr>
      <w:tr w:rsidR="004B0692" w:rsidRPr="000863A5" w:rsidTr="006D7834">
        <w:tc>
          <w:tcPr>
            <w:tcW w:w="8771" w:type="dxa"/>
            <w:tcBorders>
              <w:top w:val="single" w:sz="6" w:space="0" w:color="78A22F"/>
              <w:left w:val="nil"/>
              <w:bottom w:val="nil"/>
              <w:right w:val="nil"/>
            </w:tcBorders>
            <w:shd w:val="clear" w:color="auto" w:fill="FFFFFF" w:themeFill="background1"/>
          </w:tcPr>
          <w:p w:rsidR="004B0692" w:rsidRPr="00197701" w:rsidRDefault="004B0692" w:rsidP="006D7834">
            <w:pPr>
              <w:pStyle w:val="BoxSpaceBelow"/>
            </w:pPr>
          </w:p>
        </w:tc>
      </w:tr>
    </w:tbl>
    <w:p w:rsidR="004B0692" w:rsidRPr="00666ECE" w:rsidRDefault="004B0692" w:rsidP="004B0692">
      <w:pPr>
        <w:pStyle w:val="Heading5"/>
      </w:pPr>
      <w:r w:rsidRPr="00666ECE">
        <w:t xml:space="preserve">NAPLAN </w:t>
      </w:r>
      <w:r>
        <w:t>Persuasive writing</w:t>
      </w:r>
    </w:p>
    <w:p w:rsidR="004B0692" w:rsidRDefault="004B0692" w:rsidP="00CD1611">
      <w:pPr>
        <w:pStyle w:val="BodyText"/>
      </w:pPr>
      <w:r>
        <w:t xml:space="preserve">Outcomes for the persuasive writing for 2015 are included for proportions of year 3, 5, 7 and 9 students achieving </w:t>
      </w:r>
      <w:r w:rsidR="00EB3852" w:rsidRPr="00CD1611">
        <w:rPr>
          <w:shd w:val="clear" w:color="auto" w:fill="FFFFFF" w:themeFill="background1"/>
        </w:rPr>
        <w:t xml:space="preserve">at or above </w:t>
      </w:r>
      <w:r w:rsidRPr="00CD1611">
        <w:rPr>
          <w:shd w:val="clear" w:color="auto" w:fill="FFFFFF" w:themeFill="background1"/>
        </w:rPr>
        <w:t>the</w:t>
      </w:r>
      <w:r>
        <w:t xml:space="preserve"> national minimum standard in 2015 </w:t>
      </w:r>
      <w:r w:rsidR="00EB3852">
        <w:br/>
      </w:r>
      <w:r>
        <w:t>(table</w:t>
      </w:r>
      <w:r w:rsidR="004D745F">
        <w:t>s</w:t>
      </w:r>
      <w:r>
        <w:t xml:space="preserve"> 4A.50-51) (including by Indigenous status, </w:t>
      </w:r>
      <w:r w:rsidRPr="0064504F">
        <w:t xml:space="preserve">geolocation and parental education and occupation). Similar data providing mean scale scores are included in </w:t>
      </w:r>
      <w:r>
        <w:t>tables 4A.52-53. Data comparing outcomes from 2011 and 2014 to 2015 by Indigenous status, for both proportions at and above the national minimum standard and mean scale scores are included for each state and territory, and nationally in tables 4A.55</w:t>
      </w:r>
      <w:r w:rsidR="00A63943" w:rsidRPr="00CD1611">
        <w:rPr>
          <w:shd w:val="clear" w:color="auto" w:fill="FFFFFF" w:themeFill="background1"/>
        </w:rPr>
        <w:t>–</w:t>
      </w:r>
      <w:r>
        <w:t>63.</w:t>
      </w:r>
    </w:p>
    <w:p w:rsidR="000B654D" w:rsidRDefault="0012436B" w:rsidP="00A95197">
      <w:pPr>
        <w:pStyle w:val="Heading5"/>
      </w:pPr>
      <w:r w:rsidRPr="0012436B">
        <w:t>N</w:t>
      </w:r>
      <w:r w:rsidR="004D745F">
        <w:t>AP</w:t>
      </w:r>
      <w:r w:rsidRPr="0012436B">
        <w:t xml:space="preserve"> </w:t>
      </w:r>
      <w:r w:rsidR="00C35FD6">
        <w:t>—</w:t>
      </w:r>
      <w:r w:rsidRPr="0012436B">
        <w:t xml:space="preserve"> </w:t>
      </w:r>
      <w:r w:rsidR="006D7834">
        <w:t>ICT</w:t>
      </w:r>
      <w:r w:rsidR="00E33100">
        <w:t xml:space="preserve"> performance</w:t>
      </w:r>
    </w:p>
    <w:p w:rsidR="0012436B" w:rsidRPr="00660DFA" w:rsidRDefault="0012436B" w:rsidP="00E33100">
      <w:pPr>
        <w:pStyle w:val="BodyText"/>
      </w:pPr>
      <w:r w:rsidRPr="00435927">
        <w:rPr>
          <w:shd w:val="clear" w:color="auto" w:fill="FFFFFF" w:themeFill="background1"/>
        </w:rPr>
        <w:t>In 201</w:t>
      </w:r>
      <w:r w:rsidR="006D7834">
        <w:rPr>
          <w:shd w:val="clear" w:color="auto" w:fill="FFFFFF" w:themeFill="background1"/>
        </w:rPr>
        <w:t>4</w:t>
      </w:r>
      <w:r w:rsidRPr="00435927">
        <w:rPr>
          <w:shd w:val="clear" w:color="auto" w:fill="FFFFFF" w:themeFill="background1"/>
        </w:rPr>
        <w:t xml:space="preserve">, </w:t>
      </w:r>
      <w:r w:rsidR="0019742D">
        <w:rPr>
          <w:shd w:val="clear" w:color="auto" w:fill="FFFFFF" w:themeFill="background1"/>
        </w:rPr>
        <w:t>5622</w:t>
      </w:r>
      <w:r w:rsidRPr="00435927">
        <w:rPr>
          <w:shd w:val="clear" w:color="auto" w:fill="FFFFFF" w:themeFill="background1"/>
        </w:rPr>
        <w:t xml:space="preserve"> year</w:t>
      </w:r>
      <w:r w:rsidR="003B4524" w:rsidRPr="00435927">
        <w:rPr>
          <w:shd w:val="clear" w:color="auto" w:fill="FFFFFF" w:themeFill="background1"/>
        </w:rPr>
        <w:t xml:space="preserve"> </w:t>
      </w:r>
      <w:r w:rsidRPr="00435927">
        <w:rPr>
          <w:shd w:val="clear" w:color="auto" w:fill="FFFFFF" w:themeFill="background1"/>
        </w:rPr>
        <w:t xml:space="preserve">6 students </w:t>
      </w:r>
      <w:r w:rsidR="00560DE1" w:rsidRPr="00435927">
        <w:rPr>
          <w:shd w:val="clear" w:color="auto" w:fill="FFFFFF" w:themeFill="background1"/>
        </w:rPr>
        <w:t xml:space="preserve">and </w:t>
      </w:r>
      <w:r w:rsidR="0019742D">
        <w:rPr>
          <w:shd w:val="clear" w:color="auto" w:fill="FFFFFF" w:themeFill="background1"/>
        </w:rPr>
        <w:t>4940</w:t>
      </w:r>
      <w:r w:rsidR="00560DE1" w:rsidRPr="00435927">
        <w:rPr>
          <w:shd w:val="clear" w:color="auto" w:fill="FFFFFF" w:themeFill="background1"/>
        </w:rPr>
        <w:t xml:space="preserve"> year 10</w:t>
      </w:r>
      <w:r w:rsidR="00560DE1" w:rsidRPr="00B40709">
        <w:t xml:space="preserve"> students </w:t>
      </w:r>
      <w:r w:rsidRPr="00B40709">
        <w:t xml:space="preserve">from </w:t>
      </w:r>
      <w:r w:rsidR="0019742D">
        <w:rPr>
          <w:shd w:val="clear" w:color="auto" w:fill="FFFFFF" w:themeFill="background1"/>
        </w:rPr>
        <w:t>649</w:t>
      </w:r>
      <w:r w:rsidR="00BE72C6">
        <w:t xml:space="preserve"> </w:t>
      </w:r>
      <w:r w:rsidRPr="00660DFA">
        <w:t>government and non</w:t>
      </w:r>
      <w:r w:rsidRPr="00660DFA">
        <w:noBreakHyphen/>
        <w:t xml:space="preserve">government </w:t>
      </w:r>
      <w:r w:rsidRPr="000445E2">
        <w:t xml:space="preserve">schools from all states and territories participated in the </w:t>
      </w:r>
      <w:r w:rsidR="000445E2" w:rsidRPr="000445E2">
        <w:t xml:space="preserve">Information and communications technology </w:t>
      </w:r>
      <w:r w:rsidR="000445E2">
        <w:t>(</w:t>
      </w:r>
      <w:r w:rsidR="004D745F">
        <w:t>ICT</w:t>
      </w:r>
      <w:r w:rsidR="000445E2">
        <w:t>)</w:t>
      </w:r>
      <w:r w:rsidR="004D745F">
        <w:t xml:space="preserve"> </w:t>
      </w:r>
      <w:r w:rsidR="000445E2">
        <w:t xml:space="preserve">literacy </w:t>
      </w:r>
      <w:r w:rsidR="00D948AA">
        <w:t>assessment (</w:t>
      </w:r>
      <w:r w:rsidR="00D948AA" w:rsidRPr="0083461E">
        <w:t>ACARA 201</w:t>
      </w:r>
      <w:r w:rsidR="006D7834">
        <w:t>5</w:t>
      </w:r>
      <w:r w:rsidR="00560DE1">
        <w:t>b</w:t>
      </w:r>
      <w:r w:rsidRPr="0083461E">
        <w:t xml:space="preserve">). </w:t>
      </w:r>
    </w:p>
    <w:p w:rsidR="004E5182" w:rsidRDefault="004E5182" w:rsidP="00642D88">
      <w:pPr>
        <w:pStyle w:val="Heading6"/>
      </w:pPr>
      <w:r>
        <w:lastRenderedPageBreak/>
        <w:t xml:space="preserve">Year 6 ICT </w:t>
      </w:r>
      <w:r w:rsidR="00EB3852">
        <w:t xml:space="preserve">literacy </w:t>
      </w:r>
      <w:r>
        <w:t>performance</w:t>
      </w:r>
    </w:p>
    <w:p w:rsidR="0012436B" w:rsidRDefault="0012436B" w:rsidP="00E33100">
      <w:pPr>
        <w:pStyle w:val="BodyText"/>
      </w:pPr>
      <w:r w:rsidRPr="00660DFA">
        <w:t>Nationally</w:t>
      </w:r>
      <w:r w:rsidR="00535E89">
        <w:t xml:space="preserve"> in 201</w:t>
      </w:r>
      <w:r w:rsidR="006D7834">
        <w:t>4</w:t>
      </w:r>
      <w:r w:rsidRPr="00660DFA">
        <w:t xml:space="preserve">, the proportion of participating </w:t>
      </w:r>
      <w:r w:rsidR="00DA1812">
        <w:t xml:space="preserve">year 6 </w:t>
      </w:r>
      <w:r w:rsidRPr="00CD1611">
        <w:rPr>
          <w:shd w:val="clear" w:color="auto" w:fill="FFFFFF" w:themeFill="background1"/>
        </w:rPr>
        <w:t xml:space="preserve">students who achieved at </w:t>
      </w:r>
      <w:r w:rsidR="000B7ACD" w:rsidRPr="00CD1611">
        <w:rPr>
          <w:shd w:val="clear" w:color="auto" w:fill="FFFFFF" w:themeFill="background1"/>
        </w:rPr>
        <w:t xml:space="preserve">or above </w:t>
      </w:r>
      <w:r w:rsidRPr="00CD1611">
        <w:rPr>
          <w:shd w:val="clear" w:color="auto" w:fill="FFFFFF" w:themeFill="background1"/>
        </w:rPr>
        <w:t xml:space="preserve">the proficient standard in </w:t>
      </w:r>
      <w:r w:rsidR="004E5182" w:rsidRPr="00CD1611">
        <w:rPr>
          <w:shd w:val="clear" w:color="auto" w:fill="FFFFFF" w:themeFill="background1"/>
        </w:rPr>
        <w:t>ICT</w:t>
      </w:r>
      <w:r w:rsidRPr="00CD1611">
        <w:rPr>
          <w:shd w:val="clear" w:color="auto" w:fill="FFFFFF" w:themeFill="background1"/>
        </w:rPr>
        <w:t xml:space="preserve"> </w:t>
      </w:r>
      <w:r w:rsidR="00EB3852" w:rsidRPr="00CD1611">
        <w:rPr>
          <w:shd w:val="clear" w:color="auto" w:fill="FFFFFF" w:themeFill="background1"/>
        </w:rPr>
        <w:t xml:space="preserve">literacy </w:t>
      </w:r>
      <w:r w:rsidRPr="00CD1611">
        <w:rPr>
          <w:shd w:val="clear" w:color="auto" w:fill="FFFFFF" w:themeFill="background1"/>
        </w:rPr>
        <w:t xml:space="preserve">performance was </w:t>
      </w:r>
      <w:r w:rsidR="0019742D" w:rsidRPr="00CD1611">
        <w:rPr>
          <w:shd w:val="clear" w:color="auto" w:fill="FFFFFF" w:themeFill="background1"/>
        </w:rPr>
        <w:t>52.5</w:t>
      </w:r>
      <w:r w:rsidR="00700F6C" w:rsidRPr="00CD1611">
        <w:rPr>
          <w:shd w:val="clear" w:color="auto" w:fill="FFFFFF" w:themeFill="background1"/>
        </w:rPr>
        <w:t>–</w:t>
      </w:r>
      <w:r w:rsidR="0019742D" w:rsidRPr="00CD1611">
        <w:rPr>
          <w:shd w:val="clear" w:color="auto" w:fill="FFFFFF" w:themeFill="background1"/>
        </w:rPr>
        <w:t>57.5</w:t>
      </w:r>
      <w:r w:rsidR="00B40709" w:rsidRPr="00CD1611">
        <w:rPr>
          <w:shd w:val="clear" w:color="auto" w:fill="FFFFFF" w:themeFill="background1"/>
        </w:rPr>
        <w:t> </w:t>
      </w:r>
      <w:r w:rsidRPr="00CD1611">
        <w:rPr>
          <w:shd w:val="clear" w:color="auto" w:fill="FFFFFF" w:themeFill="background1"/>
        </w:rPr>
        <w:t>per</w:t>
      </w:r>
      <w:r w:rsidR="00B40709" w:rsidRPr="00CD1611">
        <w:rPr>
          <w:shd w:val="clear" w:color="auto" w:fill="FFFFFF" w:themeFill="background1"/>
        </w:rPr>
        <w:t> </w:t>
      </w:r>
      <w:r w:rsidRPr="00CD1611">
        <w:rPr>
          <w:shd w:val="clear" w:color="auto" w:fill="FFFFFF" w:themeFill="background1"/>
        </w:rPr>
        <w:t>cent</w:t>
      </w:r>
      <w:r w:rsidR="007B5845" w:rsidRPr="00CD1611">
        <w:rPr>
          <w:shd w:val="clear" w:color="auto" w:fill="FFFFFF" w:themeFill="background1"/>
        </w:rPr>
        <w:t xml:space="preserve">, </w:t>
      </w:r>
      <w:r w:rsidR="0019742D" w:rsidRPr="00CD1611">
        <w:rPr>
          <w:shd w:val="clear" w:color="auto" w:fill="FFFFFF" w:themeFill="background1"/>
        </w:rPr>
        <w:t xml:space="preserve">lower than for 2011 but </w:t>
      </w:r>
      <w:r w:rsidR="007B5845" w:rsidRPr="00CD1611">
        <w:rPr>
          <w:shd w:val="clear" w:color="auto" w:fill="FFFFFF" w:themeFill="background1"/>
        </w:rPr>
        <w:t xml:space="preserve">not </w:t>
      </w:r>
      <w:r w:rsidR="006A7764" w:rsidRPr="00CD1611">
        <w:rPr>
          <w:shd w:val="clear" w:color="auto" w:fill="FFFFFF" w:themeFill="background1"/>
        </w:rPr>
        <w:t>significant</w:t>
      </w:r>
      <w:r w:rsidR="007B5845" w:rsidRPr="00CD1611">
        <w:rPr>
          <w:shd w:val="clear" w:color="auto" w:fill="FFFFFF" w:themeFill="background1"/>
        </w:rPr>
        <w:t>ly different</w:t>
      </w:r>
      <w:r w:rsidR="006A7764" w:rsidRPr="00CD1611">
        <w:rPr>
          <w:shd w:val="clear" w:color="auto" w:fill="FFFFFF" w:themeFill="background1"/>
        </w:rPr>
        <w:t xml:space="preserve"> from 200</w:t>
      </w:r>
      <w:r w:rsidR="0019742D" w:rsidRPr="00CD1611">
        <w:rPr>
          <w:shd w:val="clear" w:color="auto" w:fill="FFFFFF" w:themeFill="background1"/>
        </w:rPr>
        <w:t xml:space="preserve">5 or </w:t>
      </w:r>
      <w:r w:rsidR="006D7834" w:rsidRPr="00CD1611">
        <w:rPr>
          <w:shd w:val="clear" w:color="auto" w:fill="FFFFFF" w:themeFill="background1"/>
        </w:rPr>
        <w:t>2008</w:t>
      </w:r>
      <w:r w:rsidRPr="007346CF">
        <w:rPr>
          <w:shd w:val="clear" w:color="auto" w:fill="FFFFFF" w:themeFill="background1"/>
        </w:rPr>
        <w:t>.</w:t>
      </w:r>
      <w:r w:rsidRPr="00660DFA">
        <w:t xml:space="preserve"> These proportions vari</w:t>
      </w:r>
      <w:r w:rsidR="00F54DD0">
        <w:t>ed across jurisdictions (figure</w:t>
      </w:r>
      <w:r w:rsidR="00FD0F5E">
        <w:t> </w:t>
      </w:r>
      <w:r w:rsidRPr="00660DFA">
        <w:t>4.</w:t>
      </w:r>
      <w:r w:rsidR="007346CF">
        <w:t>3</w:t>
      </w:r>
      <w:r w:rsidR="00FF2AB3">
        <w:t>6</w:t>
      </w:r>
      <w:r w:rsidRPr="00660DFA">
        <w:t xml:space="preserve">). </w:t>
      </w:r>
    </w:p>
    <w:p w:rsidR="00E33100" w:rsidRDefault="00E33100" w:rsidP="00B4549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33100" w:rsidTr="00CD1611">
        <w:tc>
          <w:tcPr>
            <w:tcW w:w="8771" w:type="dxa"/>
            <w:tcBorders>
              <w:top w:val="single" w:sz="6" w:space="0" w:color="78A22F"/>
              <w:left w:val="nil"/>
              <w:bottom w:val="nil"/>
              <w:right w:val="nil"/>
            </w:tcBorders>
            <w:shd w:val="clear" w:color="auto" w:fill="auto"/>
          </w:tcPr>
          <w:p w:rsidR="00E33100" w:rsidRPr="00B665F2" w:rsidRDefault="00E33100" w:rsidP="00EB3852">
            <w:pPr>
              <w:pStyle w:val="FigureTitle"/>
              <w:rPr>
                <w:rStyle w:val="DraftingNote"/>
              </w:rPr>
            </w:pPr>
            <w:r w:rsidRPr="00784A05">
              <w:rPr>
                <w:b w:val="0"/>
              </w:rPr>
              <w:t xml:space="preserve">Figure </w:t>
            </w:r>
            <w:r w:rsidR="00B70781">
              <w:rPr>
                <w:b w:val="0"/>
              </w:rPr>
              <w:t>4.</w:t>
            </w:r>
            <w:r w:rsidR="00FF4FBD">
              <w:rPr>
                <w:b w:val="0"/>
                <w:noProof/>
              </w:rPr>
              <w:t>36</w:t>
            </w:r>
            <w:r>
              <w:tab/>
            </w:r>
            <w:r w:rsidRPr="00E33100">
              <w:t xml:space="preserve">Proportion of year 6 students achieving at or above the proficient standard, </w:t>
            </w:r>
            <w:r w:rsidR="004B55B1">
              <w:t>ICT</w:t>
            </w:r>
            <w:r w:rsidRPr="00E33100">
              <w:t xml:space="preserve"> </w:t>
            </w:r>
            <w:r w:rsidR="00EB3852">
              <w:t xml:space="preserve">literacy </w:t>
            </w:r>
            <w:r w:rsidRPr="00E33100">
              <w:t>performance</w:t>
            </w:r>
            <w:r w:rsidR="00B665F2">
              <w:rPr>
                <w:rStyle w:val="NoteLabel"/>
                <w:b/>
              </w:rPr>
              <w:t xml:space="preserve">a </w:t>
            </w:r>
          </w:p>
        </w:tc>
      </w:tr>
      <w:tr w:rsidR="00E33100" w:rsidTr="00CD1611">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33100" w:rsidTr="00B45495">
              <w:trPr>
                <w:jc w:val="center"/>
              </w:trPr>
              <w:tc>
                <w:tcPr>
                  <w:tcW w:w="5000" w:type="pct"/>
                  <w:tcBorders>
                    <w:top w:val="nil"/>
                    <w:bottom w:val="nil"/>
                  </w:tcBorders>
                </w:tcPr>
                <w:p w:rsidR="00E33100" w:rsidRDefault="00EE6972" w:rsidP="00B45495">
                  <w:pPr>
                    <w:pStyle w:val="Figure"/>
                    <w:spacing w:before="60" w:after="60"/>
                  </w:pPr>
                  <w:r>
                    <w:rPr>
                      <w:noProof/>
                    </w:rPr>
                    <w:drawing>
                      <wp:inline distT="0" distB="0" distL="0" distR="0">
                        <wp:extent cx="5391150" cy="2676525"/>
                        <wp:effectExtent l="0" t="0" r="0" b="9525"/>
                        <wp:docPr id="45" name="Picture 45" descr="Figure 4.36 Proportion of year 6 students achieving at or above the proficient standard, ICT literacy performan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91150" cy="2676525"/>
                                </a:xfrm>
                                <a:prstGeom prst="rect">
                                  <a:avLst/>
                                </a:prstGeom>
                                <a:noFill/>
                                <a:ln>
                                  <a:noFill/>
                                </a:ln>
                              </pic:spPr>
                            </pic:pic>
                          </a:graphicData>
                        </a:graphic>
                      </wp:inline>
                    </w:drawing>
                  </w:r>
                </w:p>
              </w:tc>
            </w:tr>
          </w:tbl>
          <w:p w:rsidR="00E33100" w:rsidRDefault="00E33100" w:rsidP="00B45495">
            <w:pPr>
              <w:pStyle w:val="Figure"/>
            </w:pPr>
          </w:p>
        </w:tc>
      </w:tr>
      <w:tr w:rsidR="00E33100" w:rsidRPr="00176D3F" w:rsidTr="00B45495">
        <w:tc>
          <w:tcPr>
            <w:tcW w:w="8771" w:type="dxa"/>
            <w:tcBorders>
              <w:top w:val="nil"/>
              <w:left w:val="nil"/>
              <w:bottom w:val="nil"/>
              <w:right w:val="nil"/>
            </w:tcBorders>
            <w:shd w:val="clear" w:color="auto" w:fill="auto"/>
          </w:tcPr>
          <w:p w:rsidR="00E33100" w:rsidRPr="00176D3F" w:rsidRDefault="00E33100" w:rsidP="00F8126D">
            <w:pPr>
              <w:pStyle w:val="Note"/>
            </w:pPr>
            <w:r>
              <w:rPr>
                <w:rStyle w:val="NoteLabel"/>
              </w:rPr>
              <w:t>a</w:t>
            </w:r>
            <w:r>
              <w:t xml:space="preserve"> </w:t>
            </w:r>
            <w:r w:rsidR="00F8126D" w:rsidRPr="00F8126D">
              <w:t xml:space="preserve">See box </w:t>
            </w:r>
            <w:r w:rsidR="002E5EAF" w:rsidRPr="00F8126D">
              <w:t>4.</w:t>
            </w:r>
            <w:r w:rsidR="002E5EAF">
              <w:t>10</w:t>
            </w:r>
            <w:r w:rsidR="002E5EAF" w:rsidRPr="00F8126D">
              <w:t xml:space="preserve"> </w:t>
            </w:r>
            <w:r w:rsidR="00F8126D" w:rsidRPr="00F8126D">
              <w:t>and table 4A.</w:t>
            </w:r>
            <w:r w:rsidR="00F8126D">
              <w:t>88</w:t>
            </w:r>
            <w:r w:rsidR="00F8126D" w:rsidRPr="00F8126D">
              <w:t xml:space="preserve"> for detailed definitions, footnotes and caveats.</w:t>
            </w:r>
          </w:p>
        </w:tc>
      </w:tr>
      <w:tr w:rsidR="00E33100" w:rsidRPr="00176D3F" w:rsidTr="00B45495">
        <w:tc>
          <w:tcPr>
            <w:tcW w:w="8771" w:type="dxa"/>
            <w:tcBorders>
              <w:top w:val="nil"/>
              <w:left w:val="nil"/>
              <w:bottom w:val="nil"/>
              <w:right w:val="nil"/>
            </w:tcBorders>
            <w:shd w:val="clear" w:color="auto" w:fill="auto"/>
          </w:tcPr>
          <w:p w:rsidR="00E33100" w:rsidRPr="00176D3F" w:rsidRDefault="0036251F" w:rsidP="00642D88">
            <w:pPr>
              <w:pStyle w:val="Source"/>
            </w:pPr>
            <w:r>
              <w:rPr>
                <w:i/>
              </w:rPr>
              <w:t>S</w:t>
            </w:r>
            <w:r w:rsidR="00E33100" w:rsidRPr="00784A05">
              <w:rPr>
                <w:i/>
              </w:rPr>
              <w:t>ource</w:t>
            </w:r>
            <w:r w:rsidR="00E33100" w:rsidRPr="00176D3F">
              <w:t xml:space="preserve">: </w:t>
            </w:r>
            <w:r w:rsidRPr="0036251F">
              <w:t>ACARA (201</w:t>
            </w:r>
            <w:r w:rsidR="009C2F51">
              <w:t>5</w:t>
            </w:r>
            <w:r w:rsidRPr="0036251F">
              <w:t xml:space="preserve">), </w:t>
            </w:r>
            <w:r w:rsidRPr="0036251F">
              <w:rPr>
                <w:i/>
                <w:iCs/>
              </w:rPr>
              <w:t xml:space="preserve">National Assessment Program </w:t>
            </w:r>
            <w:r w:rsidR="009C2F51">
              <w:rPr>
                <w:i/>
                <w:iCs/>
              </w:rPr>
              <w:t>ICT</w:t>
            </w:r>
            <w:r w:rsidRPr="0036251F">
              <w:rPr>
                <w:i/>
                <w:iCs/>
              </w:rPr>
              <w:t xml:space="preserve"> Year</w:t>
            </w:r>
            <w:r w:rsidR="00C464C0">
              <w:rPr>
                <w:i/>
                <w:iCs/>
              </w:rPr>
              <w:t>s</w:t>
            </w:r>
            <w:r w:rsidRPr="0036251F">
              <w:rPr>
                <w:i/>
                <w:iCs/>
              </w:rPr>
              <w:t xml:space="preserve"> 6 </w:t>
            </w:r>
            <w:r w:rsidR="00C464C0">
              <w:rPr>
                <w:i/>
                <w:iCs/>
              </w:rPr>
              <w:t xml:space="preserve">and 10 </w:t>
            </w:r>
            <w:r w:rsidRPr="0036251F">
              <w:rPr>
                <w:i/>
                <w:iCs/>
              </w:rPr>
              <w:t>Report 201</w:t>
            </w:r>
            <w:r w:rsidR="009C2F51">
              <w:rPr>
                <w:i/>
                <w:iCs/>
              </w:rPr>
              <w:t>4</w:t>
            </w:r>
            <w:r w:rsidRPr="0036251F">
              <w:rPr>
                <w:i/>
                <w:iCs/>
              </w:rPr>
              <w:t>,</w:t>
            </w:r>
            <w:r w:rsidRPr="0036251F">
              <w:t xml:space="preserve"> Sydney; table 4A.</w:t>
            </w:r>
            <w:r w:rsidR="00642D88">
              <w:t>88</w:t>
            </w:r>
            <w:r w:rsidRPr="0036251F">
              <w:t>.</w:t>
            </w:r>
          </w:p>
        </w:tc>
      </w:tr>
      <w:tr w:rsidR="00E33100" w:rsidTr="00B45495">
        <w:tc>
          <w:tcPr>
            <w:tcW w:w="8771" w:type="dxa"/>
            <w:tcBorders>
              <w:top w:val="nil"/>
              <w:left w:val="nil"/>
              <w:bottom w:val="single" w:sz="6" w:space="0" w:color="78A22F"/>
              <w:right w:val="nil"/>
            </w:tcBorders>
            <w:shd w:val="clear" w:color="auto" w:fill="auto"/>
          </w:tcPr>
          <w:p w:rsidR="00E33100" w:rsidRDefault="00E33100" w:rsidP="00B45495">
            <w:pPr>
              <w:pStyle w:val="Figurespace"/>
            </w:pPr>
          </w:p>
        </w:tc>
      </w:tr>
      <w:tr w:rsidR="00E33100" w:rsidRPr="000863A5" w:rsidTr="00B45495">
        <w:tc>
          <w:tcPr>
            <w:tcW w:w="8771" w:type="dxa"/>
            <w:tcBorders>
              <w:top w:val="single" w:sz="6" w:space="0" w:color="78A22F"/>
              <w:left w:val="nil"/>
              <w:bottom w:val="nil"/>
              <w:right w:val="nil"/>
            </w:tcBorders>
          </w:tcPr>
          <w:p w:rsidR="00E33100" w:rsidRPr="00626D32" w:rsidRDefault="00E33100" w:rsidP="00B45495">
            <w:pPr>
              <w:pStyle w:val="BoxSpaceBelow"/>
            </w:pPr>
          </w:p>
        </w:tc>
      </w:tr>
    </w:tbl>
    <w:p w:rsidR="003D0E85" w:rsidRDefault="004F5114" w:rsidP="004F5114">
      <w:pPr>
        <w:pStyle w:val="BodyText"/>
      </w:pPr>
      <w:r w:rsidRPr="002B51C1">
        <w:t xml:space="preserve">Nationally in </w:t>
      </w:r>
      <w:r w:rsidRPr="00104AF2">
        <w:t>201</w:t>
      </w:r>
      <w:r w:rsidR="009C2F51">
        <w:t>4</w:t>
      </w:r>
      <w:r w:rsidRPr="00CD1611">
        <w:rPr>
          <w:shd w:val="clear" w:color="auto" w:fill="FFFFFF" w:themeFill="background1"/>
        </w:rPr>
        <w:t xml:space="preserve">, </w:t>
      </w:r>
      <w:r w:rsidR="006B57EA" w:rsidRPr="00CD1611">
        <w:rPr>
          <w:shd w:val="clear" w:color="auto" w:fill="FFFFFF" w:themeFill="background1"/>
        </w:rPr>
        <w:t>13.9–30.1</w:t>
      </w:r>
      <w:r w:rsidRPr="00CD1611">
        <w:rPr>
          <w:shd w:val="clear" w:color="auto" w:fill="FFFFFF" w:themeFill="background1"/>
        </w:rPr>
        <w:t xml:space="preserve"> per cent of Aboriginal and Torres Strait Islander year 6 students achieved at the proficient standard or above in </w:t>
      </w:r>
      <w:r w:rsidR="00EB3852" w:rsidRPr="00CD1611">
        <w:rPr>
          <w:shd w:val="clear" w:color="auto" w:fill="FFFFFF" w:themeFill="background1"/>
        </w:rPr>
        <w:t>ICT literacy performance</w:t>
      </w:r>
      <w:r w:rsidRPr="00CD1611">
        <w:rPr>
          <w:shd w:val="clear" w:color="auto" w:fill="FFFFFF" w:themeFill="background1"/>
        </w:rPr>
        <w:t xml:space="preserve">, significantly lower than </w:t>
      </w:r>
      <w:r w:rsidRPr="00104AF2">
        <w:t>the proportion for non</w:t>
      </w:r>
      <w:r w:rsidRPr="00104AF2">
        <w:noBreakHyphen/>
        <w:t>Indigenous students (</w:t>
      </w:r>
      <w:r w:rsidR="00390679">
        <w:rPr>
          <w:shd w:val="clear" w:color="auto" w:fill="FFFFFF" w:themeFill="background1"/>
        </w:rPr>
        <w:t>54.5</w:t>
      </w:r>
      <w:r w:rsidR="006B57EA" w:rsidRPr="00CD1611">
        <w:rPr>
          <w:shd w:val="clear" w:color="auto" w:fill="FFFFFF" w:themeFill="background1"/>
        </w:rPr>
        <w:t>–</w:t>
      </w:r>
      <w:r w:rsidR="00390679">
        <w:rPr>
          <w:shd w:val="clear" w:color="auto" w:fill="FFFFFF" w:themeFill="background1"/>
        </w:rPr>
        <w:t>59.5</w:t>
      </w:r>
      <w:r w:rsidRPr="00CD1611">
        <w:rPr>
          <w:shd w:val="clear" w:color="auto" w:fill="FFFFFF" w:themeFill="background1"/>
        </w:rPr>
        <w:t xml:space="preserve"> per cent) (table 4A.</w:t>
      </w:r>
      <w:r w:rsidR="00642D88" w:rsidRPr="00CD1611">
        <w:rPr>
          <w:shd w:val="clear" w:color="auto" w:fill="FFFFFF" w:themeFill="background1"/>
        </w:rPr>
        <w:t>89</w:t>
      </w:r>
      <w:r w:rsidRPr="00CD1611">
        <w:rPr>
          <w:shd w:val="clear" w:color="auto" w:fill="FFFFFF" w:themeFill="background1"/>
        </w:rPr>
        <w:t>).</w:t>
      </w:r>
      <w:r w:rsidR="004E5182" w:rsidRPr="00CD1611">
        <w:rPr>
          <w:shd w:val="clear" w:color="auto" w:fill="FFFFFF" w:themeFill="background1"/>
        </w:rPr>
        <w:t xml:space="preserve"> Data </w:t>
      </w:r>
      <w:r w:rsidR="003D0E85" w:rsidRPr="00CD1611">
        <w:rPr>
          <w:shd w:val="clear" w:color="auto" w:fill="FFFFFF" w:themeFill="background1"/>
        </w:rPr>
        <w:t xml:space="preserve">by </w:t>
      </w:r>
      <w:r w:rsidR="00642D88" w:rsidRPr="00CD1611">
        <w:rPr>
          <w:shd w:val="clear" w:color="auto" w:fill="FFFFFF" w:themeFill="background1"/>
        </w:rPr>
        <w:t xml:space="preserve">achievement level, </w:t>
      </w:r>
      <w:r w:rsidR="004E5182" w:rsidRPr="00CD1611">
        <w:rPr>
          <w:shd w:val="clear" w:color="auto" w:fill="FFFFFF" w:themeFill="background1"/>
        </w:rPr>
        <w:t>sex</w:t>
      </w:r>
      <w:r w:rsidR="004E5182">
        <w:t xml:space="preserve">, </w:t>
      </w:r>
      <w:r w:rsidR="003D0E85">
        <w:t>geolocation and for students who speak languages other than English at home are included in table 4A.</w:t>
      </w:r>
      <w:r w:rsidR="00642D88">
        <w:t>89</w:t>
      </w:r>
      <w:r w:rsidR="00AF6FB4">
        <w:t>.</w:t>
      </w:r>
    </w:p>
    <w:p w:rsidR="004F5114" w:rsidRDefault="004F5114" w:rsidP="004F5114">
      <w:pPr>
        <w:pStyle w:val="BodyText"/>
      </w:pPr>
      <w:r>
        <w:t>In 201</w:t>
      </w:r>
      <w:r w:rsidR="009C2F51">
        <w:t>4</w:t>
      </w:r>
      <w:r>
        <w:t xml:space="preserve">, the mean </w:t>
      </w:r>
      <w:r w:rsidRPr="00CD1611">
        <w:rPr>
          <w:shd w:val="clear" w:color="auto" w:fill="FFFFFF" w:themeFill="background1"/>
        </w:rPr>
        <w:t xml:space="preserve">scale score for year 6 students in </w:t>
      </w:r>
      <w:r w:rsidR="009C2F51" w:rsidRPr="00CD1611">
        <w:rPr>
          <w:shd w:val="clear" w:color="auto" w:fill="FFFFFF" w:themeFill="background1"/>
        </w:rPr>
        <w:t>ICT</w:t>
      </w:r>
      <w:r w:rsidRPr="00CD1611">
        <w:rPr>
          <w:shd w:val="clear" w:color="auto" w:fill="FFFFFF" w:themeFill="background1"/>
        </w:rPr>
        <w:t xml:space="preserve"> </w:t>
      </w:r>
      <w:r w:rsidR="00EB3852" w:rsidRPr="00CD1611">
        <w:rPr>
          <w:shd w:val="clear" w:color="auto" w:fill="FFFFFF" w:themeFill="background1"/>
        </w:rPr>
        <w:t>literacy performance</w:t>
      </w:r>
      <w:r w:rsidRPr="00CD1611">
        <w:rPr>
          <w:shd w:val="clear" w:color="auto" w:fill="FFFFFF" w:themeFill="background1"/>
        </w:rPr>
        <w:t xml:space="preserve"> was </w:t>
      </w:r>
      <w:r w:rsidR="00EB3852" w:rsidRPr="00CD1611">
        <w:rPr>
          <w:shd w:val="clear" w:color="auto" w:fill="FFFFFF" w:themeFill="background1"/>
        </w:rPr>
        <w:br/>
      </w:r>
      <w:r w:rsidR="006B57EA" w:rsidRPr="00CD1611">
        <w:rPr>
          <w:shd w:val="clear" w:color="auto" w:fill="FFFFFF" w:themeFill="background1"/>
        </w:rPr>
        <w:t>407.3</w:t>
      </w:r>
      <w:r w:rsidRPr="00CD1611">
        <w:rPr>
          <w:shd w:val="clear" w:color="auto" w:fill="FFFFFF" w:themeFill="background1"/>
        </w:rPr>
        <w:t>–4</w:t>
      </w:r>
      <w:r w:rsidR="006B57EA" w:rsidRPr="00CD1611">
        <w:rPr>
          <w:shd w:val="clear" w:color="auto" w:fill="FFFFFF" w:themeFill="background1"/>
        </w:rPr>
        <w:t>18.7</w:t>
      </w:r>
      <w:r w:rsidRPr="00CD1611">
        <w:rPr>
          <w:shd w:val="clear" w:color="auto" w:fill="FFFFFF" w:themeFill="background1"/>
        </w:rPr>
        <w:t xml:space="preserve">, </w:t>
      </w:r>
      <w:r w:rsidR="006B57EA" w:rsidRPr="00CD1611">
        <w:rPr>
          <w:shd w:val="clear" w:color="auto" w:fill="FFFFFF" w:themeFill="background1"/>
        </w:rPr>
        <w:t>lower than 20</w:t>
      </w:r>
      <w:r w:rsidR="00C72BD9" w:rsidRPr="00CD1611">
        <w:rPr>
          <w:shd w:val="clear" w:color="auto" w:fill="FFFFFF" w:themeFill="background1"/>
        </w:rPr>
        <w:t>1</w:t>
      </w:r>
      <w:r w:rsidR="006B57EA" w:rsidRPr="00CD1611">
        <w:rPr>
          <w:shd w:val="clear" w:color="auto" w:fill="FFFFFF" w:themeFill="background1"/>
        </w:rPr>
        <w:t xml:space="preserve">1 but </w:t>
      </w:r>
      <w:r w:rsidRPr="00CD1611">
        <w:rPr>
          <w:shd w:val="clear" w:color="auto" w:fill="FFFFFF" w:themeFill="background1"/>
        </w:rPr>
        <w:t>not significantly different</w:t>
      </w:r>
      <w:r>
        <w:t xml:space="preserve"> from </w:t>
      </w:r>
      <w:r w:rsidR="006B57EA">
        <w:t>2005 and</w:t>
      </w:r>
      <w:r w:rsidR="009C2F51">
        <w:t xml:space="preserve"> 2008 </w:t>
      </w:r>
      <w:r w:rsidR="003D0E85">
        <w:t>(table</w:t>
      </w:r>
      <w:r w:rsidR="00EB3852">
        <w:t> </w:t>
      </w:r>
      <w:r w:rsidR="003D0E85">
        <w:t>4A.</w:t>
      </w:r>
      <w:r w:rsidR="00642D88">
        <w:t>9</w:t>
      </w:r>
      <w:r w:rsidR="003A0804">
        <w:t>0</w:t>
      </w:r>
      <w:r w:rsidR="003D0E85">
        <w:t>). Mean scale scores varied across jurisdictions.</w:t>
      </w:r>
    </w:p>
    <w:p w:rsidR="009C2F51" w:rsidRPr="0089766B" w:rsidRDefault="009C2F51" w:rsidP="009C2F51">
      <w:pPr>
        <w:pStyle w:val="BodyText"/>
      </w:pPr>
      <w:r w:rsidRPr="0089766B">
        <w:t xml:space="preserve">Statistical significance of differences across states and territories between </w:t>
      </w:r>
      <w:r>
        <w:t xml:space="preserve">mean scale scores for </w:t>
      </w:r>
      <w:r w:rsidRPr="0089766B">
        <w:t xml:space="preserve">year </w:t>
      </w:r>
      <w:r>
        <w:t>6</w:t>
      </w:r>
      <w:r w:rsidRPr="0089766B">
        <w:t xml:space="preserve"> students </w:t>
      </w:r>
      <w:r>
        <w:t xml:space="preserve">in ICT </w:t>
      </w:r>
      <w:r w:rsidR="00EB3852">
        <w:t xml:space="preserve">literacy </w:t>
      </w:r>
      <w:r>
        <w:t xml:space="preserve">performance </w:t>
      </w:r>
      <w:r w:rsidRPr="0089766B">
        <w:t>are provided in table 4A.</w:t>
      </w:r>
      <w:r w:rsidR="00642D88">
        <w:t>9</w:t>
      </w:r>
      <w:r w:rsidR="003A0804">
        <w:t>1</w:t>
      </w:r>
      <w:r w:rsidRPr="0089766B">
        <w:t>.</w:t>
      </w:r>
    </w:p>
    <w:p w:rsidR="004E5182" w:rsidRDefault="004E5182" w:rsidP="00C16B98">
      <w:pPr>
        <w:pStyle w:val="Heading6"/>
        <w:keepNext/>
      </w:pPr>
      <w:r>
        <w:lastRenderedPageBreak/>
        <w:t>Year 10 ICT</w:t>
      </w:r>
      <w:r w:rsidR="00EB3852">
        <w:t xml:space="preserve"> literacy performance</w:t>
      </w:r>
    </w:p>
    <w:p w:rsidR="00560DE1" w:rsidRDefault="00560DE1" w:rsidP="00560DE1">
      <w:pPr>
        <w:spacing w:before="240" w:line="320" w:lineRule="atLeast"/>
        <w:jc w:val="both"/>
        <w:rPr>
          <w:szCs w:val="20"/>
        </w:rPr>
      </w:pPr>
      <w:r w:rsidRPr="00660DFA">
        <w:rPr>
          <w:szCs w:val="20"/>
        </w:rPr>
        <w:t>Nationally</w:t>
      </w:r>
      <w:r>
        <w:rPr>
          <w:szCs w:val="20"/>
        </w:rPr>
        <w:t xml:space="preserve"> in 201</w:t>
      </w:r>
      <w:r w:rsidR="004E5182">
        <w:rPr>
          <w:szCs w:val="20"/>
        </w:rPr>
        <w:t>4</w:t>
      </w:r>
      <w:r w:rsidRPr="00660DFA">
        <w:rPr>
          <w:szCs w:val="20"/>
        </w:rPr>
        <w:t xml:space="preserve">, the proportion of </w:t>
      </w:r>
      <w:r w:rsidRPr="00EE64E3">
        <w:rPr>
          <w:szCs w:val="20"/>
          <w:shd w:val="clear" w:color="auto" w:fill="FFFFFF" w:themeFill="background1"/>
        </w:rPr>
        <w:t xml:space="preserve">participating year </w:t>
      </w:r>
      <w:r w:rsidR="00BA5714" w:rsidRPr="00EE64E3">
        <w:rPr>
          <w:szCs w:val="20"/>
          <w:shd w:val="clear" w:color="auto" w:fill="FFFFFF" w:themeFill="background1"/>
        </w:rPr>
        <w:t>10</w:t>
      </w:r>
      <w:r w:rsidRPr="00EE64E3">
        <w:rPr>
          <w:szCs w:val="20"/>
          <w:shd w:val="clear" w:color="auto" w:fill="FFFFFF" w:themeFill="background1"/>
        </w:rPr>
        <w:t xml:space="preserve"> students who achieved at or above the proficient standard in </w:t>
      </w:r>
      <w:r w:rsidR="009C2F51" w:rsidRPr="00EE64E3">
        <w:rPr>
          <w:szCs w:val="20"/>
          <w:shd w:val="clear" w:color="auto" w:fill="FFFFFF" w:themeFill="background1"/>
        </w:rPr>
        <w:t>ICT</w:t>
      </w:r>
      <w:r w:rsidRPr="00EE64E3">
        <w:rPr>
          <w:szCs w:val="20"/>
          <w:shd w:val="clear" w:color="auto" w:fill="FFFFFF" w:themeFill="background1"/>
        </w:rPr>
        <w:t xml:space="preserve"> </w:t>
      </w:r>
      <w:r w:rsidR="00EB3852" w:rsidRPr="00EE64E3">
        <w:rPr>
          <w:szCs w:val="20"/>
          <w:shd w:val="clear" w:color="auto" w:fill="FFFFFF" w:themeFill="background1"/>
        </w:rPr>
        <w:t xml:space="preserve">literacy </w:t>
      </w:r>
      <w:r w:rsidRPr="00EE64E3">
        <w:rPr>
          <w:szCs w:val="20"/>
          <w:shd w:val="clear" w:color="auto" w:fill="FFFFFF" w:themeFill="background1"/>
        </w:rPr>
        <w:t xml:space="preserve">performance was </w:t>
      </w:r>
      <w:r w:rsidR="006B57EA" w:rsidRPr="00EE64E3">
        <w:rPr>
          <w:szCs w:val="20"/>
          <w:shd w:val="clear" w:color="auto" w:fill="FFFFFF" w:themeFill="background1"/>
        </w:rPr>
        <w:t xml:space="preserve">49.5–54.5 per cent, </w:t>
      </w:r>
      <w:r w:rsidR="007B5845" w:rsidRPr="00EE64E3">
        <w:rPr>
          <w:szCs w:val="20"/>
          <w:shd w:val="clear" w:color="auto" w:fill="FFFFFF" w:themeFill="background1"/>
        </w:rPr>
        <w:t xml:space="preserve">significantly </w:t>
      </w:r>
      <w:r w:rsidR="006B57EA" w:rsidRPr="00EE64E3">
        <w:rPr>
          <w:szCs w:val="20"/>
          <w:shd w:val="clear" w:color="auto" w:fill="FFFFFF" w:themeFill="background1"/>
        </w:rPr>
        <w:t>lower than</w:t>
      </w:r>
      <w:r w:rsidR="004F5114" w:rsidRPr="00EE64E3">
        <w:rPr>
          <w:szCs w:val="20"/>
          <w:shd w:val="clear" w:color="auto" w:fill="FFFFFF" w:themeFill="background1"/>
        </w:rPr>
        <w:t xml:space="preserve"> </w:t>
      </w:r>
      <w:r w:rsidRPr="00EE64E3">
        <w:rPr>
          <w:szCs w:val="20"/>
          <w:shd w:val="clear" w:color="auto" w:fill="FFFFFF" w:themeFill="background1"/>
        </w:rPr>
        <w:t>200</w:t>
      </w:r>
      <w:r w:rsidR="009C2F51" w:rsidRPr="00EE64E3">
        <w:rPr>
          <w:szCs w:val="20"/>
          <w:shd w:val="clear" w:color="auto" w:fill="FFFFFF" w:themeFill="background1"/>
        </w:rPr>
        <w:t xml:space="preserve">5, </w:t>
      </w:r>
      <w:r w:rsidRPr="00EE64E3">
        <w:rPr>
          <w:szCs w:val="20"/>
          <w:shd w:val="clear" w:color="auto" w:fill="FFFFFF" w:themeFill="background1"/>
        </w:rPr>
        <w:t>20</w:t>
      </w:r>
      <w:r w:rsidR="009C2F51" w:rsidRPr="00EE64E3">
        <w:rPr>
          <w:szCs w:val="20"/>
          <w:shd w:val="clear" w:color="auto" w:fill="FFFFFF" w:themeFill="background1"/>
        </w:rPr>
        <w:t xml:space="preserve">08 </w:t>
      </w:r>
      <w:r w:rsidR="00C72BD9" w:rsidRPr="00EE64E3">
        <w:rPr>
          <w:szCs w:val="20"/>
          <w:shd w:val="clear" w:color="auto" w:fill="FFFFFF" w:themeFill="background1"/>
        </w:rPr>
        <w:t>and</w:t>
      </w:r>
      <w:r w:rsidR="009C2F51" w:rsidRPr="00EE64E3">
        <w:rPr>
          <w:szCs w:val="20"/>
          <w:shd w:val="clear" w:color="auto" w:fill="FFFFFF" w:themeFill="background1"/>
        </w:rPr>
        <w:t xml:space="preserve"> 2011</w:t>
      </w:r>
      <w:r w:rsidRPr="00EE64E3">
        <w:rPr>
          <w:szCs w:val="20"/>
          <w:shd w:val="clear" w:color="auto" w:fill="FFFFFF" w:themeFill="background1"/>
        </w:rPr>
        <w:t>.</w:t>
      </w:r>
      <w:r w:rsidRPr="004F5114">
        <w:rPr>
          <w:szCs w:val="20"/>
          <w:shd w:val="clear" w:color="auto" w:fill="FFFFFF" w:themeFill="background1"/>
        </w:rPr>
        <w:t xml:space="preserve"> These proportions</w:t>
      </w:r>
      <w:r w:rsidRPr="00660DFA">
        <w:rPr>
          <w:szCs w:val="20"/>
        </w:rPr>
        <w:t xml:space="preserve"> vari</w:t>
      </w:r>
      <w:r>
        <w:rPr>
          <w:szCs w:val="20"/>
        </w:rPr>
        <w:t>ed across jurisdictions (figure</w:t>
      </w:r>
      <w:r w:rsidR="00C16B98">
        <w:rPr>
          <w:szCs w:val="20"/>
        </w:rPr>
        <w:t> </w:t>
      </w:r>
      <w:r w:rsidRPr="00660DFA">
        <w:rPr>
          <w:szCs w:val="20"/>
        </w:rPr>
        <w:t>4.</w:t>
      </w:r>
      <w:r w:rsidR="004F5114">
        <w:rPr>
          <w:szCs w:val="20"/>
        </w:rPr>
        <w:t>3</w:t>
      </w:r>
      <w:r w:rsidR="00FF2AB3">
        <w:rPr>
          <w:szCs w:val="20"/>
        </w:rPr>
        <w:t>7</w:t>
      </w:r>
      <w:r w:rsidRPr="00660DFA">
        <w:rPr>
          <w:szCs w:val="20"/>
        </w:rPr>
        <w:t xml:space="preserve">). </w:t>
      </w:r>
    </w:p>
    <w:p w:rsidR="00DC2D81" w:rsidRDefault="00DC2D81" w:rsidP="00B4549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C2D81" w:rsidTr="00B45495">
        <w:tc>
          <w:tcPr>
            <w:tcW w:w="8771" w:type="dxa"/>
            <w:tcBorders>
              <w:top w:val="single" w:sz="6" w:space="0" w:color="78A22F"/>
              <w:left w:val="nil"/>
              <w:bottom w:val="nil"/>
              <w:right w:val="nil"/>
            </w:tcBorders>
            <w:shd w:val="clear" w:color="auto" w:fill="auto"/>
          </w:tcPr>
          <w:p w:rsidR="00DC2D81" w:rsidRPr="00176D3F" w:rsidRDefault="00DC2D81" w:rsidP="00EB3852">
            <w:pPr>
              <w:pStyle w:val="FigureTitle"/>
            </w:pPr>
            <w:r w:rsidRPr="00784A05">
              <w:rPr>
                <w:b w:val="0"/>
              </w:rPr>
              <w:t xml:space="preserve">Figure </w:t>
            </w:r>
            <w:r w:rsidR="00B70781">
              <w:rPr>
                <w:b w:val="0"/>
              </w:rPr>
              <w:t>4.</w:t>
            </w:r>
            <w:r w:rsidR="00FF4FBD">
              <w:rPr>
                <w:b w:val="0"/>
                <w:noProof/>
              </w:rPr>
              <w:t>37</w:t>
            </w:r>
            <w:r>
              <w:tab/>
            </w:r>
            <w:r w:rsidRPr="00DC2D81">
              <w:t xml:space="preserve">Proportion of year 10 students achieving at or above the proficient standard, </w:t>
            </w:r>
            <w:r w:rsidR="009C2F51">
              <w:rPr>
                <w:szCs w:val="20"/>
              </w:rPr>
              <w:t>ICT</w:t>
            </w:r>
            <w:r w:rsidR="00F365D1" w:rsidRPr="00660DFA">
              <w:rPr>
                <w:szCs w:val="20"/>
              </w:rPr>
              <w:t xml:space="preserve"> </w:t>
            </w:r>
            <w:r w:rsidR="00EB3852">
              <w:rPr>
                <w:szCs w:val="20"/>
              </w:rPr>
              <w:t xml:space="preserve">literacy </w:t>
            </w:r>
            <w:r w:rsidRPr="00DC2D81">
              <w:t>performance</w:t>
            </w:r>
            <w:r w:rsidRPr="00DC2D81">
              <w:rPr>
                <w:rStyle w:val="NoteLabel"/>
                <w:b/>
              </w:rPr>
              <w:t>a</w:t>
            </w:r>
            <w:r w:rsidR="00B665F2">
              <w:rPr>
                <w:rStyle w:val="NoteLabel"/>
                <w:b/>
              </w:rPr>
              <w:t xml:space="preserve">    </w:t>
            </w:r>
          </w:p>
        </w:tc>
      </w:tr>
      <w:tr w:rsidR="00DC2D81" w:rsidTr="00EE64E3">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C2D81" w:rsidTr="00B45495">
              <w:trPr>
                <w:jc w:val="center"/>
              </w:trPr>
              <w:tc>
                <w:tcPr>
                  <w:tcW w:w="5000" w:type="pct"/>
                  <w:tcBorders>
                    <w:top w:val="nil"/>
                    <w:bottom w:val="nil"/>
                  </w:tcBorders>
                </w:tcPr>
                <w:p w:rsidR="00DC2D81" w:rsidRDefault="00EE6972" w:rsidP="00B45495">
                  <w:pPr>
                    <w:pStyle w:val="Figure"/>
                    <w:spacing w:before="60" w:after="60"/>
                  </w:pPr>
                  <w:r>
                    <w:rPr>
                      <w:noProof/>
                    </w:rPr>
                    <w:drawing>
                      <wp:inline distT="0" distB="0" distL="0" distR="0">
                        <wp:extent cx="5391150" cy="2676525"/>
                        <wp:effectExtent l="0" t="0" r="0" b="9525"/>
                        <wp:docPr id="46" name="Picture 46" descr="Figure 4.37 Proportion of year 10 students achieving at or above the proficient standard, ICT literacy performan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391150" cy="2676525"/>
                                </a:xfrm>
                                <a:prstGeom prst="rect">
                                  <a:avLst/>
                                </a:prstGeom>
                                <a:noFill/>
                                <a:ln>
                                  <a:noFill/>
                                </a:ln>
                              </pic:spPr>
                            </pic:pic>
                          </a:graphicData>
                        </a:graphic>
                      </wp:inline>
                    </w:drawing>
                  </w:r>
                </w:p>
              </w:tc>
            </w:tr>
          </w:tbl>
          <w:p w:rsidR="00DC2D81" w:rsidRDefault="00DC2D81" w:rsidP="00B45495">
            <w:pPr>
              <w:pStyle w:val="Figure"/>
            </w:pPr>
          </w:p>
        </w:tc>
      </w:tr>
      <w:tr w:rsidR="00DC2D81" w:rsidRPr="00176D3F" w:rsidTr="00B45495">
        <w:tc>
          <w:tcPr>
            <w:tcW w:w="8771" w:type="dxa"/>
            <w:tcBorders>
              <w:top w:val="nil"/>
              <w:left w:val="nil"/>
              <w:bottom w:val="nil"/>
              <w:right w:val="nil"/>
            </w:tcBorders>
            <w:shd w:val="clear" w:color="auto" w:fill="auto"/>
          </w:tcPr>
          <w:p w:rsidR="00DC2D81" w:rsidRPr="00176D3F" w:rsidRDefault="00DC2D81" w:rsidP="002E5EAF">
            <w:pPr>
              <w:pStyle w:val="Note"/>
            </w:pPr>
            <w:r>
              <w:rPr>
                <w:rStyle w:val="NoteLabel"/>
              </w:rPr>
              <w:t>a</w:t>
            </w:r>
            <w:r>
              <w:t xml:space="preserve"> </w:t>
            </w:r>
            <w:r w:rsidR="00F8126D" w:rsidRPr="00F8126D">
              <w:t>See box 4.</w:t>
            </w:r>
            <w:r w:rsidR="002E5EAF">
              <w:t>10</w:t>
            </w:r>
            <w:r w:rsidR="00F8126D" w:rsidRPr="00F8126D">
              <w:t xml:space="preserve"> and table 4A.</w:t>
            </w:r>
            <w:r w:rsidR="00F8126D">
              <w:t>88</w:t>
            </w:r>
            <w:r w:rsidR="00F8126D" w:rsidRPr="00F8126D">
              <w:t xml:space="preserve"> for detailed definitions, footnotes and caveats.</w:t>
            </w:r>
          </w:p>
        </w:tc>
      </w:tr>
      <w:tr w:rsidR="00DC2D81" w:rsidRPr="00176D3F" w:rsidTr="00B45495">
        <w:tc>
          <w:tcPr>
            <w:tcW w:w="8771" w:type="dxa"/>
            <w:tcBorders>
              <w:top w:val="nil"/>
              <w:left w:val="nil"/>
              <w:bottom w:val="nil"/>
              <w:right w:val="nil"/>
            </w:tcBorders>
            <w:shd w:val="clear" w:color="auto" w:fill="auto"/>
          </w:tcPr>
          <w:p w:rsidR="00DC2D81" w:rsidRPr="00176D3F" w:rsidRDefault="00C464C0" w:rsidP="00F8126D">
            <w:pPr>
              <w:pStyle w:val="Source"/>
            </w:pPr>
            <w:r>
              <w:rPr>
                <w:i/>
              </w:rPr>
              <w:t>S</w:t>
            </w:r>
            <w:r w:rsidRPr="00784A05">
              <w:rPr>
                <w:i/>
              </w:rPr>
              <w:t>ource</w:t>
            </w:r>
            <w:r w:rsidRPr="00176D3F">
              <w:t xml:space="preserve">: </w:t>
            </w:r>
            <w:r w:rsidRPr="0036251F">
              <w:t>ACARA (201</w:t>
            </w:r>
            <w:r w:rsidR="009C2F51">
              <w:t>5</w:t>
            </w:r>
            <w:r w:rsidRPr="0036251F">
              <w:t xml:space="preserve">), </w:t>
            </w:r>
            <w:r w:rsidRPr="0036251F">
              <w:rPr>
                <w:i/>
                <w:iCs/>
              </w:rPr>
              <w:t xml:space="preserve">National Assessment Program </w:t>
            </w:r>
            <w:r w:rsidR="009C2F51">
              <w:rPr>
                <w:i/>
                <w:iCs/>
              </w:rPr>
              <w:t>ICT</w:t>
            </w:r>
            <w:r w:rsidRPr="0036251F">
              <w:rPr>
                <w:i/>
                <w:iCs/>
              </w:rPr>
              <w:t xml:space="preserve"> Year</w:t>
            </w:r>
            <w:r>
              <w:rPr>
                <w:i/>
                <w:iCs/>
              </w:rPr>
              <w:t>s</w:t>
            </w:r>
            <w:r w:rsidRPr="0036251F">
              <w:rPr>
                <w:i/>
                <w:iCs/>
              </w:rPr>
              <w:t xml:space="preserve"> 6 </w:t>
            </w:r>
            <w:r>
              <w:rPr>
                <w:i/>
                <w:iCs/>
              </w:rPr>
              <w:t xml:space="preserve">and 10 </w:t>
            </w:r>
            <w:r w:rsidRPr="0036251F">
              <w:rPr>
                <w:i/>
                <w:iCs/>
              </w:rPr>
              <w:t>Report 201</w:t>
            </w:r>
            <w:r w:rsidR="009C2F51">
              <w:rPr>
                <w:i/>
                <w:iCs/>
              </w:rPr>
              <w:t>4</w:t>
            </w:r>
            <w:r w:rsidRPr="0036251F">
              <w:rPr>
                <w:i/>
                <w:iCs/>
              </w:rPr>
              <w:t>,</w:t>
            </w:r>
            <w:r w:rsidRPr="0036251F">
              <w:t xml:space="preserve"> Sydney; table 4A.</w:t>
            </w:r>
            <w:r w:rsidR="00F8126D">
              <w:t>88</w:t>
            </w:r>
            <w:r w:rsidRPr="0036251F">
              <w:t>.</w:t>
            </w:r>
          </w:p>
        </w:tc>
      </w:tr>
      <w:tr w:rsidR="00DC2D81" w:rsidTr="00B45495">
        <w:tc>
          <w:tcPr>
            <w:tcW w:w="8771" w:type="dxa"/>
            <w:tcBorders>
              <w:top w:val="nil"/>
              <w:left w:val="nil"/>
              <w:bottom w:val="single" w:sz="6" w:space="0" w:color="78A22F"/>
              <w:right w:val="nil"/>
            </w:tcBorders>
            <w:shd w:val="clear" w:color="auto" w:fill="auto"/>
          </w:tcPr>
          <w:p w:rsidR="00DC2D81" w:rsidRDefault="00DC2D81" w:rsidP="00B45495">
            <w:pPr>
              <w:pStyle w:val="Figurespace"/>
            </w:pPr>
          </w:p>
        </w:tc>
      </w:tr>
      <w:tr w:rsidR="00DC2D81" w:rsidRPr="000863A5" w:rsidTr="00B45495">
        <w:tc>
          <w:tcPr>
            <w:tcW w:w="8771" w:type="dxa"/>
            <w:tcBorders>
              <w:top w:val="single" w:sz="6" w:space="0" w:color="78A22F"/>
              <w:left w:val="nil"/>
              <w:bottom w:val="nil"/>
              <w:right w:val="nil"/>
            </w:tcBorders>
          </w:tcPr>
          <w:p w:rsidR="00DC2D81" w:rsidRPr="00626D32" w:rsidRDefault="00DC2D81" w:rsidP="00B45495">
            <w:pPr>
              <w:pStyle w:val="BoxSpaceBelow"/>
            </w:pPr>
          </w:p>
        </w:tc>
      </w:tr>
    </w:tbl>
    <w:p w:rsidR="00642D88" w:rsidRDefault="00642D88" w:rsidP="00642D88">
      <w:pPr>
        <w:pStyle w:val="BodyText"/>
      </w:pPr>
      <w:r w:rsidRPr="002B51C1">
        <w:t xml:space="preserve">Nationally in </w:t>
      </w:r>
      <w:r w:rsidRPr="00104AF2">
        <w:t>201</w:t>
      </w:r>
      <w:r>
        <w:t>4</w:t>
      </w:r>
      <w:r w:rsidRPr="00EE64E3">
        <w:rPr>
          <w:shd w:val="clear" w:color="auto" w:fill="FFFFFF" w:themeFill="background1"/>
        </w:rPr>
        <w:t xml:space="preserve">, </w:t>
      </w:r>
      <w:r w:rsidR="006B57EA" w:rsidRPr="00EE64E3">
        <w:rPr>
          <w:shd w:val="clear" w:color="auto" w:fill="FFFFFF" w:themeFill="background1"/>
        </w:rPr>
        <w:t>11.2–28.8</w:t>
      </w:r>
      <w:r w:rsidRPr="00EE64E3">
        <w:rPr>
          <w:shd w:val="clear" w:color="auto" w:fill="FFFFFF" w:themeFill="background1"/>
        </w:rPr>
        <w:t xml:space="preserve"> per cent of Aboriginal and Torres Strait Islander year 10 students achieved at the proficient standard or above in </w:t>
      </w:r>
      <w:r w:rsidR="00EB3852" w:rsidRPr="00EE64E3">
        <w:rPr>
          <w:shd w:val="clear" w:color="auto" w:fill="FFFFFF" w:themeFill="background1"/>
        </w:rPr>
        <w:t>ICT literacy performance</w:t>
      </w:r>
      <w:r w:rsidRPr="00EE64E3">
        <w:rPr>
          <w:shd w:val="clear" w:color="auto" w:fill="FFFFFF" w:themeFill="background1"/>
        </w:rPr>
        <w:t>, significantly lower than the proportion for non</w:t>
      </w:r>
      <w:r w:rsidRPr="00EE64E3">
        <w:rPr>
          <w:shd w:val="clear" w:color="auto" w:fill="FFFFFF" w:themeFill="background1"/>
        </w:rPr>
        <w:noBreakHyphen/>
        <w:t>Indigenous students (</w:t>
      </w:r>
      <w:r w:rsidR="006B57EA" w:rsidRPr="00EE64E3">
        <w:rPr>
          <w:shd w:val="clear" w:color="auto" w:fill="FFFFFF" w:themeFill="background1"/>
        </w:rPr>
        <w:t>50.4–55.6</w:t>
      </w:r>
      <w:r w:rsidRPr="00EE64E3">
        <w:rPr>
          <w:shd w:val="clear" w:color="auto" w:fill="FFFFFF" w:themeFill="background1"/>
        </w:rPr>
        <w:t xml:space="preserve"> per cent) (table 4A.89). Data by achievement</w:t>
      </w:r>
      <w:r>
        <w:t xml:space="preserve"> level, sex, geolocation and for students who speak languages other than English at home are included in tables 4A.89-90.</w:t>
      </w:r>
    </w:p>
    <w:p w:rsidR="00642D88" w:rsidRPr="0089766B" w:rsidRDefault="00642D88" w:rsidP="00642D88">
      <w:pPr>
        <w:pStyle w:val="BodyText"/>
      </w:pPr>
      <w:r>
        <w:t xml:space="preserve">In 2014, the mean scale </w:t>
      </w:r>
      <w:r w:rsidRPr="00EE64E3">
        <w:rPr>
          <w:shd w:val="clear" w:color="auto" w:fill="FFFFFF" w:themeFill="background1"/>
        </w:rPr>
        <w:t xml:space="preserve">score for year 10 students in </w:t>
      </w:r>
      <w:r w:rsidR="00EB3852" w:rsidRPr="00EE64E3">
        <w:rPr>
          <w:shd w:val="clear" w:color="auto" w:fill="FFFFFF" w:themeFill="background1"/>
        </w:rPr>
        <w:t xml:space="preserve">ICT literacy performance </w:t>
      </w:r>
      <w:r w:rsidRPr="00EE64E3">
        <w:rPr>
          <w:shd w:val="clear" w:color="auto" w:fill="FFFFFF" w:themeFill="background1"/>
        </w:rPr>
        <w:t xml:space="preserve">was </w:t>
      </w:r>
      <w:r w:rsidR="00EB3852" w:rsidRPr="00EE64E3">
        <w:rPr>
          <w:shd w:val="clear" w:color="auto" w:fill="FFFFFF" w:themeFill="background1"/>
        </w:rPr>
        <w:br/>
      </w:r>
      <w:r w:rsidR="006B57EA" w:rsidRPr="00EE64E3">
        <w:rPr>
          <w:shd w:val="clear" w:color="auto" w:fill="FFFFFF" w:themeFill="background1"/>
        </w:rPr>
        <w:t>513.3–526.7</w:t>
      </w:r>
      <w:r w:rsidRPr="00EE64E3">
        <w:rPr>
          <w:shd w:val="clear" w:color="auto" w:fill="FFFFFF" w:themeFill="background1"/>
        </w:rPr>
        <w:t xml:space="preserve">, significantly </w:t>
      </w:r>
      <w:r w:rsidR="006B57EA" w:rsidRPr="00EE64E3">
        <w:rPr>
          <w:shd w:val="clear" w:color="auto" w:fill="FFFFFF" w:themeFill="background1"/>
        </w:rPr>
        <w:t>lower than</w:t>
      </w:r>
      <w:r w:rsidRPr="00EE64E3">
        <w:rPr>
          <w:shd w:val="clear" w:color="auto" w:fill="FFFFFF" w:themeFill="background1"/>
        </w:rPr>
        <w:t xml:space="preserve"> 2005, 2008 or 2011 (table 4A.9</w:t>
      </w:r>
      <w:r w:rsidR="003A0804" w:rsidRPr="00EE64E3">
        <w:rPr>
          <w:shd w:val="clear" w:color="auto" w:fill="FFFFFF" w:themeFill="background1"/>
        </w:rPr>
        <w:t>0</w:t>
      </w:r>
      <w:r w:rsidRPr="00EE64E3">
        <w:rPr>
          <w:shd w:val="clear" w:color="auto" w:fill="FFFFFF" w:themeFill="background1"/>
        </w:rPr>
        <w:t>). Mean scale scores varied across jurisdictions. Statistical significance of</w:t>
      </w:r>
      <w:r w:rsidRPr="0089766B">
        <w:t xml:space="preserve"> differences across states and territories between </w:t>
      </w:r>
      <w:r>
        <w:t xml:space="preserve">mean scale scores for </w:t>
      </w:r>
      <w:r w:rsidRPr="0089766B">
        <w:t xml:space="preserve">year </w:t>
      </w:r>
      <w:r>
        <w:t>10</w:t>
      </w:r>
      <w:r w:rsidRPr="0089766B">
        <w:t xml:space="preserve"> students </w:t>
      </w:r>
      <w:r>
        <w:t xml:space="preserve">in ICT </w:t>
      </w:r>
      <w:r w:rsidR="00EB3852">
        <w:t xml:space="preserve">literacy </w:t>
      </w:r>
      <w:r>
        <w:t xml:space="preserve">performance </w:t>
      </w:r>
      <w:r w:rsidRPr="0089766B">
        <w:t>are provided in table</w:t>
      </w:r>
      <w:r w:rsidR="00F8126D">
        <w:t> </w:t>
      </w:r>
      <w:r w:rsidRPr="0089766B">
        <w:t>4A.</w:t>
      </w:r>
      <w:r>
        <w:t>9</w:t>
      </w:r>
      <w:r w:rsidR="003A0804">
        <w:t>1</w:t>
      </w:r>
      <w:r w:rsidRPr="0089766B">
        <w:t>.</w:t>
      </w:r>
    </w:p>
    <w:p w:rsidR="0012436B" w:rsidRPr="002B51C1" w:rsidRDefault="0012436B" w:rsidP="00DC2D81">
      <w:pPr>
        <w:pStyle w:val="BodyText"/>
      </w:pPr>
      <w:r w:rsidRPr="006C1AC6">
        <w:t xml:space="preserve">Further details, including </w:t>
      </w:r>
      <w:r w:rsidR="00700F6C" w:rsidRPr="006C1AC6">
        <w:t xml:space="preserve">data by country of birth, and mean </w:t>
      </w:r>
      <w:r w:rsidR="00700F6C" w:rsidRPr="002B51C1">
        <w:t xml:space="preserve">scores for all categories </w:t>
      </w:r>
      <w:r w:rsidR="00BA40CA">
        <w:t>are reported in ACARA </w:t>
      </w:r>
      <w:r w:rsidR="00BA40CA" w:rsidRPr="0083461E">
        <w:t>(201</w:t>
      </w:r>
      <w:r w:rsidR="00600EA1">
        <w:t>5</w:t>
      </w:r>
      <w:r w:rsidR="005834AA">
        <w:t>b</w:t>
      </w:r>
      <w:r w:rsidRPr="0083461E">
        <w:t>).</w:t>
      </w:r>
    </w:p>
    <w:p w:rsidR="006D7834" w:rsidRPr="00666ECE" w:rsidRDefault="006D7834" w:rsidP="006D7834">
      <w:pPr>
        <w:pStyle w:val="Heading5"/>
      </w:pPr>
      <w:r w:rsidRPr="00666ECE">
        <w:lastRenderedPageBreak/>
        <w:t xml:space="preserve">National Assessment Program </w:t>
      </w:r>
      <w:r>
        <w:t>—</w:t>
      </w:r>
      <w:r w:rsidRPr="00666ECE">
        <w:t xml:space="preserve"> </w:t>
      </w:r>
      <w:r>
        <w:t>Civics and citizenship</w:t>
      </w:r>
      <w:r w:rsidRPr="00666ECE">
        <w:t xml:space="preserve"> performance</w:t>
      </w:r>
    </w:p>
    <w:p w:rsidR="006D7834" w:rsidRPr="00F62857" w:rsidRDefault="006D7834" w:rsidP="00802D6A">
      <w:pPr>
        <w:pStyle w:val="BodyText"/>
        <w:shd w:val="clear" w:color="auto" w:fill="FFFFFF" w:themeFill="background1"/>
      </w:pPr>
      <w:r w:rsidRPr="0022542B">
        <w:t>Nationally in 201</w:t>
      </w:r>
      <w:r>
        <w:t>3</w:t>
      </w:r>
      <w:r w:rsidRPr="0022542B">
        <w:t xml:space="preserve">, </w:t>
      </w:r>
      <w:r w:rsidRPr="00660DFA">
        <w:t xml:space="preserve">the proportion of participating </w:t>
      </w:r>
      <w:r>
        <w:t xml:space="preserve">year 6 </w:t>
      </w:r>
      <w:r w:rsidRPr="00660DFA">
        <w:t xml:space="preserve">students who achieved at </w:t>
      </w:r>
      <w:r>
        <w:t xml:space="preserve">or above </w:t>
      </w:r>
      <w:r w:rsidRPr="00660DFA">
        <w:t xml:space="preserve">the proficient standard in </w:t>
      </w:r>
      <w:r>
        <w:t>civics and citizenship</w:t>
      </w:r>
      <w:r w:rsidRPr="00660DFA">
        <w:t xml:space="preserve"> </w:t>
      </w:r>
      <w:r w:rsidRPr="007346CF">
        <w:rPr>
          <w:shd w:val="clear" w:color="auto" w:fill="FFFFFF" w:themeFill="background1"/>
        </w:rPr>
        <w:t>performance was 4</w:t>
      </w:r>
      <w:r>
        <w:rPr>
          <w:shd w:val="clear" w:color="auto" w:fill="FFFFFF" w:themeFill="background1"/>
        </w:rPr>
        <w:t>9</w:t>
      </w:r>
      <w:r w:rsidRPr="007346CF">
        <w:rPr>
          <w:shd w:val="clear" w:color="auto" w:fill="FFFFFF" w:themeFill="background1"/>
        </w:rPr>
        <w:t>.6–54.4 per cent</w:t>
      </w:r>
      <w:r>
        <w:rPr>
          <w:shd w:val="clear" w:color="auto" w:fill="FFFFFF" w:themeFill="background1"/>
        </w:rPr>
        <w:t>,</w:t>
      </w:r>
      <w:r w:rsidR="004E5182">
        <w:rPr>
          <w:shd w:val="clear" w:color="auto" w:fill="FFFFFF" w:themeFill="background1"/>
        </w:rPr>
        <w:t xml:space="preserve"> with the proportion for year 10 students </w:t>
      </w:r>
      <w:r w:rsidRPr="00802D6A">
        <w:rPr>
          <w:shd w:val="clear" w:color="auto" w:fill="FFFFFF" w:themeFill="background1"/>
        </w:rPr>
        <w:t>41.4–46.6 per cent</w:t>
      </w:r>
      <w:r w:rsidR="004E5182">
        <w:rPr>
          <w:shd w:val="clear" w:color="auto" w:fill="FFFFFF" w:themeFill="background1"/>
        </w:rPr>
        <w:t>. For both year 6 and year 10 students these results were</w:t>
      </w:r>
      <w:r w:rsidRPr="00802D6A">
        <w:rPr>
          <w:shd w:val="clear" w:color="auto" w:fill="FFFFFF" w:themeFill="background1"/>
        </w:rPr>
        <w:t xml:space="preserve"> not significantly different from 2004, 2007 or 2010 (table</w:t>
      </w:r>
      <w:r w:rsidR="001C7CBA">
        <w:rPr>
          <w:shd w:val="clear" w:color="auto" w:fill="FFFFFF" w:themeFill="background1"/>
        </w:rPr>
        <w:t> </w:t>
      </w:r>
      <w:r w:rsidRPr="00802D6A">
        <w:rPr>
          <w:shd w:val="clear" w:color="auto" w:fill="FFFFFF" w:themeFill="background1"/>
        </w:rPr>
        <w:t>4A.</w:t>
      </w:r>
      <w:r w:rsidR="00642D88">
        <w:rPr>
          <w:shd w:val="clear" w:color="auto" w:fill="FFFFFF" w:themeFill="background1"/>
        </w:rPr>
        <w:t>83</w:t>
      </w:r>
      <w:r w:rsidRPr="00802D6A">
        <w:rPr>
          <w:shd w:val="clear" w:color="auto" w:fill="FFFFFF" w:themeFill="background1"/>
        </w:rPr>
        <w:t>). Detailed outcomes of the 2013 assessment were included in the 2015 Report. Relevant data are reported in tables 4A.</w:t>
      </w:r>
      <w:r w:rsidR="001C7CBA">
        <w:rPr>
          <w:shd w:val="clear" w:color="auto" w:fill="FFFFFF" w:themeFill="background1"/>
        </w:rPr>
        <w:t>83</w:t>
      </w:r>
      <w:r w:rsidR="00F8126D">
        <w:rPr>
          <w:shd w:val="clear" w:color="auto" w:fill="FFFFFF" w:themeFill="background1"/>
        </w:rPr>
        <w:t>–</w:t>
      </w:r>
      <w:r w:rsidR="001C7CBA">
        <w:rPr>
          <w:shd w:val="clear" w:color="auto" w:fill="FFFFFF" w:themeFill="background1"/>
        </w:rPr>
        <w:t>87</w:t>
      </w:r>
      <w:r w:rsidRPr="00802D6A">
        <w:t>.</w:t>
      </w:r>
    </w:p>
    <w:p w:rsidR="00666ECE" w:rsidRPr="00666ECE" w:rsidRDefault="00666ECE" w:rsidP="007B0AE2">
      <w:pPr>
        <w:pStyle w:val="Heading5"/>
      </w:pPr>
      <w:r w:rsidRPr="00666ECE">
        <w:t xml:space="preserve">National Assessment Program </w:t>
      </w:r>
      <w:r w:rsidR="00C464C0">
        <w:t>—</w:t>
      </w:r>
      <w:r w:rsidRPr="00666ECE">
        <w:t xml:space="preserve"> </w:t>
      </w:r>
      <w:r w:rsidR="0006446B">
        <w:t>Science literacy</w:t>
      </w:r>
      <w:r w:rsidR="003E2CB5" w:rsidRPr="00666ECE">
        <w:t xml:space="preserve"> performance</w:t>
      </w:r>
    </w:p>
    <w:p w:rsidR="00666ECE" w:rsidRDefault="0037689C" w:rsidP="00DC2D81">
      <w:pPr>
        <w:pStyle w:val="BodyText"/>
      </w:pPr>
      <w:r>
        <w:t>Nationally</w:t>
      </w:r>
      <w:r w:rsidR="00666ECE" w:rsidRPr="00F62857">
        <w:t xml:space="preserve"> in 20</w:t>
      </w:r>
      <w:r w:rsidR="00E51DB5" w:rsidRPr="00F62857">
        <w:t>1</w:t>
      </w:r>
      <w:r w:rsidR="0006446B">
        <w:t>2</w:t>
      </w:r>
      <w:r w:rsidR="00666ECE" w:rsidRPr="00F62857">
        <w:t xml:space="preserve">, </w:t>
      </w:r>
      <w:r w:rsidR="0006446B" w:rsidRPr="0006446B">
        <w:t>49.4–53.4 </w:t>
      </w:r>
      <w:r w:rsidR="00666ECE" w:rsidRPr="00F62857">
        <w:t>per</w:t>
      </w:r>
      <w:r w:rsidR="0006446B">
        <w:t> </w:t>
      </w:r>
      <w:r w:rsidR="00666ECE" w:rsidRPr="00F62857">
        <w:t xml:space="preserve">cent of year 6 students achieved at the proficient standard or above, </w:t>
      </w:r>
      <w:r w:rsidR="00F62857" w:rsidRPr="00F62857">
        <w:t xml:space="preserve">not </w:t>
      </w:r>
      <w:r w:rsidR="007B5845">
        <w:t xml:space="preserve">significantly different </w:t>
      </w:r>
      <w:r w:rsidR="00666ECE" w:rsidRPr="00F62857">
        <w:t xml:space="preserve">from </w:t>
      </w:r>
      <w:r w:rsidR="0006446B">
        <w:t>2006 or 2009</w:t>
      </w:r>
      <w:r w:rsidR="00567A3B">
        <w:t xml:space="preserve"> (table 4A.</w:t>
      </w:r>
      <w:r w:rsidR="001C7CBA">
        <w:t>78</w:t>
      </w:r>
      <w:r w:rsidR="00567A3B">
        <w:t>)</w:t>
      </w:r>
      <w:r w:rsidR="00666ECE" w:rsidRPr="00F62857">
        <w:t>. Detailed outcomes of the 20</w:t>
      </w:r>
      <w:r w:rsidR="00F62857" w:rsidRPr="00F62857">
        <w:t>1</w:t>
      </w:r>
      <w:r w:rsidR="0006446B">
        <w:t>2</w:t>
      </w:r>
      <w:r w:rsidR="00666ECE" w:rsidRPr="00F62857">
        <w:t xml:space="preserve"> assessment were included in the 201</w:t>
      </w:r>
      <w:r w:rsidR="0006446B">
        <w:t>4</w:t>
      </w:r>
      <w:r w:rsidR="00666ECE" w:rsidRPr="00F62857">
        <w:t xml:space="preserve"> Report. Relev</w:t>
      </w:r>
      <w:r w:rsidR="003B4524">
        <w:t xml:space="preserve">ant data are reported in </w:t>
      </w:r>
      <w:r w:rsidR="003B4524" w:rsidRPr="00686637">
        <w:t>tables</w:t>
      </w:r>
      <w:r w:rsidR="0006446B">
        <w:t> </w:t>
      </w:r>
      <w:r w:rsidR="00666ECE" w:rsidRPr="00686637">
        <w:t>4A.</w:t>
      </w:r>
      <w:r>
        <w:t>78–</w:t>
      </w:r>
      <w:r w:rsidR="001C7CBA">
        <w:t>82</w:t>
      </w:r>
      <w:r w:rsidR="00666ECE" w:rsidRPr="00686637">
        <w:t>.</w:t>
      </w:r>
    </w:p>
    <w:p w:rsidR="009F2094" w:rsidRDefault="009F2094" w:rsidP="007B0AE2">
      <w:pPr>
        <w:pStyle w:val="Heading5"/>
      </w:pPr>
      <w:r>
        <w:t>ICILS assessment</w:t>
      </w:r>
    </w:p>
    <w:p w:rsidR="009F2094" w:rsidRDefault="006C164A" w:rsidP="009F2094">
      <w:pPr>
        <w:pStyle w:val="BodyText"/>
      </w:pPr>
      <w:r>
        <w:t>T</w:t>
      </w:r>
      <w:r w:rsidRPr="0089766B">
        <w:t xml:space="preserve">he </w:t>
      </w:r>
      <w:r w:rsidRPr="00602CDA">
        <w:t xml:space="preserve">IEA International Computer and Information Literacy Study </w:t>
      </w:r>
      <w:r w:rsidR="004D3367">
        <w:t xml:space="preserve">(ICILS) </w:t>
      </w:r>
      <w:r w:rsidRPr="0089766B">
        <w:t>was conducted at year 8 level for the first time in 2013</w:t>
      </w:r>
      <w:r w:rsidR="005A177C">
        <w:t xml:space="preserve"> (box 4.1</w:t>
      </w:r>
      <w:r w:rsidR="002E5EAF">
        <w:t>1</w:t>
      </w:r>
      <w:r w:rsidR="005A177C">
        <w:t>)</w:t>
      </w:r>
      <w:r>
        <w:t>.</w:t>
      </w:r>
    </w:p>
    <w:p w:rsidR="00DB2B49" w:rsidRDefault="00DB2B4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B2B49" w:rsidTr="00A8608B">
        <w:tc>
          <w:tcPr>
            <w:tcW w:w="8771" w:type="dxa"/>
            <w:tcBorders>
              <w:top w:val="single" w:sz="6" w:space="0" w:color="78A22F"/>
              <w:left w:val="nil"/>
              <w:bottom w:val="nil"/>
              <w:right w:val="nil"/>
            </w:tcBorders>
            <w:shd w:val="clear" w:color="auto" w:fill="F2F2F2"/>
          </w:tcPr>
          <w:p w:rsidR="00DB2B49" w:rsidRDefault="00DB2B49">
            <w:pPr>
              <w:pStyle w:val="BoxTitle"/>
            </w:pPr>
            <w:r>
              <w:rPr>
                <w:b w:val="0"/>
              </w:rPr>
              <w:t>Box 4.</w:t>
            </w:r>
            <w:r w:rsidR="00FF4FBD">
              <w:rPr>
                <w:b w:val="0"/>
                <w:noProof/>
              </w:rPr>
              <w:t>11</w:t>
            </w:r>
            <w:r>
              <w:tab/>
            </w:r>
            <w:r w:rsidRPr="00602CDA">
              <w:t xml:space="preserve">IEA International Computer and Information Literacy Study (ICILS) </w:t>
            </w:r>
            <w:r>
              <w:t xml:space="preserve"> </w:t>
            </w:r>
          </w:p>
        </w:tc>
      </w:tr>
      <w:tr w:rsidR="00DB2B49" w:rsidTr="00A8608B">
        <w:trPr>
          <w:cantSplit/>
        </w:trPr>
        <w:tc>
          <w:tcPr>
            <w:tcW w:w="8771" w:type="dxa"/>
            <w:tcBorders>
              <w:top w:val="nil"/>
              <w:left w:val="nil"/>
              <w:bottom w:val="nil"/>
              <w:right w:val="nil"/>
            </w:tcBorders>
            <w:shd w:val="clear" w:color="auto" w:fill="F2F2F2"/>
          </w:tcPr>
          <w:p w:rsidR="00FD64B2" w:rsidRDefault="00DB2B49" w:rsidP="00DB2B49">
            <w:pPr>
              <w:pStyle w:val="Box"/>
              <w:rPr>
                <w:lang w:val="en"/>
              </w:rPr>
            </w:pPr>
            <w:r w:rsidRPr="00DB2B49">
              <w:t xml:space="preserve">ICILS is a sample assessment that examines students’ acquisition of computer and information literacy: ‘the ability to use computers to investigate, create and communicate in order to participate effectively at home, at school, in the workplace and in society’. The assessment was developed by ACER and is organised by the </w:t>
            </w:r>
            <w:r w:rsidR="00856771" w:rsidRPr="00DA50E4">
              <w:rPr>
                <w:lang w:val="de-DE"/>
              </w:rPr>
              <w:t>International Association for the Evaluation of Educational Achievement</w:t>
            </w:r>
            <w:r w:rsidR="00856771" w:rsidRPr="00856771">
              <w:t xml:space="preserve"> </w:t>
            </w:r>
            <w:r w:rsidRPr="00DB2B49">
              <w:t xml:space="preserve">(IEA). The </w:t>
            </w:r>
            <w:r w:rsidRPr="00DB2B49">
              <w:rPr>
                <w:lang w:val="en"/>
              </w:rPr>
              <w:t xml:space="preserve">main purpose of ICILS is to determine how well students are prepared for study, work and life in the information age, and how their performance compares with students in other participating countries. </w:t>
            </w:r>
          </w:p>
          <w:p w:rsidR="00DB2B49" w:rsidRPr="00DB2B49" w:rsidRDefault="00FD64B2" w:rsidP="00DB2B49">
            <w:pPr>
              <w:pStyle w:val="Box"/>
            </w:pPr>
            <w:r>
              <w:t>The 2013 ICILS was the first time that ICILS was cond</w:t>
            </w:r>
            <w:r w:rsidR="00DA50E4">
              <w:t>ucted internationally (ACER 2014</w:t>
            </w:r>
            <w:r>
              <w:t>).</w:t>
            </w:r>
            <w:r w:rsidR="00DA50E4">
              <w:t xml:space="preserve"> </w:t>
            </w:r>
            <w:r w:rsidR="00DB2B49" w:rsidRPr="00DB2B49">
              <w:rPr>
                <w:lang w:val="en"/>
              </w:rPr>
              <w:t>In total, 21 education systems participated in the 2013 cycle of ICILS.</w:t>
            </w:r>
            <w:r>
              <w:rPr>
                <w:lang w:val="en"/>
              </w:rPr>
              <w:t xml:space="preserve"> </w:t>
            </w:r>
            <w:r w:rsidR="00DB2B49" w:rsidRPr="00DB2B49">
              <w:rPr>
                <w:lang w:val="en"/>
              </w:rPr>
              <w:t>The modules tested included authentic computer based information literacy, management and communication tasks.</w:t>
            </w:r>
            <w:r w:rsidR="00DB2B49" w:rsidRPr="00DB2B49">
              <w:t xml:space="preserve"> </w:t>
            </w:r>
          </w:p>
          <w:p w:rsidR="00DB2B49" w:rsidRDefault="00DB2B49" w:rsidP="00FD64B2">
            <w:pPr>
              <w:pStyle w:val="Box"/>
            </w:pPr>
            <w:r w:rsidRPr="00DB2B49">
              <w:rPr>
                <w:lang w:val="en"/>
              </w:rPr>
              <w:t xml:space="preserve">In Australia, 5326 students from 320 government and non-government schools participated in the test in 2013. </w:t>
            </w:r>
            <w:r w:rsidR="00A94BF8" w:rsidRPr="00FD0F5E">
              <w:t xml:space="preserve">Australian students achieved an average score of 542 points on the </w:t>
            </w:r>
            <w:r w:rsidR="00A94BF8">
              <w:t xml:space="preserve">ICILS </w:t>
            </w:r>
            <w:r w:rsidR="00A94BF8" w:rsidRPr="00FD0F5E">
              <w:t>scale. Only one country—the</w:t>
            </w:r>
            <w:r w:rsidR="00A94BF8">
              <w:t xml:space="preserve"> </w:t>
            </w:r>
            <w:r w:rsidR="00A94BF8" w:rsidRPr="00FD0F5E">
              <w:t>Czech Republic—achieved significantly higher than Australia.</w:t>
            </w:r>
            <w:r w:rsidR="00A94BF8">
              <w:t xml:space="preserve"> </w:t>
            </w:r>
            <w:r w:rsidRPr="00DB2B49">
              <w:rPr>
                <w:lang w:val="en"/>
              </w:rPr>
              <w:t xml:space="preserve">Unlike other international and national tests, including the </w:t>
            </w:r>
            <w:r w:rsidRPr="00DB2B49">
              <w:t>N</w:t>
            </w:r>
            <w:r w:rsidR="004E5182">
              <w:t>AP</w:t>
            </w:r>
            <w:r w:rsidRPr="00DB2B49">
              <w:t xml:space="preserve"> — ICT performance assessment of years 6 and 10</w:t>
            </w:r>
            <w:r w:rsidR="00E95417">
              <w:t>,</w:t>
            </w:r>
            <w:r w:rsidRPr="00DB2B49">
              <w:t xml:space="preserve"> </w:t>
            </w:r>
            <w:r w:rsidRPr="00DB2B49">
              <w:rPr>
                <w:lang w:val="en"/>
              </w:rPr>
              <w:t>there is no national proficiency level set for ICILS testing at this time.</w:t>
            </w:r>
          </w:p>
        </w:tc>
      </w:tr>
      <w:tr w:rsidR="00DB2B49" w:rsidTr="00A8608B">
        <w:trPr>
          <w:cantSplit/>
        </w:trPr>
        <w:tc>
          <w:tcPr>
            <w:tcW w:w="8771" w:type="dxa"/>
            <w:tcBorders>
              <w:top w:val="nil"/>
              <w:left w:val="nil"/>
              <w:bottom w:val="nil"/>
              <w:right w:val="nil"/>
            </w:tcBorders>
            <w:shd w:val="clear" w:color="auto" w:fill="F2F2F2"/>
          </w:tcPr>
          <w:p w:rsidR="00DB2B49" w:rsidRDefault="00DB2B49" w:rsidP="00E33ABF">
            <w:pPr>
              <w:pStyle w:val="BoxSource"/>
            </w:pPr>
            <w:r>
              <w:rPr>
                <w:i/>
              </w:rPr>
              <w:t>Source</w:t>
            </w:r>
            <w:r w:rsidRPr="00DB2B49">
              <w:t>: ACER (2014).</w:t>
            </w:r>
          </w:p>
        </w:tc>
      </w:tr>
      <w:tr w:rsidR="00DB2B49" w:rsidTr="00A8608B">
        <w:trPr>
          <w:cantSplit/>
        </w:trPr>
        <w:tc>
          <w:tcPr>
            <w:tcW w:w="8771" w:type="dxa"/>
            <w:tcBorders>
              <w:top w:val="nil"/>
              <w:left w:val="nil"/>
              <w:bottom w:val="single" w:sz="6" w:space="0" w:color="78A22F"/>
              <w:right w:val="nil"/>
            </w:tcBorders>
            <w:shd w:val="clear" w:color="auto" w:fill="F2F2F2"/>
          </w:tcPr>
          <w:p w:rsidR="00DB2B49" w:rsidRDefault="00DB2B49">
            <w:pPr>
              <w:pStyle w:val="Box"/>
              <w:spacing w:before="0" w:line="120" w:lineRule="exact"/>
            </w:pPr>
          </w:p>
        </w:tc>
      </w:tr>
      <w:tr w:rsidR="00DB2B49" w:rsidRPr="000863A5" w:rsidTr="00A8608B">
        <w:tc>
          <w:tcPr>
            <w:tcW w:w="8771" w:type="dxa"/>
            <w:tcBorders>
              <w:top w:val="single" w:sz="6" w:space="0" w:color="78A22F"/>
              <w:left w:val="nil"/>
              <w:bottom w:val="nil"/>
              <w:right w:val="nil"/>
            </w:tcBorders>
          </w:tcPr>
          <w:p w:rsidR="00DB2B49" w:rsidRPr="00626D32" w:rsidRDefault="00DB2B49" w:rsidP="00A8608B">
            <w:pPr>
              <w:pStyle w:val="BoxSpaceBelow"/>
            </w:pPr>
          </w:p>
        </w:tc>
      </w:tr>
    </w:tbl>
    <w:p w:rsidR="002364ED" w:rsidRDefault="002364ED" w:rsidP="002364ED">
      <w:pPr>
        <w:pStyle w:val="BodyText"/>
      </w:pPr>
      <w:r w:rsidRPr="00F62857">
        <w:t>Detailed outcomes of the 201</w:t>
      </w:r>
      <w:r>
        <w:t>3 ICILS</w:t>
      </w:r>
      <w:r w:rsidRPr="00F62857">
        <w:t xml:space="preserve"> assessment were included in the 201</w:t>
      </w:r>
      <w:r>
        <w:t>5</w:t>
      </w:r>
      <w:r w:rsidRPr="00F62857">
        <w:t xml:space="preserve"> Report. Relev</w:t>
      </w:r>
      <w:r>
        <w:t xml:space="preserve">ant data are reported in </w:t>
      </w:r>
      <w:r w:rsidRPr="00686637">
        <w:t>tables</w:t>
      </w:r>
      <w:r>
        <w:t> </w:t>
      </w:r>
      <w:r w:rsidRPr="00686637">
        <w:t>4A.</w:t>
      </w:r>
      <w:r>
        <w:t>1</w:t>
      </w:r>
      <w:r w:rsidR="0007582D">
        <w:t>1</w:t>
      </w:r>
      <w:r w:rsidR="003A0804">
        <w:t>4</w:t>
      </w:r>
      <w:r>
        <w:noBreakHyphen/>
        <w:t>1</w:t>
      </w:r>
      <w:r w:rsidR="0007582D">
        <w:t>1</w:t>
      </w:r>
      <w:r w:rsidR="003A0804">
        <w:t>5</w:t>
      </w:r>
      <w:r w:rsidRPr="00686637">
        <w:t>.</w:t>
      </w:r>
    </w:p>
    <w:p w:rsidR="00197AB2" w:rsidRDefault="00B665F2" w:rsidP="00197AB2">
      <w:pPr>
        <w:pStyle w:val="Heading5"/>
      </w:pPr>
      <w:r>
        <w:lastRenderedPageBreak/>
        <w:t>Developments</w:t>
      </w:r>
      <w:r w:rsidR="00197AB2">
        <w:t xml:space="preserve"> in ICT/Computer literacy</w:t>
      </w:r>
    </w:p>
    <w:p w:rsidR="00197AB2" w:rsidRDefault="00197AB2" w:rsidP="00197AB2">
      <w:pPr>
        <w:pStyle w:val="BodyText"/>
      </w:pPr>
      <w:r>
        <w:t>Box 4.1</w:t>
      </w:r>
      <w:r w:rsidR="002E5EAF">
        <w:t>2</w:t>
      </w:r>
      <w:r>
        <w:t xml:space="preserve"> summarises some trends in Information and Communications/Computer literacy that have been observed through national tests.</w:t>
      </w:r>
    </w:p>
    <w:p w:rsidR="00197AB2" w:rsidRDefault="00197AB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97AB2" w:rsidTr="0091414E">
        <w:tc>
          <w:tcPr>
            <w:tcW w:w="8771" w:type="dxa"/>
            <w:tcBorders>
              <w:top w:val="single" w:sz="6" w:space="0" w:color="78A22F"/>
              <w:left w:val="nil"/>
              <w:bottom w:val="nil"/>
              <w:right w:val="nil"/>
            </w:tcBorders>
            <w:shd w:val="clear" w:color="auto" w:fill="F2F2F2"/>
          </w:tcPr>
          <w:p w:rsidR="00197AB2" w:rsidRDefault="00197AB2" w:rsidP="00D57C6E">
            <w:pPr>
              <w:pStyle w:val="BoxTitle"/>
            </w:pPr>
            <w:r>
              <w:rPr>
                <w:b w:val="0"/>
              </w:rPr>
              <w:t>Box 4.</w:t>
            </w:r>
            <w:r w:rsidR="00FF4FBD">
              <w:rPr>
                <w:b w:val="0"/>
                <w:noProof/>
              </w:rPr>
              <w:t>12</w:t>
            </w:r>
            <w:r>
              <w:tab/>
              <w:t>Information and Communications</w:t>
            </w:r>
            <w:r w:rsidR="00B665F2">
              <w:t xml:space="preserve"> </w:t>
            </w:r>
            <w:r>
              <w:t>/</w:t>
            </w:r>
            <w:r w:rsidR="00A94BF8">
              <w:t xml:space="preserve"> </w:t>
            </w:r>
            <w:r>
              <w:t>Computer literacy</w:t>
            </w:r>
          </w:p>
        </w:tc>
      </w:tr>
      <w:tr w:rsidR="00197AB2" w:rsidTr="002C69DA">
        <w:trPr>
          <w:cantSplit/>
        </w:trPr>
        <w:tc>
          <w:tcPr>
            <w:tcW w:w="8771" w:type="dxa"/>
            <w:tcBorders>
              <w:top w:val="nil"/>
              <w:left w:val="nil"/>
              <w:bottom w:val="nil"/>
              <w:right w:val="nil"/>
            </w:tcBorders>
            <w:shd w:val="clear" w:color="auto" w:fill="F2F2F2"/>
          </w:tcPr>
          <w:p w:rsidR="00A94BF8" w:rsidRDefault="00145F60" w:rsidP="00EF0F2C">
            <w:pPr>
              <w:pStyle w:val="Box"/>
            </w:pPr>
            <w:r>
              <w:t>Information and Communication Technology (ICT)</w:t>
            </w:r>
            <w:r w:rsidR="00EF0F2C">
              <w:t xml:space="preserve"> skills are embedded in the Australian Curriculum. </w:t>
            </w:r>
            <w:r w:rsidR="00A94BF8">
              <w:t>ICT skills enable students to participate in a knowledge-based economy and to be empowered within a technologically sophisticated society now and into the future.</w:t>
            </w:r>
          </w:p>
          <w:p w:rsidR="00EF0F2C" w:rsidRDefault="00EF0F2C" w:rsidP="00EF0F2C">
            <w:pPr>
              <w:pStyle w:val="Box"/>
            </w:pPr>
            <w:r>
              <w:t xml:space="preserve">Students develop ICT capability as they learn to use ICT effectively and appropriately to access, create and communicate information and ideas, solve problems and work collaboratively in all learning areas at school and in their lives beyond school. </w:t>
            </w:r>
            <w:r w:rsidR="00A94BF8">
              <w:t>Examples include:</w:t>
            </w:r>
            <w:r>
              <w:t xml:space="preserve"> using ICT for tasks associated with information access and management, information creation and presentation, problem-solving, decision-making, communication, creative expression and empirical reasoning </w:t>
            </w:r>
            <w:r w:rsidR="00FD0F5E">
              <w:t>(ACARA 201</w:t>
            </w:r>
            <w:r w:rsidR="00F67FA3">
              <w:t>4</w:t>
            </w:r>
            <w:r w:rsidR="00135CC2">
              <w:t>b</w:t>
            </w:r>
            <w:r w:rsidR="00FD0F5E">
              <w:t>)</w:t>
            </w:r>
            <w:r>
              <w:t>.</w:t>
            </w:r>
          </w:p>
          <w:p w:rsidR="00197AB2" w:rsidRDefault="00FD0F5E" w:rsidP="003A0804">
            <w:pPr>
              <w:pStyle w:val="Box"/>
            </w:pPr>
            <w:r>
              <w:t xml:space="preserve">This report includes data from the triennial </w:t>
            </w:r>
            <w:r w:rsidR="00A510CB">
              <w:t xml:space="preserve">year 6 and 10 </w:t>
            </w:r>
            <w:r>
              <w:t xml:space="preserve">NAP ICT sample assessments, which have been conducted </w:t>
            </w:r>
            <w:r w:rsidR="00A94BF8">
              <w:t>in</w:t>
            </w:r>
            <w:r>
              <w:t xml:space="preserve"> 2005</w:t>
            </w:r>
            <w:r w:rsidR="00A94BF8">
              <w:t>, 2008, 2011 and 2014</w:t>
            </w:r>
            <w:r>
              <w:t xml:space="preserve"> (</w:t>
            </w:r>
            <w:r w:rsidR="00A510CB">
              <w:t>t</w:t>
            </w:r>
            <w:r>
              <w:t>ables 4A.</w:t>
            </w:r>
            <w:r w:rsidR="00A510CB">
              <w:t>88–9</w:t>
            </w:r>
            <w:r w:rsidR="003A0804">
              <w:t>1</w:t>
            </w:r>
            <w:r w:rsidR="00A510CB">
              <w:t>).</w:t>
            </w:r>
          </w:p>
        </w:tc>
      </w:tr>
      <w:tr w:rsidR="00197AB2" w:rsidTr="002C69DA">
        <w:trPr>
          <w:cantSplit/>
        </w:trPr>
        <w:tc>
          <w:tcPr>
            <w:tcW w:w="8771" w:type="dxa"/>
            <w:tcBorders>
              <w:top w:val="nil"/>
              <w:left w:val="nil"/>
              <w:bottom w:val="single" w:sz="6" w:space="0" w:color="78A22F"/>
              <w:right w:val="nil"/>
            </w:tcBorders>
            <w:shd w:val="clear" w:color="auto" w:fill="F2F2F2"/>
          </w:tcPr>
          <w:p w:rsidR="00197AB2" w:rsidRDefault="00197AB2">
            <w:pPr>
              <w:pStyle w:val="Box"/>
              <w:spacing w:before="0" w:line="120" w:lineRule="exact"/>
            </w:pPr>
          </w:p>
        </w:tc>
      </w:tr>
      <w:tr w:rsidR="00197AB2" w:rsidRPr="000863A5" w:rsidTr="002C69DA">
        <w:tc>
          <w:tcPr>
            <w:tcW w:w="8771" w:type="dxa"/>
            <w:tcBorders>
              <w:top w:val="single" w:sz="6" w:space="0" w:color="78A22F"/>
              <w:left w:val="nil"/>
              <w:bottom w:val="nil"/>
              <w:right w:val="nil"/>
            </w:tcBorders>
          </w:tcPr>
          <w:p w:rsidR="00197AB2" w:rsidRPr="00626D32" w:rsidRDefault="00197AB2" w:rsidP="002C69DA">
            <w:pPr>
              <w:pStyle w:val="BoxSpaceBelow"/>
            </w:pPr>
          </w:p>
        </w:tc>
      </w:tr>
    </w:tbl>
    <w:p w:rsidR="00F64D20" w:rsidRDefault="00F64D20" w:rsidP="007B0AE2">
      <w:pPr>
        <w:pStyle w:val="Heading5"/>
      </w:pPr>
      <w:r w:rsidRPr="003B4371">
        <w:t>PI</w:t>
      </w:r>
      <w:r w:rsidR="00414312">
        <w:t>SA</w:t>
      </w:r>
      <w:r w:rsidRPr="003B4371">
        <w:t xml:space="preserve"> assessment</w:t>
      </w:r>
    </w:p>
    <w:p w:rsidR="00414312" w:rsidRDefault="00414312" w:rsidP="00DC2D81">
      <w:pPr>
        <w:pStyle w:val="BodyText"/>
      </w:pPr>
      <w:r w:rsidRPr="00DC2D81">
        <w:t xml:space="preserve">PISA </w:t>
      </w:r>
      <w:r w:rsidR="00CE740B" w:rsidRPr="00DC2D81">
        <w:t xml:space="preserve">is a sample assessment </w:t>
      </w:r>
      <w:r w:rsidRPr="00DC2D81">
        <w:t>undertaken e</w:t>
      </w:r>
      <w:r w:rsidR="00CE740B" w:rsidRPr="00DC2D81">
        <w:t>very</w:t>
      </w:r>
      <w:r w:rsidRPr="00DC2D81">
        <w:t xml:space="preserve"> three years (box 4.1</w:t>
      </w:r>
      <w:r w:rsidR="002E5EAF">
        <w:t>3</w:t>
      </w:r>
      <w:r w:rsidRPr="00DC2D81">
        <w:t xml:space="preserve">). </w:t>
      </w:r>
      <w:r w:rsidR="0069451F" w:rsidRPr="00DC2D81">
        <w:t>D</w:t>
      </w:r>
      <w:r w:rsidR="00802D6A">
        <w:t>etailed d</w:t>
      </w:r>
      <w:r w:rsidR="0069451F" w:rsidRPr="00DC2D81">
        <w:t xml:space="preserve">ata from PISA 2012 were included in the 2014 Report. </w:t>
      </w:r>
    </w:p>
    <w:p w:rsidR="009F2094" w:rsidRDefault="009F209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F2094" w:rsidTr="00701AD6">
        <w:tc>
          <w:tcPr>
            <w:tcW w:w="8771" w:type="dxa"/>
            <w:tcBorders>
              <w:top w:val="single" w:sz="6" w:space="0" w:color="78A22F"/>
              <w:left w:val="nil"/>
              <w:bottom w:val="nil"/>
              <w:right w:val="nil"/>
            </w:tcBorders>
            <w:shd w:val="clear" w:color="auto" w:fill="F2F2F2"/>
          </w:tcPr>
          <w:p w:rsidR="009F2094" w:rsidRDefault="009F2094">
            <w:pPr>
              <w:pStyle w:val="BoxTitle"/>
            </w:pPr>
            <w:r>
              <w:rPr>
                <w:b w:val="0"/>
              </w:rPr>
              <w:t xml:space="preserve">Box </w:t>
            </w:r>
            <w:r w:rsidR="00B70781">
              <w:rPr>
                <w:b w:val="0"/>
              </w:rPr>
              <w:t>4.</w:t>
            </w:r>
            <w:r w:rsidR="00FF4FBD">
              <w:rPr>
                <w:b w:val="0"/>
                <w:noProof/>
              </w:rPr>
              <w:t>13</w:t>
            </w:r>
            <w:r>
              <w:tab/>
            </w:r>
            <w:r w:rsidRPr="009F2094">
              <w:t>Programme for International Student Assessment</w:t>
            </w:r>
          </w:p>
        </w:tc>
      </w:tr>
      <w:tr w:rsidR="009F2094" w:rsidTr="00BA076C">
        <w:trPr>
          <w:cantSplit/>
        </w:trPr>
        <w:tc>
          <w:tcPr>
            <w:tcW w:w="8771" w:type="dxa"/>
            <w:tcBorders>
              <w:top w:val="nil"/>
              <w:left w:val="nil"/>
              <w:bottom w:val="nil"/>
              <w:right w:val="nil"/>
            </w:tcBorders>
            <w:shd w:val="clear" w:color="auto" w:fill="F2F2F2"/>
          </w:tcPr>
          <w:p w:rsidR="009F2094" w:rsidRPr="009F2094" w:rsidRDefault="009F2094" w:rsidP="009F2094">
            <w:pPr>
              <w:pStyle w:val="Box"/>
            </w:pPr>
            <w:r w:rsidRPr="009F2094">
              <w:t xml:space="preserve">PISA provides learning outcomes data for 15 year olds in three core assessment domains: reading literacy, mathematical literacy and scientific literacy. In 2012, around 510 000 students from 65 countries and economies participated in the PISA assessment. From Australia, this included 14 481 students from 775 schools. Mathematical literacy was the major domain tested in PISA 2012. </w:t>
            </w:r>
          </w:p>
          <w:p w:rsidR="009F2094" w:rsidRPr="009F2094" w:rsidRDefault="009F2094" w:rsidP="009F2094">
            <w:pPr>
              <w:pStyle w:val="Box"/>
            </w:pPr>
            <w:r w:rsidRPr="009F2094">
              <w:t>Time series comparisons can only be made across PISA data once a subject has been a major assessment domain. All domains have now been the subject of a major assessment, but in different cycles.</w:t>
            </w:r>
          </w:p>
          <w:p w:rsidR="009F2094" w:rsidRPr="009F2094" w:rsidRDefault="009F2094" w:rsidP="009F2094">
            <w:pPr>
              <w:pStyle w:val="Box"/>
            </w:pPr>
            <w:r w:rsidRPr="009F2094">
              <w:t>The national proficient standard is set at Proficiency level 3.</w:t>
            </w:r>
          </w:p>
          <w:p w:rsidR="009F2094" w:rsidRDefault="009F2094" w:rsidP="009F2094">
            <w:pPr>
              <w:pStyle w:val="Box"/>
            </w:pPr>
            <w:r w:rsidRPr="009F2094">
              <w:t>Further information on PISA is available at the PISA website: www.acer.edu.au/ozpisa/reports.</w:t>
            </w:r>
          </w:p>
        </w:tc>
      </w:tr>
      <w:tr w:rsidR="009F2094" w:rsidTr="00701AD6">
        <w:trPr>
          <w:cantSplit/>
        </w:trPr>
        <w:tc>
          <w:tcPr>
            <w:tcW w:w="8771" w:type="dxa"/>
            <w:tcBorders>
              <w:top w:val="nil"/>
              <w:left w:val="nil"/>
              <w:bottom w:val="nil"/>
              <w:right w:val="nil"/>
            </w:tcBorders>
            <w:shd w:val="clear" w:color="auto" w:fill="F2F2F2"/>
          </w:tcPr>
          <w:p w:rsidR="009F2094" w:rsidRDefault="009F2094" w:rsidP="00A63943">
            <w:pPr>
              <w:pStyle w:val="BoxSource"/>
            </w:pPr>
            <w:r>
              <w:rPr>
                <w:i/>
              </w:rPr>
              <w:t>Source</w:t>
            </w:r>
            <w:r w:rsidRPr="009F2094">
              <w:t xml:space="preserve">: </w:t>
            </w:r>
            <w:r w:rsidR="00AF6FB4">
              <w:t xml:space="preserve">ACER </w:t>
            </w:r>
            <w:r w:rsidR="00A63943">
              <w:t>(</w:t>
            </w:r>
            <w:r w:rsidRPr="009F2094">
              <w:t>2013).</w:t>
            </w:r>
          </w:p>
        </w:tc>
      </w:tr>
      <w:tr w:rsidR="009F2094" w:rsidTr="00701AD6">
        <w:trPr>
          <w:cantSplit/>
        </w:trPr>
        <w:tc>
          <w:tcPr>
            <w:tcW w:w="8771" w:type="dxa"/>
            <w:tcBorders>
              <w:top w:val="nil"/>
              <w:left w:val="nil"/>
              <w:bottom w:val="single" w:sz="6" w:space="0" w:color="78A22F"/>
              <w:right w:val="nil"/>
            </w:tcBorders>
            <w:shd w:val="clear" w:color="auto" w:fill="F2F2F2"/>
          </w:tcPr>
          <w:p w:rsidR="009F2094" w:rsidRDefault="009F2094">
            <w:pPr>
              <w:pStyle w:val="Box"/>
              <w:spacing w:before="0" w:line="120" w:lineRule="exact"/>
            </w:pPr>
          </w:p>
        </w:tc>
      </w:tr>
      <w:tr w:rsidR="009F2094" w:rsidRPr="000863A5" w:rsidTr="00701AD6">
        <w:tc>
          <w:tcPr>
            <w:tcW w:w="8771" w:type="dxa"/>
            <w:tcBorders>
              <w:top w:val="single" w:sz="6" w:space="0" w:color="78A22F"/>
              <w:left w:val="nil"/>
              <w:bottom w:val="nil"/>
              <w:right w:val="nil"/>
            </w:tcBorders>
          </w:tcPr>
          <w:p w:rsidR="009F2094" w:rsidRPr="00626D32" w:rsidRDefault="009F2094" w:rsidP="00701AD6">
            <w:pPr>
              <w:pStyle w:val="BoxSpaceBelow"/>
            </w:pPr>
          </w:p>
        </w:tc>
      </w:tr>
    </w:tbl>
    <w:p w:rsidR="00F07200" w:rsidRDefault="00F07200" w:rsidP="00783CC1">
      <w:pPr>
        <w:pStyle w:val="BodyText"/>
      </w:pPr>
      <w:r w:rsidRPr="00DC2D81">
        <w:t>The attachment tables contain detailed results for PISA 2012 and summary data from earlier PISA rounds (tables 4A.</w:t>
      </w:r>
      <w:r w:rsidR="0007582D">
        <w:t>9</w:t>
      </w:r>
      <w:r w:rsidR="003A0804">
        <w:t>2</w:t>
      </w:r>
      <w:r w:rsidRPr="00DC2D81">
        <w:t>–</w:t>
      </w:r>
      <w:r>
        <w:t>1</w:t>
      </w:r>
      <w:r w:rsidR="0007582D">
        <w:t>0</w:t>
      </w:r>
      <w:r w:rsidR="003A0804">
        <w:t>6</w:t>
      </w:r>
      <w:r w:rsidRPr="00DC2D81">
        <w:t>). Detailed results from earlier PISA rounds were included in earlier reports. PISA 2015 data are anticipated to be included in the 2017</w:t>
      </w:r>
      <w:r w:rsidR="0007582D">
        <w:t> </w:t>
      </w:r>
      <w:r w:rsidRPr="00DC2D81">
        <w:t>Report.</w:t>
      </w:r>
    </w:p>
    <w:p w:rsidR="00360D26" w:rsidRDefault="00360D26" w:rsidP="007B0AE2">
      <w:pPr>
        <w:pStyle w:val="Heading6"/>
      </w:pPr>
      <w:r>
        <w:lastRenderedPageBreak/>
        <w:t>PISA reading literacy</w:t>
      </w:r>
    </w:p>
    <w:p w:rsidR="00564940" w:rsidRDefault="00770948" w:rsidP="00DC2D81">
      <w:pPr>
        <w:pStyle w:val="BodyText"/>
      </w:pPr>
      <w:r w:rsidRPr="00770948">
        <w:t xml:space="preserve">Reading literacy was the major domain tested in the 2000 and 2009 </w:t>
      </w:r>
      <w:r w:rsidR="00476217">
        <w:t>cycle</w:t>
      </w:r>
      <w:r w:rsidRPr="00770948">
        <w:t xml:space="preserve">s. </w:t>
      </w:r>
      <w:r w:rsidR="00476217" w:rsidRPr="00476217">
        <w:t>Reading literacy results from subsequent cycles may be compared with the 2000 cycle</w:t>
      </w:r>
      <w:r w:rsidRPr="00770948">
        <w:t>. In 20</w:t>
      </w:r>
      <w:r w:rsidR="00360D26">
        <w:t>12</w:t>
      </w:r>
      <w:r w:rsidR="00F07200">
        <w:t>,</w:t>
      </w:r>
      <w:r w:rsidRPr="00770948">
        <w:t xml:space="preserve"> the proportion of Australian 15 year old students who achieved at </w:t>
      </w:r>
      <w:r w:rsidR="00476217">
        <w:t xml:space="preserve">or above </w:t>
      </w:r>
      <w:r w:rsidR="00482113" w:rsidRPr="00D3193D">
        <w:rPr>
          <w:shd w:val="clear" w:color="auto" w:fill="FFFFFF" w:themeFill="background1"/>
        </w:rPr>
        <w:t>the national proficient standard of</w:t>
      </w:r>
      <w:r w:rsidR="00482113">
        <w:t xml:space="preserve"> </w:t>
      </w:r>
      <w:r w:rsidRPr="00770948">
        <w:t xml:space="preserve">level 3 in reading literacy nationally was </w:t>
      </w:r>
      <w:r w:rsidR="00EB0185" w:rsidRPr="00D3193D">
        <w:rPr>
          <w:shd w:val="clear" w:color="auto" w:fill="FFFFFF" w:themeFill="background1"/>
        </w:rPr>
        <w:t>62.9</w:t>
      </w:r>
      <w:r w:rsidR="002362DE" w:rsidRPr="00D3193D">
        <w:rPr>
          <w:shd w:val="clear" w:color="auto" w:fill="FFFFFF" w:themeFill="background1"/>
        </w:rPr>
        <w:t>–</w:t>
      </w:r>
      <w:r w:rsidR="00EB0185" w:rsidRPr="00D3193D">
        <w:rPr>
          <w:shd w:val="clear" w:color="auto" w:fill="FFFFFF" w:themeFill="background1"/>
        </w:rPr>
        <w:t>65.5</w:t>
      </w:r>
      <w:r w:rsidR="00E161F4" w:rsidRPr="00D3193D">
        <w:rPr>
          <w:shd w:val="clear" w:color="auto" w:fill="FFFFFF" w:themeFill="background1"/>
        </w:rPr>
        <w:t> </w:t>
      </w:r>
      <w:r w:rsidRPr="00D3193D">
        <w:rPr>
          <w:shd w:val="clear" w:color="auto" w:fill="FFFFFF" w:themeFill="background1"/>
        </w:rPr>
        <w:t>per</w:t>
      </w:r>
      <w:r w:rsidR="00E161F4" w:rsidRPr="00D3193D">
        <w:rPr>
          <w:shd w:val="clear" w:color="auto" w:fill="FFFFFF" w:themeFill="background1"/>
        </w:rPr>
        <w:t> </w:t>
      </w:r>
      <w:r w:rsidRPr="00A059FF">
        <w:rPr>
          <w:shd w:val="clear" w:color="auto" w:fill="FFFFFF" w:themeFill="background1"/>
        </w:rPr>
        <w:t>cent</w:t>
      </w:r>
      <w:r w:rsidR="007B5845">
        <w:rPr>
          <w:shd w:val="clear" w:color="auto" w:fill="FFFFFF" w:themeFill="background1"/>
        </w:rPr>
        <w:t xml:space="preserve"> </w:t>
      </w:r>
      <w:r w:rsidR="0006446B">
        <w:t>(table</w:t>
      </w:r>
      <w:r w:rsidR="0007582D">
        <w:t> </w:t>
      </w:r>
      <w:r w:rsidR="0006446B">
        <w:t>4A.</w:t>
      </w:r>
      <w:r w:rsidR="0007582D">
        <w:t>9</w:t>
      </w:r>
      <w:r w:rsidR="003A0804">
        <w:t>2</w:t>
      </w:r>
      <w:r w:rsidR="0006446B">
        <w:t>).</w:t>
      </w:r>
    </w:p>
    <w:p w:rsidR="00360D26" w:rsidRDefault="00360D26" w:rsidP="007B0AE2">
      <w:pPr>
        <w:pStyle w:val="Heading6"/>
      </w:pPr>
      <w:r>
        <w:t>PISA mathematical literacy</w:t>
      </w:r>
    </w:p>
    <w:p w:rsidR="00B02190" w:rsidRDefault="00360D26" w:rsidP="00DC2D81">
      <w:pPr>
        <w:pStyle w:val="BodyText"/>
      </w:pPr>
      <w:r w:rsidRPr="00360D26">
        <w:t xml:space="preserve">Mathematical literacy was the major domain tested in the 2003 </w:t>
      </w:r>
      <w:r>
        <w:t xml:space="preserve">and 2012 </w:t>
      </w:r>
      <w:r w:rsidR="00F07200">
        <w:t>cycles</w:t>
      </w:r>
      <w:r w:rsidRPr="00EC06F7">
        <w:rPr>
          <w:shd w:val="clear" w:color="auto" w:fill="FFFFFF" w:themeFill="background1"/>
        </w:rPr>
        <w:t xml:space="preserve">. </w:t>
      </w:r>
      <w:r w:rsidR="00DA4B0D" w:rsidRPr="00EC06F7">
        <w:rPr>
          <w:shd w:val="clear" w:color="auto" w:fill="FFFFFF" w:themeFill="background1"/>
        </w:rPr>
        <w:t>Mathematical literacy results from subsequent cycles may be compared with the 2003 cycle</w:t>
      </w:r>
      <w:r w:rsidRPr="00EC06F7">
        <w:rPr>
          <w:shd w:val="clear" w:color="auto" w:fill="FFFFFF" w:themeFill="background1"/>
        </w:rPr>
        <w:t>.</w:t>
      </w:r>
      <w:r w:rsidRPr="00360D26">
        <w:t xml:space="preserve"> In 20</w:t>
      </w:r>
      <w:r>
        <w:t>12</w:t>
      </w:r>
      <w:r w:rsidR="00F07200">
        <w:t>,</w:t>
      </w:r>
      <w:r w:rsidRPr="00360D26">
        <w:t xml:space="preserve"> the proportion of Australian 15 year old students who achieved</w:t>
      </w:r>
      <w:r w:rsidR="00DA4B0D" w:rsidRPr="00DA4B0D">
        <w:t xml:space="preserve"> at or above the national proficient standard </w:t>
      </w:r>
      <w:r w:rsidR="00482113" w:rsidRPr="00D3193D">
        <w:rPr>
          <w:shd w:val="clear" w:color="auto" w:fill="FFFFFF" w:themeFill="background1"/>
        </w:rPr>
        <w:t xml:space="preserve">of </w:t>
      </w:r>
      <w:r w:rsidRPr="00D3193D">
        <w:rPr>
          <w:shd w:val="clear" w:color="auto" w:fill="FFFFFF" w:themeFill="background1"/>
        </w:rPr>
        <w:t xml:space="preserve">level 3 in mathematical literacy was </w:t>
      </w:r>
      <w:r w:rsidR="00582527" w:rsidRPr="00D3193D">
        <w:rPr>
          <w:shd w:val="clear" w:color="auto" w:fill="FFFFFF" w:themeFill="background1"/>
        </w:rPr>
        <w:t>56.9</w:t>
      </w:r>
      <w:r w:rsidR="00F07200">
        <w:rPr>
          <w:shd w:val="clear" w:color="auto" w:fill="FFFFFF" w:themeFill="background1"/>
        </w:rPr>
        <w:t>–</w:t>
      </w:r>
      <w:r w:rsidR="00582527" w:rsidRPr="00D3193D">
        <w:rPr>
          <w:shd w:val="clear" w:color="auto" w:fill="FFFFFF" w:themeFill="background1"/>
        </w:rPr>
        <w:t>59.9</w:t>
      </w:r>
      <w:r w:rsidR="0003283E">
        <w:rPr>
          <w:shd w:val="clear" w:color="auto" w:fill="FFFFFF" w:themeFill="background1"/>
        </w:rPr>
        <w:t> </w:t>
      </w:r>
      <w:r w:rsidR="00B02190" w:rsidRPr="00D3193D">
        <w:rPr>
          <w:shd w:val="clear" w:color="auto" w:fill="FFFFFF" w:themeFill="background1"/>
        </w:rPr>
        <w:t>per</w:t>
      </w:r>
      <w:r w:rsidR="0003283E">
        <w:rPr>
          <w:shd w:val="clear" w:color="auto" w:fill="FFFFFF" w:themeFill="background1"/>
        </w:rPr>
        <w:t> </w:t>
      </w:r>
      <w:r w:rsidR="007B5845">
        <w:rPr>
          <w:shd w:val="clear" w:color="auto" w:fill="FFFFFF" w:themeFill="background1"/>
        </w:rPr>
        <w:t xml:space="preserve">cent </w:t>
      </w:r>
      <w:r w:rsidR="0006446B">
        <w:t>(table 4A.</w:t>
      </w:r>
      <w:r w:rsidR="0007582D">
        <w:t>9</w:t>
      </w:r>
      <w:r w:rsidR="003A0804">
        <w:t>7</w:t>
      </w:r>
      <w:r w:rsidR="0006446B">
        <w:t>).</w:t>
      </w:r>
    </w:p>
    <w:p w:rsidR="00360D26" w:rsidRDefault="00360D26" w:rsidP="007B0AE2">
      <w:pPr>
        <w:pStyle w:val="Heading6"/>
      </w:pPr>
      <w:r>
        <w:t xml:space="preserve">PISA </w:t>
      </w:r>
      <w:r w:rsidR="0096612F">
        <w:t>scientific</w:t>
      </w:r>
      <w:r>
        <w:t xml:space="preserve"> literacy</w:t>
      </w:r>
    </w:p>
    <w:p w:rsidR="00B02190" w:rsidRDefault="00BD787D" w:rsidP="00DC2D81">
      <w:pPr>
        <w:pStyle w:val="BodyText"/>
      </w:pPr>
      <w:r w:rsidRPr="00BD787D">
        <w:t>Scientific literacy was the major domain</w:t>
      </w:r>
      <w:r w:rsidR="0002178B">
        <w:t xml:space="preserve"> tested in the 2006 cycle.</w:t>
      </w:r>
      <w:r w:rsidRPr="00BD787D">
        <w:t xml:space="preserve"> Scientific literacy results from subsequent cycles may be</w:t>
      </w:r>
      <w:r>
        <w:t xml:space="preserve"> compared with the 2006 cycle. </w:t>
      </w:r>
      <w:r w:rsidRPr="00BD787D">
        <w:t>In 2012, the proportion of Australian 15 year old students who achieved at or above the national proficient standard of Level 3 in scientific literacy nationally was</w:t>
      </w:r>
      <w:r>
        <w:t xml:space="preserve"> </w:t>
      </w:r>
      <w:r w:rsidR="00582527" w:rsidRPr="00D3193D">
        <w:rPr>
          <w:shd w:val="clear" w:color="auto" w:fill="FFFFFF" w:themeFill="background1"/>
        </w:rPr>
        <w:t>63.5–66.3</w:t>
      </w:r>
      <w:r w:rsidR="00A014FB" w:rsidRPr="00D3193D">
        <w:rPr>
          <w:shd w:val="clear" w:color="auto" w:fill="FFFFFF" w:themeFill="background1"/>
        </w:rPr>
        <w:t xml:space="preserve"> </w:t>
      </w:r>
      <w:r w:rsidR="00360D26" w:rsidRPr="00D3193D">
        <w:rPr>
          <w:shd w:val="clear" w:color="auto" w:fill="FFFFFF" w:themeFill="background1"/>
        </w:rPr>
        <w:t>per cent</w:t>
      </w:r>
      <w:r w:rsidR="008C43C7">
        <w:rPr>
          <w:shd w:val="clear" w:color="auto" w:fill="FFFFFF" w:themeFill="background1"/>
        </w:rPr>
        <w:t xml:space="preserve"> </w:t>
      </w:r>
      <w:r w:rsidR="0006446B">
        <w:t>(table</w:t>
      </w:r>
      <w:r w:rsidR="008C43C7">
        <w:t> </w:t>
      </w:r>
      <w:r w:rsidR="0006446B">
        <w:t>4A.</w:t>
      </w:r>
      <w:r w:rsidR="0007582D">
        <w:t>10</w:t>
      </w:r>
      <w:r w:rsidR="003A0804">
        <w:t>2</w:t>
      </w:r>
      <w:r w:rsidR="0006446B">
        <w:t>).</w:t>
      </w:r>
    </w:p>
    <w:p w:rsidR="00A06D34" w:rsidRPr="003B4371" w:rsidRDefault="00A06D34" w:rsidP="007B0AE2">
      <w:pPr>
        <w:pStyle w:val="Heading5"/>
      </w:pPr>
      <w:r w:rsidRPr="003B4371">
        <w:t>PIRLS assessment</w:t>
      </w:r>
    </w:p>
    <w:p w:rsidR="00A06D34" w:rsidRDefault="00A06D34" w:rsidP="00DC2D81">
      <w:pPr>
        <w:pStyle w:val="BodyText"/>
      </w:pPr>
      <w:r w:rsidRPr="003B4371">
        <w:t>The PIRLS assessments are undertaken e</w:t>
      </w:r>
      <w:r w:rsidR="00B503CF">
        <w:t>very</w:t>
      </w:r>
      <w:r w:rsidRPr="003B4371">
        <w:t xml:space="preserve"> five years (box 4.</w:t>
      </w:r>
      <w:r w:rsidR="00CD37BC" w:rsidRPr="003B4371">
        <w:t>1</w:t>
      </w:r>
      <w:r w:rsidR="002E5EAF">
        <w:t>4</w:t>
      </w:r>
      <w:r w:rsidRPr="003B4371">
        <w:t xml:space="preserve">). </w:t>
      </w:r>
      <w:r w:rsidR="00950439">
        <w:t>Outcomes</w:t>
      </w:r>
      <w:r w:rsidR="0069451F" w:rsidRPr="0069451F">
        <w:t xml:space="preserve"> from </w:t>
      </w:r>
      <w:r w:rsidR="0069451F">
        <w:t>the 2011 PIRLS</w:t>
      </w:r>
      <w:r w:rsidR="0069451F" w:rsidRPr="0069451F">
        <w:t xml:space="preserve"> were </w:t>
      </w:r>
      <w:r w:rsidR="00950439">
        <w:t xml:space="preserve">first </w:t>
      </w:r>
      <w:r w:rsidR="0069451F" w:rsidRPr="0069451F">
        <w:t>included in the 2014</w:t>
      </w:r>
      <w:r w:rsidR="00E95417">
        <w:t xml:space="preserve"> </w:t>
      </w:r>
      <w:r w:rsidR="0069451F" w:rsidRPr="0069451F">
        <w:t>Report</w:t>
      </w:r>
      <w:r w:rsidR="00F45C6F">
        <w:t xml:space="preserve"> and data are included in the attachment tables to this report</w:t>
      </w:r>
      <w:r w:rsidR="00783CC1">
        <w:t xml:space="preserve"> </w:t>
      </w:r>
      <w:r w:rsidR="00F45C6F">
        <w:t>(tables 4A.1</w:t>
      </w:r>
      <w:r w:rsidR="0007582D">
        <w:t>1</w:t>
      </w:r>
      <w:r w:rsidR="003A0804">
        <w:t>2</w:t>
      </w:r>
      <w:r w:rsidR="00F45C6F">
        <w:t>-1</w:t>
      </w:r>
      <w:r w:rsidR="0007582D">
        <w:t>1</w:t>
      </w:r>
      <w:r w:rsidR="003A0804">
        <w:t>3</w:t>
      </w:r>
      <w:r w:rsidR="00F45C6F">
        <w:t>)</w:t>
      </w:r>
      <w:r w:rsidR="0069451F" w:rsidRPr="0069451F">
        <w:t>.</w:t>
      </w:r>
    </w:p>
    <w:p w:rsidR="00F07200" w:rsidRDefault="00F07200" w:rsidP="00DC2D81">
      <w:pPr>
        <w:pStyle w:val="BodyText"/>
      </w:pPr>
      <w:r w:rsidRPr="003B4371">
        <w:t>In 2011</w:t>
      </w:r>
      <w:r>
        <w:t>,</w:t>
      </w:r>
      <w:r w:rsidRPr="003B4371">
        <w:t xml:space="preserve"> the proportion of tested Australian year </w:t>
      </w:r>
      <w:r>
        <w:t>4</w:t>
      </w:r>
      <w:r w:rsidRPr="003B4371">
        <w:t xml:space="preserve"> students who achieved at or above the intermediate international benchmark (a score of 475) was </w:t>
      </w:r>
      <w:r>
        <w:t xml:space="preserve">73.6–77.6 </w:t>
      </w:r>
      <w:r w:rsidRPr="003B4371">
        <w:t>per cent</w:t>
      </w:r>
      <w:r>
        <w:t xml:space="preserve"> (table</w:t>
      </w:r>
      <w:r w:rsidR="00783CC1">
        <w:t> </w:t>
      </w:r>
      <w:r>
        <w:t>4A.1</w:t>
      </w:r>
      <w:r w:rsidR="0007582D">
        <w:t>1</w:t>
      </w:r>
      <w:r w:rsidR="003A0804">
        <w:t>2</w:t>
      </w:r>
      <w:r>
        <w:t>)</w:t>
      </w:r>
      <w:r w:rsidRPr="003B4371">
        <w:t>. This was a lower proportion than 26</w:t>
      </w:r>
      <w:r>
        <w:t xml:space="preserve"> of the 44</w:t>
      </w:r>
      <w:r w:rsidRPr="003B4371">
        <w:t xml:space="preserve"> other partic</w:t>
      </w:r>
      <w:r>
        <w:t>ipating countries or economies.</w:t>
      </w:r>
    </w:p>
    <w:p w:rsidR="0058556B" w:rsidRDefault="0058556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8556B" w:rsidTr="0058556B">
        <w:tc>
          <w:tcPr>
            <w:tcW w:w="8771" w:type="dxa"/>
            <w:tcBorders>
              <w:top w:val="single" w:sz="6" w:space="0" w:color="78A22F"/>
              <w:left w:val="nil"/>
              <w:bottom w:val="nil"/>
              <w:right w:val="nil"/>
            </w:tcBorders>
            <w:shd w:val="clear" w:color="auto" w:fill="F2F2F2"/>
          </w:tcPr>
          <w:p w:rsidR="0058556B" w:rsidRDefault="0058556B">
            <w:pPr>
              <w:pStyle w:val="BoxTitle"/>
            </w:pPr>
            <w:r>
              <w:rPr>
                <w:b w:val="0"/>
              </w:rPr>
              <w:t xml:space="preserve">Box </w:t>
            </w:r>
            <w:r w:rsidR="00B70781">
              <w:rPr>
                <w:b w:val="0"/>
              </w:rPr>
              <w:t>4.</w:t>
            </w:r>
            <w:r w:rsidR="00FF4FBD">
              <w:rPr>
                <w:b w:val="0"/>
                <w:noProof/>
              </w:rPr>
              <w:t>14</w:t>
            </w:r>
            <w:r>
              <w:tab/>
            </w:r>
            <w:r w:rsidRPr="0058556B">
              <w:t>Progress in International Reading Literacy Study</w:t>
            </w:r>
          </w:p>
        </w:tc>
      </w:tr>
      <w:tr w:rsidR="0058556B" w:rsidTr="0058556B">
        <w:trPr>
          <w:cantSplit/>
        </w:trPr>
        <w:tc>
          <w:tcPr>
            <w:tcW w:w="8771" w:type="dxa"/>
            <w:tcBorders>
              <w:top w:val="nil"/>
              <w:left w:val="nil"/>
              <w:bottom w:val="nil"/>
              <w:right w:val="nil"/>
            </w:tcBorders>
            <w:shd w:val="clear" w:color="auto" w:fill="F2F2F2"/>
          </w:tcPr>
          <w:p w:rsidR="009F2094" w:rsidRPr="009F2094" w:rsidRDefault="009F2094" w:rsidP="009F2094">
            <w:pPr>
              <w:pStyle w:val="Box"/>
            </w:pPr>
            <w:r w:rsidRPr="009F2094">
              <w:t xml:space="preserve">PIRLS provides learning outcomes data for year 4 students in reading literacy performance. This international test is conducted every five years but was first undertaken by students in Australian schools in 2011. Students from 45 countries or economies participated in the 2011 PIRLS assessment, including over 6000 Australian students from 280 schools. </w:t>
            </w:r>
          </w:p>
          <w:p w:rsidR="00F07200" w:rsidRDefault="009F2094" w:rsidP="00F07200">
            <w:pPr>
              <w:pStyle w:val="Box"/>
            </w:pPr>
            <w:r w:rsidRPr="009F2094">
              <w:t xml:space="preserve">PIRLS uses two organising dimensions for the assessment, referred to as the </w:t>
            </w:r>
            <w:r w:rsidRPr="009F2094">
              <w:rPr>
                <w:i/>
                <w:iCs/>
              </w:rPr>
              <w:t xml:space="preserve">purposes for reading </w:t>
            </w:r>
            <w:r w:rsidRPr="009F2094">
              <w:t xml:space="preserve">and the </w:t>
            </w:r>
            <w:r w:rsidRPr="009F2094">
              <w:rPr>
                <w:i/>
                <w:iCs/>
              </w:rPr>
              <w:t xml:space="preserve">reading processes. </w:t>
            </w:r>
            <w:r w:rsidRPr="009F2094">
              <w:t xml:space="preserve">Each of the reading processes — focus on and retrieve explicitly stated information, make straightforward inferences, interpret and integrate ideas and information and examine and evaluate content, language and textual elements — is assessed within each purpose for reading (reading for literacy experience and reading to gain information). </w:t>
            </w:r>
          </w:p>
          <w:p w:rsidR="0058556B" w:rsidRDefault="009F2094" w:rsidP="00F07200">
            <w:pPr>
              <w:pStyle w:val="Box"/>
            </w:pPr>
            <w:r w:rsidRPr="009F2094">
              <w:t>PIRLS is assessed on a different basis to NAPLAN testing and its results are not comparable to NAPLAN results. Whereas NAPLAN measures against a national minimum standard, PIRLS measures against a series of achievement levels. PIRLS may provide additional information on reading that is not available in NAPLAN.</w:t>
            </w:r>
          </w:p>
        </w:tc>
      </w:tr>
      <w:tr w:rsidR="0058556B" w:rsidTr="0058556B">
        <w:trPr>
          <w:cantSplit/>
        </w:trPr>
        <w:tc>
          <w:tcPr>
            <w:tcW w:w="8771" w:type="dxa"/>
            <w:tcBorders>
              <w:top w:val="nil"/>
              <w:left w:val="nil"/>
              <w:bottom w:val="nil"/>
              <w:right w:val="nil"/>
            </w:tcBorders>
            <w:shd w:val="clear" w:color="auto" w:fill="F2F2F2"/>
          </w:tcPr>
          <w:p w:rsidR="0058556B" w:rsidRDefault="009F2094" w:rsidP="00EE3934">
            <w:pPr>
              <w:pStyle w:val="BoxSource"/>
            </w:pPr>
            <w:r>
              <w:rPr>
                <w:i/>
              </w:rPr>
              <w:t>Source</w:t>
            </w:r>
            <w:r w:rsidR="0058556B" w:rsidRPr="00167F06">
              <w:t xml:space="preserve">: </w:t>
            </w:r>
            <w:r w:rsidR="00E35469">
              <w:t xml:space="preserve">ACER </w:t>
            </w:r>
            <w:r w:rsidR="00EE3934">
              <w:t>(</w:t>
            </w:r>
            <w:r w:rsidRPr="009F2094">
              <w:t>2012)</w:t>
            </w:r>
            <w:r w:rsidR="00145F60">
              <w:t>.</w:t>
            </w:r>
          </w:p>
        </w:tc>
      </w:tr>
      <w:tr w:rsidR="0058556B" w:rsidTr="0058556B">
        <w:trPr>
          <w:cantSplit/>
        </w:trPr>
        <w:tc>
          <w:tcPr>
            <w:tcW w:w="8771" w:type="dxa"/>
            <w:tcBorders>
              <w:top w:val="nil"/>
              <w:left w:val="nil"/>
              <w:bottom w:val="single" w:sz="6" w:space="0" w:color="78A22F"/>
              <w:right w:val="nil"/>
            </w:tcBorders>
            <w:shd w:val="clear" w:color="auto" w:fill="F2F2F2"/>
          </w:tcPr>
          <w:p w:rsidR="0058556B" w:rsidRDefault="0058556B">
            <w:pPr>
              <w:pStyle w:val="Box"/>
              <w:spacing w:before="0" w:line="120" w:lineRule="exact"/>
            </w:pPr>
          </w:p>
        </w:tc>
      </w:tr>
      <w:tr w:rsidR="0058556B" w:rsidRPr="000863A5" w:rsidTr="0058556B">
        <w:tc>
          <w:tcPr>
            <w:tcW w:w="8771" w:type="dxa"/>
            <w:tcBorders>
              <w:top w:val="single" w:sz="6" w:space="0" w:color="78A22F"/>
              <w:left w:val="nil"/>
              <w:bottom w:val="nil"/>
              <w:right w:val="nil"/>
            </w:tcBorders>
          </w:tcPr>
          <w:p w:rsidR="0058556B" w:rsidRPr="00626D32" w:rsidRDefault="0058556B" w:rsidP="0058556B">
            <w:pPr>
              <w:pStyle w:val="BoxSpaceBelow"/>
            </w:pPr>
          </w:p>
        </w:tc>
      </w:tr>
    </w:tbl>
    <w:p w:rsidR="00360D26" w:rsidRPr="005A122F" w:rsidRDefault="00360D26" w:rsidP="00611D9B">
      <w:pPr>
        <w:pStyle w:val="Heading5"/>
      </w:pPr>
      <w:r w:rsidRPr="005A122F">
        <w:t>TIMSS assessment</w:t>
      </w:r>
    </w:p>
    <w:p w:rsidR="0069451F" w:rsidRPr="00092B6C" w:rsidRDefault="00360D26" w:rsidP="00092B6C">
      <w:pPr>
        <w:pStyle w:val="BodyText"/>
      </w:pPr>
      <w:r w:rsidRPr="00092B6C">
        <w:t>The TIMSS assessments are conducted e</w:t>
      </w:r>
      <w:r w:rsidR="00F07200">
        <w:t>very</w:t>
      </w:r>
      <w:r w:rsidRPr="00092B6C">
        <w:t xml:space="preserve"> four years </w:t>
      </w:r>
      <w:r w:rsidR="0069451F" w:rsidRPr="00092B6C">
        <w:t>(box 4.</w:t>
      </w:r>
      <w:r w:rsidR="00A31986">
        <w:t>1</w:t>
      </w:r>
      <w:r w:rsidR="002E5EAF">
        <w:t>5</w:t>
      </w:r>
      <w:r w:rsidR="0069451F" w:rsidRPr="00092B6C">
        <w:t xml:space="preserve">) </w:t>
      </w:r>
      <w:r w:rsidRPr="00092B6C">
        <w:t xml:space="preserve">and provide learning outcomes data for students in year 4 and year 8 in mathematics and science. </w:t>
      </w:r>
    </w:p>
    <w:p w:rsidR="0069451F" w:rsidRDefault="0069451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9451F" w:rsidTr="0078036C">
        <w:tc>
          <w:tcPr>
            <w:tcW w:w="8771" w:type="dxa"/>
            <w:tcBorders>
              <w:top w:val="single" w:sz="6" w:space="0" w:color="78A22F"/>
              <w:left w:val="nil"/>
              <w:bottom w:val="nil"/>
              <w:right w:val="nil"/>
            </w:tcBorders>
            <w:shd w:val="clear" w:color="auto" w:fill="F2F2F2"/>
          </w:tcPr>
          <w:p w:rsidR="0069451F" w:rsidRDefault="0069451F" w:rsidP="009F2094">
            <w:pPr>
              <w:pStyle w:val="BoxTitle"/>
            </w:pPr>
            <w:r>
              <w:rPr>
                <w:b w:val="0"/>
              </w:rPr>
              <w:t xml:space="preserve">Box </w:t>
            </w:r>
            <w:r w:rsidR="00B70781">
              <w:rPr>
                <w:b w:val="0"/>
              </w:rPr>
              <w:t>4.</w:t>
            </w:r>
            <w:r w:rsidR="00FF4FBD">
              <w:rPr>
                <w:b w:val="0"/>
                <w:noProof/>
              </w:rPr>
              <w:t>15</w:t>
            </w:r>
            <w:r>
              <w:tab/>
            </w:r>
            <w:r w:rsidR="000D2E31" w:rsidRPr="000D2E31">
              <w:t>Trends in International Mathematics and Science Study</w:t>
            </w:r>
          </w:p>
        </w:tc>
      </w:tr>
      <w:tr w:rsidR="0069451F" w:rsidTr="0078036C">
        <w:trPr>
          <w:cantSplit/>
        </w:trPr>
        <w:tc>
          <w:tcPr>
            <w:tcW w:w="8771" w:type="dxa"/>
            <w:tcBorders>
              <w:top w:val="nil"/>
              <w:left w:val="nil"/>
              <w:bottom w:val="nil"/>
              <w:right w:val="nil"/>
            </w:tcBorders>
            <w:shd w:val="clear" w:color="auto" w:fill="F2F2F2"/>
          </w:tcPr>
          <w:p w:rsidR="000D2E31" w:rsidRPr="000D2E31" w:rsidRDefault="000D2E31" w:rsidP="000D2E31">
            <w:pPr>
              <w:pStyle w:val="Box"/>
            </w:pPr>
            <w:r w:rsidRPr="000D2E31">
              <w:t xml:space="preserve">The TIMSS provides learning outcomes data for students in year 4 and year 8 in two assessment domains: mathematics achievement and science achievement. In 2011, 600 000 students from 52 countries participated in the TIMSS assessment. From Australia, this included over 13 700 students from 555 schools. </w:t>
            </w:r>
          </w:p>
          <w:p w:rsidR="0069451F" w:rsidRDefault="000D2E31" w:rsidP="005953B6">
            <w:pPr>
              <w:pStyle w:val="Box"/>
            </w:pPr>
            <w:r w:rsidRPr="000D2E31">
              <w:t>Further information on TIMSS is available at the TIMSS website: http://www.acer.edu.au/timss.</w:t>
            </w:r>
          </w:p>
        </w:tc>
      </w:tr>
      <w:tr w:rsidR="0069451F" w:rsidTr="0078036C">
        <w:trPr>
          <w:cantSplit/>
        </w:trPr>
        <w:tc>
          <w:tcPr>
            <w:tcW w:w="8771" w:type="dxa"/>
            <w:tcBorders>
              <w:top w:val="nil"/>
              <w:left w:val="nil"/>
              <w:bottom w:val="nil"/>
              <w:right w:val="nil"/>
            </w:tcBorders>
            <w:shd w:val="clear" w:color="auto" w:fill="F2F2F2"/>
          </w:tcPr>
          <w:p w:rsidR="0069451F" w:rsidRDefault="000D2E31" w:rsidP="00EE3934">
            <w:pPr>
              <w:pStyle w:val="BoxSource"/>
            </w:pPr>
            <w:r>
              <w:rPr>
                <w:i/>
              </w:rPr>
              <w:t>Source</w:t>
            </w:r>
            <w:r w:rsidR="0069451F" w:rsidRPr="00167F06">
              <w:t xml:space="preserve">: </w:t>
            </w:r>
            <w:r w:rsidR="005953B6">
              <w:t xml:space="preserve">ACER </w:t>
            </w:r>
            <w:r w:rsidR="00EE3934">
              <w:t>(</w:t>
            </w:r>
            <w:r w:rsidRPr="000D2E31">
              <w:t>2012)</w:t>
            </w:r>
            <w:r w:rsidR="00145F60">
              <w:t>.</w:t>
            </w:r>
          </w:p>
        </w:tc>
      </w:tr>
      <w:tr w:rsidR="0069451F" w:rsidTr="0078036C">
        <w:trPr>
          <w:cantSplit/>
        </w:trPr>
        <w:tc>
          <w:tcPr>
            <w:tcW w:w="8771" w:type="dxa"/>
            <w:tcBorders>
              <w:top w:val="nil"/>
              <w:left w:val="nil"/>
              <w:bottom w:val="single" w:sz="6" w:space="0" w:color="78A22F"/>
              <w:right w:val="nil"/>
            </w:tcBorders>
            <w:shd w:val="clear" w:color="auto" w:fill="F2F2F2"/>
          </w:tcPr>
          <w:p w:rsidR="0069451F" w:rsidRDefault="0069451F">
            <w:pPr>
              <w:pStyle w:val="Box"/>
              <w:spacing w:before="0" w:line="120" w:lineRule="exact"/>
            </w:pPr>
          </w:p>
        </w:tc>
      </w:tr>
      <w:tr w:rsidR="0069451F" w:rsidRPr="000863A5" w:rsidTr="0078036C">
        <w:tc>
          <w:tcPr>
            <w:tcW w:w="8771" w:type="dxa"/>
            <w:tcBorders>
              <w:top w:val="single" w:sz="6" w:space="0" w:color="78A22F"/>
              <w:left w:val="nil"/>
              <w:bottom w:val="nil"/>
              <w:right w:val="nil"/>
            </w:tcBorders>
          </w:tcPr>
          <w:p w:rsidR="0069451F" w:rsidRPr="00626D32" w:rsidRDefault="0069451F" w:rsidP="0078036C">
            <w:pPr>
              <w:pStyle w:val="BoxSpaceBelow"/>
            </w:pPr>
          </w:p>
        </w:tc>
      </w:tr>
    </w:tbl>
    <w:p w:rsidR="00360D26" w:rsidRPr="00092B6C" w:rsidRDefault="00360D26" w:rsidP="00783CC1">
      <w:pPr>
        <w:pStyle w:val="BodyText"/>
      </w:pPr>
      <w:r w:rsidRPr="00092B6C">
        <w:t>D</w:t>
      </w:r>
      <w:r w:rsidR="0069451F" w:rsidRPr="00092B6C">
        <w:t>etailed d</w:t>
      </w:r>
      <w:r w:rsidRPr="00092B6C">
        <w:t>ata from the 2011 TIMSS were included in the 2013</w:t>
      </w:r>
      <w:r w:rsidR="00727C58" w:rsidRPr="00092B6C">
        <w:t> </w:t>
      </w:r>
      <w:r w:rsidRPr="00092B6C">
        <w:t xml:space="preserve">Report. </w:t>
      </w:r>
      <w:r w:rsidR="008C43C7">
        <w:t>T</w:t>
      </w:r>
      <w:r w:rsidRPr="00092B6C">
        <w:t>ables 4A.1</w:t>
      </w:r>
      <w:r w:rsidR="0007582D">
        <w:t>0</w:t>
      </w:r>
      <w:r w:rsidR="003A0804">
        <w:t>7</w:t>
      </w:r>
      <w:r w:rsidRPr="00092B6C">
        <w:t>–1</w:t>
      </w:r>
      <w:r w:rsidR="0007582D">
        <w:t>1</w:t>
      </w:r>
      <w:r w:rsidR="003A0804">
        <w:t>1</w:t>
      </w:r>
      <w:r w:rsidRPr="00092B6C">
        <w:t xml:space="preserve"> contain detailed results for the 2003, 2007 and 2011 TIMSS assessments</w:t>
      </w:r>
      <w:r w:rsidR="00E55771" w:rsidRPr="00092B6C">
        <w:t>, by achievement level</w:t>
      </w:r>
      <w:r w:rsidR="00271196">
        <w:t>, including</w:t>
      </w:r>
      <w:r w:rsidR="00644F57" w:rsidRPr="00092B6C">
        <w:t xml:space="preserve"> 2011 TIM</w:t>
      </w:r>
      <w:r w:rsidR="00D55908" w:rsidRPr="00092B6C">
        <w:t>S</w:t>
      </w:r>
      <w:r w:rsidR="00644F57" w:rsidRPr="00092B6C">
        <w:t>S outcom</w:t>
      </w:r>
      <w:r w:rsidR="005F4AEF" w:rsidRPr="00092B6C">
        <w:t xml:space="preserve">es by equity group and </w:t>
      </w:r>
      <w:r w:rsidR="00644F57" w:rsidRPr="00092B6C">
        <w:t>comparisons of significance of difference between the 2011 TIMSS and earlier rounds.</w:t>
      </w:r>
    </w:p>
    <w:p w:rsidR="00666ECE" w:rsidRPr="00DA7453" w:rsidRDefault="00666ECE" w:rsidP="00A95197">
      <w:pPr>
        <w:pStyle w:val="Heading4"/>
      </w:pPr>
      <w:r w:rsidRPr="00DA7453">
        <w:t>Completion</w:t>
      </w:r>
      <w:r w:rsidRPr="00DA7453">
        <w:rPr>
          <w:color w:val="FF0000"/>
          <w:u w:val="dotted"/>
        </w:rPr>
        <w:t xml:space="preserve"> </w:t>
      </w:r>
    </w:p>
    <w:p w:rsidR="00666ECE" w:rsidRPr="00735213" w:rsidRDefault="00666ECE" w:rsidP="00092B6C">
      <w:pPr>
        <w:pStyle w:val="BodyText"/>
        <w:rPr>
          <w:b/>
          <w:u w:val="dotted"/>
        </w:rPr>
      </w:pPr>
      <w:r w:rsidRPr="00DA7453">
        <w:t>‘Completion’ is an indicator of governments’ objective</w:t>
      </w:r>
      <w:r w:rsidRPr="00666ECE">
        <w:t xml:space="preserve"> that all students have access to high quality education and training to year 12 or equivalent, that </w:t>
      </w:r>
      <w:r w:rsidRPr="00735213">
        <w:t>provides clear and recognised pathways to further education, training and employment (box 4.1</w:t>
      </w:r>
      <w:r w:rsidR="002E5EAF">
        <w:t>6</w:t>
      </w:r>
      <w:r w:rsidRPr="00735213">
        <w:t>).</w:t>
      </w:r>
    </w:p>
    <w:p w:rsidR="0097296B" w:rsidRDefault="0097296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7296B" w:rsidTr="001D0F72">
        <w:tc>
          <w:tcPr>
            <w:tcW w:w="8771" w:type="dxa"/>
            <w:tcBorders>
              <w:top w:val="single" w:sz="6" w:space="0" w:color="78A22F"/>
              <w:left w:val="nil"/>
              <w:bottom w:val="nil"/>
              <w:right w:val="nil"/>
            </w:tcBorders>
            <w:shd w:val="clear" w:color="auto" w:fill="F2F2F2"/>
          </w:tcPr>
          <w:p w:rsidR="0097296B" w:rsidRDefault="0097296B">
            <w:pPr>
              <w:pStyle w:val="BoxTitle"/>
            </w:pPr>
            <w:r>
              <w:rPr>
                <w:b w:val="0"/>
              </w:rPr>
              <w:t xml:space="preserve">Box </w:t>
            </w:r>
            <w:r w:rsidR="00B70781">
              <w:rPr>
                <w:b w:val="0"/>
              </w:rPr>
              <w:t>4.</w:t>
            </w:r>
            <w:r w:rsidR="00FF4FBD">
              <w:rPr>
                <w:b w:val="0"/>
                <w:noProof/>
              </w:rPr>
              <w:t>16</w:t>
            </w:r>
            <w:r>
              <w:tab/>
            </w:r>
            <w:r w:rsidRPr="0097296B">
              <w:t>Completion</w:t>
            </w:r>
          </w:p>
        </w:tc>
      </w:tr>
      <w:tr w:rsidR="0097296B" w:rsidTr="001D0F72">
        <w:trPr>
          <w:cantSplit/>
        </w:trPr>
        <w:tc>
          <w:tcPr>
            <w:tcW w:w="8771" w:type="dxa"/>
            <w:tcBorders>
              <w:top w:val="nil"/>
              <w:left w:val="nil"/>
              <w:bottom w:val="nil"/>
              <w:right w:val="nil"/>
            </w:tcBorders>
            <w:shd w:val="clear" w:color="auto" w:fill="F2F2F2"/>
          </w:tcPr>
          <w:p w:rsidR="0097296B" w:rsidRDefault="008C43C7" w:rsidP="0097296B">
            <w:pPr>
              <w:pStyle w:val="Box"/>
            </w:pPr>
            <w:r>
              <w:t>‘</w:t>
            </w:r>
            <w:r w:rsidR="0097296B" w:rsidRPr="0097296B">
              <w:t>Completion’ (completion rate) is defined as the number of students who meet the requirements of a year 12 certificate or equivalent expressed as a percentage of the estimated potential year 12 population. The estimated potential year 12 population is an estimate of a single year age group that could have attended year 12 that year, calculated as the estimated resident population aged 15–19 divided by five. The completion rate is reported by socio-economic status, geolocation</w:t>
            </w:r>
            <w:r w:rsidR="009352DB">
              <w:t xml:space="preserve"> (based on the MCEE</w:t>
            </w:r>
            <w:r w:rsidR="00CE3E55">
              <w:t>CD</w:t>
            </w:r>
            <w:r w:rsidR="009352DB">
              <w:t>YA classification)</w:t>
            </w:r>
            <w:r w:rsidR="0097296B" w:rsidRPr="0097296B">
              <w:t xml:space="preserve"> and sex.</w:t>
            </w:r>
          </w:p>
          <w:p w:rsidR="00974DDF" w:rsidRPr="0097296B" w:rsidRDefault="00974DDF" w:rsidP="0097296B">
            <w:pPr>
              <w:pStyle w:val="Box"/>
            </w:pPr>
            <w:r>
              <w:t>This indicator should be interpreted with caution as:</w:t>
            </w:r>
          </w:p>
          <w:p w:rsidR="009352DB" w:rsidRDefault="009352DB" w:rsidP="00092B6C">
            <w:pPr>
              <w:pStyle w:val="BoxListBullet"/>
            </w:pPr>
            <w:r>
              <w:t xml:space="preserve">assessment, reporting and </w:t>
            </w:r>
            <w:r w:rsidR="0097296B" w:rsidRPr="0097296B">
              <w:t>criteria for obtaining a year 12 or equivalent certificate var</w:t>
            </w:r>
            <w:r w:rsidR="00DB66EE">
              <w:t>ies</w:t>
            </w:r>
            <w:r w:rsidR="0097296B" w:rsidRPr="0097296B">
              <w:t xml:space="preserve"> across jurisdictions</w:t>
            </w:r>
          </w:p>
          <w:p w:rsidR="009352DB" w:rsidRDefault="009352DB" w:rsidP="009352DB">
            <w:pPr>
              <w:pStyle w:val="BoxListBullet"/>
            </w:pPr>
            <w:r w:rsidRPr="009352DB">
              <w:t>students completing their secondary education in TAFE institutes are included in reporting for some jurisdictions and not in others</w:t>
            </w:r>
          </w:p>
          <w:p w:rsidR="0097296B" w:rsidRDefault="009352DB" w:rsidP="00092B6C">
            <w:pPr>
              <w:pStyle w:val="BoxListBullet"/>
            </w:pPr>
            <w:r>
              <w:t>t</w:t>
            </w:r>
            <w:r w:rsidR="00F86F1A" w:rsidRPr="00F86F1A">
              <w:t xml:space="preserve">he </w:t>
            </w:r>
            <w:r w:rsidR="0097296B" w:rsidRPr="0097296B">
              <w:t>aggregation of all postcode locations into three socio-economic status categories — high, medium and low — means there may be significant v</w:t>
            </w:r>
            <w:r w:rsidR="00F86F1A">
              <w:t xml:space="preserve">ariation within the categories. </w:t>
            </w:r>
            <w:r w:rsidR="002377B3">
              <w:t>The low category</w:t>
            </w:r>
            <w:r w:rsidR="0097296B" w:rsidRPr="0097296B">
              <w:t>, for example, will include locations ranging from those of extreme disadvantage to those of moderate disadvantage</w:t>
            </w:r>
            <w:r w:rsidR="00EE3934">
              <w:t>.</w:t>
            </w:r>
          </w:p>
          <w:p w:rsidR="0097296B" w:rsidRPr="0097296B" w:rsidRDefault="0097296B" w:rsidP="0097296B">
            <w:pPr>
              <w:pStyle w:val="Box"/>
            </w:pPr>
            <w:r w:rsidRPr="0097296B">
              <w:t>Data reported for this measure are:</w:t>
            </w:r>
          </w:p>
          <w:p w:rsidR="0097296B" w:rsidRPr="0097296B" w:rsidRDefault="0097296B" w:rsidP="00EE64E3">
            <w:pPr>
              <w:pStyle w:val="BoxListBullet"/>
            </w:pPr>
            <w:r w:rsidRPr="0097296B">
              <w:t>comparable (subject to caveats) within some jurisdictions over time but are not comparable across jurisdictions</w:t>
            </w:r>
            <w:r w:rsidR="00FB4F5A">
              <w:t xml:space="preserve">. </w:t>
            </w:r>
            <w:r w:rsidR="00D57C6E" w:rsidRPr="00EE64E3">
              <w:rPr>
                <w:shd w:val="clear" w:color="auto" w:fill="F2F2F2" w:themeFill="background1" w:themeFillShade="F2"/>
              </w:rPr>
              <w:t xml:space="preserve">WA data for 2014 </w:t>
            </w:r>
            <w:r w:rsidR="00FB4F5A" w:rsidRPr="00EE64E3">
              <w:rPr>
                <w:shd w:val="clear" w:color="auto" w:fill="F2F2F2" w:themeFill="background1" w:themeFillShade="F2"/>
              </w:rPr>
              <w:t>reflect a</w:t>
            </w:r>
            <w:r w:rsidR="00D57C6E" w:rsidRPr="00EE64E3">
              <w:rPr>
                <w:shd w:val="clear" w:color="auto" w:fill="F2F2F2" w:themeFill="background1" w:themeFillShade="F2"/>
              </w:rPr>
              <w:t xml:space="preserve"> </w:t>
            </w:r>
            <w:r w:rsidR="00FB4F5A" w:rsidRPr="00EE64E3">
              <w:rPr>
                <w:shd w:val="clear" w:color="auto" w:fill="F2F2F2" w:themeFill="background1" w:themeFillShade="F2"/>
              </w:rPr>
              <w:t>change to</w:t>
            </w:r>
            <w:r w:rsidR="00D57C6E" w:rsidRPr="00EE64E3">
              <w:rPr>
                <w:shd w:val="clear" w:color="auto" w:fill="F2F2F2" w:themeFill="background1" w:themeFillShade="F2"/>
              </w:rPr>
              <w:t xml:space="preserve"> the pre-year one entry age in 2002 resulting in approximately half the normal intake of students for that year level.</w:t>
            </w:r>
            <w:r w:rsidR="00D57C6E" w:rsidRPr="00D57C6E">
              <w:t xml:space="preserve"> </w:t>
            </w:r>
          </w:p>
          <w:p w:rsidR="0097296B" w:rsidRPr="0097296B" w:rsidRDefault="0097296B" w:rsidP="00092B6C">
            <w:pPr>
              <w:pStyle w:val="BoxListBullet"/>
            </w:pPr>
            <w:r w:rsidRPr="0097296B">
              <w:t>complete for the current reporting period (subject to caveats). All required 201</w:t>
            </w:r>
            <w:r w:rsidR="004B55B1">
              <w:t>4</w:t>
            </w:r>
            <w:r w:rsidRPr="0097296B">
              <w:t xml:space="preserve"> data are available for all jurisdictions providing the service</w:t>
            </w:r>
            <w:r w:rsidR="00516723">
              <w:t>.</w:t>
            </w:r>
          </w:p>
          <w:p w:rsidR="0097296B" w:rsidRPr="0097296B" w:rsidRDefault="0097296B" w:rsidP="0097296B">
            <w:pPr>
              <w:pStyle w:val="Box"/>
            </w:pPr>
            <w:r w:rsidRPr="0097296B">
              <w:t xml:space="preserve">A high or increasing completion rate suggests an improvement in educational outcomes. </w:t>
            </w:r>
          </w:p>
          <w:p w:rsidR="0097296B" w:rsidRDefault="0097296B" w:rsidP="004B55B1">
            <w:pPr>
              <w:pStyle w:val="Box"/>
            </w:pPr>
            <w:r w:rsidRPr="0097296B">
              <w:t xml:space="preserve">Information about data quality for this indicator is at </w:t>
            </w:r>
            <w:r w:rsidR="004B55B1" w:rsidRPr="00AD7395">
              <w:t>www.pc.gov.au/rogs/2016</w:t>
            </w:r>
            <w:r w:rsidRPr="0097296B">
              <w:t>.</w:t>
            </w:r>
          </w:p>
        </w:tc>
      </w:tr>
      <w:tr w:rsidR="0097296B" w:rsidTr="001D0F72">
        <w:trPr>
          <w:cantSplit/>
        </w:trPr>
        <w:tc>
          <w:tcPr>
            <w:tcW w:w="8771" w:type="dxa"/>
            <w:tcBorders>
              <w:top w:val="nil"/>
              <w:left w:val="nil"/>
              <w:bottom w:val="single" w:sz="6" w:space="0" w:color="78A22F"/>
              <w:right w:val="nil"/>
            </w:tcBorders>
            <w:shd w:val="clear" w:color="auto" w:fill="F2F2F2"/>
          </w:tcPr>
          <w:p w:rsidR="0097296B" w:rsidRDefault="0097296B">
            <w:pPr>
              <w:pStyle w:val="Box"/>
              <w:spacing w:before="0" w:line="120" w:lineRule="exact"/>
            </w:pPr>
          </w:p>
        </w:tc>
      </w:tr>
      <w:tr w:rsidR="0097296B" w:rsidRPr="000863A5" w:rsidTr="001D0F72">
        <w:tc>
          <w:tcPr>
            <w:tcW w:w="8771" w:type="dxa"/>
            <w:tcBorders>
              <w:top w:val="single" w:sz="6" w:space="0" w:color="78A22F"/>
              <w:left w:val="nil"/>
              <w:bottom w:val="nil"/>
              <w:right w:val="nil"/>
            </w:tcBorders>
          </w:tcPr>
          <w:p w:rsidR="0097296B" w:rsidRPr="00626D32" w:rsidRDefault="0097296B" w:rsidP="001D0F72">
            <w:pPr>
              <w:pStyle w:val="BoxSpaceBelow"/>
            </w:pPr>
          </w:p>
        </w:tc>
      </w:tr>
    </w:tbl>
    <w:p w:rsidR="009352DB" w:rsidRDefault="00666ECE" w:rsidP="00D0359D">
      <w:pPr>
        <w:pStyle w:val="BodyText"/>
      </w:pPr>
      <w:r w:rsidRPr="00666ECE">
        <w:t>Completion rates are primarily used as indicators of trends and are used, in part, because information on participation and retention rates is generally not available by socio</w:t>
      </w:r>
      <w:r w:rsidR="002377B3">
        <w:noBreakHyphen/>
      </w:r>
      <w:r w:rsidRPr="00666ECE">
        <w:t>economic background or geographic location</w:t>
      </w:r>
      <w:r w:rsidR="009352DB">
        <w:t>.</w:t>
      </w:r>
    </w:p>
    <w:p w:rsidR="00611D9B" w:rsidRDefault="00666ECE" w:rsidP="007D6009">
      <w:pPr>
        <w:pStyle w:val="BodyText"/>
      </w:pPr>
      <w:r w:rsidRPr="00666ECE">
        <w:t>Nationally</w:t>
      </w:r>
      <w:r w:rsidR="00535E89">
        <w:t xml:space="preserve"> in 201</w:t>
      </w:r>
      <w:r w:rsidR="00F86F1A">
        <w:t>4</w:t>
      </w:r>
      <w:r w:rsidRPr="00666ECE">
        <w:t xml:space="preserve">, </w:t>
      </w:r>
      <w:r w:rsidRPr="006971C5">
        <w:t xml:space="preserve">the year 12 completion rate for all students was </w:t>
      </w:r>
      <w:r w:rsidR="00D0359D">
        <w:rPr>
          <w:shd w:val="clear" w:color="auto" w:fill="FFFFFF" w:themeFill="background1"/>
        </w:rPr>
        <w:t>7</w:t>
      </w:r>
      <w:r w:rsidR="0007582D">
        <w:rPr>
          <w:shd w:val="clear" w:color="auto" w:fill="FFFFFF" w:themeFill="background1"/>
        </w:rPr>
        <w:t>2</w:t>
      </w:r>
      <w:r w:rsidRPr="006971C5">
        <w:rPr>
          <w:shd w:val="clear" w:color="auto" w:fill="FFFFFF" w:themeFill="background1"/>
        </w:rPr>
        <w:t xml:space="preserve"> per </w:t>
      </w:r>
      <w:r w:rsidR="001048D1">
        <w:rPr>
          <w:shd w:val="clear" w:color="auto" w:fill="FFFFFF" w:themeFill="background1"/>
        </w:rPr>
        <w:t xml:space="preserve">cent </w:t>
      </w:r>
      <w:r w:rsidRPr="006971C5">
        <w:t>(table</w:t>
      </w:r>
      <w:r w:rsidR="0092436D">
        <w:t> </w:t>
      </w:r>
      <w:r w:rsidRPr="006971C5">
        <w:t>4A.1</w:t>
      </w:r>
      <w:r w:rsidR="0007582D">
        <w:t>2</w:t>
      </w:r>
      <w:r w:rsidR="003A0804">
        <w:t>4</w:t>
      </w:r>
      <w:r w:rsidRPr="006971C5">
        <w:t>).</w:t>
      </w:r>
      <w:r w:rsidR="001048D1">
        <w:t xml:space="preserve"> The </w:t>
      </w:r>
      <w:r w:rsidRPr="00DA7453">
        <w:t xml:space="preserve">rates </w:t>
      </w:r>
      <w:r w:rsidRPr="006971C5">
        <w:t xml:space="preserve">for </w:t>
      </w:r>
      <w:r w:rsidRPr="006971C5">
        <w:rPr>
          <w:shd w:val="clear" w:color="auto" w:fill="FFFFFF" w:themeFill="background1"/>
        </w:rPr>
        <w:t xml:space="preserve">students from low </w:t>
      </w:r>
      <w:r w:rsidRPr="007D6009">
        <w:rPr>
          <w:shd w:val="clear" w:color="auto" w:fill="FFFFFF" w:themeFill="background1"/>
        </w:rPr>
        <w:t>(</w:t>
      </w:r>
      <w:r w:rsidR="00D0359D">
        <w:rPr>
          <w:shd w:val="clear" w:color="auto" w:fill="FFFFFF" w:themeFill="background1"/>
        </w:rPr>
        <w:t>6</w:t>
      </w:r>
      <w:r w:rsidR="0007582D">
        <w:rPr>
          <w:shd w:val="clear" w:color="auto" w:fill="FFFFFF" w:themeFill="background1"/>
        </w:rPr>
        <w:t>7</w:t>
      </w:r>
      <w:r w:rsidRPr="007D6009">
        <w:rPr>
          <w:shd w:val="clear" w:color="auto" w:fill="FFFFFF" w:themeFill="background1"/>
        </w:rPr>
        <w:t xml:space="preserve"> </w:t>
      </w:r>
      <w:r w:rsidRPr="006971C5">
        <w:t>per cent</w:t>
      </w:r>
      <w:r w:rsidRPr="006971C5">
        <w:rPr>
          <w:shd w:val="clear" w:color="auto" w:fill="FFFFFF" w:themeFill="background1"/>
        </w:rPr>
        <w:t xml:space="preserve">) and medium </w:t>
      </w:r>
      <w:r w:rsidR="00A32335" w:rsidRPr="007D6009">
        <w:rPr>
          <w:shd w:val="clear" w:color="auto" w:fill="FFFFFF" w:themeFill="background1"/>
        </w:rPr>
        <w:t>(</w:t>
      </w:r>
      <w:r w:rsidR="00D0359D">
        <w:rPr>
          <w:shd w:val="clear" w:color="auto" w:fill="FFFFFF" w:themeFill="background1"/>
        </w:rPr>
        <w:t>7</w:t>
      </w:r>
      <w:r w:rsidR="0007582D">
        <w:rPr>
          <w:shd w:val="clear" w:color="auto" w:fill="FFFFFF" w:themeFill="background1"/>
        </w:rPr>
        <w:t>2</w:t>
      </w:r>
      <w:r w:rsidR="00A32335" w:rsidRPr="007D6009">
        <w:rPr>
          <w:shd w:val="clear" w:color="auto" w:fill="FFFFFF" w:themeFill="background1"/>
        </w:rPr>
        <w:t xml:space="preserve"> </w:t>
      </w:r>
      <w:r w:rsidR="00A32335" w:rsidRPr="006971C5">
        <w:rPr>
          <w:shd w:val="clear" w:color="auto" w:fill="FFFFFF" w:themeFill="background1"/>
        </w:rPr>
        <w:t xml:space="preserve">per cent) </w:t>
      </w:r>
      <w:r w:rsidRPr="006971C5">
        <w:rPr>
          <w:shd w:val="clear" w:color="auto" w:fill="FFFFFF" w:themeFill="background1"/>
        </w:rPr>
        <w:t>socio</w:t>
      </w:r>
      <w:r w:rsidR="009131A4">
        <w:rPr>
          <w:shd w:val="clear" w:color="auto" w:fill="FFFFFF" w:themeFill="background1"/>
        </w:rPr>
        <w:t>-</w:t>
      </w:r>
      <w:r w:rsidRPr="006971C5">
        <w:rPr>
          <w:shd w:val="clear" w:color="auto" w:fill="FFFFFF" w:themeFill="background1"/>
        </w:rPr>
        <w:t xml:space="preserve">economic backgrounds </w:t>
      </w:r>
      <w:r w:rsidRPr="00D0359D">
        <w:rPr>
          <w:shd w:val="clear" w:color="auto" w:fill="FFFFFF" w:themeFill="background1"/>
        </w:rPr>
        <w:t>were below</w:t>
      </w:r>
      <w:r w:rsidRPr="006971C5">
        <w:rPr>
          <w:shd w:val="clear" w:color="auto" w:fill="FFFFFF" w:themeFill="background1"/>
        </w:rPr>
        <w:t xml:space="preserve"> those for students from a high socio</w:t>
      </w:r>
      <w:r w:rsidR="009131A4">
        <w:rPr>
          <w:shd w:val="clear" w:color="auto" w:fill="FFFFFF" w:themeFill="background1"/>
        </w:rPr>
        <w:t>-</w:t>
      </w:r>
      <w:r w:rsidRPr="006971C5">
        <w:rPr>
          <w:shd w:val="clear" w:color="auto" w:fill="FFFFFF" w:themeFill="background1"/>
        </w:rPr>
        <w:t xml:space="preserve">economic background </w:t>
      </w:r>
      <w:r w:rsidR="00904788" w:rsidRPr="006971C5">
        <w:rPr>
          <w:shd w:val="clear" w:color="auto" w:fill="FFFFFF" w:themeFill="background1"/>
        </w:rPr>
        <w:t>(</w:t>
      </w:r>
      <w:r w:rsidR="00D0359D">
        <w:rPr>
          <w:shd w:val="clear" w:color="auto" w:fill="FFFFFF" w:themeFill="background1"/>
        </w:rPr>
        <w:t>7</w:t>
      </w:r>
      <w:r w:rsidR="0007582D">
        <w:rPr>
          <w:shd w:val="clear" w:color="auto" w:fill="FFFFFF" w:themeFill="background1"/>
        </w:rPr>
        <w:t>6</w:t>
      </w:r>
      <w:r w:rsidR="00904788" w:rsidRPr="007D6009">
        <w:rPr>
          <w:shd w:val="clear" w:color="auto" w:fill="FFFFFF" w:themeFill="background1"/>
        </w:rPr>
        <w:t xml:space="preserve"> </w:t>
      </w:r>
      <w:r w:rsidR="00904788" w:rsidRPr="006971C5">
        <w:rPr>
          <w:shd w:val="clear" w:color="auto" w:fill="FFFFFF" w:themeFill="background1"/>
        </w:rPr>
        <w:t xml:space="preserve">per </w:t>
      </w:r>
      <w:r w:rsidR="00904788" w:rsidRPr="0019297C">
        <w:rPr>
          <w:shd w:val="clear" w:color="auto" w:fill="FFFFFF" w:themeFill="background1"/>
        </w:rPr>
        <w:t>cent</w:t>
      </w:r>
      <w:r w:rsidR="00904788" w:rsidRPr="00DA7453">
        <w:t xml:space="preserve">) </w:t>
      </w:r>
      <w:r w:rsidRPr="00DA7453">
        <w:t>(figure 4.</w:t>
      </w:r>
      <w:r w:rsidR="00033D89">
        <w:t>38</w:t>
      </w:r>
      <w:r w:rsidRPr="00DA7453">
        <w:t>)</w:t>
      </w:r>
      <w:r w:rsidR="001048D1">
        <w:t>, with rates decreasing as remoteness increased (</w:t>
      </w:r>
      <w:r w:rsidR="00D0359D">
        <w:t>7</w:t>
      </w:r>
      <w:r w:rsidR="0007582D">
        <w:t>4</w:t>
      </w:r>
      <w:r w:rsidR="00D0359D">
        <w:t> </w:t>
      </w:r>
      <w:r w:rsidR="001048D1">
        <w:t xml:space="preserve">per cent in metropolitan areas compared to </w:t>
      </w:r>
      <w:r w:rsidR="00D0359D">
        <w:t>3</w:t>
      </w:r>
      <w:r w:rsidR="0007582D">
        <w:t>8</w:t>
      </w:r>
      <w:r w:rsidR="001048D1">
        <w:t xml:space="preserve"> per cent in very remote areas) (figure</w:t>
      </w:r>
      <w:r w:rsidR="00D0359D">
        <w:t> </w:t>
      </w:r>
      <w:r w:rsidR="001048D1">
        <w:t>4.39)</w:t>
      </w:r>
      <w:r w:rsidRPr="00DA7453">
        <w:t xml:space="preserve">. </w:t>
      </w:r>
    </w:p>
    <w:p w:rsidR="00271196" w:rsidRDefault="00611D9B" w:rsidP="007D6009">
      <w:pPr>
        <w:pStyle w:val="BodyText"/>
      </w:pPr>
      <w:r w:rsidRPr="00DA7453">
        <w:t xml:space="preserve">Nationally, completion </w:t>
      </w:r>
      <w:r w:rsidRPr="00D0359D">
        <w:rPr>
          <w:shd w:val="clear" w:color="auto" w:fill="FFFFFF" w:themeFill="background1"/>
        </w:rPr>
        <w:t>rates were higher for female</w:t>
      </w:r>
      <w:r w:rsidRPr="00092B6C">
        <w:t xml:space="preserve"> students than for male students in all socio</w:t>
      </w:r>
      <w:r w:rsidRPr="00092B6C">
        <w:noBreakHyphen/>
        <w:t>economic categories (table 4A.1</w:t>
      </w:r>
      <w:r w:rsidR="003F0A54">
        <w:t>2</w:t>
      </w:r>
      <w:r w:rsidR="003A0804">
        <w:t>4</w:t>
      </w:r>
      <w:r w:rsidRPr="00092B6C">
        <w:t>)</w:t>
      </w:r>
      <w:r w:rsidR="00EE3934">
        <w:t>, and hi</w:t>
      </w:r>
      <w:r>
        <w:t xml:space="preserve">gher for females students compared to male students in all </w:t>
      </w:r>
      <w:r w:rsidRPr="006971C5">
        <w:t xml:space="preserve">geographic zones </w:t>
      </w:r>
      <w:r w:rsidRPr="006971C5">
        <w:rPr>
          <w:shd w:val="clear" w:color="auto" w:fill="FFFFFF" w:themeFill="background1"/>
        </w:rPr>
        <w:t>(table 4A.1</w:t>
      </w:r>
      <w:r w:rsidR="003F0A54">
        <w:rPr>
          <w:shd w:val="clear" w:color="auto" w:fill="FFFFFF" w:themeFill="background1"/>
        </w:rPr>
        <w:t>2</w:t>
      </w:r>
      <w:r w:rsidR="003A0804">
        <w:rPr>
          <w:shd w:val="clear" w:color="auto" w:fill="FFFFFF" w:themeFill="background1"/>
        </w:rPr>
        <w:t>5</w:t>
      </w:r>
      <w:r w:rsidRPr="006971C5">
        <w:rPr>
          <w:shd w:val="clear" w:color="auto" w:fill="FFFFFF" w:themeFill="background1"/>
        </w:rPr>
        <w:t>). Time series data on national completion rates are reported in tables</w:t>
      </w:r>
      <w:r w:rsidRPr="006971C5">
        <w:t xml:space="preserve"> 4A.1</w:t>
      </w:r>
      <w:r w:rsidR="003F0A54">
        <w:t>2</w:t>
      </w:r>
      <w:r w:rsidR="003A0804">
        <w:t>4</w:t>
      </w:r>
      <w:r w:rsidR="008271BA">
        <w:t>-</w:t>
      </w:r>
      <w:r w:rsidRPr="006971C5">
        <w:t>1</w:t>
      </w:r>
      <w:r w:rsidR="003F0A54">
        <w:t>2</w:t>
      </w:r>
      <w:r w:rsidR="003A0804">
        <w:t>5</w:t>
      </w:r>
      <w:r w:rsidRPr="006971C5">
        <w:t>.</w:t>
      </w:r>
    </w:p>
    <w:p w:rsidR="00F3314B" w:rsidRDefault="00F3314B" w:rsidP="00B4549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3314B" w:rsidTr="00221E5A">
        <w:tc>
          <w:tcPr>
            <w:tcW w:w="8771" w:type="dxa"/>
            <w:tcBorders>
              <w:top w:val="single" w:sz="6" w:space="0" w:color="78A22F"/>
              <w:left w:val="nil"/>
              <w:bottom w:val="nil"/>
              <w:right w:val="nil"/>
            </w:tcBorders>
            <w:shd w:val="clear" w:color="auto" w:fill="auto"/>
          </w:tcPr>
          <w:p w:rsidR="00F3314B" w:rsidRPr="00176D3F" w:rsidRDefault="00F3314B" w:rsidP="00642D88">
            <w:pPr>
              <w:pStyle w:val="FigureTitle"/>
            </w:pPr>
            <w:r w:rsidRPr="00784A05">
              <w:rPr>
                <w:b w:val="0"/>
              </w:rPr>
              <w:t xml:space="preserve">Figure </w:t>
            </w:r>
            <w:r w:rsidR="00B70781">
              <w:rPr>
                <w:b w:val="0"/>
              </w:rPr>
              <w:t>4.</w:t>
            </w:r>
            <w:r w:rsidR="00FF4FBD">
              <w:rPr>
                <w:b w:val="0"/>
                <w:noProof/>
              </w:rPr>
              <w:t>38</w:t>
            </w:r>
            <w:r>
              <w:tab/>
            </w:r>
            <w:r w:rsidRPr="00F3314B">
              <w:t xml:space="preserve">Completion rates, year 12, by socio-economic </w:t>
            </w:r>
            <w:r w:rsidR="00516723">
              <w:t>background</w:t>
            </w:r>
            <w:r w:rsidRPr="00F3314B">
              <w:t>, 201</w:t>
            </w:r>
            <w:r w:rsidR="00F86F1A">
              <w:t>4</w:t>
            </w:r>
            <w:r w:rsidRPr="00F3314B">
              <w:rPr>
                <w:rStyle w:val="NoteLabel"/>
                <w:b/>
              </w:rPr>
              <w:t>a</w:t>
            </w:r>
            <w:r w:rsidR="00D57C6E">
              <w:rPr>
                <w:rStyle w:val="NoteLabel"/>
                <w:b/>
              </w:rPr>
              <w:t>, b</w:t>
            </w:r>
          </w:p>
        </w:tc>
      </w:tr>
      <w:tr w:rsidR="00F3314B" w:rsidTr="00AD7395">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3314B" w:rsidTr="00B45495">
              <w:trPr>
                <w:jc w:val="center"/>
              </w:trPr>
              <w:tc>
                <w:tcPr>
                  <w:tcW w:w="5000" w:type="pct"/>
                  <w:tcBorders>
                    <w:top w:val="nil"/>
                    <w:bottom w:val="nil"/>
                  </w:tcBorders>
                </w:tcPr>
                <w:p w:rsidR="00F3314B" w:rsidRDefault="00EE6972" w:rsidP="00B45495">
                  <w:pPr>
                    <w:pStyle w:val="Figure"/>
                    <w:spacing w:before="60" w:after="60"/>
                  </w:pPr>
                  <w:r>
                    <w:rPr>
                      <w:noProof/>
                    </w:rPr>
                    <w:drawing>
                      <wp:inline distT="0" distB="0" distL="0" distR="0">
                        <wp:extent cx="5381625" cy="2638425"/>
                        <wp:effectExtent l="0" t="0" r="9525" b="9525"/>
                        <wp:docPr id="42" name="Picture 42" descr="Figure 4.38 Completion rates, year 12, by socio-economic background,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81625" cy="2638425"/>
                                </a:xfrm>
                                <a:prstGeom prst="rect">
                                  <a:avLst/>
                                </a:prstGeom>
                                <a:noFill/>
                                <a:ln>
                                  <a:noFill/>
                                </a:ln>
                              </pic:spPr>
                            </pic:pic>
                          </a:graphicData>
                        </a:graphic>
                      </wp:inline>
                    </w:drawing>
                  </w:r>
                </w:p>
              </w:tc>
            </w:tr>
          </w:tbl>
          <w:p w:rsidR="00F3314B" w:rsidRDefault="00F3314B" w:rsidP="00B45495">
            <w:pPr>
              <w:pStyle w:val="Figure"/>
            </w:pPr>
          </w:p>
        </w:tc>
      </w:tr>
      <w:tr w:rsidR="00F3314B" w:rsidRPr="00176D3F" w:rsidTr="00AD7395">
        <w:tc>
          <w:tcPr>
            <w:tcW w:w="8771" w:type="dxa"/>
            <w:tcBorders>
              <w:top w:val="nil"/>
              <w:left w:val="nil"/>
              <w:bottom w:val="nil"/>
              <w:right w:val="nil"/>
            </w:tcBorders>
            <w:shd w:val="clear" w:color="auto" w:fill="auto"/>
          </w:tcPr>
          <w:p w:rsidR="00F3314B" w:rsidRPr="00176D3F" w:rsidRDefault="00F3314B" w:rsidP="003A0804">
            <w:pPr>
              <w:pStyle w:val="Note"/>
            </w:pPr>
            <w:r>
              <w:rPr>
                <w:rStyle w:val="NoteLabel"/>
              </w:rPr>
              <w:t>a</w:t>
            </w:r>
            <w:r w:rsidR="00F86F1A" w:rsidRPr="0058556B">
              <w:t xml:space="preserve"> </w:t>
            </w:r>
            <w:r w:rsidR="001048D1">
              <w:t>Data</w:t>
            </w:r>
            <w:r w:rsidR="0058556B" w:rsidRPr="0058556B">
              <w:t xml:space="preserve"> for </w:t>
            </w:r>
            <w:r w:rsidR="00070BCD">
              <w:t>‘</w:t>
            </w:r>
            <w:r w:rsidR="0058556B" w:rsidRPr="0058556B">
              <w:t>low</w:t>
            </w:r>
            <w:r w:rsidR="00070BCD">
              <w:t>’</w:t>
            </w:r>
            <w:r w:rsidR="0058556B" w:rsidRPr="0058556B">
              <w:t xml:space="preserve"> and </w:t>
            </w:r>
            <w:r w:rsidR="00070BCD">
              <w:t>‘</w:t>
            </w:r>
            <w:r w:rsidR="0058556B" w:rsidRPr="0058556B">
              <w:t>medium</w:t>
            </w:r>
            <w:r w:rsidR="00070BCD">
              <w:t>’</w:t>
            </w:r>
            <w:r w:rsidR="0058556B" w:rsidRPr="0058556B">
              <w:t xml:space="preserve"> in the ACT </w:t>
            </w:r>
            <w:r w:rsidR="00B752C7">
              <w:t xml:space="preserve">and ‘high’ in the NT </w:t>
            </w:r>
            <w:r w:rsidR="0058556B" w:rsidRPr="0058556B">
              <w:t>are not published due to small numbers.</w:t>
            </w:r>
            <w:r w:rsidR="00F8126D" w:rsidRPr="00F8126D">
              <w:rPr>
                <w:b/>
                <w:position w:val="6"/>
                <w:szCs w:val="24"/>
              </w:rPr>
              <w:t xml:space="preserve"> </w:t>
            </w:r>
            <w:r w:rsidR="00F8126D" w:rsidRPr="00F8126D">
              <w:rPr>
                <w:rStyle w:val="NoteLabel"/>
              </w:rPr>
              <w:t>b</w:t>
            </w:r>
            <w:r w:rsidR="00F8126D">
              <w:t> </w:t>
            </w:r>
            <w:r w:rsidR="00F8126D" w:rsidRPr="00F8126D">
              <w:t>See box 4.</w:t>
            </w:r>
            <w:r w:rsidR="00F8126D">
              <w:t>1</w:t>
            </w:r>
            <w:r w:rsidR="002E5EAF">
              <w:t>6</w:t>
            </w:r>
            <w:r w:rsidR="00F8126D" w:rsidRPr="00F8126D">
              <w:t xml:space="preserve"> and table 4A.</w:t>
            </w:r>
            <w:r w:rsidR="00F8126D">
              <w:t>12</w:t>
            </w:r>
            <w:r w:rsidR="003A0804">
              <w:t>4</w:t>
            </w:r>
            <w:r w:rsidR="00F8126D" w:rsidRPr="00F8126D">
              <w:t xml:space="preserve"> for detailed definitions, footnotes and caveats.</w:t>
            </w:r>
          </w:p>
        </w:tc>
      </w:tr>
      <w:tr w:rsidR="00F3314B" w:rsidRPr="00176D3F" w:rsidTr="00B45495">
        <w:tc>
          <w:tcPr>
            <w:tcW w:w="8771" w:type="dxa"/>
            <w:tcBorders>
              <w:top w:val="nil"/>
              <w:left w:val="nil"/>
              <w:bottom w:val="nil"/>
              <w:right w:val="nil"/>
            </w:tcBorders>
            <w:shd w:val="clear" w:color="auto" w:fill="auto"/>
          </w:tcPr>
          <w:p w:rsidR="00F3314B" w:rsidRPr="00176D3F" w:rsidRDefault="0058556B" w:rsidP="003A0804">
            <w:pPr>
              <w:pStyle w:val="Source"/>
            </w:pPr>
            <w:r>
              <w:rPr>
                <w:i/>
              </w:rPr>
              <w:t>S</w:t>
            </w:r>
            <w:r w:rsidR="00F3314B" w:rsidRPr="00784A05">
              <w:rPr>
                <w:i/>
              </w:rPr>
              <w:t>ource</w:t>
            </w:r>
            <w:r w:rsidR="00F3314B" w:rsidRPr="00176D3F">
              <w:t xml:space="preserve">: </w:t>
            </w:r>
            <w:r w:rsidRPr="0058556B">
              <w:t>Australian Government Department of Education</w:t>
            </w:r>
            <w:r w:rsidR="003F0A54">
              <w:t xml:space="preserve"> and Training</w:t>
            </w:r>
            <w:r w:rsidRPr="0058556B">
              <w:t xml:space="preserve"> (unpublished); table 4A.</w:t>
            </w:r>
            <w:r w:rsidR="0003283E">
              <w:t>1</w:t>
            </w:r>
            <w:r w:rsidR="0007582D">
              <w:t>2</w:t>
            </w:r>
            <w:r w:rsidR="003A0804">
              <w:t>4</w:t>
            </w:r>
            <w:r w:rsidRPr="0058556B">
              <w:t>.</w:t>
            </w:r>
          </w:p>
        </w:tc>
      </w:tr>
      <w:tr w:rsidR="00F3314B" w:rsidTr="00B45495">
        <w:tc>
          <w:tcPr>
            <w:tcW w:w="8771" w:type="dxa"/>
            <w:tcBorders>
              <w:top w:val="nil"/>
              <w:left w:val="nil"/>
              <w:bottom w:val="single" w:sz="6" w:space="0" w:color="78A22F"/>
              <w:right w:val="nil"/>
            </w:tcBorders>
            <w:shd w:val="clear" w:color="auto" w:fill="auto"/>
          </w:tcPr>
          <w:p w:rsidR="00F3314B" w:rsidRDefault="00F3314B" w:rsidP="00B45495">
            <w:pPr>
              <w:pStyle w:val="Figurespace"/>
            </w:pPr>
          </w:p>
        </w:tc>
      </w:tr>
      <w:tr w:rsidR="00F3314B" w:rsidRPr="000863A5" w:rsidTr="00B45495">
        <w:tc>
          <w:tcPr>
            <w:tcW w:w="8771" w:type="dxa"/>
            <w:tcBorders>
              <w:top w:val="single" w:sz="6" w:space="0" w:color="78A22F"/>
              <w:left w:val="nil"/>
              <w:bottom w:val="nil"/>
              <w:right w:val="nil"/>
            </w:tcBorders>
          </w:tcPr>
          <w:p w:rsidR="00F3314B" w:rsidRPr="00626D32" w:rsidRDefault="00F3314B" w:rsidP="00B45495">
            <w:pPr>
              <w:pStyle w:val="BoxSpaceBelow"/>
            </w:pPr>
          </w:p>
        </w:tc>
      </w:tr>
    </w:tbl>
    <w:p w:rsidR="008C11A8" w:rsidRDefault="008C11A8" w:rsidP="0049400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C11A8" w:rsidTr="00494008">
        <w:tc>
          <w:tcPr>
            <w:tcW w:w="8771" w:type="dxa"/>
            <w:tcBorders>
              <w:top w:val="single" w:sz="6" w:space="0" w:color="78A22F"/>
              <w:left w:val="nil"/>
              <w:bottom w:val="nil"/>
              <w:right w:val="nil"/>
            </w:tcBorders>
            <w:shd w:val="clear" w:color="auto" w:fill="auto"/>
          </w:tcPr>
          <w:p w:rsidR="008C11A8" w:rsidRPr="00176D3F" w:rsidRDefault="008C11A8" w:rsidP="008C11A8">
            <w:pPr>
              <w:pStyle w:val="FigureTitle"/>
            </w:pPr>
            <w:r w:rsidRPr="00784A05">
              <w:rPr>
                <w:b w:val="0"/>
              </w:rPr>
              <w:t xml:space="preserve">Figure </w:t>
            </w:r>
            <w:r>
              <w:rPr>
                <w:b w:val="0"/>
              </w:rPr>
              <w:t>4.</w:t>
            </w:r>
            <w:r>
              <w:rPr>
                <w:b w:val="0"/>
                <w:noProof/>
              </w:rPr>
              <w:t>39</w:t>
            </w:r>
            <w:r>
              <w:tab/>
            </w:r>
            <w:r w:rsidRPr="0058556B">
              <w:t>Completion rates, year 12, by geolocation, 201</w:t>
            </w:r>
            <w:r>
              <w:t>4</w:t>
            </w:r>
            <w:r w:rsidRPr="0058556B">
              <w:t xml:space="preserve"> (per cent)</w:t>
            </w:r>
            <w:r>
              <w:rPr>
                <w:rStyle w:val="NoteLabel"/>
                <w:b/>
              </w:rPr>
              <w:t>a, b, c</w:t>
            </w:r>
          </w:p>
        </w:tc>
      </w:tr>
      <w:tr w:rsidR="008C11A8" w:rsidTr="0049400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C11A8" w:rsidTr="00494008">
              <w:trPr>
                <w:jc w:val="center"/>
              </w:trPr>
              <w:tc>
                <w:tcPr>
                  <w:tcW w:w="5000" w:type="pct"/>
                  <w:tcBorders>
                    <w:top w:val="nil"/>
                    <w:bottom w:val="nil"/>
                  </w:tcBorders>
                </w:tcPr>
                <w:p w:rsidR="008C11A8" w:rsidRDefault="00EE6972" w:rsidP="00494008">
                  <w:pPr>
                    <w:pStyle w:val="Figure"/>
                    <w:spacing w:before="60" w:after="60"/>
                  </w:pPr>
                  <w:r>
                    <w:rPr>
                      <w:noProof/>
                    </w:rPr>
                    <w:drawing>
                      <wp:inline distT="0" distB="0" distL="0" distR="0">
                        <wp:extent cx="5381625" cy="2543175"/>
                        <wp:effectExtent l="0" t="0" r="9525" b="9525"/>
                        <wp:docPr id="47" name="Picture 47" descr="Figure 4.39 Completion rates, year 12, by geolocation, 2014 (per c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381625" cy="2543175"/>
                                </a:xfrm>
                                <a:prstGeom prst="rect">
                                  <a:avLst/>
                                </a:prstGeom>
                                <a:noFill/>
                                <a:ln>
                                  <a:noFill/>
                                </a:ln>
                              </pic:spPr>
                            </pic:pic>
                          </a:graphicData>
                        </a:graphic>
                      </wp:inline>
                    </w:drawing>
                  </w:r>
                </w:p>
              </w:tc>
            </w:tr>
          </w:tbl>
          <w:p w:rsidR="008C11A8" w:rsidRDefault="008C11A8" w:rsidP="00494008">
            <w:pPr>
              <w:pStyle w:val="Figure"/>
            </w:pPr>
          </w:p>
        </w:tc>
      </w:tr>
      <w:tr w:rsidR="008C11A8" w:rsidRPr="00176D3F" w:rsidTr="00494008">
        <w:tc>
          <w:tcPr>
            <w:tcW w:w="8771" w:type="dxa"/>
            <w:tcBorders>
              <w:top w:val="nil"/>
              <w:left w:val="nil"/>
              <w:bottom w:val="nil"/>
              <w:right w:val="nil"/>
            </w:tcBorders>
            <w:shd w:val="clear" w:color="auto" w:fill="auto"/>
          </w:tcPr>
          <w:p w:rsidR="008C11A8" w:rsidRPr="00176D3F" w:rsidRDefault="008C11A8" w:rsidP="008C11A8">
            <w:pPr>
              <w:pStyle w:val="Note"/>
            </w:pPr>
            <w:r>
              <w:rPr>
                <w:rStyle w:val="NoteLabel"/>
              </w:rPr>
              <w:t>a</w:t>
            </w:r>
            <w:r>
              <w:t xml:space="preserve"> There are no metropolitan areas in the NT, no very remote areas in Victoria and only metropolitan areas in the ACT. </w:t>
            </w:r>
            <w:r>
              <w:rPr>
                <w:rStyle w:val="NoteLabel"/>
              </w:rPr>
              <w:t>b</w:t>
            </w:r>
            <w:r>
              <w:t xml:space="preserve"> Remote data for Victoria, remote and very remote data for SA and very remote data for Tasmania are not presented due to small numbers.</w:t>
            </w:r>
            <w:r>
              <w:rPr>
                <w:rStyle w:val="NoteLabel"/>
              </w:rPr>
              <w:t xml:space="preserve"> c</w:t>
            </w:r>
            <w:r>
              <w:t xml:space="preserve"> See box 4.16 and table 4A.125 for detailed definitions, footnotes and caveats.</w:t>
            </w:r>
          </w:p>
        </w:tc>
      </w:tr>
      <w:tr w:rsidR="008C11A8" w:rsidRPr="00176D3F" w:rsidTr="00494008">
        <w:tc>
          <w:tcPr>
            <w:tcW w:w="8771" w:type="dxa"/>
            <w:tcBorders>
              <w:top w:val="nil"/>
              <w:left w:val="nil"/>
              <w:bottom w:val="nil"/>
              <w:right w:val="nil"/>
            </w:tcBorders>
            <w:shd w:val="clear" w:color="auto" w:fill="auto"/>
          </w:tcPr>
          <w:p w:rsidR="008C11A8" w:rsidRPr="00176D3F" w:rsidRDefault="008C11A8" w:rsidP="00494008">
            <w:pPr>
              <w:pStyle w:val="Source"/>
            </w:pPr>
            <w:r>
              <w:rPr>
                <w:i/>
              </w:rPr>
              <w:t>S</w:t>
            </w:r>
            <w:r w:rsidRPr="00784A05">
              <w:rPr>
                <w:i/>
              </w:rPr>
              <w:t>ource</w:t>
            </w:r>
            <w:r w:rsidRPr="00176D3F">
              <w:t xml:space="preserve">: </w:t>
            </w:r>
            <w:r w:rsidRPr="0058556B">
              <w:t>Australian Government Department of Education</w:t>
            </w:r>
            <w:r>
              <w:t xml:space="preserve"> and Training</w:t>
            </w:r>
            <w:r w:rsidRPr="0058556B">
              <w:t xml:space="preserve"> (unpublished); table 4A.1</w:t>
            </w:r>
            <w:r>
              <w:t>25</w:t>
            </w:r>
            <w:r w:rsidRPr="0058556B">
              <w:t>.</w:t>
            </w:r>
          </w:p>
        </w:tc>
      </w:tr>
      <w:tr w:rsidR="008C11A8" w:rsidTr="00494008">
        <w:tc>
          <w:tcPr>
            <w:tcW w:w="8771" w:type="dxa"/>
            <w:tcBorders>
              <w:top w:val="nil"/>
              <w:left w:val="nil"/>
              <w:bottom w:val="single" w:sz="6" w:space="0" w:color="78A22F"/>
              <w:right w:val="nil"/>
            </w:tcBorders>
            <w:shd w:val="clear" w:color="auto" w:fill="auto"/>
          </w:tcPr>
          <w:p w:rsidR="008C11A8" w:rsidRDefault="008C11A8" w:rsidP="00494008">
            <w:pPr>
              <w:pStyle w:val="Figurespace"/>
            </w:pPr>
          </w:p>
        </w:tc>
      </w:tr>
      <w:tr w:rsidR="008C11A8" w:rsidRPr="000863A5" w:rsidTr="00494008">
        <w:tc>
          <w:tcPr>
            <w:tcW w:w="8771" w:type="dxa"/>
            <w:tcBorders>
              <w:top w:val="single" w:sz="6" w:space="0" w:color="78A22F"/>
              <w:left w:val="nil"/>
              <w:bottom w:val="nil"/>
              <w:right w:val="nil"/>
            </w:tcBorders>
          </w:tcPr>
          <w:p w:rsidR="008C11A8" w:rsidRPr="00626D32" w:rsidRDefault="008C11A8" w:rsidP="00494008">
            <w:pPr>
              <w:pStyle w:val="BoxSpaceBelow"/>
            </w:pPr>
          </w:p>
        </w:tc>
      </w:tr>
    </w:tbl>
    <w:p w:rsidR="00666ECE" w:rsidRPr="00257C8E" w:rsidRDefault="00666ECE" w:rsidP="00257C8E">
      <w:pPr>
        <w:pStyle w:val="BodyText"/>
      </w:pPr>
      <w:r w:rsidRPr="00257C8E">
        <w:lastRenderedPageBreak/>
        <w:t xml:space="preserve">The </w:t>
      </w:r>
      <w:r w:rsidR="009D7D07" w:rsidRPr="00257C8E">
        <w:t>Child care</w:t>
      </w:r>
      <w:r w:rsidRPr="00257C8E">
        <w:t xml:space="preserve">, education and training </w:t>
      </w:r>
      <w:r w:rsidR="003932A0" w:rsidRPr="00257C8E">
        <w:t>sector overview</w:t>
      </w:r>
      <w:r w:rsidRPr="00257C8E">
        <w:t xml:space="preserve"> includes data on the proportions of the </w:t>
      </w:r>
      <w:r w:rsidR="00093A97" w:rsidRPr="00257C8E">
        <w:t xml:space="preserve">population aged </w:t>
      </w:r>
      <w:r w:rsidRPr="00257C8E">
        <w:t>20–24 and 20–64 years having attained at least a year 12 or equivalent or AQF Certificate II</w:t>
      </w:r>
      <w:r w:rsidR="00611D9B">
        <w:t xml:space="preserve"> or above (that is school and non-school education and training to year 12 or equivalent or </w:t>
      </w:r>
      <w:r w:rsidR="009D2DB3">
        <w:t>above</w:t>
      </w:r>
      <w:r w:rsidR="00611D9B">
        <w:t>)</w:t>
      </w:r>
      <w:r w:rsidRPr="00257C8E">
        <w:t>; and the proportions of the 20–24 and 20–64 year old</w:t>
      </w:r>
      <w:r w:rsidR="00560C42">
        <w:t>s</w:t>
      </w:r>
      <w:r w:rsidRPr="00257C8E">
        <w:t xml:space="preserve"> </w:t>
      </w:r>
      <w:r w:rsidR="00560C42">
        <w:t xml:space="preserve">by </w:t>
      </w:r>
      <w:r w:rsidRPr="00257C8E">
        <w:t>Indigenous</w:t>
      </w:r>
      <w:r w:rsidR="00560C42">
        <w:t xml:space="preserve"> status,</w:t>
      </w:r>
      <w:r w:rsidRPr="00257C8E">
        <w:t xml:space="preserve"> low socio</w:t>
      </w:r>
      <w:r w:rsidR="009131A4" w:rsidRPr="00257C8E">
        <w:t>-</w:t>
      </w:r>
      <w:r w:rsidRPr="00257C8E">
        <w:t>economic status</w:t>
      </w:r>
      <w:r w:rsidR="00560C42">
        <w:t xml:space="preserve"> and by remoteness area </w:t>
      </w:r>
      <w:r w:rsidRPr="00257C8E">
        <w:t>having attained at least a year 12 or equivalent or AQF Certificate II</w:t>
      </w:r>
      <w:r w:rsidR="00611D9B">
        <w:t xml:space="preserve"> or above</w:t>
      </w:r>
      <w:r w:rsidRPr="00257C8E">
        <w:t xml:space="preserve"> (tables BA.</w:t>
      </w:r>
      <w:r w:rsidR="00F86F1A">
        <w:t>2</w:t>
      </w:r>
      <w:r w:rsidR="00DE79BB">
        <w:t>9</w:t>
      </w:r>
      <w:r w:rsidRPr="00257C8E">
        <w:t>–</w:t>
      </w:r>
      <w:r w:rsidR="00FF654E" w:rsidRPr="00257C8E">
        <w:t>3</w:t>
      </w:r>
      <w:r w:rsidR="00DE79BB">
        <w:t>3</w:t>
      </w:r>
      <w:r w:rsidRPr="00257C8E">
        <w:t>).</w:t>
      </w:r>
    </w:p>
    <w:p w:rsidR="00666ECE" w:rsidRPr="00666ECE" w:rsidRDefault="00666ECE" w:rsidP="00A95197">
      <w:pPr>
        <w:pStyle w:val="Heading4"/>
      </w:pPr>
      <w:r w:rsidRPr="00666ECE">
        <w:t>Destination</w:t>
      </w:r>
    </w:p>
    <w:p w:rsidR="00666ECE" w:rsidRDefault="00666ECE" w:rsidP="00257C8E">
      <w:pPr>
        <w:pStyle w:val="BodyText"/>
        <w:rPr>
          <w:rStyle w:val="BodyTextChar"/>
        </w:rPr>
      </w:pPr>
      <w:r w:rsidRPr="00666ECE">
        <w:t>‘</w:t>
      </w:r>
      <w:r w:rsidRPr="00257C8E">
        <w:rPr>
          <w:rStyle w:val="BodyTextChar"/>
        </w:rPr>
        <w:t>Destination’ is an indicator of governments’ objective of ensuring that school leavers make successful transitions from school and continue to improve their skills through further post-school education, training and/or employment (box 4.1</w:t>
      </w:r>
      <w:r w:rsidR="002E5EAF">
        <w:rPr>
          <w:rStyle w:val="BodyTextChar"/>
        </w:rPr>
        <w:t>7</w:t>
      </w:r>
      <w:r w:rsidRPr="00257C8E">
        <w:rPr>
          <w:rStyle w:val="BodyTextChar"/>
        </w:rPr>
        <w:t>).</w:t>
      </w:r>
    </w:p>
    <w:p w:rsidR="0097296B" w:rsidRDefault="0097296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7296B" w:rsidTr="00A8608B">
        <w:tc>
          <w:tcPr>
            <w:tcW w:w="8771" w:type="dxa"/>
            <w:tcBorders>
              <w:top w:val="single" w:sz="6" w:space="0" w:color="78A22F"/>
              <w:left w:val="nil"/>
              <w:bottom w:val="nil"/>
              <w:right w:val="nil"/>
            </w:tcBorders>
            <w:shd w:val="clear" w:color="auto" w:fill="F2F2F2"/>
          </w:tcPr>
          <w:p w:rsidR="0097296B" w:rsidRDefault="0097296B" w:rsidP="0097296B">
            <w:pPr>
              <w:pStyle w:val="BoxTitle"/>
            </w:pPr>
            <w:r>
              <w:rPr>
                <w:b w:val="0"/>
              </w:rPr>
              <w:t xml:space="preserve">Box </w:t>
            </w:r>
            <w:r w:rsidR="00B70781">
              <w:rPr>
                <w:b w:val="0"/>
              </w:rPr>
              <w:t>4.</w:t>
            </w:r>
            <w:r w:rsidR="00FF4FBD">
              <w:rPr>
                <w:b w:val="0"/>
                <w:noProof/>
              </w:rPr>
              <w:t>17</w:t>
            </w:r>
            <w:r>
              <w:tab/>
              <w:t>Destination</w:t>
            </w:r>
          </w:p>
        </w:tc>
      </w:tr>
      <w:tr w:rsidR="0097296B" w:rsidTr="00A8608B">
        <w:trPr>
          <w:cantSplit/>
        </w:trPr>
        <w:tc>
          <w:tcPr>
            <w:tcW w:w="8771" w:type="dxa"/>
            <w:tcBorders>
              <w:top w:val="nil"/>
              <w:left w:val="nil"/>
              <w:bottom w:val="nil"/>
              <w:right w:val="nil"/>
            </w:tcBorders>
            <w:shd w:val="clear" w:color="auto" w:fill="F2F2F2"/>
          </w:tcPr>
          <w:p w:rsidR="00EF1D5C" w:rsidRDefault="0097296B" w:rsidP="0097296B">
            <w:pPr>
              <w:pStyle w:val="Box"/>
            </w:pPr>
            <w:r w:rsidRPr="0097296B">
              <w:t xml:space="preserve">‘Destination’ (school leaver destination rate) is defined </w:t>
            </w:r>
            <w:r w:rsidR="00EF1D5C">
              <w:t>by three measures:</w:t>
            </w:r>
          </w:p>
          <w:p w:rsidR="00EF1D5C" w:rsidRDefault="00EF1D5C" w:rsidP="00EF1D5C">
            <w:pPr>
              <w:pStyle w:val="BoxListBullet"/>
            </w:pPr>
            <w:r>
              <w:t>The proportion of school leavers aged 15</w:t>
            </w:r>
            <w:r w:rsidR="0000677C">
              <w:t>–</w:t>
            </w:r>
            <w:r>
              <w:t>24 who left school in the previous year, who are participating in work or study. Data are reported for school leavers whose highest level of school completed was year 12, and year 11 and below. Data are sourced from the Survey of Education and Work.</w:t>
            </w:r>
            <w:r w:rsidR="00575D0B">
              <w:t xml:space="preserve"> </w:t>
            </w:r>
          </w:p>
          <w:p w:rsidR="00892F20" w:rsidRDefault="00892F20" w:rsidP="00EF1D5C">
            <w:pPr>
              <w:pStyle w:val="BoxListBullet"/>
            </w:pPr>
            <w:r>
              <w:t xml:space="preserve">The proportion of school leavers aged 15–24 who left school at any time, who are </w:t>
            </w:r>
            <w:r w:rsidRPr="007D6009">
              <w:rPr>
                <w:shd w:val="clear" w:color="auto" w:fill="F2F2F2" w:themeFill="background2" w:themeFillTint="33"/>
              </w:rPr>
              <w:t>fully</w:t>
            </w:r>
            <w:r>
              <w:t xml:space="preserve"> participating in education and/or training, or employment. Data are reported for school leavers whose highest level of school completed was year 12, and year 11 and below. Data are sourced from the Survey of Education and Work.</w:t>
            </w:r>
            <w:r w:rsidR="00DC0442" w:rsidRPr="00DC0442">
              <w:t xml:space="preserve"> Data for this measure include</w:t>
            </w:r>
            <w:r w:rsidR="007A4022">
              <w:t>s</w:t>
            </w:r>
            <w:r w:rsidR="00DC0442" w:rsidRPr="00DC0442">
              <w:t xml:space="preserve"> 95 per cent confidence intervals (in the form of error bars in figures</w:t>
            </w:r>
            <w:r w:rsidR="00DC0442">
              <w:t>).</w:t>
            </w:r>
          </w:p>
          <w:p w:rsidR="00EF1D5C" w:rsidRDefault="00EF1D5C" w:rsidP="00EF1D5C">
            <w:pPr>
              <w:pStyle w:val="BoxListBullet"/>
            </w:pPr>
            <w:r>
              <w:t xml:space="preserve">The proportions of 15–19 and 20–24 year olds who are not in school, who are participating in full or part time study and full or part time </w:t>
            </w:r>
            <w:r w:rsidR="00A358BA">
              <w:t>work</w:t>
            </w:r>
            <w:r>
              <w:t>. Data are reported by highest level of qualification.</w:t>
            </w:r>
            <w:r w:rsidR="00A358BA">
              <w:t xml:space="preserve"> </w:t>
            </w:r>
            <w:r w:rsidR="0000677C">
              <w:t>Data are</w:t>
            </w:r>
            <w:r w:rsidR="00A358BA">
              <w:t xml:space="preserve"> sourced from the Census of Population and Housing</w:t>
            </w:r>
            <w:r w:rsidR="0048153E">
              <w:t>.</w:t>
            </w:r>
          </w:p>
          <w:p w:rsidR="0097296B" w:rsidRPr="0097296B" w:rsidRDefault="0097296B" w:rsidP="0097296B">
            <w:pPr>
              <w:pStyle w:val="Box"/>
            </w:pPr>
            <w:r w:rsidRPr="0097296B">
              <w:t>A higher or increasing estimated proportion of school leavers participating in further education, training or full time employment is likely to result in improved educational and employment outcomes in the longer term.</w:t>
            </w:r>
          </w:p>
          <w:p w:rsidR="00DC0442" w:rsidRPr="00DC0442" w:rsidRDefault="0097296B" w:rsidP="00DC0442">
            <w:pPr>
              <w:pStyle w:val="Box"/>
            </w:pPr>
            <w:r w:rsidRPr="0097296B">
              <w:t xml:space="preserve">The data reported for this </w:t>
            </w:r>
            <w:r w:rsidR="00445835">
              <w:t>indicator</w:t>
            </w:r>
            <w:r w:rsidRPr="0097296B">
              <w:t xml:space="preserve"> relate to the jurisdiction in which the young person was resident the year </w:t>
            </w:r>
            <w:r w:rsidR="004E492B" w:rsidRPr="007D6009">
              <w:rPr>
                <w:shd w:val="clear" w:color="auto" w:fill="F2F2F2" w:themeFill="background2" w:themeFillTint="33"/>
              </w:rPr>
              <w:t>of the survey</w:t>
            </w:r>
            <w:r w:rsidR="00802819">
              <w:rPr>
                <w:shd w:val="clear" w:color="auto" w:fill="F2F2F2" w:themeFill="background2" w:themeFillTint="33"/>
              </w:rPr>
              <w:t>/census</w:t>
            </w:r>
            <w:r w:rsidRPr="0097296B">
              <w:t xml:space="preserve"> and not necessarily the jurisdiction in which they attended school. </w:t>
            </w:r>
          </w:p>
          <w:p w:rsidR="0097296B" w:rsidRPr="0097296B" w:rsidRDefault="0097296B" w:rsidP="0097296B">
            <w:pPr>
              <w:pStyle w:val="Box"/>
            </w:pPr>
            <w:r w:rsidRPr="0097296B">
              <w:t>Data reported for this measure are</w:t>
            </w:r>
            <w:r w:rsidR="00802819">
              <w:t>:</w:t>
            </w:r>
          </w:p>
          <w:p w:rsidR="0097296B" w:rsidRPr="0097296B" w:rsidRDefault="0097296B" w:rsidP="0097296B">
            <w:pPr>
              <w:pStyle w:val="Box"/>
              <w:numPr>
                <w:ilvl w:val="0"/>
                <w:numId w:val="1"/>
              </w:numPr>
            </w:pPr>
            <w:r w:rsidRPr="0097296B">
              <w:t xml:space="preserve">comparable </w:t>
            </w:r>
            <w:r w:rsidR="00802819">
              <w:t xml:space="preserve">(subject to caveats) </w:t>
            </w:r>
            <w:r w:rsidRPr="0097296B">
              <w:t>across jurisdictions</w:t>
            </w:r>
            <w:r w:rsidR="00802819">
              <w:t xml:space="preserve"> and within jurisdictions over time</w:t>
            </w:r>
          </w:p>
          <w:p w:rsidR="0097296B" w:rsidRPr="0097296B" w:rsidRDefault="0097296B" w:rsidP="0097296B">
            <w:pPr>
              <w:pStyle w:val="Box"/>
              <w:numPr>
                <w:ilvl w:val="0"/>
                <w:numId w:val="1"/>
              </w:numPr>
            </w:pPr>
            <w:r w:rsidRPr="0097296B">
              <w:t>complete for the current reporting period. All required 201</w:t>
            </w:r>
            <w:r w:rsidR="00A358BA">
              <w:t>1 and 201</w:t>
            </w:r>
            <w:r w:rsidR="00F86F1A">
              <w:t>4</w:t>
            </w:r>
            <w:r w:rsidRPr="0097296B">
              <w:t xml:space="preserve"> data </w:t>
            </w:r>
            <w:r w:rsidR="00A358BA" w:rsidRPr="0097296B">
              <w:t>are available for all jurisdictions providing the service</w:t>
            </w:r>
            <w:r w:rsidRPr="0097296B">
              <w:t>.</w:t>
            </w:r>
          </w:p>
          <w:p w:rsidR="0097296B" w:rsidRDefault="0097296B" w:rsidP="00F86F1A">
            <w:pPr>
              <w:pStyle w:val="Box"/>
            </w:pPr>
            <w:r w:rsidRPr="0097296B">
              <w:t xml:space="preserve">Information about data quality for this indicator is at </w:t>
            </w:r>
            <w:r w:rsidR="00F86F1A" w:rsidRPr="00AD7395">
              <w:t>www.pc.gov.au/rogs/2016</w:t>
            </w:r>
            <w:r w:rsidR="0048153E" w:rsidRPr="00716749">
              <w:rPr>
                <w:rStyle w:val="Hyperlink"/>
                <w:u w:val="none"/>
              </w:rPr>
              <w:t>.</w:t>
            </w:r>
          </w:p>
        </w:tc>
      </w:tr>
      <w:tr w:rsidR="0097296B" w:rsidTr="001D0F72">
        <w:trPr>
          <w:cantSplit/>
        </w:trPr>
        <w:tc>
          <w:tcPr>
            <w:tcW w:w="8771" w:type="dxa"/>
            <w:tcBorders>
              <w:top w:val="nil"/>
              <w:left w:val="nil"/>
              <w:bottom w:val="single" w:sz="6" w:space="0" w:color="78A22F"/>
              <w:right w:val="nil"/>
            </w:tcBorders>
            <w:shd w:val="clear" w:color="auto" w:fill="F2F2F2"/>
          </w:tcPr>
          <w:p w:rsidR="0097296B" w:rsidRDefault="0097296B">
            <w:pPr>
              <w:pStyle w:val="Box"/>
              <w:spacing w:before="0" w:line="120" w:lineRule="exact"/>
            </w:pPr>
          </w:p>
        </w:tc>
      </w:tr>
      <w:tr w:rsidR="0097296B" w:rsidRPr="000863A5" w:rsidTr="001D0F72">
        <w:tc>
          <w:tcPr>
            <w:tcW w:w="8771" w:type="dxa"/>
            <w:tcBorders>
              <w:top w:val="single" w:sz="6" w:space="0" w:color="78A22F"/>
              <w:left w:val="nil"/>
              <w:bottom w:val="nil"/>
              <w:right w:val="nil"/>
            </w:tcBorders>
          </w:tcPr>
          <w:p w:rsidR="0097296B" w:rsidRPr="00626D32" w:rsidRDefault="0097296B" w:rsidP="001D0F72">
            <w:pPr>
              <w:pStyle w:val="BoxSpaceBelow"/>
            </w:pPr>
          </w:p>
        </w:tc>
      </w:tr>
    </w:tbl>
    <w:p w:rsidR="00892F20" w:rsidRPr="00744E85" w:rsidRDefault="00892F20" w:rsidP="00744E85">
      <w:pPr>
        <w:pStyle w:val="Heading5"/>
      </w:pPr>
      <w:r w:rsidRPr="00744E85">
        <w:lastRenderedPageBreak/>
        <w:t>The proportion of school leavers aged 15–24 who left school in the previous year, who are participating in work or study</w:t>
      </w:r>
    </w:p>
    <w:p w:rsidR="00245D02" w:rsidRDefault="00A528EF" w:rsidP="00892F20">
      <w:pPr>
        <w:pStyle w:val="BodyText"/>
      </w:pPr>
      <w:r>
        <w:t>T</w:t>
      </w:r>
      <w:r w:rsidR="00892F20" w:rsidRPr="00F72BEC">
        <w:t xml:space="preserve">he proportion of all school leavers </w:t>
      </w:r>
      <w:r>
        <w:t xml:space="preserve">aged 15–24 years </w:t>
      </w:r>
      <w:r w:rsidR="00892F20" w:rsidRPr="00F72BEC">
        <w:t>who left school in 201</w:t>
      </w:r>
      <w:r w:rsidR="00892F20">
        <w:t>3</w:t>
      </w:r>
      <w:r w:rsidR="00892F20" w:rsidRPr="00F72BEC">
        <w:t xml:space="preserve"> who </w:t>
      </w:r>
      <w:r w:rsidR="00892F20">
        <w:t>wer</w:t>
      </w:r>
      <w:r w:rsidR="00892F20" w:rsidRPr="00F72BEC">
        <w:t xml:space="preserve">e working either full or part time </w:t>
      </w:r>
      <w:r>
        <w:t xml:space="preserve">in </w:t>
      </w:r>
      <w:r w:rsidRPr="0042126C">
        <w:rPr>
          <w:shd w:val="clear" w:color="auto" w:fill="FFFFFF" w:themeFill="background1"/>
        </w:rPr>
        <w:t>2014 was</w:t>
      </w:r>
      <w:r w:rsidR="00892F20" w:rsidRPr="0042126C">
        <w:rPr>
          <w:shd w:val="clear" w:color="auto" w:fill="FFFFFF" w:themeFill="background1"/>
        </w:rPr>
        <w:t xml:space="preserve"> </w:t>
      </w:r>
      <w:r w:rsidR="00A17291" w:rsidRPr="0042126C">
        <w:rPr>
          <w:shd w:val="clear" w:color="auto" w:fill="FFFFFF" w:themeFill="background1"/>
        </w:rPr>
        <w:t>51.8</w:t>
      </w:r>
      <w:r w:rsidR="00892F20" w:rsidRPr="0042126C">
        <w:rPr>
          <w:shd w:val="clear" w:color="auto" w:fill="FFFFFF" w:themeFill="background1"/>
        </w:rPr>
        <w:t xml:space="preserve"> per cent</w:t>
      </w:r>
      <w:r w:rsidRPr="0042126C">
        <w:rPr>
          <w:shd w:val="clear" w:color="auto" w:fill="FFFFFF" w:themeFill="background1"/>
        </w:rPr>
        <w:t>,</w:t>
      </w:r>
      <w:r w:rsidR="00892F20" w:rsidRPr="0042126C">
        <w:rPr>
          <w:shd w:val="clear" w:color="auto" w:fill="FFFFFF" w:themeFill="background1"/>
        </w:rPr>
        <w:t xml:space="preserve"> and the proportion studying either full or part time </w:t>
      </w:r>
      <w:r w:rsidRPr="0042126C">
        <w:rPr>
          <w:shd w:val="clear" w:color="auto" w:fill="FFFFFF" w:themeFill="background1"/>
        </w:rPr>
        <w:t>was</w:t>
      </w:r>
      <w:r w:rsidR="00892F20" w:rsidRPr="0042126C">
        <w:rPr>
          <w:shd w:val="clear" w:color="auto" w:fill="FFFFFF" w:themeFill="background1"/>
        </w:rPr>
        <w:t xml:space="preserve"> </w:t>
      </w:r>
      <w:r w:rsidR="00A17291" w:rsidRPr="0042126C">
        <w:rPr>
          <w:shd w:val="clear" w:color="auto" w:fill="FFFFFF" w:themeFill="background1"/>
        </w:rPr>
        <w:t>59.1</w:t>
      </w:r>
      <w:r w:rsidR="003D2F21" w:rsidRPr="0042126C">
        <w:rPr>
          <w:shd w:val="clear" w:color="auto" w:fill="FFFFFF" w:themeFill="background1"/>
        </w:rPr>
        <w:t xml:space="preserve"> </w:t>
      </w:r>
      <w:r w:rsidR="00892F20" w:rsidRPr="0042126C">
        <w:rPr>
          <w:shd w:val="clear" w:color="auto" w:fill="FFFFFF" w:themeFill="background1"/>
        </w:rPr>
        <w:t>per</w:t>
      </w:r>
      <w:r w:rsidR="003D2F21" w:rsidRPr="0042126C">
        <w:rPr>
          <w:shd w:val="clear" w:color="auto" w:fill="FFFFFF" w:themeFill="background1"/>
        </w:rPr>
        <w:t xml:space="preserve"> </w:t>
      </w:r>
      <w:r w:rsidR="00892F20" w:rsidRPr="0042126C">
        <w:rPr>
          <w:shd w:val="clear" w:color="auto" w:fill="FFFFFF" w:themeFill="background1"/>
        </w:rPr>
        <w:t>cent (</w:t>
      </w:r>
      <w:r w:rsidR="00892F20" w:rsidRPr="00F72BEC">
        <w:t xml:space="preserve">some school leavers </w:t>
      </w:r>
      <w:r w:rsidR="00892F20">
        <w:t>we</w:t>
      </w:r>
      <w:r w:rsidR="00892F20" w:rsidRPr="00F72BEC">
        <w:t xml:space="preserve">re undertaking both work and study and some </w:t>
      </w:r>
      <w:r w:rsidR="00892F20">
        <w:t>were</w:t>
      </w:r>
      <w:r w:rsidR="00892F20" w:rsidRPr="00F72BEC">
        <w:t xml:space="preserve"> undertaking neither). </w:t>
      </w:r>
    </w:p>
    <w:p w:rsidR="00892F20" w:rsidRDefault="00892F20" w:rsidP="00892F20">
      <w:pPr>
        <w:pStyle w:val="BodyText"/>
      </w:pPr>
      <w:r w:rsidRPr="00F72BEC">
        <w:t xml:space="preserve">Amongst </w:t>
      </w:r>
      <w:r w:rsidR="00A528EF">
        <w:t>these</w:t>
      </w:r>
      <w:r w:rsidRPr="00F72BEC">
        <w:t xml:space="preserve"> school leavers, </w:t>
      </w:r>
      <w:r w:rsidR="00C1051D">
        <w:t>43.8</w:t>
      </w:r>
      <w:r w:rsidRPr="00F72BEC">
        <w:t xml:space="preserve"> per cent were year 12 completers who were subsequently working in 201</w:t>
      </w:r>
      <w:r>
        <w:t>4</w:t>
      </w:r>
      <w:r w:rsidRPr="00F72BEC">
        <w:t xml:space="preserve">, </w:t>
      </w:r>
      <w:r w:rsidR="00C1051D">
        <w:t>51.4</w:t>
      </w:r>
      <w:r w:rsidRPr="00F72BEC">
        <w:t xml:space="preserve"> per cent were year 12 completers who were subsequently studying in 201</w:t>
      </w:r>
      <w:r>
        <w:t>4</w:t>
      </w:r>
      <w:r w:rsidRPr="00F72BEC">
        <w:t xml:space="preserve">, </w:t>
      </w:r>
      <w:r w:rsidR="00C1051D">
        <w:t>8.5</w:t>
      </w:r>
      <w:r w:rsidRPr="00F72BEC">
        <w:t xml:space="preserve"> per cent were year 11 or below </w:t>
      </w:r>
      <w:r>
        <w:t>completers</w:t>
      </w:r>
      <w:r w:rsidRPr="00F72BEC">
        <w:t xml:space="preserve"> who were subsequently working in 201</w:t>
      </w:r>
      <w:r>
        <w:t>4</w:t>
      </w:r>
      <w:r w:rsidRPr="00F72BEC">
        <w:t xml:space="preserve"> and </w:t>
      </w:r>
      <w:r w:rsidR="00C1051D">
        <w:t>7.1</w:t>
      </w:r>
      <w:r w:rsidRPr="00F72BEC">
        <w:t xml:space="preserve"> per cent were year 11 and below </w:t>
      </w:r>
      <w:r>
        <w:t>completers</w:t>
      </w:r>
      <w:r w:rsidRPr="00F72BEC">
        <w:t xml:space="preserve"> who were subsequently studying in 201</w:t>
      </w:r>
      <w:r>
        <w:t xml:space="preserve">4 </w:t>
      </w:r>
      <w:r w:rsidRPr="00F72BEC">
        <w:t>(table 4A.1</w:t>
      </w:r>
      <w:r w:rsidR="007659B1">
        <w:t>29</w:t>
      </w:r>
      <w:r w:rsidRPr="00F72BEC">
        <w:t>).</w:t>
      </w:r>
    </w:p>
    <w:p w:rsidR="00A358BA" w:rsidRDefault="00A358BA" w:rsidP="00025423">
      <w:pPr>
        <w:pStyle w:val="Heading5"/>
      </w:pPr>
      <w:r>
        <w:t>The proportion of school leavers aged between 15</w:t>
      </w:r>
      <w:r w:rsidR="004E492B">
        <w:t>–</w:t>
      </w:r>
      <w:r>
        <w:t xml:space="preserve">24 who left school at any time, who are </w:t>
      </w:r>
      <w:r w:rsidR="004E492B" w:rsidRPr="007D6009">
        <w:rPr>
          <w:shd w:val="clear" w:color="auto" w:fill="FFFFFF" w:themeFill="background1"/>
        </w:rPr>
        <w:t xml:space="preserve">fully </w:t>
      </w:r>
      <w:r>
        <w:t>participating in education</w:t>
      </w:r>
      <w:r w:rsidR="0000677C">
        <w:t xml:space="preserve"> and/or training, or employment</w:t>
      </w:r>
    </w:p>
    <w:p w:rsidR="00C2397B" w:rsidRPr="00F72BEC" w:rsidRDefault="00666ECE" w:rsidP="00257C8E">
      <w:pPr>
        <w:pStyle w:val="BodyText"/>
      </w:pPr>
      <w:r w:rsidRPr="00F72BEC">
        <w:t>Nationally in 201</w:t>
      </w:r>
      <w:r w:rsidR="001B5ABA">
        <w:t>4</w:t>
      </w:r>
      <w:r w:rsidRPr="00F72BEC">
        <w:t xml:space="preserve">, </w:t>
      </w:r>
      <w:r w:rsidR="00F95F08">
        <w:t>73.0</w:t>
      </w:r>
      <w:r w:rsidR="00A358BA" w:rsidRPr="00F72BEC">
        <w:t xml:space="preserve"> per cent of all school leavers aged 15</w:t>
      </w:r>
      <w:r w:rsidR="004E492B">
        <w:t>–</w:t>
      </w:r>
      <w:r w:rsidR="00A358BA" w:rsidRPr="00F72BEC">
        <w:t xml:space="preserve">24 were fully engaged in education and/or training, or employment, or a combination. </w:t>
      </w:r>
      <w:r w:rsidR="00C2397B" w:rsidRPr="00F72BEC">
        <w:t>T</w:t>
      </w:r>
      <w:r w:rsidR="00A358BA" w:rsidRPr="00F72BEC">
        <w:t xml:space="preserve">he proportion fully participating in education and/or training was </w:t>
      </w:r>
      <w:r w:rsidR="00F95F08">
        <w:t>35.2</w:t>
      </w:r>
      <w:r w:rsidR="00C2397B" w:rsidRPr="00F72BEC">
        <w:t> </w:t>
      </w:r>
      <w:r w:rsidR="00A358BA" w:rsidRPr="00F72BEC">
        <w:t>per</w:t>
      </w:r>
      <w:r w:rsidR="00C2397B" w:rsidRPr="00F72BEC">
        <w:t> </w:t>
      </w:r>
      <w:r w:rsidR="00A358BA" w:rsidRPr="00F72BEC">
        <w:t xml:space="preserve">cent and the proportion fully </w:t>
      </w:r>
      <w:r w:rsidR="00C2397B" w:rsidRPr="00F72BEC">
        <w:t>participating</w:t>
      </w:r>
      <w:r w:rsidR="00A358BA" w:rsidRPr="00F72BEC">
        <w:t xml:space="preserve"> in employment was </w:t>
      </w:r>
      <w:r w:rsidR="00F95F08">
        <w:t>37.2</w:t>
      </w:r>
      <w:r w:rsidR="00A358BA" w:rsidRPr="00F72BEC">
        <w:t xml:space="preserve"> per cent</w:t>
      </w:r>
      <w:r w:rsidR="00C2397B" w:rsidRPr="00F72BEC">
        <w:t xml:space="preserve"> (figure 4.</w:t>
      </w:r>
      <w:r w:rsidR="005A2FDC">
        <w:t>4</w:t>
      </w:r>
      <w:r w:rsidR="00033D89">
        <w:t>0</w:t>
      </w:r>
      <w:r w:rsidR="00C2397B" w:rsidRPr="00F72BEC">
        <w:t>)</w:t>
      </w:r>
      <w:r w:rsidR="00A358BA" w:rsidRPr="00F72BEC">
        <w:t xml:space="preserve">. </w:t>
      </w:r>
      <w:r w:rsidR="00445835">
        <w:t>Th</w:t>
      </w:r>
      <w:r w:rsidR="00F72BEC">
        <w:t>ese proportions varied across jurisdictions.</w:t>
      </w:r>
    </w:p>
    <w:p w:rsidR="00A358BA" w:rsidRDefault="00A358BA" w:rsidP="00D84066">
      <w:pPr>
        <w:pStyle w:val="BodyText"/>
        <w:shd w:val="clear" w:color="auto" w:fill="FFFFFF" w:themeFill="background1"/>
      </w:pPr>
      <w:r w:rsidRPr="00F72BEC">
        <w:t xml:space="preserve">Amongst year 12 school leavers, the proportion fully engaged in education and/or training, or employment, or a </w:t>
      </w:r>
      <w:r w:rsidR="004E492B" w:rsidRPr="007D6009">
        <w:rPr>
          <w:shd w:val="clear" w:color="auto" w:fill="FFFFFF" w:themeFill="background1"/>
        </w:rPr>
        <w:t>full time</w:t>
      </w:r>
      <w:r w:rsidR="004E492B">
        <w:t xml:space="preserve"> </w:t>
      </w:r>
      <w:r w:rsidRPr="00F72BEC">
        <w:t xml:space="preserve">combination of education/training </w:t>
      </w:r>
      <w:r w:rsidRPr="0042126C">
        <w:rPr>
          <w:shd w:val="clear" w:color="auto" w:fill="FFFFFF" w:themeFill="background1"/>
        </w:rPr>
        <w:t xml:space="preserve">and employment was </w:t>
      </w:r>
      <w:r w:rsidR="00FC0035" w:rsidRPr="0042126C">
        <w:rPr>
          <w:shd w:val="clear" w:color="auto" w:fill="FFFFFF" w:themeFill="background1"/>
        </w:rPr>
        <w:t>78.2</w:t>
      </w:r>
      <w:r w:rsidR="004E492B" w:rsidRPr="0042126C">
        <w:rPr>
          <w:shd w:val="clear" w:color="auto" w:fill="FFFFFF" w:themeFill="background1"/>
        </w:rPr>
        <w:t> </w:t>
      </w:r>
      <w:r w:rsidR="00C2397B" w:rsidRPr="0042126C">
        <w:rPr>
          <w:shd w:val="clear" w:color="auto" w:fill="FFFFFF" w:themeFill="background1"/>
        </w:rPr>
        <w:t>per</w:t>
      </w:r>
      <w:r w:rsidR="004E492B" w:rsidRPr="0042126C">
        <w:rPr>
          <w:shd w:val="clear" w:color="auto" w:fill="FFFFFF" w:themeFill="background1"/>
        </w:rPr>
        <w:t> </w:t>
      </w:r>
      <w:r w:rsidR="00C2397B" w:rsidRPr="0042126C">
        <w:rPr>
          <w:shd w:val="clear" w:color="auto" w:fill="FFFFFF" w:themeFill="background1"/>
        </w:rPr>
        <w:t>cent</w:t>
      </w:r>
      <w:r w:rsidR="00F72BEC" w:rsidRPr="0042126C">
        <w:rPr>
          <w:shd w:val="clear" w:color="auto" w:fill="FFFFFF" w:themeFill="background1"/>
        </w:rPr>
        <w:t xml:space="preserve"> nationally</w:t>
      </w:r>
      <w:r w:rsidR="00C2397B" w:rsidRPr="0042126C">
        <w:rPr>
          <w:shd w:val="clear" w:color="auto" w:fill="FFFFFF" w:themeFill="background1"/>
        </w:rPr>
        <w:t xml:space="preserve">. Amongst year 11 school leavers, this proportion was </w:t>
      </w:r>
      <w:r w:rsidR="00FC0035" w:rsidRPr="0042126C">
        <w:rPr>
          <w:shd w:val="clear" w:color="auto" w:fill="FFFFFF" w:themeFill="background1"/>
        </w:rPr>
        <w:t>57.6</w:t>
      </w:r>
      <w:r w:rsidR="00C2397B" w:rsidRPr="0042126C">
        <w:rPr>
          <w:shd w:val="clear" w:color="auto" w:fill="FFFFFF" w:themeFill="background1"/>
        </w:rPr>
        <w:t xml:space="preserve"> per cent (table 4A.1</w:t>
      </w:r>
      <w:r w:rsidR="00ED33D5" w:rsidRPr="0042126C">
        <w:rPr>
          <w:shd w:val="clear" w:color="auto" w:fill="FFFFFF" w:themeFill="background1"/>
        </w:rPr>
        <w:t>2</w:t>
      </w:r>
      <w:r w:rsidR="007659B1" w:rsidRPr="0042126C">
        <w:rPr>
          <w:shd w:val="clear" w:color="auto" w:fill="FFFFFF" w:themeFill="background1"/>
        </w:rPr>
        <w:t>7</w:t>
      </w:r>
      <w:r w:rsidR="00C2397B" w:rsidRPr="0042126C">
        <w:rPr>
          <w:shd w:val="clear" w:color="auto" w:fill="FFFFFF" w:themeFill="background1"/>
        </w:rPr>
        <w:t>).</w:t>
      </w:r>
      <w:r w:rsidR="007E4269" w:rsidRPr="0042126C">
        <w:rPr>
          <w:shd w:val="clear" w:color="auto" w:fill="FFFFFF" w:themeFill="background1"/>
        </w:rPr>
        <w:t xml:space="preserve"> Table 4A.1</w:t>
      </w:r>
      <w:r w:rsidR="00ED33D5" w:rsidRPr="0042126C">
        <w:rPr>
          <w:shd w:val="clear" w:color="auto" w:fill="FFFFFF" w:themeFill="background1"/>
        </w:rPr>
        <w:t>2</w:t>
      </w:r>
      <w:r w:rsidR="007659B1" w:rsidRPr="0042126C">
        <w:rPr>
          <w:shd w:val="clear" w:color="auto" w:fill="FFFFFF" w:themeFill="background1"/>
        </w:rPr>
        <w:t>7</w:t>
      </w:r>
      <w:r w:rsidR="007E4269" w:rsidRPr="0042126C">
        <w:rPr>
          <w:shd w:val="clear" w:color="auto" w:fill="FFFFFF" w:themeFill="background1"/>
        </w:rPr>
        <w:t xml:space="preserve"> also provides the proportions participating</w:t>
      </w:r>
      <w:r w:rsidR="007E4269" w:rsidRPr="007D6009">
        <w:rPr>
          <w:shd w:val="clear" w:color="auto" w:fill="FFFFFF" w:themeFill="background1"/>
        </w:rPr>
        <w:t xml:space="preserve"> in </w:t>
      </w:r>
      <w:r w:rsidR="00F95F08">
        <w:rPr>
          <w:shd w:val="clear" w:color="auto" w:fill="FFFFFF" w:themeFill="background1"/>
        </w:rPr>
        <w:t>bachelor degrees and above, and certificate, diploma and advanced diplomas</w:t>
      </w:r>
      <w:r w:rsidR="007E4269" w:rsidRPr="007D6009">
        <w:rPr>
          <w:shd w:val="clear" w:color="auto" w:fill="FFFFFF" w:themeFill="background1"/>
        </w:rPr>
        <w:t>.</w:t>
      </w:r>
    </w:p>
    <w:p w:rsidR="006E7C15" w:rsidRDefault="006E7C15" w:rsidP="002726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E7C15" w:rsidTr="007D6009">
        <w:tc>
          <w:tcPr>
            <w:tcW w:w="8771" w:type="dxa"/>
            <w:tcBorders>
              <w:top w:val="nil"/>
              <w:left w:val="nil"/>
              <w:bottom w:val="nil"/>
              <w:right w:val="nil"/>
            </w:tcBorders>
            <w:shd w:val="clear" w:color="auto" w:fill="FFFFFF" w:themeFill="background1"/>
          </w:tcPr>
          <w:p w:rsidR="006E7C15" w:rsidRPr="00176D3F" w:rsidRDefault="006E7C15" w:rsidP="00744E85">
            <w:pPr>
              <w:pStyle w:val="FigureTitle"/>
            </w:pPr>
            <w:r w:rsidRPr="007D6009">
              <w:rPr>
                <w:b w:val="0"/>
              </w:rPr>
              <w:t>Figure 4.</w:t>
            </w:r>
            <w:r w:rsidR="00FF4FBD">
              <w:rPr>
                <w:b w:val="0"/>
                <w:noProof/>
              </w:rPr>
              <w:t>40</w:t>
            </w:r>
            <w:r w:rsidRPr="007D6009">
              <w:tab/>
            </w:r>
            <w:r w:rsidR="00950439" w:rsidRPr="007D6009">
              <w:t>School leaver destination (15</w:t>
            </w:r>
            <w:r w:rsidR="00721F5D" w:rsidRPr="007D6009">
              <w:t>–</w:t>
            </w:r>
            <w:r w:rsidR="00950439" w:rsidRPr="007D6009">
              <w:t>24 year olds), 201</w:t>
            </w:r>
            <w:r w:rsidR="001B5ABA">
              <w:t>4</w:t>
            </w:r>
            <w:r w:rsidR="00245D02">
              <w:t xml:space="preserve"> (per cent)</w:t>
            </w:r>
            <w:r w:rsidR="00950439" w:rsidRPr="007D6009">
              <w:rPr>
                <w:rStyle w:val="NoteLabel"/>
                <w:b/>
              </w:rPr>
              <w:t>a</w:t>
            </w:r>
          </w:p>
        </w:tc>
      </w:tr>
      <w:tr w:rsidR="006E7C15" w:rsidTr="0027264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E7C15" w:rsidTr="0027264A">
              <w:trPr>
                <w:jc w:val="center"/>
              </w:trPr>
              <w:tc>
                <w:tcPr>
                  <w:tcW w:w="5000" w:type="pct"/>
                  <w:tcBorders>
                    <w:top w:val="nil"/>
                    <w:bottom w:val="nil"/>
                  </w:tcBorders>
                </w:tcPr>
                <w:p w:rsidR="006E7C15" w:rsidRPr="00950439" w:rsidRDefault="00EE6972" w:rsidP="0027264A">
                  <w:pPr>
                    <w:pStyle w:val="Figure"/>
                    <w:spacing w:before="60" w:after="60"/>
                    <w:rPr>
                      <w:i/>
                    </w:rPr>
                  </w:pPr>
                  <w:r>
                    <w:rPr>
                      <w:i/>
                      <w:noProof/>
                    </w:rPr>
                    <w:drawing>
                      <wp:inline distT="0" distB="0" distL="0" distR="0">
                        <wp:extent cx="5372100" cy="2657475"/>
                        <wp:effectExtent l="0" t="0" r="0" b="9525"/>
                        <wp:docPr id="43" name="Picture 43" descr="Figure 4.40 School leaver destination (15–24 year olds), 2014 (per c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72100" cy="2657475"/>
                                </a:xfrm>
                                <a:prstGeom prst="rect">
                                  <a:avLst/>
                                </a:prstGeom>
                                <a:noFill/>
                                <a:ln>
                                  <a:noFill/>
                                </a:ln>
                              </pic:spPr>
                            </pic:pic>
                          </a:graphicData>
                        </a:graphic>
                      </wp:inline>
                    </w:drawing>
                  </w:r>
                </w:p>
              </w:tc>
            </w:tr>
          </w:tbl>
          <w:p w:rsidR="006E7C15" w:rsidRDefault="006E7C15" w:rsidP="0027264A">
            <w:pPr>
              <w:pStyle w:val="Figure"/>
            </w:pPr>
          </w:p>
        </w:tc>
      </w:tr>
      <w:tr w:rsidR="006E7C15" w:rsidRPr="00176D3F" w:rsidTr="0027264A">
        <w:tc>
          <w:tcPr>
            <w:tcW w:w="8771" w:type="dxa"/>
            <w:tcBorders>
              <w:top w:val="nil"/>
              <w:left w:val="nil"/>
              <w:bottom w:val="nil"/>
              <w:right w:val="nil"/>
            </w:tcBorders>
            <w:shd w:val="clear" w:color="auto" w:fill="auto"/>
          </w:tcPr>
          <w:p w:rsidR="006E7C15" w:rsidRPr="00176D3F" w:rsidRDefault="006E7C15" w:rsidP="007659B1">
            <w:pPr>
              <w:pStyle w:val="Note"/>
            </w:pPr>
            <w:r>
              <w:rPr>
                <w:rStyle w:val="NoteLabel"/>
              </w:rPr>
              <w:t>a</w:t>
            </w:r>
            <w:r>
              <w:t xml:space="preserve"> </w:t>
            </w:r>
            <w:r w:rsidR="00ED33D5" w:rsidRPr="00F8126D">
              <w:t>See box 4.1</w:t>
            </w:r>
            <w:r w:rsidR="002E5EAF">
              <w:t>7</w:t>
            </w:r>
            <w:r w:rsidR="00ED33D5" w:rsidRPr="00F8126D">
              <w:t xml:space="preserve"> and table 4A.12</w:t>
            </w:r>
            <w:r w:rsidR="007659B1">
              <w:t>7</w:t>
            </w:r>
            <w:r w:rsidR="00ED33D5" w:rsidRPr="00F8126D">
              <w:t xml:space="preserve"> for detailed definitions, footnotes and caveats.</w:t>
            </w:r>
          </w:p>
        </w:tc>
      </w:tr>
      <w:tr w:rsidR="006E7C15" w:rsidRPr="00176D3F" w:rsidTr="0027264A">
        <w:tc>
          <w:tcPr>
            <w:tcW w:w="8771" w:type="dxa"/>
            <w:tcBorders>
              <w:top w:val="nil"/>
              <w:left w:val="nil"/>
              <w:bottom w:val="nil"/>
              <w:right w:val="nil"/>
            </w:tcBorders>
            <w:shd w:val="clear" w:color="auto" w:fill="auto"/>
          </w:tcPr>
          <w:p w:rsidR="006E7C15" w:rsidRPr="00176D3F" w:rsidRDefault="00950439" w:rsidP="007659B1">
            <w:pPr>
              <w:pStyle w:val="Source"/>
            </w:pPr>
            <w:r>
              <w:rPr>
                <w:i/>
              </w:rPr>
              <w:t>S</w:t>
            </w:r>
            <w:r w:rsidR="006E7C15" w:rsidRPr="00784A05">
              <w:rPr>
                <w:i/>
              </w:rPr>
              <w:t>ource</w:t>
            </w:r>
            <w:r w:rsidR="006E7C15" w:rsidRPr="00176D3F">
              <w:t xml:space="preserve">: </w:t>
            </w:r>
            <w:r w:rsidRPr="00950439">
              <w:t xml:space="preserve">ABS (unpublished, TableBuilder) </w:t>
            </w:r>
            <w:r w:rsidRPr="009D18E1">
              <w:rPr>
                <w:i/>
              </w:rPr>
              <w:t xml:space="preserve">Education </w:t>
            </w:r>
            <w:r w:rsidR="007E4269" w:rsidRPr="009D18E1">
              <w:rPr>
                <w:i/>
              </w:rPr>
              <w:t>and Work, 201</w:t>
            </w:r>
            <w:r w:rsidR="00ED33D5" w:rsidRPr="009D18E1">
              <w:rPr>
                <w:i/>
              </w:rPr>
              <w:t>4</w:t>
            </w:r>
            <w:r w:rsidR="007E4269">
              <w:t>, cat. no. 6227.0</w:t>
            </w:r>
            <w:r w:rsidR="00E35469">
              <w:t>; table 4A.1</w:t>
            </w:r>
            <w:r w:rsidR="00ED33D5">
              <w:t>2</w:t>
            </w:r>
            <w:r w:rsidR="007659B1">
              <w:t>7</w:t>
            </w:r>
            <w:r w:rsidRPr="00950439">
              <w:t>.</w:t>
            </w:r>
          </w:p>
        </w:tc>
      </w:tr>
      <w:tr w:rsidR="006E7C15" w:rsidTr="0027264A">
        <w:tc>
          <w:tcPr>
            <w:tcW w:w="8771" w:type="dxa"/>
            <w:tcBorders>
              <w:top w:val="nil"/>
              <w:left w:val="nil"/>
              <w:bottom w:val="single" w:sz="6" w:space="0" w:color="78A22F"/>
              <w:right w:val="nil"/>
            </w:tcBorders>
            <w:shd w:val="clear" w:color="auto" w:fill="auto"/>
          </w:tcPr>
          <w:p w:rsidR="006E7C15" w:rsidRDefault="006E7C15" w:rsidP="0027264A">
            <w:pPr>
              <w:pStyle w:val="Figurespace"/>
            </w:pPr>
          </w:p>
        </w:tc>
      </w:tr>
      <w:tr w:rsidR="006E7C15" w:rsidRPr="000863A5" w:rsidTr="0027264A">
        <w:tc>
          <w:tcPr>
            <w:tcW w:w="8771" w:type="dxa"/>
            <w:tcBorders>
              <w:top w:val="single" w:sz="6" w:space="0" w:color="78A22F"/>
              <w:left w:val="nil"/>
              <w:bottom w:val="nil"/>
              <w:right w:val="nil"/>
            </w:tcBorders>
          </w:tcPr>
          <w:p w:rsidR="006E7C15" w:rsidRPr="00626D32" w:rsidRDefault="006E7C15" w:rsidP="0027264A">
            <w:pPr>
              <w:pStyle w:val="BoxSpaceBelow"/>
            </w:pPr>
          </w:p>
        </w:tc>
      </w:tr>
    </w:tbl>
    <w:p w:rsidR="00F72BEC" w:rsidRDefault="00F72BEC" w:rsidP="00025423">
      <w:pPr>
        <w:pStyle w:val="Heading5"/>
      </w:pPr>
      <w:r>
        <w:t>The proportions of 15–19 and 20–24 year olds who are not in school, who are participating in full or part time st</w:t>
      </w:r>
      <w:r w:rsidR="0000677C">
        <w:t>udy and full or part time work</w:t>
      </w:r>
    </w:p>
    <w:p w:rsidR="00094925" w:rsidRDefault="00F72BEC" w:rsidP="00C2397B">
      <w:pPr>
        <w:pStyle w:val="BodyText"/>
      </w:pPr>
      <w:r w:rsidRPr="006E7C15">
        <w:t xml:space="preserve">In 2011, 37.9 </w:t>
      </w:r>
      <w:r w:rsidR="00C2397B" w:rsidRPr="006E7C15">
        <w:t xml:space="preserve">per cent of </w:t>
      </w:r>
      <w:r w:rsidRPr="006E7C15">
        <w:t xml:space="preserve">15–19 year olds </w:t>
      </w:r>
      <w:r w:rsidR="00BA7D17" w:rsidRPr="006E7C15">
        <w:t xml:space="preserve">who were not undertaking </w:t>
      </w:r>
      <w:r w:rsidR="00094925" w:rsidRPr="006E7C15">
        <w:t>school education were participating in full time study and 10.2 per cent were participating in part time study. Of this group, 21.4 per cent were participating in full time employment and 27.</w:t>
      </w:r>
      <w:r w:rsidR="007E4269">
        <w:t xml:space="preserve">4 per cent were participating in </w:t>
      </w:r>
      <w:r w:rsidR="00094925" w:rsidRPr="006E7C15">
        <w:t xml:space="preserve">part time employment (individuals may be </w:t>
      </w:r>
      <w:r w:rsidR="003740D3">
        <w:t xml:space="preserve">both </w:t>
      </w:r>
      <w:r w:rsidR="00094925" w:rsidRPr="006E7C15">
        <w:t>work</w:t>
      </w:r>
      <w:r w:rsidR="003740D3">
        <w:t>ing</w:t>
      </w:r>
      <w:r w:rsidR="00094925" w:rsidRPr="006E7C15">
        <w:t xml:space="preserve"> and study</w:t>
      </w:r>
      <w:r w:rsidR="003740D3">
        <w:t>ing</w:t>
      </w:r>
      <w:r w:rsidR="00094925" w:rsidRPr="006E7C15">
        <w:t>)</w:t>
      </w:r>
      <w:r w:rsidR="00ED33D5">
        <w:t xml:space="preserve"> (table 4A.12</w:t>
      </w:r>
      <w:r w:rsidR="007659B1">
        <w:t>8</w:t>
      </w:r>
      <w:r w:rsidR="00ED33D5">
        <w:t>)</w:t>
      </w:r>
      <w:r w:rsidR="00094925" w:rsidRPr="006E7C15">
        <w:t xml:space="preserve">. </w:t>
      </w:r>
    </w:p>
    <w:p w:rsidR="006E7C15" w:rsidRDefault="006E7C15" w:rsidP="006E7C15">
      <w:pPr>
        <w:pStyle w:val="BodyText"/>
      </w:pPr>
      <w:r w:rsidRPr="006E7C15">
        <w:t xml:space="preserve">In 2011, </w:t>
      </w:r>
      <w:r>
        <w:t>26</w:t>
      </w:r>
      <w:r w:rsidRPr="006E7C15">
        <w:t xml:space="preserve">.9 per cent of </w:t>
      </w:r>
      <w:r>
        <w:t>20</w:t>
      </w:r>
      <w:r w:rsidRPr="006E7C15">
        <w:t>–</w:t>
      </w:r>
      <w:r>
        <w:t>24</w:t>
      </w:r>
      <w:r w:rsidRPr="006E7C15">
        <w:t xml:space="preserve"> year olds who were not undertaking school education were participating in full time study and </w:t>
      </w:r>
      <w:r>
        <w:t>8.7</w:t>
      </w:r>
      <w:r w:rsidRPr="006E7C15">
        <w:t xml:space="preserve"> per cent were participating in part time study. Of this group, </w:t>
      </w:r>
      <w:r>
        <w:t>38.3</w:t>
      </w:r>
      <w:r w:rsidRPr="006E7C15">
        <w:t xml:space="preserve"> per cent were participating in full time employment and </w:t>
      </w:r>
      <w:r>
        <w:t>24.2</w:t>
      </w:r>
      <w:r w:rsidRPr="006E7C15">
        <w:t xml:space="preserve"> per cent </w:t>
      </w:r>
      <w:r w:rsidR="0000677C">
        <w:t xml:space="preserve">were participating in </w:t>
      </w:r>
      <w:r w:rsidRPr="006E7C15">
        <w:t>part time employment (individuals may be both work</w:t>
      </w:r>
      <w:r w:rsidR="003740D3">
        <w:t>ing</w:t>
      </w:r>
      <w:r w:rsidRPr="006E7C15">
        <w:t xml:space="preserve"> and study</w:t>
      </w:r>
      <w:r w:rsidR="003740D3">
        <w:t>ing</w:t>
      </w:r>
      <w:r w:rsidRPr="006E7C15">
        <w:t xml:space="preserve">). </w:t>
      </w:r>
      <w:r>
        <w:t>These proportions varied across jurisdictions</w:t>
      </w:r>
      <w:r w:rsidR="00ED33D5">
        <w:t xml:space="preserve"> (table 4A.12</w:t>
      </w:r>
      <w:r w:rsidR="007659B1">
        <w:t>8</w:t>
      </w:r>
      <w:r w:rsidR="00ED33D5">
        <w:t>)</w:t>
      </w:r>
      <w:r>
        <w:t>. Table 4A.1</w:t>
      </w:r>
      <w:r w:rsidR="00ED33D5">
        <w:t>2</w:t>
      </w:r>
      <w:r w:rsidR="007659B1">
        <w:t>8</w:t>
      </w:r>
      <w:r>
        <w:t xml:space="preserve"> </w:t>
      </w:r>
      <w:r w:rsidR="00445835">
        <w:t>provide</w:t>
      </w:r>
      <w:r>
        <w:t>s data by highest level of qualification</w:t>
      </w:r>
      <w:r w:rsidR="003740D3">
        <w:t>.</w:t>
      </w:r>
    </w:p>
    <w:p w:rsidR="00701AD6" w:rsidRDefault="00666ECE" w:rsidP="00701AD6">
      <w:pPr>
        <w:pStyle w:val="BodyText"/>
      </w:pPr>
      <w:r w:rsidRPr="00567A3B">
        <w:t>Box 4.1</w:t>
      </w:r>
      <w:r w:rsidR="002E5EAF">
        <w:t>8</w:t>
      </w:r>
      <w:r w:rsidRPr="00567A3B">
        <w:t xml:space="preserve"> summarises school leaver destination survey results </w:t>
      </w:r>
      <w:r w:rsidRPr="00343AD9">
        <w:rPr>
          <w:shd w:val="clear" w:color="auto" w:fill="FFFFFF" w:themeFill="background1"/>
        </w:rPr>
        <w:t>from s</w:t>
      </w:r>
      <w:r w:rsidR="00343AD9" w:rsidRPr="00343AD9">
        <w:rPr>
          <w:shd w:val="clear" w:color="auto" w:fill="FFFFFF" w:themeFill="background1"/>
        </w:rPr>
        <w:t>ix</w:t>
      </w:r>
      <w:r w:rsidRPr="00567A3B">
        <w:t xml:space="preserve"> jurisdictions. </w:t>
      </w:r>
      <w:r w:rsidR="00560C42">
        <w:t>E</w:t>
      </w:r>
      <w:r w:rsidR="00415476" w:rsidRPr="00567A3B">
        <w:t>ach jurisdiction uses</w:t>
      </w:r>
      <w:r w:rsidRPr="00567A3B">
        <w:t xml:space="preserve"> different research methods and data collection instruments, and </w:t>
      </w:r>
      <w:r w:rsidR="00415476" w:rsidRPr="00567A3B">
        <w:t xml:space="preserve">the surveys </w:t>
      </w:r>
      <w:r w:rsidR="00560C42">
        <w:t>a</w:t>
      </w:r>
      <w:r w:rsidRPr="00567A3B">
        <w:t xml:space="preserve">re not designed for comparative national reporting. These data </w:t>
      </w:r>
      <w:r w:rsidR="0096039E">
        <w:t>provide</w:t>
      </w:r>
      <w:r w:rsidRPr="00567A3B">
        <w:t xml:space="preserve"> supplementary information</w:t>
      </w:r>
      <w:r w:rsidR="0096039E">
        <w:t xml:space="preserve"> to the measures above</w:t>
      </w:r>
      <w:r w:rsidRPr="00567A3B">
        <w:t>.</w:t>
      </w:r>
      <w:r w:rsidR="0066655C" w:rsidRPr="00567A3B">
        <w:t xml:space="preserve"> </w:t>
      </w:r>
    </w:p>
    <w:p w:rsidR="00DC0442" w:rsidRPr="00567A3B" w:rsidRDefault="00DC0442" w:rsidP="00701AD6">
      <w:pPr>
        <w:pStyle w:val="BodyText"/>
      </w:pPr>
      <w:r>
        <w:t>National data on the study and work outcomes (numbers and proportions of people aged 15–19 who left school in the previous year), by highest year of completed schooling, in 2014 are in table 4A.12</w:t>
      </w:r>
      <w:r w:rsidR="007659B1">
        <w:t>6</w:t>
      </w:r>
      <w:r>
        <w:t>.</w:t>
      </w:r>
    </w:p>
    <w:p w:rsidR="0092436D" w:rsidRDefault="0092436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2436D" w:rsidTr="001D0F72">
        <w:tc>
          <w:tcPr>
            <w:tcW w:w="8771" w:type="dxa"/>
            <w:tcBorders>
              <w:top w:val="single" w:sz="6" w:space="0" w:color="78A22F"/>
              <w:left w:val="nil"/>
              <w:bottom w:val="nil"/>
              <w:right w:val="nil"/>
            </w:tcBorders>
            <w:shd w:val="clear" w:color="auto" w:fill="F2F2F2"/>
          </w:tcPr>
          <w:p w:rsidR="0092436D" w:rsidRDefault="0092436D">
            <w:pPr>
              <w:pStyle w:val="BoxTitle"/>
            </w:pPr>
            <w:r>
              <w:rPr>
                <w:b w:val="0"/>
              </w:rPr>
              <w:t xml:space="preserve">Box </w:t>
            </w:r>
            <w:r w:rsidR="00B70781">
              <w:rPr>
                <w:b w:val="0"/>
              </w:rPr>
              <w:t>4.</w:t>
            </w:r>
            <w:r w:rsidR="00FF4FBD">
              <w:rPr>
                <w:b w:val="0"/>
                <w:noProof/>
              </w:rPr>
              <w:t>18</w:t>
            </w:r>
            <w:r>
              <w:tab/>
            </w:r>
            <w:r w:rsidRPr="0092436D">
              <w:t>School leaver destination survey results</w:t>
            </w:r>
          </w:p>
        </w:tc>
      </w:tr>
      <w:tr w:rsidR="0092436D" w:rsidTr="001D0F72">
        <w:trPr>
          <w:cantSplit/>
        </w:trPr>
        <w:tc>
          <w:tcPr>
            <w:tcW w:w="8771" w:type="dxa"/>
            <w:tcBorders>
              <w:top w:val="nil"/>
              <w:left w:val="nil"/>
              <w:bottom w:val="nil"/>
              <w:right w:val="nil"/>
            </w:tcBorders>
            <w:shd w:val="clear" w:color="auto" w:fill="F2F2F2"/>
          </w:tcPr>
          <w:p w:rsidR="0092436D" w:rsidRPr="0092436D" w:rsidRDefault="0092436D" w:rsidP="0092436D">
            <w:pPr>
              <w:pStyle w:val="BoxHeading1"/>
            </w:pPr>
            <w:r w:rsidRPr="0092436D">
              <w:t>New South Wales</w:t>
            </w:r>
            <w:r w:rsidR="00CC29DE">
              <w:t xml:space="preserve"> </w:t>
            </w:r>
          </w:p>
          <w:p w:rsidR="00432982" w:rsidRPr="00432982" w:rsidRDefault="00432982" w:rsidP="00EE64E3">
            <w:pPr>
              <w:pStyle w:val="Box"/>
            </w:pPr>
            <w:r w:rsidRPr="00432982">
              <w:t xml:space="preserve">Surveys of post-school destinations for students from government, Catholic and independent schools commenced in 2010 and have been conducted annually since 2013 using telephone and online surveys. The surveys identify the aspirations and expectations for post-school pathways and student destinations. In 2015, the samples comprised 3490 year 12 completers and 3135 early leavers, as well as a longitudinal follow up of early leavers, year 12 completers and year 10 students from the 2014 surveys. </w:t>
            </w:r>
          </w:p>
          <w:p w:rsidR="00432982" w:rsidRPr="00432982" w:rsidRDefault="00432982" w:rsidP="00EE64E3">
            <w:pPr>
              <w:pStyle w:val="Box"/>
            </w:pPr>
            <w:r w:rsidRPr="00432982">
              <w:t>In 2015, 75.2 per</w:t>
            </w:r>
            <w:r>
              <w:t xml:space="preserve"> </w:t>
            </w:r>
            <w:r w:rsidRPr="00432982">
              <w:t>cent of year 12 completers were undertaking some form of education and training. The majority were studying a Bachelor degree (53.2 per cent). A further 22.0 per cent of year 12 completers were studying a VET program: 8.9</w:t>
            </w:r>
            <w:r>
              <w:t> </w:t>
            </w:r>
            <w:r w:rsidRPr="00432982">
              <w:t>per</w:t>
            </w:r>
            <w:r>
              <w:t> </w:t>
            </w:r>
            <w:r w:rsidRPr="00432982">
              <w:t>cent in Certificate IV, Diploma or Advanced Diploma, compared with 4.8 per cent in Certificates I, II and III, 4.7 per cent in apprenticeships and 3.6 per cent in traineeships.  While 22.7 per cent of the year 12 completers were employed or looking for work, 2.1 per cent were not in the labour force, education or training.</w:t>
            </w:r>
          </w:p>
          <w:p w:rsidR="0092436D" w:rsidRPr="0092436D" w:rsidRDefault="00A76E4F" w:rsidP="0092436D">
            <w:pPr>
              <w:pStyle w:val="BoxHeading1"/>
            </w:pPr>
            <w:r>
              <w:t>Victoria</w:t>
            </w:r>
          </w:p>
          <w:p w:rsidR="00CC29DE" w:rsidRPr="00CC29DE" w:rsidRDefault="00CC29DE" w:rsidP="00CC29DE">
            <w:pPr>
              <w:pStyle w:val="Box"/>
            </w:pPr>
            <w:r w:rsidRPr="00CC29DE">
              <w:t>In Victoria, a survey of post-school destinations (On Track) has been conducted annually since 2003. Consenting year 12 or equivalent completers and early leavers (from years 10, 11 and 12) from all Victorian schools participate in a telephone or online survey early in the year after they leave school.</w:t>
            </w:r>
          </w:p>
          <w:p w:rsidR="00CC29DE" w:rsidRPr="00CC29DE" w:rsidRDefault="00CC29DE" w:rsidP="00CC29DE">
            <w:pPr>
              <w:pStyle w:val="Box"/>
            </w:pPr>
            <w:r w:rsidRPr="00CC29DE">
              <w:t>The 2015 On Track Survey contacted 35 227 (63.5 per cent) of the eligible 2014 year 12 or equivalent cohort from 566 schools, both government and non</w:t>
            </w:r>
            <w:r w:rsidRPr="00CC29DE">
              <w:rPr>
                <w:rFonts w:hint="eastAsia"/>
              </w:rPr>
              <w:noBreakHyphen/>
            </w:r>
            <w:r w:rsidRPr="00CC29DE">
              <w:t>government, as well as TAFE and Adult Community Education providers. Of these students, 77.0 per cent were in further education and training (53.2 per cent were enrolled at university, 16.3 per cent were TAFE enrolled and 7.5 per cent had taken up apprenticeships or traineeships). Of the 22.9 per cent who were not in further education and training, 9.6 per cent were in full or part time employment, 9.1 per cent had deferred a tertiary place and 3.6 per cent were looking for work.</w:t>
            </w:r>
          </w:p>
          <w:p w:rsidR="0092436D" w:rsidRPr="00343AD9" w:rsidRDefault="00A76E4F" w:rsidP="0092436D">
            <w:pPr>
              <w:pStyle w:val="BoxHeading1"/>
            </w:pPr>
            <w:r w:rsidRPr="00343AD9">
              <w:t>Queensland</w:t>
            </w:r>
            <w:r w:rsidR="00CC29DE" w:rsidRPr="00343AD9">
              <w:t xml:space="preserve"> </w:t>
            </w:r>
          </w:p>
          <w:p w:rsidR="00343AD9" w:rsidRPr="00343AD9" w:rsidRDefault="00343AD9" w:rsidP="00343AD9">
            <w:pPr>
              <w:pStyle w:val="Box"/>
            </w:pPr>
            <w:r w:rsidRPr="00343AD9">
              <w:t>The annual Queensland Next Step survey, first conducted in 2005, targets all students who completed year 12 in government and non-government schools approximately six months after the completion of year 12.</w:t>
            </w:r>
          </w:p>
          <w:p w:rsidR="0092436D" w:rsidRPr="008753B7" w:rsidRDefault="00343AD9" w:rsidP="00343AD9">
            <w:pPr>
              <w:pStyle w:val="Box"/>
            </w:pPr>
            <w:r w:rsidRPr="00343AD9">
              <w:t>The 2015 Next Step survey collected responses from 40</w:t>
            </w:r>
            <w:r>
              <w:t> </w:t>
            </w:r>
            <w:r w:rsidRPr="00343AD9">
              <w:t>157 year 12 completers, an 80.2 per cent response rate. The results showed that 61.7 per cent were in some recognised form of education or training in the year after completing year 12. This comprised 40.6 per cent undertaking a Bachelor Degree, 12.8 per cent undertaking campus-based vocational education and training (VET), with 7.5 per cent studying at Certificate IV level or higher. A further 8.4 per cent were in employment-based VET, either as an apprentice (5.9 per cent) or trainee (2.4 per cent). The remaining 38.3 per cent did not enter post-school education or training and were either employed (25.3 per cent), seeking work (10.7 per cent), or not in the labour force, education or training (2.2 per cent). In 2015, the survey also found that 19.7 per cent of year 12 completers were undertaking a gap year.</w:t>
            </w:r>
          </w:p>
        </w:tc>
      </w:tr>
      <w:tr w:rsidR="0092436D" w:rsidTr="001D0F72">
        <w:trPr>
          <w:cantSplit/>
        </w:trPr>
        <w:tc>
          <w:tcPr>
            <w:tcW w:w="8771" w:type="dxa"/>
            <w:tcBorders>
              <w:top w:val="nil"/>
              <w:left w:val="nil"/>
              <w:bottom w:val="nil"/>
              <w:right w:val="nil"/>
            </w:tcBorders>
            <w:shd w:val="clear" w:color="auto" w:fill="F2F2F2"/>
          </w:tcPr>
          <w:p w:rsidR="0092436D" w:rsidRPr="00315070" w:rsidRDefault="00315070" w:rsidP="005B22A7">
            <w:pPr>
              <w:pStyle w:val="BoxSource"/>
              <w:jc w:val="right"/>
            </w:pPr>
            <w:r>
              <w:t>(c</w:t>
            </w:r>
            <w:r w:rsidR="00491C19" w:rsidRPr="00315070">
              <w:t>ontinued next page</w:t>
            </w:r>
            <w:r>
              <w:t>)</w:t>
            </w:r>
          </w:p>
        </w:tc>
      </w:tr>
      <w:tr w:rsidR="0092436D" w:rsidTr="001D0F72">
        <w:trPr>
          <w:cantSplit/>
        </w:trPr>
        <w:tc>
          <w:tcPr>
            <w:tcW w:w="8771" w:type="dxa"/>
            <w:tcBorders>
              <w:top w:val="nil"/>
              <w:left w:val="nil"/>
              <w:bottom w:val="single" w:sz="6" w:space="0" w:color="78A22F"/>
              <w:right w:val="nil"/>
            </w:tcBorders>
            <w:shd w:val="clear" w:color="auto" w:fill="F2F2F2"/>
          </w:tcPr>
          <w:p w:rsidR="0092436D" w:rsidRDefault="0092436D">
            <w:pPr>
              <w:pStyle w:val="Box"/>
              <w:spacing w:before="0" w:line="120" w:lineRule="exact"/>
            </w:pPr>
          </w:p>
        </w:tc>
      </w:tr>
      <w:tr w:rsidR="0092436D" w:rsidRPr="000863A5" w:rsidTr="001D0F72">
        <w:tc>
          <w:tcPr>
            <w:tcW w:w="8771" w:type="dxa"/>
            <w:tcBorders>
              <w:top w:val="single" w:sz="6" w:space="0" w:color="78A22F"/>
              <w:left w:val="nil"/>
              <w:bottom w:val="nil"/>
              <w:right w:val="nil"/>
            </w:tcBorders>
          </w:tcPr>
          <w:p w:rsidR="0092436D" w:rsidRPr="00626D32" w:rsidRDefault="0092436D" w:rsidP="001D0F72">
            <w:pPr>
              <w:pStyle w:val="BoxSpaceBelow"/>
            </w:pPr>
          </w:p>
        </w:tc>
      </w:tr>
    </w:tbl>
    <w:p w:rsidR="000421CD" w:rsidRDefault="000421C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421CD" w:rsidTr="001D0F72">
        <w:tc>
          <w:tcPr>
            <w:tcW w:w="8771" w:type="dxa"/>
            <w:tcBorders>
              <w:top w:val="single" w:sz="6" w:space="0" w:color="78A22F"/>
              <w:left w:val="nil"/>
              <w:bottom w:val="nil"/>
              <w:right w:val="nil"/>
            </w:tcBorders>
            <w:shd w:val="clear" w:color="auto" w:fill="F2F2F2"/>
          </w:tcPr>
          <w:p w:rsidR="000421CD" w:rsidRDefault="000421CD" w:rsidP="00197AB2">
            <w:pPr>
              <w:pStyle w:val="BoxTitle"/>
            </w:pPr>
            <w:r>
              <w:rPr>
                <w:b w:val="0"/>
              </w:rPr>
              <w:t xml:space="preserve">Box </w:t>
            </w:r>
            <w:r w:rsidR="00B70781">
              <w:rPr>
                <w:b w:val="0"/>
              </w:rPr>
              <w:t>4.</w:t>
            </w:r>
            <w:r w:rsidR="00701AD6">
              <w:rPr>
                <w:b w:val="0"/>
              </w:rPr>
              <w:t>1</w:t>
            </w:r>
            <w:r w:rsidR="00F15872">
              <w:rPr>
                <w:b w:val="0"/>
              </w:rPr>
              <w:t>8</w:t>
            </w:r>
            <w:r>
              <w:tab/>
            </w:r>
            <w:r w:rsidR="00491C19" w:rsidRPr="00315070">
              <w:rPr>
                <w:b w:val="0"/>
                <w:sz w:val="18"/>
                <w:szCs w:val="18"/>
              </w:rPr>
              <w:t>(</w:t>
            </w:r>
            <w:r w:rsidR="00315070">
              <w:rPr>
                <w:b w:val="0"/>
                <w:sz w:val="18"/>
                <w:szCs w:val="18"/>
              </w:rPr>
              <w:t>c</w:t>
            </w:r>
            <w:r w:rsidR="00491C19" w:rsidRPr="00315070">
              <w:rPr>
                <w:b w:val="0"/>
                <w:sz w:val="18"/>
                <w:szCs w:val="18"/>
              </w:rPr>
              <w:t>ontinued)</w:t>
            </w:r>
          </w:p>
        </w:tc>
      </w:tr>
      <w:tr w:rsidR="000421CD" w:rsidTr="001D0F72">
        <w:trPr>
          <w:cantSplit/>
        </w:trPr>
        <w:tc>
          <w:tcPr>
            <w:tcW w:w="8771" w:type="dxa"/>
            <w:tcBorders>
              <w:top w:val="nil"/>
              <w:left w:val="nil"/>
              <w:bottom w:val="nil"/>
              <w:right w:val="nil"/>
            </w:tcBorders>
            <w:shd w:val="clear" w:color="auto" w:fill="F2F2F2"/>
          </w:tcPr>
          <w:p w:rsidR="000421CD" w:rsidRPr="00C30BDB" w:rsidRDefault="000421CD" w:rsidP="00C30BDB">
            <w:pPr>
              <w:pStyle w:val="BoxHeading1"/>
            </w:pPr>
            <w:r w:rsidRPr="00C30BDB">
              <w:t>Western Australia</w:t>
            </w:r>
            <w:r w:rsidR="00CC29DE" w:rsidRPr="00C30BDB">
              <w:t xml:space="preserve"> </w:t>
            </w:r>
          </w:p>
          <w:p w:rsidR="00C30BDB" w:rsidRPr="00C30BDB" w:rsidRDefault="00C30BDB" w:rsidP="000421CD">
            <w:pPr>
              <w:pStyle w:val="Box"/>
            </w:pPr>
            <w:r w:rsidRPr="00C30BDB">
              <w:t>The WA School Leaver Destinations survey has been</w:t>
            </w:r>
            <w:r>
              <w:t xml:space="preserve"> conducted annually since 1996.</w:t>
            </w:r>
            <w:r w:rsidRPr="00C30BDB">
              <w:t xml:space="preserve"> Until 2015 this had been a telephone survey which was combined with University and TAFE enrolment data to determine Year 12 destinations. In 2015, an email rather than telephone survey of 4400 government school Year 12 students, to complement University and TAFE e</w:t>
            </w:r>
            <w:r>
              <w:t xml:space="preserve">nrolment data, was undertaken. </w:t>
            </w:r>
            <w:r w:rsidRPr="00C30BDB">
              <w:t>Insufficient responses were received from the email survey to pro</w:t>
            </w:r>
            <w:r>
              <w:t>vide reliable destination data.</w:t>
            </w:r>
            <w:r w:rsidRPr="00C30BDB">
              <w:t xml:space="preserve"> Consequently, WA is unable to report destination data for 2014 Year 12 students.</w:t>
            </w:r>
          </w:p>
          <w:p w:rsidR="000421CD" w:rsidRPr="00C30BDB" w:rsidRDefault="00A76E4F" w:rsidP="00C30BDB">
            <w:pPr>
              <w:pStyle w:val="BoxHeading1"/>
            </w:pPr>
            <w:r w:rsidRPr="00C30BDB">
              <w:t>Tasmania</w:t>
            </w:r>
            <w:r w:rsidR="00CC29DE" w:rsidRPr="00C30BDB">
              <w:t xml:space="preserve"> </w:t>
            </w:r>
          </w:p>
          <w:p w:rsidR="00C30BDB" w:rsidRPr="00C30BDB" w:rsidRDefault="00C30BDB" w:rsidP="00C30BDB">
            <w:pPr>
              <w:pStyle w:val="Box"/>
            </w:pPr>
            <w:r w:rsidRPr="00C30BDB">
              <w:t xml:space="preserve">Since 2007, all year 10 students are required to lodge a participation plan describing their study intentions for the next year. Under the department’s Year 11 and 12 </w:t>
            </w:r>
            <w:r w:rsidRPr="00F2002A">
              <w:rPr>
                <w:i/>
              </w:rPr>
              <w:t>Attendance and Participation in Tasmanian Government Schools Procedure</w:t>
            </w:r>
            <w:r w:rsidRPr="00C30BDB">
              <w:t xml:space="preserve"> schools are required to follow up and re-engage students who do not enrol in year 11. Schools are required to track year 11 and 12 early leavers, recording reasons for early leaving and employing re-engagement strategies.</w:t>
            </w:r>
          </w:p>
          <w:p w:rsidR="00C30BDB" w:rsidRPr="00C30BDB" w:rsidRDefault="00C30BDB" w:rsidP="00C30BDB">
            <w:pPr>
              <w:pStyle w:val="Box"/>
            </w:pPr>
            <w:r w:rsidRPr="00C30BDB">
              <w:t>For longer-term tracking of post-school destinations of Year 12 completers and early leavers, Tasmania has undertaken data linkage supported by the Australian Bureau of Statistics. Findings of this process included:</w:t>
            </w:r>
          </w:p>
          <w:p w:rsidR="00C30BDB" w:rsidRPr="00C30BDB" w:rsidRDefault="00C30BDB" w:rsidP="00C30BDB">
            <w:pPr>
              <w:pStyle w:val="BoxListBullet"/>
            </w:pPr>
            <w:r>
              <w:t>a</w:t>
            </w:r>
            <w:r w:rsidRPr="00C30BDB">
              <w:t xml:space="preserve">bout a quarter of early school leavers are </w:t>
            </w:r>
            <w:r>
              <w:t>enrolled in further study</w:t>
            </w:r>
          </w:p>
          <w:p w:rsidR="00C30BDB" w:rsidRPr="00C30BDB" w:rsidRDefault="00C30BDB" w:rsidP="00C30BDB">
            <w:pPr>
              <w:pStyle w:val="BoxListBullet"/>
            </w:pPr>
            <w:r>
              <w:t>o</w:t>
            </w:r>
            <w:r w:rsidRPr="00C30BDB">
              <w:t>ne year out from school, about three quarters of those not</w:t>
            </w:r>
            <w:r>
              <w:t xml:space="preserve"> continuing study were employed</w:t>
            </w:r>
          </w:p>
          <w:p w:rsidR="00C30BDB" w:rsidRPr="00C30BDB" w:rsidRDefault="00C30BDB" w:rsidP="00C30BDB">
            <w:pPr>
              <w:pStyle w:val="BoxListBullet"/>
            </w:pPr>
            <w:r w:rsidRPr="00C30BDB">
              <w:t>Five years out from school, 45 per cent of Year 12 graduates had completed a non-school qualification and a further 23 per cent were studying towards one.</w:t>
            </w:r>
          </w:p>
          <w:p w:rsidR="000421CD" w:rsidRPr="00C30BDB" w:rsidRDefault="00C30BDB" w:rsidP="00C30BDB">
            <w:pPr>
              <w:pStyle w:val="Box"/>
              <w:jc w:val="left"/>
            </w:pPr>
            <w:r w:rsidRPr="00C30BDB">
              <w:t xml:space="preserve">Further details are available at </w:t>
            </w:r>
            <w:r w:rsidRPr="00981DEB">
              <w:t>http://www.abs.gov.au/AUSSTATS/abs@.nsf/Lookup/4261.6Main+Features12006-2013?OpenDocument</w:t>
            </w:r>
            <w:r>
              <w:t xml:space="preserve"> (</w:t>
            </w:r>
            <w:r w:rsidRPr="00C30BDB">
              <w:t>ABS Catalogue Number 4261.6 - Educational outcomes, experimental</w:t>
            </w:r>
            <w:r>
              <w:t xml:space="preserve"> estimates, Tasmania, 2006-2013).</w:t>
            </w:r>
          </w:p>
          <w:p w:rsidR="000421CD" w:rsidRPr="000421CD" w:rsidRDefault="00A76E4F" w:rsidP="000421CD">
            <w:pPr>
              <w:pStyle w:val="BoxHeading1"/>
            </w:pPr>
            <w:r>
              <w:t>Australian Capital Territory</w:t>
            </w:r>
          </w:p>
          <w:p w:rsidR="000421CD" w:rsidRPr="000421CD" w:rsidRDefault="00CC29DE" w:rsidP="00857D89">
            <w:pPr>
              <w:pStyle w:val="Box"/>
            </w:pPr>
            <w:r w:rsidRPr="00CC29DE">
              <w:t>Since 2007, the ACT has conducted a telephone-based survey of government and non</w:t>
            </w:r>
            <w:r w:rsidRPr="00CC29DE">
              <w:noBreakHyphen/>
              <w:t>government students who successfully completed an ACT year 12 certificate in the preceding year. The survey seeks information on the destinations of young people six months after completion of year 12 and satisfaction with their experience in years 11 and 12. In 2015, responses were received from 69 per cent of the 2014 year 12 graduates who were contacted. The 2015 survey found that 92 per cent of 2014 year 12 graduates were employed or studying in 2015 and overall 96 per cent found years 11 and 12 worthwhile. Of the 61 per cent of 2014 graduates studying in 2015, 68 per cent reported that they were studying at a Bachelor level or higher and 15 per cent at Certificate III level. Of the 39 per cent of graduates who were not studying in 2015, 76 per cent intended to start some study in the next two years. Year 12 graduates who speak a language other than English at home were more likely to be studying (75 per cent) than those who did not (58 per cent).</w:t>
            </w:r>
          </w:p>
        </w:tc>
      </w:tr>
      <w:tr w:rsidR="00315070" w:rsidTr="001D0F72">
        <w:trPr>
          <w:cantSplit/>
        </w:trPr>
        <w:tc>
          <w:tcPr>
            <w:tcW w:w="8771" w:type="dxa"/>
            <w:tcBorders>
              <w:top w:val="nil"/>
              <w:left w:val="nil"/>
              <w:bottom w:val="nil"/>
              <w:right w:val="nil"/>
            </w:tcBorders>
            <w:shd w:val="clear" w:color="auto" w:fill="F2F2F2"/>
          </w:tcPr>
          <w:p w:rsidR="00315070" w:rsidRPr="00315070" w:rsidRDefault="00C30BDB" w:rsidP="00C30BDB">
            <w:pPr>
              <w:pStyle w:val="BoxSource"/>
              <w:jc w:val="left"/>
            </w:pPr>
            <w:r w:rsidRPr="00C30BDB">
              <w:rPr>
                <w:i/>
              </w:rPr>
              <w:t>Source</w:t>
            </w:r>
            <w:r w:rsidRPr="00C30BDB">
              <w:t>: State and Territory governments (unpublished).</w:t>
            </w:r>
          </w:p>
        </w:tc>
      </w:tr>
      <w:tr w:rsidR="000421CD" w:rsidTr="001D0F72">
        <w:trPr>
          <w:cantSplit/>
        </w:trPr>
        <w:tc>
          <w:tcPr>
            <w:tcW w:w="8771" w:type="dxa"/>
            <w:tcBorders>
              <w:top w:val="nil"/>
              <w:left w:val="nil"/>
              <w:bottom w:val="single" w:sz="6" w:space="0" w:color="78A22F"/>
              <w:right w:val="nil"/>
            </w:tcBorders>
            <w:shd w:val="clear" w:color="auto" w:fill="F2F2F2"/>
          </w:tcPr>
          <w:p w:rsidR="000421CD" w:rsidRDefault="000421CD">
            <w:pPr>
              <w:pStyle w:val="Box"/>
              <w:spacing w:before="0" w:line="120" w:lineRule="exact"/>
            </w:pPr>
          </w:p>
        </w:tc>
      </w:tr>
      <w:tr w:rsidR="000421CD" w:rsidRPr="000863A5" w:rsidTr="001D0F72">
        <w:tc>
          <w:tcPr>
            <w:tcW w:w="8771" w:type="dxa"/>
            <w:tcBorders>
              <w:top w:val="single" w:sz="6" w:space="0" w:color="78A22F"/>
              <w:left w:val="nil"/>
              <w:bottom w:val="nil"/>
              <w:right w:val="nil"/>
            </w:tcBorders>
          </w:tcPr>
          <w:p w:rsidR="000421CD" w:rsidRPr="00626D32" w:rsidRDefault="000421CD" w:rsidP="001D0F72">
            <w:pPr>
              <w:pStyle w:val="BoxSpaceBelow"/>
            </w:pPr>
          </w:p>
        </w:tc>
      </w:tr>
    </w:tbl>
    <w:p w:rsidR="00666ECE" w:rsidRPr="007B0AE2" w:rsidRDefault="007B0AE2" w:rsidP="007B0AE2">
      <w:pPr>
        <w:pStyle w:val="Heading2nosectionno"/>
      </w:pPr>
      <w:bookmarkStart w:id="25" w:name="_Toc433298257"/>
      <w:r>
        <w:lastRenderedPageBreak/>
        <w:t>4.4</w:t>
      </w:r>
      <w:r>
        <w:tab/>
      </w:r>
      <w:r w:rsidR="00666ECE" w:rsidRPr="007B0AE2">
        <w:t>Future directions in performance reporting</w:t>
      </w:r>
      <w:bookmarkEnd w:id="25"/>
    </w:p>
    <w:p w:rsidR="00666ECE" w:rsidRPr="00DD6565" w:rsidRDefault="00666ECE" w:rsidP="00DD6565">
      <w:pPr>
        <w:pStyle w:val="Heading3"/>
      </w:pPr>
      <w:r w:rsidRPr="00DD6565">
        <w:t>COAG developments</w:t>
      </w:r>
    </w:p>
    <w:p w:rsidR="00666ECE" w:rsidRPr="00666ECE" w:rsidRDefault="00567A3B" w:rsidP="000421CD">
      <w:pPr>
        <w:pStyle w:val="Heading4"/>
      </w:pPr>
      <w:r>
        <w:t xml:space="preserve">Education Council </w:t>
      </w:r>
      <w:r w:rsidR="00280C38">
        <w:t>review of Key Performance Measurement Framework</w:t>
      </w:r>
    </w:p>
    <w:p w:rsidR="00666ECE" w:rsidRPr="00666ECE" w:rsidRDefault="00280C38" w:rsidP="00EE64E3">
      <w:pPr>
        <w:pStyle w:val="BodyText"/>
      </w:pPr>
      <w:r>
        <w:t>Future revisions may occur as a result of</w:t>
      </w:r>
      <w:r w:rsidR="00666ECE" w:rsidRPr="00666ECE">
        <w:t xml:space="preserve"> </w:t>
      </w:r>
      <w:r w:rsidR="003C1457">
        <w:t xml:space="preserve">the </w:t>
      </w:r>
      <w:r w:rsidR="00FF3391">
        <w:t xml:space="preserve">ongoing </w:t>
      </w:r>
      <w:r w:rsidR="000421CD">
        <w:t xml:space="preserve">Education </w:t>
      </w:r>
      <w:r w:rsidR="000421CD" w:rsidRPr="00EE64E3">
        <w:rPr>
          <w:shd w:val="clear" w:color="auto" w:fill="FFFFFF" w:themeFill="background1"/>
        </w:rPr>
        <w:t>Council</w:t>
      </w:r>
      <w:r w:rsidR="0012052B" w:rsidRPr="00EE64E3">
        <w:rPr>
          <w:shd w:val="clear" w:color="auto" w:fill="FFFFFF" w:themeFill="background1"/>
        </w:rPr>
        <w:t xml:space="preserve"> review of its 2015 </w:t>
      </w:r>
      <w:r w:rsidR="00666ECE" w:rsidRPr="00EE64E3">
        <w:rPr>
          <w:shd w:val="clear" w:color="auto" w:fill="FFFFFF" w:themeFill="background1"/>
        </w:rPr>
        <w:t>Key Performance Measurement Framework relating to the Melbourne Declaration and COAG agreed measures.</w:t>
      </w:r>
      <w:r w:rsidRPr="00EE64E3">
        <w:rPr>
          <w:shd w:val="clear" w:color="auto" w:fill="FFFFFF" w:themeFill="background1"/>
        </w:rPr>
        <w:t xml:space="preserve"> The Steering Committee will consider any </w:t>
      </w:r>
      <w:r w:rsidR="0012052B" w:rsidRPr="00EE64E3">
        <w:rPr>
          <w:shd w:val="clear" w:color="auto" w:fill="FFFFFF" w:themeFill="background1"/>
        </w:rPr>
        <w:t xml:space="preserve">further </w:t>
      </w:r>
      <w:r w:rsidRPr="00EE64E3">
        <w:rPr>
          <w:shd w:val="clear" w:color="auto" w:fill="FFFFFF" w:themeFill="background1"/>
        </w:rPr>
        <w:t>implications</w:t>
      </w:r>
      <w:r>
        <w:t xml:space="preserve"> of this review for future reports.</w:t>
      </w:r>
    </w:p>
    <w:p w:rsidR="00666ECE" w:rsidRPr="00FF3391" w:rsidRDefault="00FF3391" w:rsidP="00EE64E3">
      <w:pPr>
        <w:pStyle w:val="Heading4"/>
      </w:pPr>
      <w:r w:rsidRPr="00FF3391">
        <w:t xml:space="preserve">Attendance rates, </w:t>
      </w:r>
      <w:r w:rsidR="00735213">
        <w:t>students with disability</w:t>
      </w:r>
      <w:r w:rsidR="0012052B">
        <w:t xml:space="preserve"> and</w:t>
      </w:r>
      <w:r w:rsidR="00735213">
        <w:t xml:space="preserve"> </w:t>
      </w:r>
      <w:r w:rsidRPr="00FF3391">
        <w:t>c</w:t>
      </w:r>
      <w:r w:rsidR="00666ECE" w:rsidRPr="00FF3391">
        <w:t>ompletion rates</w:t>
      </w:r>
    </w:p>
    <w:p w:rsidR="00857D89" w:rsidRDefault="00857D89" w:rsidP="00EE64E3">
      <w:pPr>
        <w:pStyle w:val="BodyText"/>
        <w:rPr>
          <w:shd w:val="clear" w:color="auto" w:fill="FFFFFF" w:themeFill="background1"/>
        </w:rPr>
      </w:pPr>
      <w:r w:rsidRPr="00FF3391">
        <w:rPr>
          <w:shd w:val="clear" w:color="auto" w:fill="FFFFFF" w:themeFill="background1"/>
        </w:rPr>
        <w:t xml:space="preserve">Nationally consistent data on students with </w:t>
      </w:r>
      <w:r w:rsidRPr="00EE64E3">
        <w:rPr>
          <w:shd w:val="clear" w:color="auto" w:fill="FFFFFF" w:themeFill="background1"/>
        </w:rPr>
        <w:t>disability is under development</w:t>
      </w:r>
      <w:r w:rsidR="0012052B" w:rsidRPr="00EE64E3">
        <w:rPr>
          <w:shd w:val="clear" w:color="auto" w:fill="FFFFFF" w:themeFill="background1"/>
        </w:rPr>
        <w:t xml:space="preserve"> for future reporting</w:t>
      </w:r>
      <w:r w:rsidRPr="00EE64E3">
        <w:rPr>
          <w:shd w:val="clear" w:color="auto" w:fill="FFFFFF" w:themeFill="background1"/>
        </w:rPr>
        <w:t>.</w:t>
      </w:r>
      <w:r>
        <w:rPr>
          <w:shd w:val="clear" w:color="auto" w:fill="FFFFFF" w:themeFill="background1"/>
        </w:rPr>
        <w:t xml:space="preserve"> </w:t>
      </w:r>
    </w:p>
    <w:p w:rsidR="00666ECE" w:rsidRPr="00FF3391" w:rsidRDefault="00666ECE" w:rsidP="00257C8E">
      <w:pPr>
        <w:pStyle w:val="BodyText"/>
      </w:pPr>
      <w:r w:rsidRPr="00FF3391">
        <w:t xml:space="preserve">The year 12 completion rate included in this Report </w:t>
      </w:r>
      <w:r w:rsidR="00857D89">
        <w:t>is</w:t>
      </w:r>
      <w:r w:rsidR="00FF3391" w:rsidRPr="00FF3391">
        <w:t xml:space="preserve"> under review</w:t>
      </w:r>
      <w:r w:rsidRPr="00FF3391">
        <w:t xml:space="preserve"> and a nationally comparable measure </w:t>
      </w:r>
      <w:r w:rsidR="00FF3391" w:rsidRPr="00FF3391">
        <w:t>is anticipated to be included</w:t>
      </w:r>
      <w:r w:rsidRPr="00FF3391">
        <w:t xml:space="preserve"> in future Reports.</w:t>
      </w:r>
    </w:p>
    <w:p w:rsidR="00A76E4F" w:rsidRDefault="00A76E4F">
      <w:pPr>
        <w:rPr>
          <w:szCs w:val="20"/>
        </w:rPr>
      </w:pPr>
      <w:r>
        <w:br w:type="page"/>
      </w:r>
    </w:p>
    <w:p w:rsidR="00666ECE" w:rsidRDefault="007B0AE2" w:rsidP="007B0AE2">
      <w:pPr>
        <w:pStyle w:val="Heading2nosectionno"/>
      </w:pPr>
      <w:bookmarkStart w:id="26" w:name="_Toc433298258"/>
      <w:r>
        <w:lastRenderedPageBreak/>
        <w:t>4.</w:t>
      </w:r>
      <w:r w:rsidR="00033D89">
        <w:t>5</w:t>
      </w:r>
      <w:r>
        <w:tab/>
      </w:r>
      <w:r w:rsidR="00666ECE" w:rsidRPr="00666ECE">
        <w:t>Definitions of key terms</w:t>
      </w:r>
      <w:bookmarkEnd w:id="26"/>
      <w:r w:rsidR="00666ECE" w:rsidRPr="00666ECE">
        <w:t xml:space="preserve"> </w:t>
      </w:r>
    </w:p>
    <w:p w:rsidR="003C1457" w:rsidRPr="00666ECE" w:rsidRDefault="003C1457" w:rsidP="00AD7395">
      <w:pPr>
        <w:pStyle w:val="Space"/>
      </w:pPr>
    </w:p>
    <w:tbl>
      <w:tblPr>
        <w:tblW w:w="0" w:type="auto"/>
        <w:tblLayout w:type="fixed"/>
        <w:tblCellMar>
          <w:left w:w="0" w:type="dxa"/>
          <w:right w:w="0" w:type="dxa"/>
        </w:tblCellMar>
        <w:tblLook w:val="0000" w:firstRow="0" w:lastRow="0" w:firstColumn="0" w:lastColumn="0" w:noHBand="0" w:noVBand="0"/>
      </w:tblPr>
      <w:tblGrid>
        <w:gridCol w:w="2410"/>
        <w:gridCol w:w="6379"/>
      </w:tblGrid>
      <w:tr w:rsidR="0012052B" w:rsidRPr="00666ECE" w:rsidTr="00EE64E3">
        <w:tc>
          <w:tcPr>
            <w:tcW w:w="2410" w:type="dxa"/>
          </w:tcPr>
          <w:p w:rsidR="0012052B" w:rsidRPr="00666ECE" w:rsidRDefault="0012052B" w:rsidP="00F47D1B">
            <w:pPr>
              <w:keepNext/>
              <w:keepLines/>
              <w:spacing w:before="60" w:after="60" w:line="220" w:lineRule="atLeast"/>
              <w:ind w:right="113"/>
              <w:rPr>
                <w:rFonts w:ascii="Arial" w:hAnsi="Arial"/>
                <w:b/>
                <w:sz w:val="20"/>
                <w:szCs w:val="20"/>
              </w:rPr>
            </w:pPr>
            <w:r>
              <w:rPr>
                <w:rFonts w:ascii="Arial" w:hAnsi="Arial"/>
                <w:b/>
                <w:sz w:val="20"/>
                <w:szCs w:val="20"/>
              </w:rPr>
              <w:t>Aboriginal and Torres Strait Islander</w:t>
            </w:r>
            <w:r w:rsidRPr="00666ECE">
              <w:rPr>
                <w:rFonts w:ascii="Arial" w:hAnsi="Arial"/>
                <w:b/>
                <w:sz w:val="20"/>
                <w:szCs w:val="20"/>
              </w:rPr>
              <w:t xml:space="preserve"> student</w:t>
            </w:r>
            <w:r>
              <w:rPr>
                <w:rFonts w:ascii="Arial" w:hAnsi="Arial"/>
                <w:b/>
                <w:sz w:val="20"/>
                <w:szCs w:val="20"/>
              </w:rPr>
              <w:t>s</w:t>
            </w:r>
          </w:p>
        </w:tc>
        <w:tc>
          <w:tcPr>
            <w:tcW w:w="6379" w:type="dxa"/>
          </w:tcPr>
          <w:p w:rsidR="0012052B" w:rsidRPr="00666ECE" w:rsidRDefault="0012052B" w:rsidP="00F47D1B">
            <w:pPr>
              <w:keepNext/>
              <w:keepLines/>
              <w:spacing w:before="60" w:after="60" w:line="220" w:lineRule="atLeast"/>
              <w:ind w:right="28"/>
              <w:rPr>
                <w:rFonts w:ascii="Arial" w:hAnsi="Arial"/>
                <w:sz w:val="20"/>
                <w:szCs w:val="20"/>
              </w:rPr>
            </w:pPr>
            <w:r>
              <w:rPr>
                <w:rFonts w:ascii="Arial" w:hAnsi="Arial"/>
                <w:sz w:val="20"/>
                <w:szCs w:val="20"/>
              </w:rPr>
              <w:t>Students</w:t>
            </w:r>
            <w:r w:rsidRPr="00666ECE">
              <w:rPr>
                <w:rFonts w:ascii="Arial" w:hAnsi="Arial"/>
                <w:sz w:val="20"/>
                <w:szCs w:val="20"/>
              </w:rPr>
              <w:t xml:space="preserve"> of Aboriginal or Torres Strait Islander origin who identif</w:t>
            </w:r>
            <w:r>
              <w:rPr>
                <w:rFonts w:ascii="Arial" w:hAnsi="Arial"/>
                <w:sz w:val="20"/>
                <w:szCs w:val="20"/>
              </w:rPr>
              <w:t>y</w:t>
            </w:r>
            <w:r w:rsidRPr="00666ECE">
              <w:rPr>
                <w:rFonts w:ascii="Arial" w:hAnsi="Arial"/>
                <w:sz w:val="20"/>
                <w:szCs w:val="20"/>
              </w:rPr>
              <w:t xml:space="preserve"> as being an Aboriginal or Torres Strait Islander or from an Aboriginal and Torres Strait Islander background. Administrative processes for determining Indigenous status vary across jurisdictions. For NAPLAN data, a student is considered to be 'Indigenous' if he or she identifies as being of Aboriginal and/or Torres Strait Islander origin.</w:t>
            </w:r>
          </w:p>
        </w:tc>
      </w:tr>
      <w:tr w:rsidR="0012052B" w:rsidRPr="00666ECE" w:rsidTr="00EE64E3">
        <w:tc>
          <w:tcPr>
            <w:tcW w:w="2410" w:type="dxa"/>
          </w:tcPr>
          <w:p w:rsidR="0012052B" w:rsidRPr="00666ECE" w:rsidRDefault="0012052B" w:rsidP="00666ECE">
            <w:pPr>
              <w:keepNext/>
              <w:keepLines/>
              <w:spacing w:before="60" w:after="60" w:line="220" w:lineRule="atLeast"/>
              <w:ind w:right="113"/>
              <w:rPr>
                <w:rFonts w:ascii="Arial" w:hAnsi="Arial"/>
                <w:b/>
                <w:sz w:val="20"/>
                <w:szCs w:val="20"/>
              </w:rPr>
            </w:pPr>
            <w:r w:rsidRPr="00666ECE">
              <w:rPr>
                <w:rFonts w:ascii="Arial" w:hAnsi="Arial"/>
                <w:b/>
                <w:sz w:val="20"/>
                <w:szCs w:val="20"/>
              </w:rPr>
              <w:t>Apparent retention rates</w:t>
            </w:r>
          </w:p>
        </w:tc>
        <w:tc>
          <w:tcPr>
            <w:tcW w:w="6379" w:type="dxa"/>
          </w:tcPr>
          <w:p w:rsidR="0012052B" w:rsidRPr="00666ECE" w:rsidRDefault="0012052B" w:rsidP="00353C55">
            <w:pPr>
              <w:keepNext/>
              <w:keepLines/>
              <w:spacing w:before="60" w:after="60" w:line="220" w:lineRule="atLeast"/>
              <w:ind w:right="28"/>
              <w:rPr>
                <w:rFonts w:ascii="Arial" w:hAnsi="Arial"/>
                <w:sz w:val="20"/>
                <w:szCs w:val="20"/>
              </w:rPr>
            </w:pPr>
            <w:r w:rsidRPr="00666ECE">
              <w:rPr>
                <w:rFonts w:ascii="Arial" w:hAnsi="Arial"/>
                <w:sz w:val="20"/>
                <w:szCs w:val="20"/>
              </w:rPr>
              <w:t xml:space="preserve">The number of full time students in a designated year of schooling, expressed as a percentage of their respective cohort group at an earlier base year. For example, the year </w:t>
            </w:r>
            <w:r>
              <w:rPr>
                <w:rFonts w:ascii="Arial" w:hAnsi="Arial"/>
                <w:sz w:val="20"/>
                <w:szCs w:val="20"/>
              </w:rPr>
              <w:t>10-</w:t>
            </w:r>
            <w:r w:rsidRPr="00EE64E3">
              <w:rPr>
                <w:rFonts w:ascii="Arial" w:hAnsi="Arial"/>
                <w:sz w:val="20"/>
                <w:szCs w:val="20"/>
                <w:shd w:val="clear" w:color="auto" w:fill="FFFFFF" w:themeFill="background1"/>
              </w:rPr>
              <w:t xml:space="preserve">12 </w:t>
            </w:r>
            <w:r w:rsidR="007306CB" w:rsidRPr="00EE64E3">
              <w:rPr>
                <w:rFonts w:ascii="Arial" w:hAnsi="Arial"/>
                <w:sz w:val="20"/>
                <w:szCs w:val="20"/>
                <w:shd w:val="clear" w:color="auto" w:fill="FFFFFF" w:themeFill="background1"/>
              </w:rPr>
              <w:t xml:space="preserve">apparent </w:t>
            </w:r>
            <w:r w:rsidRPr="00EE64E3">
              <w:rPr>
                <w:rFonts w:ascii="Arial" w:hAnsi="Arial"/>
                <w:sz w:val="20"/>
                <w:szCs w:val="20"/>
                <w:shd w:val="clear" w:color="auto" w:fill="FFFFFF" w:themeFill="background1"/>
              </w:rPr>
              <w:t>r</w:t>
            </w:r>
            <w:r w:rsidRPr="00666ECE">
              <w:rPr>
                <w:rFonts w:ascii="Arial" w:hAnsi="Arial"/>
                <w:sz w:val="20"/>
                <w:szCs w:val="20"/>
              </w:rPr>
              <w:t>etention rate is calculated by dividing the total number of full time students in year 12 in the target year by the total number of full time students in year 10 two years before the target year.</w:t>
            </w:r>
          </w:p>
        </w:tc>
      </w:tr>
      <w:tr w:rsidR="0012052B" w:rsidRPr="00CD50C4" w:rsidTr="00197701">
        <w:tblPrEx>
          <w:tblCellMar>
            <w:left w:w="108" w:type="dxa"/>
            <w:right w:w="108" w:type="dxa"/>
          </w:tblCellMar>
        </w:tblPrEx>
        <w:trPr>
          <w:cantSplit/>
        </w:trPr>
        <w:tc>
          <w:tcPr>
            <w:tcW w:w="2410" w:type="dxa"/>
            <w:shd w:val="clear" w:color="auto" w:fill="FFFFFF" w:themeFill="background1"/>
          </w:tcPr>
          <w:p w:rsidR="0012052B" w:rsidRPr="00197701" w:rsidRDefault="0012052B" w:rsidP="00197701">
            <w:pPr>
              <w:pStyle w:val="TableBodyText"/>
              <w:spacing w:beforeLines="60" w:before="144" w:after="60"/>
              <w:ind w:left="-108"/>
              <w:jc w:val="left"/>
              <w:rPr>
                <w:b/>
                <w:sz w:val="20"/>
              </w:rPr>
            </w:pPr>
            <w:r w:rsidRPr="00197701">
              <w:rPr>
                <w:b/>
                <w:sz w:val="20"/>
              </w:rPr>
              <w:t>Comparability</w:t>
            </w:r>
          </w:p>
        </w:tc>
        <w:tc>
          <w:tcPr>
            <w:tcW w:w="6379" w:type="dxa"/>
            <w:shd w:val="clear" w:color="auto" w:fill="FFFFFF" w:themeFill="background1"/>
          </w:tcPr>
          <w:p w:rsidR="0012052B" w:rsidRPr="00B34EF1" w:rsidRDefault="0012052B" w:rsidP="00197701">
            <w:pPr>
              <w:pStyle w:val="TableBodyText"/>
              <w:spacing w:before="60" w:after="60" w:line="220" w:lineRule="atLeast"/>
              <w:ind w:left="-108" w:right="57"/>
              <w:jc w:val="left"/>
              <w:rPr>
                <w:sz w:val="20"/>
              </w:rPr>
            </w:pPr>
            <w:r w:rsidRPr="00B34EF1">
              <w:rPr>
                <w:sz w:val="20"/>
              </w:rPr>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12052B" w:rsidRPr="00CD50C4" w:rsidTr="007D6009">
        <w:tblPrEx>
          <w:tblCellMar>
            <w:left w:w="108" w:type="dxa"/>
            <w:right w:w="108" w:type="dxa"/>
          </w:tblCellMar>
        </w:tblPrEx>
        <w:trPr>
          <w:cantSplit/>
        </w:trPr>
        <w:tc>
          <w:tcPr>
            <w:tcW w:w="2410" w:type="dxa"/>
            <w:shd w:val="clear" w:color="auto" w:fill="FFFFFF" w:themeFill="background1"/>
          </w:tcPr>
          <w:p w:rsidR="0012052B" w:rsidRPr="00197701" w:rsidRDefault="0012052B" w:rsidP="00197701">
            <w:pPr>
              <w:pStyle w:val="TableBodyText"/>
              <w:spacing w:beforeLines="60" w:before="144" w:after="60"/>
              <w:ind w:left="-108"/>
              <w:jc w:val="left"/>
              <w:rPr>
                <w:b/>
                <w:sz w:val="20"/>
              </w:rPr>
            </w:pPr>
            <w:r w:rsidRPr="00197701">
              <w:rPr>
                <w:b/>
                <w:sz w:val="20"/>
              </w:rPr>
              <w:t>Completeness</w:t>
            </w:r>
          </w:p>
        </w:tc>
        <w:tc>
          <w:tcPr>
            <w:tcW w:w="6379" w:type="dxa"/>
            <w:shd w:val="clear" w:color="auto" w:fill="FFFFFF" w:themeFill="background1"/>
          </w:tcPr>
          <w:p w:rsidR="0012052B" w:rsidRPr="00B34EF1" w:rsidRDefault="0012052B" w:rsidP="00B34EF1">
            <w:pPr>
              <w:pStyle w:val="TableBodyText"/>
              <w:spacing w:before="60" w:after="60" w:line="220" w:lineRule="atLeast"/>
              <w:ind w:left="-108" w:right="57"/>
              <w:jc w:val="left"/>
              <w:rPr>
                <w:sz w:val="20"/>
              </w:rPr>
            </w:pPr>
            <w:r w:rsidRPr="00B34EF1">
              <w:rPr>
                <w:sz w:val="20"/>
              </w:rPr>
              <w:t>Data are considered complete if all required data are available for all jurisdictions that provide the service.</w:t>
            </w:r>
          </w:p>
        </w:tc>
      </w:tr>
      <w:tr w:rsidR="0012052B" w:rsidRPr="00666ECE" w:rsidTr="003A2619">
        <w:tc>
          <w:tcPr>
            <w:tcW w:w="2410" w:type="dxa"/>
          </w:tcPr>
          <w:p w:rsidR="0012052B" w:rsidRPr="00666ECE" w:rsidRDefault="0012052B" w:rsidP="00666ECE">
            <w:pPr>
              <w:keepNext/>
              <w:keepLines/>
              <w:spacing w:before="60" w:after="60" w:line="220" w:lineRule="atLeast"/>
              <w:ind w:right="113"/>
              <w:rPr>
                <w:rFonts w:ascii="Arial" w:hAnsi="Arial"/>
                <w:b/>
                <w:sz w:val="20"/>
                <w:szCs w:val="20"/>
              </w:rPr>
            </w:pPr>
            <w:r w:rsidRPr="00666ECE">
              <w:rPr>
                <w:rFonts w:ascii="Arial" w:hAnsi="Arial"/>
                <w:b/>
                <w:sz w:val="20"/>
                <w:szCs w:val="20"/>
              </w:rPr>
              <w:t>Full time equivalent student</w:t>
            </w:r>
          </w:p>
        </w:tc>
        <w:tc>
          <w:tcPr>
            <w:tcW w:w="6379" w:type="dxa"/>
          </w:tcPr>
          <w:p w:rsidR="0012052B" w:rsidRPr="00666ECE" w:rsidRDefault="0012052B" w:rsidP="00666ECE">
            <w:pPr>
              <w:keepNext/>
              <w:keepLines/>
              <w:spacing w:before="60" w:after="60" w:line="220" w:lineRule="atLeast"/>
              <w:ind w:right="28"/>
              <w:rPr>
                <w:rFonts w:ascii="Arial" w:hAnsi="Arial"/>
                <w:sz w:val="20"/>
                <w:szCs w:val="20"/>
              </w:rPr>
            </w:pPr>
            <w:r w:rsidRPr="00666ECE">
              <w:rPr>
                <w:rFonts w:ascii="Arial" w:hAnsi="Arial"/>
                <w:sz w:val="20"/>
                <w:szCs w:val="20"/>
              </w:rPr>
              <w:t>The FTE of a full time student is 1.0. The method of converting part time student numbers into FTEs is based on the student’s workload compared with the workload usually undertaken by a full time student.</w:t>
            </w:r>
          </w:p>
        </w:tc>
      </w:tr>
      <w:tr w:rsidR="0012052B" w:rsidRPr="00666ECE" w:rsidTr="003A2619">
        <w:tc>
          <w:tcPr>
            <w:tcW w:w="2410" w:type="dxa"/>
          </w:tcPr>
          <w:p w:rsidR="0012052B" w:rsidRPr="00666ECE" w:rsidRDefault="0012052B" w:rsidP="00666ECE">
            <w:pPr>
              <w:keepNext/>
              <w:keepLines/>
              <w:spacing w:before="60" w:after="60" w:line="220" w:lineRule="atLeast"/>
              <w:ind w:right="113"/>
              <w:rPr>
                <w:rFonts w:ascii="Arial" w:hAnsi="Arial"/>
                <w:b/>
                <w:sz w:val="20"/>
                <w:szCs w:val="20"/>
              </w:rPr>
            </w:pPr>
            <w:r w:rsidRPr="00666ECE">
              <w:rPr>
                <w:rFonts w:ascii="Arial" w:hAnsi="Arial"/>
                <w:b/>
                <w:sz w:val="20"/>
                <w:szCs w:val="20"/>
              </w:rPr>
              <w:t>Full time student</w:t>
            </w:r>
          </w:p>
        </w:tc>
        <w:tc>
          <w:tcPr>
            <w:tcW w:w="6379" w:type="dxa"/>
          </w:tcPr>
          <w:p w:rsidR="0012052B" w:rsidRPr="00666ECE" w:rsidRDefault="0012052B" w:rsidP="00666ECE">
            <w:pPr>
              <w:keepNext/>
              <w:keepLines/>
              <w:spacing w:before="60" w:after="60" w:line="220" w:lineRule="atLeast"/>
              <w:ind w:right="28"/>
              <w:rPr>
                <w:rFonts w:ascii="Arial" w:hAnsi="Arial"/>
                <w:sz w:val="20"/>
                <w:szCs w:val="20"/>
              </w:rPr>
            </w:pPr>
            <w:r w:rsidRPr="00666ECE">
              <w:rPr>
                <w:rFonts w:ascii="Arial" w:hAnsi="Arial"/>
                <w:sz w:val="20"/>
                <w:szCs w:val="20"/>
              </w:rPr>
              <w:t>A person who satisfies the definition of a student and undertakes a workload equivalent to, or greater than, that usually undertaken by a student of that year level. The definition of full time student varies across jurisdictions.</w:t>
            </w:r>
          </w:p>
        </w:tc>
      </w:tr>
      <w:tr w:rsidR="0012052B" w:rsidRPr="00666ECE" w:rsidTr="003A2619">
        <w:tc>
          <w:tcPr>
            <w:tcW w:w="2410" w:type="dxa"/>
          </w:tcPr>
          <w:p w:rsidR="0012052B" w:rsidRPr="00666ECE" w:rsidRDefault="0012052B" w:rsidP="00666ECE">
            <w:pPr>
              <w:keepNext/>
              <w:keepLines/>
              <w:spacing w:before="60" w:after="60" w:line="220" w:lineRule="atLeast"/>
              <w:ind w:right="113"/>
              <w:rPr>
                <w:rFonts w:ascii="Arial" w:hAnsi="Arial"/>
                <w:b/>
                <w:sz w:val="20"/>
                <w:szCs w:val="20"/>
              </w:rPr>
            </w:pPr>
            <w:r w:rsidRPr="00666ECE">
              <w:rPr>
                <w:rFonts w:ascii="Arial" w:hAnsi="Arial"/>
                <w:b/>
                <w:sz w:val="20"/>
                <w:szCs w:val="20"/>
              </w:rPr>
              <w:t>Geographic classification</w:t>
            </w:r>
          </w:p>
        </w:tc>
        <w:tc>
          <w:tcPr>
            <w:tcW w:w="6379" w:type="dxa"/>
          </w:tcPr>
          <w:p w:rsidR="0012052B" w:rsidRPr="00666ECE" w:rsidRDefault="0012052B" w:rsidP="00666ECE">
            <w:pPr>
              <w:keepNext/>
              <w:keepLines/>
              <w:spacing w:before="60" w:after="60" w:line="220" w:lineRule="atLeast"/>
              <w:ind w:right="113"/>
              <w:rPr>
                <w:rFonts w:ascii="Arial" w:hAnsi="Arial"/>
                <w:sz w:val="20"/>
                <w:szCs w:val="20"/>
              </w:rPr>
            </w:pPr>
            <w:r w:rsidRPr="00666ECE">
              <w:rPr>
                <w:rFonts w:ascii="Arial" w:hAnsi="Arial"/>
                <w:sz w:val="20"/>
                <w:szCs w:val="20"/>
              </w:rPr>
              <w:t>Geographic categorisation is based on the agreed MCEECDYA Geographic Location Classification which, at the highest level, divides Australia into three zones (the metropolitan, provincial and remote zones). A further disaggregation comprises five categories: metropolitan and provincial zones each subdivided into two categories, and the remote zone. Further subdivisions of the two provincial zone categories and the remote zone category provide additional, more detailed, classification options. When data permit, a separate very remote zone can be reported along with the metropolitan, provincial and remote zones, as follows.</w:t>
            </w:r>
          </w:p>
          <w:p w:rsidR="0012052B" w:rsidRPr="00666ECE" w:rsidRDefault="0012052B" w:rsidP="00666ECE">
            <w:pPr>
              <w:keepNext/>
              <w:keepLines/>
              <w:spacing w:before="60" w:after="60" w:line="220" w:lineRule="atLeast"/>
              <w:ind w:right="113"/>
              <w:rPr>
                <w:rFonts w:ascii="Arial" w:hAnsi="Arial"/>
                <w:sz w:val="20"/>
                <w:szCs w:val="20"/>
              </w:rPr>
            </w:pPr>
            <w:r w:rsidRPr="00666ECE">
              <w:rPr>
                <w:rFonts w:ascii="Arial" w:hAnsi="Arial"/>
                <w:sz w:val="20"/>
                <w:szCs w:val="20"/>
              </w:rPr>
              <w:t>A. Metropolitan zone</w:t>
            </w:r>
          </w:p>
          <w:p w:rsidR="0012052B" w:rsidRPr="00666ECE" w:rsidRDefault="0012052B" w:rsidP="00666ECE">
            <w:pPr>
              <w:keepNext/>
              <w:keepLines/>
              <w:numPr>
                <w:ilvl w:val="0"/>
                <w:numId w:val="22"/>
              </w:numPr>
              <w:spacing w:after="40" w:line="220" w:lineRule="atLeast"/>
              <w:ind w:right="113"/>
              <w:rPr>
                <w:rFonts w:ascii="Arial" w:hAnsi="Arial"/>
                <w:sz w:val="20"/>
                <w:szCs w:val="20"/>
              </w:rPr>
            </w:pPr>
            <w:r w:rsidRPr="00666ECE">
              <w:rPr>
                <w:rFonts w:ascii="Arial" w:hAnsi="Arial"/>
                <w:sz w:val="20"/>
                <w:szCs w:val="20"/>
              </w:rPr>
              <w:t>Mainland State capital city regions (Statistical Divisions (SDs)): Sydney, Melbourne, Brisbane, Adelaide and Perth SDs.</w:t>
            </w:r>
          </w:p>
          <w:p w:rsidR="0012052B" w:rsidRPr="00666ECE" w:rsidRDefault="0012052B" w:rsidP="00666ECE">
            <w:pPr>
              <w:keepNext/>
              <w:keepLines/>
              <w:numPr>
                <w:ilvl w:val="0"/>
                <w:numId w:val="22"/>
              </w:numPr>
              <w:spacing w:after="40" w:line="220" w:lineRule="atLeast"/>
              <w:ind w:right="113"/>
              <w:rPr>
                <w:rFonts w:ascii="Arial" w:hAnsi="Arial"/>
                <w:sz w:val="20"/>
                <w:szCs w:val="20"/>
              </w:rPr>
            </w:pPr>
            <w:r w:rsidRPr="00666ECE">
              <w:rPr>
                <w:rFonts w:ascii="Arial" w:hAnsi="Arial"/>
                <w:sz w:val="20"/>
                <w:szCs w:val="20"/>
              </w:rPr>
              <w:t>Major urban Statistical Districts (100 000 or more population): ACT–Queanbeyan, Cairns, Gold Coast–Tweed, Geelong, Hobart, Newcastle, Sunshine Coast, Townsville, Wollongong.</w:t>
            </w:r>
          </w:p>
          <w:p w:rsidR="0012052B" w:rsidRPr="00666ECE" w:rsidRDefault="0012052B" w:rsidP="00666ECE">
            <w:pPr>
              <w:keepNext/>
              <w:keepLines/>
              <w:spacing w:before="60" w:after="60" w:line="220" w:lineRule="atLeast"/>
              <w:ind w:right="113"/>
              <w:rPr>
                <w:rFonts w:ascii="Arial" w:hAnsi="Arial"/>
                <w:sz w:val="20"/>
                <w:szCs w:val="20"/>
                <w:lang w:val="fr-FR"/>
              </w:rPr>
            </w:pPr>
            <w:r w:rsidRPr="00666ECE">
              <w:rPr>
                <w:rFonts w:ascii="Arial" w:hAnsi="Arial"/>
                <w:sz w:val="20"/>
                <w:szCs w:val="20"/>
                <w:lang w:val="fr-FR"/>
              </w:rPr>
              <w:t>B. Provincial zone (non-remote)</w:t>
            </w:r>
          </w:p>
          <w:p w:rsidR="0012052B" w:rsidRPr="00666ECE" w:rsidRDefault="0012052B" w:rsidP="00666ECE">
            <w:pPr>
              <w:keepNext/>
              <w:keepLines/>
              <w:numPr>
                <w:ilvl w:val="0"/>
                <w:numId w:val="22"/>
              </w:numPr>
              <w:spacing w:after="40" w:line="220" w:lineRule="atLeast"/>
              <w:ind w:right="113"/>
              <w:rPr>
                <w:rFonts w:ascii="Arial" w:hAnsi="Arial"/>
                <w:sz w:val="20"/>
                <w:szCs w:val="20"/>
              </w:rPr>
            </w:pPr>
            <w:r w:rsidRPr="00666ECE">
              <w:rPr>
                <w:rFonts w:ascii="Arial" w:hAnsi="Arial"/>
                <w:sz w:val="20"/>
                <w:szCs w:val="20"/>
              </w:rPr>
              <w:t xml:space="preserve">Provincial city Statistical Districts plus Darwin SD. </w:t>
            </w:r>
          </w:p>
          <w:p w:rsidR="0012052B" w:rsidRPr="00666ECE" w:rsidRDefault="0012052B" w:rsidP="00666ECE">
            <w:pPr>
              <w:keepNext/>
              <w:keepLines/>
              <w:numPr>
                <w:ilvl w:val="0"/>
                <w:numId w:val="22"/>
              </w:numPr>
              <w:tabs>
                <w:tab w:val="left" w:pos="425"/>
              </w:tabs>
              <w:spacing w:after="40" w:line="220" w:lineRule="atLeast"/>
              <w:ind w:left="425" w:right="113" w:hanging="283"/>
              <w:rPr>
                <w:rFonts w:ascii="Arial" w:hAnsi="Arial"/>
                <w:sz w:val="20"/>
                <w:szCs w:val="20"/>
              </w:rPr>
            </w:pPr>
            <w:r w:rsidRPr="00666ECE">
              <w:rPr>
                <w:rFonts w:ascii="Arial" w:hAnsi="Arial"/>
                <w:sz w:val="20"/>
                <w:szCs w:val="20"/>
              </w:rPr>
              <w:t>Provincial city statistical districts and Darwin statistical division (50 000–99 999 population): Albury–Wodonga, Ballarat, Bathurst–Orange, Burnie-Devonport, Bundaberg, Bendigo, Darwin, Launceston, La Trobe Valley, Mackay, Rockhampton, Toowoomba, Wagga Wagga.</w:t>
            </w:r>
          </w:p>
          <w:p w:rsidR="0012052B" w:rsidRPr="00666ECE" w:rsidRDefault="0012052B" w:rsidP="00666ECE">
            <w:pPr>
              <w:keepNext/>
              <w:keepLines/>
              <w:numPr>
                <w:ilvl w:val="0"/>
                <w:numId w:val="22"/>
              </w:numPr>
              <w:tabs>
                <w:tab w:val="left" w:pos="425"/>
              </w:tabs>
              <w:spacing w:after="40" w:line="220" w:lineRule="atLeast"/>
              <w:ind w:left="425" w:right="113" w:hanging="283"/>
              <w:rPr>
                <w:rFonts w:ascii="Arial" w:hAnsi="Arial"/>
                <w:sz w:val="20"/>
                <w:szCs w:val="20"/>
              </w:rPr>
            </w:pPr>
            <w:r w:rsidRPr="00666ECE">
              <w:rPr>
                <w:rFonts w:ascii="Arial" w:hAnsi="Arial"/>
                <w:sz w:val="20"/>
                <w:szCs w:val="20"/>
              </w:rPr>
              <w:lastRenderedPageBreak/>
              <w:t>Provincial City Statistical Districts (25 000–49 999 population): Bunbury, Coffs Harbour, Dubbo, Geraldton, Gladstone, Shepparton, Hervey Bay, Kalgoorlie–Boulder, Lismore, Mandurah, Mildura, Nowra–Bomaderry, Port Macquarie, Tamworth, Warrnambool.</w:t>
            </w:r>
          </w:p>
          <w:p w:rsidR="0012052B" w:rsidRPr="00666ECE" w:rsidRDefault="0012052B" w:rsidP="00666ECE">
            <w:pPr>
              <w:keepNext/>
              <w:keepLines/>
              <w:numPr>
                <w:ilvl w:val="0"/>
                <w:numId w:val="22"/>
              </w:numPr>
              <w:spacing w:after="40" w:line="220" w:lineRule="atLeast"/>
              <w:ind w:right="113"/>
              <w:rPr>
                <w:rFonts w:ascii="Arial" w:hAnsi="Arial"/>
                <w:sz w:val="20"/>
                <w:szCs w:val="20"/>
              </w:rPr>
            </w:pPr>
            <w:r w:rsidRPr="00666ECE">
              <w:rPr>
                <w:rFonts w:ascii="Arial" w:hAnsi="Arial"/>
                <w:sz w:val="20"/>
                <w:szCs w:val="20"/>
              </w:rPr>
              <w:t xml:space="preserve">Other provincial areas (CD ARIA Plus score </w:t>
            </w:r>
            <w:r w:rsidRPr="00666ECE">
              <w:rPr>
                <w:rFonts w:ascii="Arial" w:hAnsi="Arial"/>
                <w:sz w:val="20"/>
                <w:szCs w:val="20"/>
                <w:u w:val="single"/>
              </w:rPr>
              <w:t>&lt;</w:t>
            </w:r>
            <w:r w:rsidRPr="00666ECE">
              <w:rPr>
                <w:rFonts w:ascii="Arial" w:hAnsi="Arial"/>
                <w:sz w:val="20"/>
                <w:szCs w:val="20"/>
              </w:rPr>
              <w:t xml:space="preserve"> 5.92)</w:t>
            </w:r>
          </w:p>
          <w:p w:rsidR="0012052B" w:rsidRPr="00666ECE" w:rsidRDefault="0012052B" w:rsidP="00666ECE">
            <w:pPr>
              <w:keepNext/>
              <w:keepLines/>
              <w:numPr>
                <w:ilvl w:val="0"/>
                <w:numId w:val="22"/>
              </w:numPr>
              <w:tabs>
                <w:tab w:val="left" w:pos="425"/>
              </w:tabs>
              <w:spacing w:after="40" w:line="220" w:lineRule="atLeast"/>
              <w:ind w:right="113" w:hanging="28"/>
              <w:rPr>
                <w:rFonts w:ascii="Arial" w:hAnsi="Arial"/>
                <w:sz w:val="20"/>
                <w:szCs w:val="20"/>
              </w:rPr>
            </w:pPr>
            <w:r w:rsidRPr="00666ECE">
              <w:rPr>
                <w:rFonts w:ascii="Arial" w:hAnsi="Arial"/>
                <w:sz w:val="20"/>
                <w:szCs w:val="20"/>
              </w:rPr>
              <w:t xml:space="preserve">Inner provincial areas (CD ARIA Plus score </w:t>
            </w:r>
            <w:r w:rsidRPr="00666ECE">
              <w:rPr>
                <w:rFonts w:ascii="Arial" w:hAnsi="Arial"/>
                <w:sz w:val="20"/>
                <w:szCs w:val="20"/>
                <w:u w:val="single"/>
              </w:rPr>
              <w:t>&lt;</w:t>
            </w:r>
            <w:r w:rsidRPr="00666ECE">
              <w:rPr>
                <w:rFonts w:ascii="Arial" w:hAnsi="Arial"/>
                <w:sz w:val="20"/>
                <w:szCs w:val="20"/>
              </w:rPr>
              <w:t xml:space="preserve"> 2.4)</w:t>
            </w:r>
          </w:p>
          <w:p w:rsidR="0012052B" w:rsidRPr="00666ECE" w:rsidRDefault="0012052B" w:rsidP="00666ECE">
            <w:pPr>
              <w:keepNext/>
              <w:keepLines/>
              <w:numPr>
                <w:ilvl w:val="0"/>
                <w:numId w:val="22"/>
              </w:numPr>
              <w:tabs>
                <w:tab w:val="left" w:pos="425"/>
              </w:tabs>
              <w:spacing w:after="40" w:line="220" w:lineRule="atLeast"/>
              <w:ind w:right="113" w:hanging="28"/>
              <w:rPr>
                <w:rFonts w:ascii="Arial" w:hAnsi="Arial"/>
                <w:sz w:val="20"/>
                <w:szCs w:val="20"/>
              </w:rPr>
            </w:pPr>
            <w:r w:rsidRPr="00666ECE">
              <w:rPr>
                <w:rFonts w:ascii="Arial" w:hAnsi="Arial"/>
                <w:sz w:val="20"/>
                <w:szCs w:val="20"/>
              </w:rPr>
              <w:t xml:space="preserve">Outer provincial areas (CD ARIA Plus score &gt; 2.4 and </w:t>
            </w:r>
            <w:r w:rsidRPr="00666ECE">
              <w:rPr>
                <w:rFonts w:ascii="Arial" w:hAnsi="Arial"/>
                <w:sz w:val="20"/>
                <w:szCs w:val="20"/>
                <w:u w:val="single"/>
              </w:rPr>
              <w:t>&lt;</w:t>
            </w:r>
            <w:r w:rsidRPr="00666ECE">
              <w:rPr>
                <w:rFonts w:ascii="Arial" w:hAnsi="Arial"/>
                <w:sz w:val="20"/>
                <w:szCs w:val="20"/>
              </w:rPr>
              <w:t xml:space="preserve"> 5.92)</w:t>
            </w:r>
          </w:p>
          <w:p w:rsidR="0012052B" w:rsidRPr="00666ECE" w:rsidRDefault="0012052B" w:rsidP="00666ECE">
            <w:pPr>
              <w:keepNext/>
              <w:keepLines/>
              <w:spacing w:before="60" w:after="60" w:line="220" w:lineRule="atLeast"/>
              <w:ind w:right="113"/>
              <w:rPr>
                <w:rFonts w:ascii="Arial" w:hAnsi="Arial"/>
                <w:sz w:val="20"/>
                <w:szCs w:val="20"/>
              </w:rPr>
            </w:pPr>
            <w:r w:rsidRPr="00666ECE">
              <w:rPr>
                <w:rFonts w:ascii="Arial" w:hAnsi="Arial"/>
                <w:sz w:val="20"/>
                <w:szCs w:val="20"/>
              </w:rPr>
              <w:t>C. Remote zone</w:t>
            </w:r>
          </w:p>
          <w:p w:rsidR="0012052B" w:rsidRPr="00666ECE" w:rsidRDefault="0012052B" w:rsidP="00666ECE">
            <w:pPr>
              <w:keepNext/>
              <w:keepLines/>
              <w:numPr>
                <w:ilvl w:val="0"/>
                <w:numId w:val="22"/>
              </w:numPr>
              <w:spacing w:after="40" w:line="220" w:lineRule="atLeast"/>
              <w:ind w:right="113"/>
              <w:rPr>
                <w:rFonts w:ascii="Arial" w:hAnsi="Arial"/>
                <w:sz w:val="20"/>
                <w:szCs w:val="20"/>
                <w:lang w:val="fr-FR"/>
              </w:rPr>
            </w:pPr>
            <w:r w:rsidRPr="00666ECE">
              <w:rPr>
                <w:rFonts w:ascii="Arial" w:hAnsi="Arial"/>
                <w:sz w:val="20"/>
                <w:szCs w:val="20"/>
                <w:lang w:val="fr-FR"/>
              </w:rPr>
              <w:t>Remote zone (CD ARIA Plus score &gt; 5.92)</w:t>
            </w:r>
          </w:p>
          <w:p w:rsidR="0012052B" w:rsidRPr="00666ECE" w:rsidRDefault="0012052B" w:rsidP="00666ECE">
            <w:pPr>
              <w:keepNext/>
              <w:keepLines/>
              <w:numPr>
                <w:ilvl w:val="0"/>
                <w:numId w:val="22"/>
              </w:numPr>
              <w:tabs>
                <w:tab w:val="left" w:pos="425"/>
              </w:tabs>
              <w:spacing w:after="40" w:line="220" w:lineRule="atLeast"/>
              <w:ind w:right="113" w:hanging="28"/>
              <w:rPr>
                <w:rFonts w:ascii="Arial" w:hAnsi="Arial"/>
                <w:sz w:val="20"/>
                <w:szCs w:val="20"/>
              </w:rPr>
            </w:pPr>
            <w:r w:rsidRPr="00666ECE">
              <w:rPr>
                <w:rFonts w:ascii="Arial" w:hAnsi="Arial"/>
                <w:sz w:val="20"/>
                <w:szCs w:val="20"/>
              </w:rPr>
              <w:t xml:space="preserve">Remote areas (CD ARIA Plus score &gt; 5.92 and </w:t>
            </w:r>
            <w:r w:rsidRPr="00666ECE">
              <w:rPr>
                <w:rFonts w:ascii="Arial" w:hAnsi="Arial"/>
                <w:sz w:val="20"/>
                <w:szCs w:val="20"/>
                <w:u w:val="single"/>
              </w:rPr>
              <w:t xml:space="preserve">&lt; </w:t>
            </w:r>
            <w:r w:rsidRPr="00666ECE">
              <w:rPr>
                <w:rFonts w:ascii="Arial" w:hAnsi="Arial"/>
                <w:sz w:val="20"/>
                <w:szCs w:val="20"/>
              </w:rPr>
              <w:t>10.53)</w:t>
            </w:r>
          </w:p>
          <w:p w:rsidR="0012052B" w:rsidRPr="00666ECE" w:rsidRDefault="0012052B" w:rsidP="00666ECE">
            <w:pPr>
              <w:keepNext/>
              <w:keepLines/>
              <w:numPr>
                <w:ilvl w:val="0"/>
                <w:numId w:val="22"/>
              </w:numPr>
              <w:tabs>
                <w:tab w:val="left" w:pos="425"/>
              </w:tabs>
              <w:spacing w:after="40" w:line="220" w:lineRule="atLeast"/>
              <w:ind w:right="113" w:hanging="28"/>
              <w:rPr>
                <w:rFonts w:ascii="Arial" w:hAnsi="Arial"/>
                <w:sz w:val="20"/>
                <w:szCs w:val="20"/>
              </w:rPr>
            </w:pPr>
            <w:r w:rsidRPr="00666ECE">
              <w:rPr>
                <w:rFonts w:ascii="Arial" w:hAnsi="Arial"/>
                <w:sz w:val="20"/>
                <w:szCs w:val="20"/>
              </w:rPr>
              <w:t>Very remote areas (CD ARIA Plus score &gt; 10.53)</w:t>
            </w:r>
          </w:p>
          <w:p w:rsidR="0012052B" w:rsidRPr="00666ECE" w:rsidRDefault="0012052B" w:rsidP="00666ECE">
            <w:pPr>
              <w:keepNext/>
              <w:keepLines/>
              <w:tabs>
                <w:tab w:val="left" w:pos="425"/>
              </w:tabs>
              <w:spacing w:after="40" w:line="220" w:lineRule="atLeast"/>
              <w:ind w:left="142" w:right="113"/>
              <w:rPr>
                <w:rFonts w:ascii="Arial" w:hAnsi="Arial"/>
                <w:sz w:val="20"/>
                <w:szCs w:val="20"/>
              </w:rPr>
            </w:pPr>
          </w:p>
        </w:tc>
      </w:tr>
      <w:tr w:rsidR="0012052B" w:rsidRPr="00666ECE" w:rsidTr="003A2619">
        <w:tc>
          <w:tcPr>
            <w:tcW w:w="2410" w:type="dxa"/>
          </w:tcPr>
          <w:p w:rsidR="0012052B" w:rsidRPr="00666ECE" w:rsidRDefault="0012052B" w:rsidP="00666ECE">
            <w:pPr>
              <w:keepNext/>
              <w:keepLines/>
              <w:spacing w:before="60" w:after="60" w:line="220" w:lineRule="atLeast"/>
              <w:ind w:right="113"/>
              <w:rPr>
                <w:rFonts w:ascii="Arial" w:hAnsi="Arial"/>
                <w:b/>
                <w:sz w:val="20"/>
                <w:szCs w:val="20"/>
              </w:rPr>
            </w:pPr>
            <w:r w:rsidRPr="00666ECE">
              <w:rPr>
                <w:rFonts w:ascii="Arial" w:hAnsi="Arial"/>
                <w:b/>
                <w:sz w:val="20"/>
                <w:szCs w:val="20"/>
              </w:rPr>
              <w:lastRenderedPageBreak/>
              <w:t>Government recurrent expenditure per full time equivalent student</w:t>
            </w:r>
          </w:p>
        </w:tc>
        <w:tc>
          <w:tcPr>
            <w:tcW w:w="6379" w:type="dxa"/>
          </w:tcPr>
          <w:p w:rsidR="0012052B" w:rsidRPr="00666ECE" w:rsidRDefault="0012052B" w:rsidP="003B6788">
            <w:pPr>
              <w:keepNext/>
              <w:keepLines/>
              <w:spacing w:before="60" w:after="60" w:line="220" w:lineRule="atLeast"/>
              <w:ind w:right="113"/>
              <w:rPr>
                <w:rFonts w:ascii="Arial" w:hAnsi="Arial"/>
                <w:sz w:val="20"/>
                <w:szCs w:val="20"/>
              </w:rPr>
            </w:pPr>
            <w:r w:rsidRPr="00666ECE">
              <w:rPr>
                <w:rFonts w:ascii="Arial" w:hAnsi="Arial"/>
                <w:sz w:val="20"/>
                <w:szCs w:val="20"/>
              </w:rPr>
              <w:t>Total government recurrent expenditure divided by the total number of FTE students. Expenditure is based on the National School Statistics Collection (</w:t>
            </w:r>
            <w:r>
              <w:rPr>
                <w:rFonts w:ascii="Arial" w:hAnsi="Arial"/>
                <w:sz w:val="20"/>
                <w:szCs w:val="20"/>
              </w:rPr>
              <w:t>SCSEEC</w:t>
            </w:r>
            <w:r w:rsidRPr="00666ECE">
              <w:rPr>
                <w:rFonts w:ascii="Arial" w:hAnsi="Arial"/>
                <w:sz w:val="20"/>
                <w:szCs w:val="20"/>
              </w:rPr>
              <w:t xml:space="preserve"> unpublished), with adjustments for notional UCC charges and payroll tax. Notional UCC is included for all jurisdictions and payroll tax estimates are included for those jurisdictions not subject to it (WA and the ACT). Expenditure figures are in financial years and student numbers are in calendar years, so the total number of students is taken as the average of the two years spanned by the calendar year. When calculating the </w:t>
            </w:r>
            <w:r>
              <w:rPr>
                <w:rFonts w:ascii="Arial" w:hAnsi="Arial"/>
                <w:sz w:val="20"/>
                <w:szCs w:val="20"/>
              </w:rPr>
              <w:t>2012-13</w:t>
            </w:r>
            <w:r w:rsidRPr="00666ECE">
              <w:rPr>
                <w:rFonts w:ascii="Arial" w:hAnsi="Arial"/>
                <w:sz w:val="20"/>
                <w:szCs w:val="20"/>
              </w:rPr>
              <w:t xml:space="preserve"> average expenditure per student, for example, the total expenditure figure is at </w:t>
            </w:r>
            <w:r>
              <w:rPr>
                <w:rFonts w:ascii="Arial" w:hAnsi="Arial"/>
                <w:sz w:val="20"/>
                <w:szCs w:val="20"/>
              </w:rPr>
              <w:t>2012-13</w:t>
            </w:r>
            <w:r w:rsidRPr="00666ECE">
              <w:rPr>
                <w:rFonts w:ascii="Arial" w:hAnsi="Arial"/>
                <w:sz w:val="20"/>
                <w:szCs w:val="20"/>
              </w:rPr>
              <w:t xml:space="preserve"> but the total student number figure is the average of student numbers from 20</w:t>
            </w:r>
            <w:r>
              <w:rPr>
                <w:rFonts w:ascii="Arial" w:hAnsi="Arial"/>
                <w:sz w:val="20"/>
                <w:szCs w:val="20"/>
              </w:rPr>
              <w:t>12</w:t>
            </w:r>
            <w:r w:rsidRPr="00666ECE">
              <w:rPr>
                <w:rFonts w:ascii="Arial" w:hAnsi="Arial"/>
                <w:sz w:val="20"/>
                <w:szCs w:val="20"/>
              </w:rPr>
              <w:t xml:space="preserve"> and 201</w:t>
            </w:r>
            <w:r>
              <w:rPr>
                <w:rFonts w:ascii="Arial" w:hAnsi="Arial"/>
                <w:sz w:val="20"/>
                <w:szCs w:val="20"/>
              </w:rPr>
              <w:t>3</w:t>
            </w:r>
            <w:r w:rsidRPr="00666ECE">
              <w:rPr>
                <w:rFonts w:ascii="Arial" w:hAnsi="Arial"/>
                <w:sz w:val="20"/>
                <w:szCs w:val="20"/>
              </w:rPr>
              <w:t>.</w:t>
            </w:r>
          </w:p>
        </w:tc>
      </w:tr>
      <w:tr w:rsidR="0012052B" w:rsidRPr="00666ECE" w:rsidTr="003A2619">
        <w:tc>
          <w:tcPr>
            <w:tcW w:w="2410" w:type="dxa"/>
          </w:tcPr>
          <w:p w:rsidR="0012052B" w:rsidRPr="00666ECE" w:rsidRDefault="0012052B" w:rsidP="00666ECE">
            <w:pPr>
              <w:keepNext/>
              <w:keepLines/>
              <w:spacing w:before="60" w:after="60" w:line="220" w:lineRule="atLeast"/>
              <w:ind w:right="113"/>
              <w:rPr>
                <w:rFonts w:ascii="Arial" w:hAnsi="Arial"/>
                <w:b/>
                <w:sz w:val="20"/>
                <w:szCs w:val="20"/>
              </w:rPr>
            </w:pPr>
            <w:r>
              <w:rPr>
                <w:rFonts w:ascii="Arial" w:hAnsi="Arial"/>
                <w:b/>
                <w:sz w:val="20"/>
                <w:szCs w:val="20"/>
              </w:rPr>
              <w:t>Aboriginal and Torres Strait Islander</w:t>
            </w:r>
            <w:r w:rsidRPr="00666ECE">
              <w:rPr>
                <w:rFonts w:ascii="Arial" w:hAnsi="Arial"/>
                <w:b/>
                <w:sz w:val="20"/>
                <w:szCs w:val="20"/>
              </w:rPr>
              <w:t xml:space="preserve"> student</w:t>
            </w:r>
            <w:r>
              <w:rPr>
                <w:rFonts w:ascii="Arial" w:hAnsi="Arial"/>
                <w:b/>
                <w:sz w:val="20"/>
                <w:szCs w:val="20"/>
              </w:rPr>
              <w:t>s</w:t>
            </w:r>
          </w:p>
        </w:tc>
        <w:tc>
          <w:tcPr>
            <w:tcW w:w="6379" w:type="dxa"/>
          </w:tcPr>
          <w:p w:rsidR="0012052B" w:rsidRPr="00666ECE" w:rsidRDefault="0012052B" w:rsidP="000C2ECE">
            <w:pPr>
              <w:keepNext/>
              <w:keepLines/>
              <w:spacing w:before="60" w:after="60" w:line="220" w:lineRule="atLeast"/>
              <w:ind w:right="28"/>
              <w:rPr>
                <w:rFonts w:ascii="Arial" w:hAnsi="Arial"/>
                <w:sz w:val="20"/>
                <w:szCs w:val="20"/>
              </w:rPr>
            </w:pPr>
            <w:r>
              <w:rPr>
                <w:rFonts w:ascii="Arial" w:hAnsi="Arial"/>
                <w:sz w:val="20"/>
                <w:szCs w:val="20"/>
              </w:rPr>
              <w:t>Students</w:t>
            </w:r>
            <w:r w:rsidRPr="00666ECE">
              <w:rPr>
                <w:rFonts w:ascii="Arial" w:hAnsi="Arial"/>
                <w:sz w:val="20"/>
                <w:szCs w:val="20"/>
              </w:rPr>
              <w:t xml:space="preserve"> of Aboriginal or Torres Strait Islander origin who identif</w:t>
            </w:r>
            <w:r>
              <w:rPr>
                <w:rFonts w:ascii="Arial" w:hAnsi="Arial"/>
                <w:sz w:val="20"/>
                <w:szCs w:val="20"/>
              </w:rPr>
              <w:t>y</w:t>
            </w:r>
            <w:r w:rsidRPr="00666ECE">
              <w:rPr>
                <w:rFonts w:ascii="Arial" w:hAnsi="Arial"/>
                <w:sz w:val="20"/>
                <w:szCs w:val="20"/>
              </w:rPr>
              <w:t xml:space="preserve"> as being an Aboriginal or Torres Strait Islander or from an Aboriginal and Torres Strait Islander background. Administrative processes for determining Indigenous status vary across jurisdictions. For NAPLAN data, a student is considered to be 'Indigenous' if he or she identifies as being of Aboriginal and/or Torres Strait Islander origin.</w:t>
            </w:r>
          </w:p>
        </w:tc>
      </w:tr>
      <w:tr w:rsidR="0012052B" w:rsidRPr="00666ECE" w:rsidTr="003A2619">
        <w:tc>
          <w:tcPr>
            <w:tcW w:w="2410" w:type="dxa"/>
          </w:tcPr>
          <w:p w:rsidR="0012052B" w:rsidRPr="00666ECE" w:rsidRDefault="0012052B" w:rsidP="00666ECE">
            <w:pPr>
              <w:keepNext/>
              <w:keepLines/>
              <w:spacing w:before="60" w:after="60" w:line="220" w:lineRule="atLeast"/>
              <w:ind w:right="113"/>
              <w:rPr>
                <w:rFonts w:ascii="Arial" w:hAnsi="Arial"/>
                <w:b/>
                <w:sz w:val="20"/>
                <w:szCs w:val="20"/>
              </w:rPr>
            </w:pPr>
            <w:r w:rsidRPr="00666ECE">
              <w:rPr>
                <w:rFonts w:ascii="Arial" w:hAnsi="Arial"/>
                <w:b/>
                <w:sz w:val="20"/>
                <w:szCs w:val="20"/>
              </w:rPr>
              <w:t>In-school costs</w:t>
            </w:r>
          </w:p>
        </w:tc>
        <w:tc>
          <w:tcPr>
            <w:tcW w:w="6379" w:type="dxa"/>
          </w:tcPr>
          <w:p w:rsidR="0012052B" w:rsidRPr="00666ECE" w:rsidRDefault="0012052B" w:rsidP="00666ECE">
            <w:pPr>
              <w:keepNext/>
              <w:keepLines/>
              <w:spacing w:before="60" w:after="60" w:line="220" w:lineRule="atLeast"/>
              <w:ind w:right="113"/>
              <w:rPr>
                <w:rFonts w:ascii="Arial" w:hAnsi="Arial"/>
                <w:sz w:val="20"/>
                <w:szCs w:val="20"/>
              </w:rPr>
            </w:pPr>
            <w:r w:rsidRPr="00666ECE">
              <w:rPr>
                <w:rFonts w:ascii="Arial" w:hAnsi="Arial"/>
                <w:sz w:val="20"/>
                <w:szCs w:val="20"/>
              </w:rPr>
              <w:t xml:space="preserve">Costs relating directly to schools. Staff, for example, are categorised as being either in-school or out-of-school. They are categorised as </w:t>
            </w:r>
            <w:r w:rsidRPr="00666ECE">
              <w:rPr>
                <w:rFonts w:ascii="Arial" w:hAnsi="Arial"/>
                <w:sz w:val="20"/>
                <w:szCs w:val="20"/>
              </w:rPr>
              <w:br/>
              <w:t>in-school if they usually spend more than half of their time actively engaged in duties at one or more schools or ancillary education establishments. In-school employee related expenses, for example, represent all salaries, wages awards, allowances and related on costs paid to in-school staff.</w:t>
            </w:r>
          </w:p>
        </w:tc>
      </w:tr>
      <w:tr w:rsidR="0012052B" w:rsidRPr="00666ECE" w:rsidTr="003A2619">
        <w:tc>
          <w:tcPr>
            <w:tcW w:w="2410" w:type="dxa"/>
          </w:tcPr>
          <w:p w:rsidR="0012052B" w:rsidRPr="00666ECE" w:rsidRDefault="0012052B" w:rsidP="00666ECE">
            <w:pPr>
              <w:keepNext/>
              <w:keepLines/>
              <w:spacing w:before="60" w:after="60" w:line="220" w:lineRule="atLeast"/>
              <w:ind w:right="113"/>
              <w:rPr>
                <w:rFonts w:ascii="Arial" w:hAnsi="Arial"/>
                <w:b/>
                <w:sz w:val="20"/>
                <w:szCs w:val="20"/>
              </w:rPr>
            </w:pPr>
            <w:r w:rsidRPr="00666ECE">
              <w:rPr>
                <w:rFonts w:ascii="Arial" w:hAnsi="Arial"/>
                <w:b/>
                <w:sz w:val="20"/>
                <w:szCs w:val="20"/>
              </w:rPr>
              <w:t>Language background other than English (LBOTE) student</w:t>
            </w:r>
          </w:p>
        </w:tc>
        <w:tc>
          <w:tcPr>
            <w:tcW w:w="6379" w:type="dxa"/>
          </w:tcPr>
          <w:p w:rsidR="0012052B" w:rsidRPr="00666ECE" w:rsidRDefault="0012052B" w:rsidP="0066655C">
            <w:pPr>
              <w:keepNext/>
              <w:keepLines/>
              <w:spacing w:before="60" w:after="60" w:line="220" w:lineRule="atLeast"/>
              <w:ind w:right="28"/>
              <w:rPr>
                <w:rFonts w:ascii="Arial" w:hAnsi="Arial"/>
                <w:sz w:val="20"/>
                <w:szCs w:val="20"/>
              </w:rPr>
            </w:pPr>
            <w:r w:rsidRPr="00666ECE">
              <w:rPr>
                <w:rFonts w:ascii="Arial" w:hAnsi="Arial"/>
                <w:sz w:val="20"/>
                <w:szCs w:val="20"/>
              </w:rPr>
              <w:t xml:space="preserve">A status that is determined by administrative processes that vary across jurisdictions. For NAPLAN data, a student is considered to be 'LBOTE' if either the student or parents/guardians speak a language other than English at home. </w:t>
            </w:r>
            <w:r>
              <w:rPr>
                <w:rFonts w:ascii="Arial" w:hAnsi="Arial"/>
                <w:sz w:val="20"/>
                <w:szCs w:val="20"/>
              </w:rPr>
              <w:t>Separately, data are also sourced from the 2011 Census of Population and Housing.</w:t>
            </w:r>
          </w:p>
        </w:tc>
      </w:tr>
      <w:tr w:rsidR="0012052B" w:rsidRPr="00666ECE" w:rsidTr="003A2619">
        <w:tc>
          <w:tcPr>
            <w:tcW w:w="2410" w:type="dxa"/>
          </w:tcPr>
          <w:p w:rsidR="0012052B" w:rsidRPr="00666ECE" w:rsidRDefault="0012052B" w:rsidP="00666ECE">
            <w:pPr>
              <w:keepNext/>
              <w:keepLines/>
              <w:spacing w:before="60" w:after="60" w:line="220" w:lineRule="atLeast"/>
              <w:ind w:right="113"/>
              <w:rPr>
                <w:rFonts w:ascii="Arial" w:hAnsi="Arial"/>
                <w:b/>
                <w:sz w:val="20"/>
                <w:szCs w:val="20"/>
              </w:rPr>
            </w:pPr>
            <w:r w:rsidRPr="00666ECE">
              <w:rPr>
                <w:rFonts w:ascii="Arial" w:hAnsi="Arial"/>
                <w:b/>
                <w:sz w:val="20"/>
                <w:szCs w:val="20"/>
              </w:rPr>
              <w:t>Out-of-school costs</w:t>
            </w:r>
          </w:p>
        </w:tc>
        <w:tc>
          <w:tcPr>
            <w:tcW w:w="6379" w:type="dxa"/>
          </w:tcPr>
          <w:p w:rsidR="0012052B" w:rsidRPr="00666ECE" w:rsidRDefault="0012052B" w:rsidP="00666ECE">
            <w:pPr>
              <w:keepNext/>
              <w:keepLines/>
              <w:spacing w:before="60" w:after="60" w:line="220" w:lineRule="atLeast"/>
              <w:ind w:right="113"/>
              <w:rPr>
                <w:rFonts w:ascii="Arial" w:hAnsi="Arial"/>
                <w:sz w:val="20"/>
                <w:szCs w:val="20"/>
              </w:rPr>
            </w:pPr>
            <w:r w:rsidRPr="00666ECE">
              <w:rPr>
                <w:rFonts w:ascii="Arial" w:hAnsi="Arial"/>
                <w:sz w:val="20"/>
                <w:szCs w:val="20"/>
              </w:rPr>
              <w:t>Costs relating indirectly to schools. Staff, for example, are categorised as being either in-school or out-of-school. They are categorised as out-of-school if they do not usually spend more than half of their time actively engaged in duties at one or more schools or ancillary education establishments. Out-of-school employee related expenses, for example, represent all salaries, wages awards, allowances and related on costs paid to out-of-school staff.</w:t>
            </w:r>
          </w:p>
        </w:tc>
      </w:tr>
      <w:tr w:rsidR="0012052B" w:rsidRPr="00666ECE" w:rsidTr="003A2619">
        <w:tc>
          <w:tcPr>
            <w:tcW w:w="2410" w:type="dxa"/>
          </w:tcPr>
          <w:p w:rsidR="0012052B" w:rsidRPr="00666ECE" w:rsidRDefault="0012052B" w:rsidP="00666ECE">
            <w:pPr>
              <w:keepNext/>
              <w:keepLines/>
              <w:spacing w:before="60" w:after="60" w:line="220" w:lineRule="atLeast"/>
              <w:ind w:right="113"/>
              <w:rPr>
                <w:rFonts w:ascii="Arial" w:hAnsi="Arial"/>
                <w:b/>
                <w:sz w:val="20"/>
                <w:szCs w:val="20"/>
              </w:rPr>
            </w:pPr>
            <w:r w:rsidRPr="00666ECE">
              <w:rPr>
                <w:rFonts w:ascii="Arial" w:hAnsi="Arial"/>
                <w:b/>
                <w:sz w:val="20"/>
                <w:szCs w:val="20"/>
              </w:rPr>
              <w:t>Part time student</w:t>
            </w:r>
          </w:p>
        </w:tc>
        <w:tc>
          <w:tcPr>
            <w:tcW w:w="6379" w:type="dxa"/>
          </w:tcPr>
          <w:p w:rsidR="0012052B" w:rsidRPr="00666ECE" w:rsidRDefault="0012052B" w:rsidP="00666ECE">
            <w:pPr>
              <w:keepNext/>
              <w:keepLines/>
              <w:spacing w:before="60" w:after="60" w:line="220" w:lineRule="atLeast"/>
              <w:ind w:right="28"/>
              <w:rPr>
                <w:rFonts w:ascii="Arial" w:hAnsi="Arial"/>
                <w:sz w:val="20"/>
                <w:szCs w:val="20"/>
              </w:rPr>
            </w:pPr>
            <w:r w:rsidRPr="00666ECE">
              <w:rPr>
                <w:rFonts w:ascii="Arial" w:hAnsi="Arial"/>
                <w:sz w:val="20"/>
                <w:szCs w:val="20"/>
              </w:rPr>
              <w:t>A student undertaking a workload that is less than that specified as being full time in the jurisdiction</w:t>
            </w:r>
            <w:r>
              <w:rPr>
                <w:rFonts w:ascii="Arial" w:hAnsi="Arial"/>
                <w:sz w:val="20"/>
                <w:szCs w:val="20"/>
              </w:rPr>
              <w:t>.</w:t>
            </w:r>
          </w:p>
        </w:tc>
      </w:tr>
      <w:tr w:rsidR="0012052B" w:rsidRPr="00666ECE" w:rsidTr="003A2619">
        <w:tc>
          <w:tcPr>
            <w:tcW w:w="2410" w:type="dxa"/>
          </w:tcPr>
          <w:p w:rsidR="0012052B" w:rsidRPr="00666ECE" w:rsidRDefault="0012052B" w:rsidP="00666ECE">
            <w:pPr>
              <w:keepNext/>
              <w:keepLines/>
              <w:spacing w:before="60" w:after="60" w:line="220" w:lineRule="atLeast"/>
              <w:ind w:right="113"/>
              <w:rPr>
                <w:rFonts w:ascii="Arial" w:hAnsi="Arial"/>
                <w:b/>
                <w:sz w:val="20"/>
                <w:szCs w:val="20"/>
              </w:rPr>
            </w:pPr>
            <w:r w:rsidRPr="00666ECE">
              <w:rPr>
                <w:rFonts w:ascii="Arial" w:hAnsi="Arial"/>
                <w:b/>
                <w:sz w:val="20"/>
                <w:szCs w:val="20"/>
              </w:rPr>
              <w:t>Participation rate</w:t>
            </w:r>
          </w:p>
        </w:tc>
        <w:tc>
          <w:tcPr>
            <w:tcW w:w="6379" w:type="dxa"/>
          </w:tcPr>
          <w:p w:rsidR="0012052B" w:rsidRPr="00666ECE" w:rsidRDefault="0012052B" w:rsidP="00666ECE">
            <w:pPr>
              <w:keepNext/>
              <w:keepLines/>
              <w:spacing w:before="60" w:after="60" w:line="220" w:lineRule="atLeast"/>
              <w:ind w:right="113"/>
              <w:rPr>
                <w:rFonts w:ascii="Arial" w:hAnsi="Arial"/>
                <w:sz w:val="20"/>
                <w:szCs w:val="20"/>
              </w:rPr>
            </w:pPr>
            <w:r w:rsidRPr="00666ECE">
              <w:rPr>
                <w:rFonts w:ascii="Arial" w:hAnsi="Arial"/>
                <w:sz w:val="20"/>
                <w:szCs w:val="20"/>
              </w:rPr>
              <w:t xml:space="preserve">The number of full time and part time school students of a particular </w:t>
            </w:r>
            <w:r w:rsidRPr="00666ECE">
              <w:rPr>
                <w:rFonts w:ascii="Arial" w:hAnsi="Arial"/>
                <w:sz w:val="20"/>
                <w:szCs w:val="20"/>
              </w:rPr>
              <w:lastRenderedPageBreak/>
              <w:t>age (as at 1 July), expressed as a proportion of the estimated resident population of the same age (as at 30 June).</w:t>
            </w:r>
          </w:p>
        </w:tc>
      </w:tr>
      <w:tr w:rsidR="0012052B" w:rsidRPr="00666ECE" w:rsidTr="003A2619">
        <w:tc>
          <w:tcPr>
            <w:tcW w:w="2410" w:type="dxa"/>
          </w:tcPr>
          <w:p w:rsidR="0012052B" w:rsidRPr="00666ECE" w:rsidRDefault="0012052B" w:rsidP="00666ECE">
            <w:pPr>
              <w:keepNext/>
              <w:keepLines/>
              <w:spacing w:before="60" w:after="60" w:line="220" w:lineRule="atLeast"/>
              <w:ind w:right="113"/>
              <w:rPr>
                <w:rFonts w:ascii="Arial" w:hAnsi="Arial"/>
                <w:b/>
                <w:sz w:val="20"/>
                <w:szCs w:val="20"/>
              </w:rPr>
            </w:pPr>
            <w:r w:rsidRPr="00666ECE">
              <w:rPr>
                <w:rFonts w:ascii="Arial" w:hAnsi="Arial"/>
                <w:b/>
                <w:sz w:val="20"/>
                <w:szCs w:val="20"/>
              </w:rPr>
              <w:lastRenderedPageBreak/>
              <w:t>Real expenditure</w:t>
            </w:r>
          </w:p>
        </w:tc>
        <w:tc>
          <w:tcPr>
            <w:tcW w:w="6379" w:type="dxa"/>
          </w:tcPr>
          <w:p w:rsidR="0012052B" w:rsidRPr="00666ECE" w:rsidRDefault="0012052B" w:rsidP="00666ECE">
            <w:pPr>
              <w:keepNext/>
              <w:keepLines/>
              <w:spacing w:before="60" w:after="60" w:line="220" w:lineRule="atLeast"/>
              <w:ind w:right="28"/>
              <w:rPr>
                <w:rFonts w:ascii="Arial" w:hAnsi="Arial"/>
                <w:sz w:val="20"/>
                <w:szCs w:val="20"/>
              </w:rPr>
            </w:pPr>
            <w:r w:rsidRPr="00666ECE">
              <w:rPr>
                <w:rFonts w:ascii="Arial" w:hAnsi="Arial"/>
                <w:sz w:val="20"/>
                <w:szCs w:val="20"/>
              </w:rPr>
              <w:t>Nominal expenditure adjusted for changes in prices, using the GDP price deflator and expressed in terms of final year prices.</w:t>
            </w:r>
          </w:p>
        </w:tc>
      </w:tr>
      <w:tr w:rsidR="0012052B" w:rsidRPr="00666ECE" w:rsidTr="003A2619">
        <w:tc>
          <w:tcPr>
            <w:tcW w:w="2410" w:type="dxa"/>
          </w:tcPr>
          <w:p w:rsidR="0012052B" w:rsidRPr="00666ECE" w:rsidRDefault="0012052B" w:rsidP="00666ECE">
            <w:pPr>
              <w:keepNext/>
              <w:keepLines/>
              <w:spacing w:before="60" w:after="60" w:line="220" w:lineRule="atLeast"/>
              <w:ind w:right="113"/>
              <w:rPr>
                <w:rFonts w:ascii="Arial" w:hAnsi="Arial"/>
                <w:b/>
                <w:sz w:val="20"/>
                <w:szCs w:val="20"/>
              </w:rPr>
            </w:pPr>
            <w:r w:rsidRPr="00666ECE">
              <w:rPr>
                <w:rFonts w:ascii="Arial" w:hAnsi="Arial"/>
                <w:b/>
                <w:sz w:val="20"/>
                <w:szCs w:val="20"/>
              </w:rPr>
              <w:t>Science literacy</w:t>
            </w:r>
          </w:p>
        </w:tc>
        <w:tc>
          <w:tcPr>
            <w:tcW w:w="6379" w:type="dxa"/>
          </w:tcPr>
          <w:p w:rsidR="0012052B" w:rsidRPr="00666ECE" w:rsidRDefault="0012052B" w:rsidP="00666ECE">
            <w:pPr>
              <w:keepNext/>
              <w:keepLines/>
              <w:spacing w:before="60" w:after="60" w:line="220" w:lineRule="atLeast"/>
              <w:ind w:right="113"/>
              <w:rPr>
                <w:rFonts w:ascii="Arial" w:hAnsi="Arial"/>
                <w:sz w:val="20"/>
                <w:szCs w:val="20"/>
              </w:rPr>
            </w:pPr>
            <w:r w:rsidRPr="00666ECE">
              <w:rPr>
                <w:rFonts w:ascii="Arial" w:hAnsi="Arial"/>
                <w:sz w:val="20"/>
                <w:szCs w:val="20"/>
              </w:rPr>
              <w:t>Science literacy and scientific literacy: the application of broad conceptual understandings of science to make sense of the world, understand natural phenomena, and interpret media reports about scientific issues. It also includes asking investigable questions, conducting investigations, collecting and interpreting data and making decisions.</w:t>
            </w:r>
          </w:p>
        </w:tc>
      </w:tr>
      <w:tr w:rsidR="0012052B" w:rsidRPr="00666ECE" w:rsidTr="003A2619">
        <w:tc>
          <w:tcPr>
            <w:tcW w:w="2410" w:type="dxa"/>
          </w:tcPr>
          <w:p w:rsidR="0012052B" w:rsidRPr="00666ECE" w:rsidRDefault="0012052B" w:rsidP="00666ECE">
            <w:pPr>
              <w:keepNext/>
              <w:keepLines/>
              <w:spacing w:before="60" w:after="60" w:line="220" w:lineRule="atLeast"/>
              <w:ind w:right="113"/>
              <w:rPr>
                <w:rFonts w:ascii="Arial" w:hAnsi="Arial"/>
                <w:b/>
                <w:sz w:val="20"/>
                <w:szCs w:val="20"/>
              </w:rPr>
            </w:pPr>
            <w:r w:rsidRPr="00666ECE">
              <w:rPr>
                <w:rFonts w:ascii="Arial" w:hAnsi="Arial"/>
                <w:b/>
                <w:sz w:val="20"/>
                <w:szCs w:val="20"/>
              </w:rPr>
              <w:t>Socio</w:t>
            </w:r>
            <w:r>
              <w:rPr>
                <w:rFonts w:ascii="Arial" w:hAnsi="Arial"/>
                <w:b/>
                <w:sz w:val="20"/>
                <w:szCs w:val="20"/>
              </w:rPr>
              <w:t>-</w:t>
            </w:r>
            <w:r w:rsidRPr="00666ECE">
              <w:rPr>
                <w:rFonts w:ascii="Arial" w:hAnsi="Arial"/>
                <w:b/>
                <w:sz w:val="20"/>
                <w:szCs w:val="20"/>
              </w:rPr>
              <w:t>economic status</w:t>
            </w:r>
          </w:p>
        </w:tc>
        <w:tc>
          <w:tcPr>
            <w:tcW w:w="6379" w:type="dxa"/>
          </w:tcPr>
          <w:p w:rsidR="0012052B" w:rsidRPr="00666ECE" w:rsidRDefault="0012052B" w:rsidP="00666ECE">
            <w:pPr>
              <w:keepNext/>
              <w:keepLines/>
              <w:spacing w:before="60" w:after="60" w:line="220" w:lineRule="atLeast"/>
              <w:ind w:right="28"/>
              <w:rPr>
                <w:rFonts w:ascii="Arial" w:hAnsi="Arial"/>
                <w:sz w:val="20"/>
                <w:szCs w:val="20"/>
              </w:rPr>
            </w:pPr>
            <w:r w:rsidRPr="00666ECE">
              <w:rPr>
                <w:rFonts w:ascii="Arial" w:hAnsi="Arial"/>
                <w:sz w:val="20"/>
                <w:szCs w:val="20"/>
              </w:rPr>
              <w:t>As identified in footnotes to specific tables.</w:t>
            </w:r>
          </w:p>
        </w:tc>
      </w:tr>
      <w:tr w:rsidR="0012052B" w:rsidRPr="00666ECE" w:rsidTr="003A2619">
        <w:tc>
          <w:tcPr>
            <w:tcW w:w="2410" w:type="dxa"/>
          </w:tcPr>
          <w:p w:rsidR="0012052B" w:rsidRPr="00666ECE" w:rsidRDefault="0012052B" w:rsidP="00666ECE">
            <w:pPr>
              <w:keepNext/>
              <w:keepLines/>
              <w:spacing w:before="60" w:after="60" w:line="220" w:lineRule="atLeast"/>
              <w:ind w:right="113"/>
              <w:rPr>
                <w:rFonts w:ascii="Arial" w:hAnsi="Arial"/>
                <w:b/>
                <w:sz w:val="20"/>
                <w:szCs w:val="20"/>
              </w:rPr>
            </w:pPr>
            <w:r w:rsidRPr="00666ECE">
              <w:rPr>
                <w:rFonts w:ascii="Arial" w:hAnsi="Arial"/>
                <w:b/>
                <w:sz w:val="20"/>
                <w:szCs w:val="20"/>
              </w:rPr>
              <w:t>Source of income</w:t>
            </w:r>
          </w:p>
        </w:tc>
        <w:tc>
          <w:tcPr>
            <w:tcW w:w="6379" w:type="dxa"/>
          </w:tcPr>
          <w:p w:rsidR="0012052B" w:rsidRPr="00666ECE" w:rsidRDefault="0012052B" w:rsidP="00666ECE">
            <w:pPr>
              <w:keepNext/>
              <w:keepLines/>
              <w:spacing w:before="60" w:after="60" w:line="220" w:lineRule="atLeast"/>
              <w:ind w:right="113"/>
              <w:rPr>
                <w:rFonts w:ascii="Arial" w:hAnsi="Arial"/>
                <w:sz w:val="20"/>
                <w:szCs w:val="20"/>
              </w:rPr>
            </w:pPr>
            <w:r w:rsidRPr="00666ECE">
              <w:rPr>
                <w:rFonts w:ascii="Arial" w:hAnsi="Arial"/>
                <w:sz w:val="20"/>
                <w:szCs w:val="20"/>
              </w:rPr>
              <w:t>In this chapter, income from either the Australian Government or State and Territory governments. Australian Government expenditure is derived from specific purpose payments (current and capital) for schools. This funding indicates the level of monies allocated, not necessarily the level of expenditure incurred in any given financial year. The data therefore provide only a broad indication of the level of Australian Government funding.</w:t>
            </w:r>
          </w:p>
        </w:tc>
      </w:tr>
      <w:tr w:rsidR="0012052B" w:rsidRPr="00666ECE" w:rsidTr="003A2619">
        <w:tc>
          <w:tcPr>
            <w:tcW w:w="2410" w:type="dxa"/>
          </w:tcPr>
          <w:p w:rsidR="0012052B" w:rsidRPr="00666ECE" w:rsidRDefault="0012052B" w:rsidP="00666ECE">
            <w:pPr>
              <w:keepNext/>
              <w:keepLines/>
              <w:spacing w:before="60" w:after="60" w:line="220" w:lineRule="atLeast"/>
              <w:ind w:right="113"/>
              <w:rPr>
                <w:rFonts w:ascii="Arial" w:hAnsi="Arial"/>
                <w:b/>
                <w:sz w:val="20"/>
                <w:szCs w:val="20"/>
              </w:rPr>
            </w:pPr>
            <w:r w:rsidRPr="00666ECE">
              <w:rPr>
                <w:rFonts w:ascii="Arial" w:hAnsi="Arial"/>
                <w:b/>
                <w:sz w:val="20"/>
                <w:szCs w:val="20"/>
              </w:rPr>
              <w:t>Student-to-staff ratios</w:t>
            </w:r>
          </w:p>
        </w:tc>
        <w:tc>
          <w:tcPr>
            <w:tcW w:w="6379" w:type="dxa"/>
          </w:tcPr>
          <w:p w:rsidR="0012052B" w:rsidRPr="00666ECE" w:rsidRDefault="0012052B" w:rsidP="00666ECE">
            <w:pPr>
              <w:keepNext/>
              <w:keepLines/>
              <w:pBdr>
                <w:right w:val="single" w:sz="6" w:space="4" w:color="auto"/>
              </w:pBdr>
              <w:spacing w:before="60" w:after="60" w:line="220" w:lineRule="atLeast"/>
              <w:ind w:right="28"/>
              <w:rPr>
                <w:rFonts w:ascii="Arial" w:hAnsi="Arial"/>
                <w:sz w:val="20"/>
                <w:szCs w:val="20"/>
              </w:rPr>
            </w:pPr>
            <w:r w:rsidRPr="00666ECE">
              <w:rPr>
                <w:rFonts w:ascii="Arial" w:hAnsi="Arial"/>
                <w:sz w:val="20"/>
                <w:szCs w:val="20"/>
              </w:rPr>
              <w:t>The number of FTE students per FTE teaching staff. Students at special schools are allocated to primary and secondary (see below). The FTE of staff includes those who are generally active in schools and ancillary education establishments.</w:t>
            </w:r>
          </w:p>
        </w:tc>
      </w:tr>
      <w:tr w:rsidR="0012052B" w:rsidRPr="00666ECE" w:rsidTr="00EE64E3">
        <w:tc>
          <w:tcPr>
            <w:tcW w:w="2410" w:type="dxa"/>
          </w:tcPr>
          <w:p w:rsidR="0012052B" w:rsidRPr="00666ECE" w:rsidRDefault="0012052B" w:rsidP="00666ECE">
            <w:pPr>
              <w:keepNext/>
              <w:keepLines/>
              <w:spacing w:before="60" w:after="60" w:line="220" w:lineRule="atLeast"/>
              <w:ind w:right="113"/>
              <w:rPr>
                <w:rFonts w:ascii="Arial" w:hAnsi="Arial"/>
                <w:b/>
                <w:sz w:val="20"/>
                <w:szCs w:val="20"/>
              </w:rPr>
            </w:pPr>
            <w:r w:rsidRPr="00666ECE">
              <w:rPr>
                <w:rFonts w:ascii="Arial" w:hAnsi="Arial"/>
                <w:b/>
                <w:sz w:val="20"/>
                <w:szCs w:val="20"/>
              </w:rPr>
              <w:t>Student</w:t>
            </w:r>
          </w:p>
        </w:tc>
        <w:tc>
          <w:tcPr>
            <w:tcW w:w="6379" w:type="dxa"/>
          </w:tcPr>
          <w:p w:rsidR="0012052B" w:rsidRPr="00666ECE" w:rsidRDefault="0012052B" w:rsidP="00666ECE">
            <w:pPr>
              <w:keepNext/>
              <w:keepLines/>
              <w:spacing w:before="60" w:after="60" w:line="220" w:lineRule="atLeast"/>
              <w:ind w:right="28"/>
              <w:rPr>
                <w:rFonts w:ascii="Arial" w:hAnsi="Arial"/>
                <w:sz w:val="20"/>
                <w:szCs w:val="20"/>
              </w:rPr>
            </w:pPr>
            <w:r w:rsidRPr="00666ECE">
              <w:rPr>
                <w:rFonts w:ascii="Arial" w:hAnsi="Arial"/>
                <w:sz w:val="20"/>
                <w:szCs w:val="20"/>
              </w:rPr>
              <w:t>A person who is formally (officially) enrolled or registered at a school, and is also active in a primary, secondary or special education program at that school. Students at special schools are allocated to primary and secondary on the basis of their actual grade (if assigned); whether or not they are receiving primary or secondary curriculum instruction; or, as a last resort, whether they are of primary or secondary school age.</w:t>
            </w:r>
          </w:p>
        </w:tc>
      </w:tr>
      <w:tr w:rsidR="0012052B" w:rsidRPr="00666ECE" w:rsidTr="00EE64E3">
        <w:tc>
          <w:tcPr>
            <w:tcW w:w="2410" w:type="dxa"/>
          </w:tcPr>
          <w:p w:rsidR="0012052B" w:rsidRPr="00666ECE" w:rsidRDefault="0012052B" w:rsidP="00666ECE">
            <w:pPr>
              <w:keepNext/>
              <w:keepLines/>
              <w:spacing w:before="60" w:after="60" w:line="220" w:lineRule="atLeast"/>
              <w:ind w:right="113"/>
              <w:rPr>
                <w:rFonts w:ascii="Arial" w:hAnsi="Arial"/>
                <w:b/>
                <w:sz w:val="20"/>
                <w:szCs w:val="20"/>
              </w:rPr>
            </w:pPr>
            <w:r w:rsidRPr="00666ECE">
              <w:rPr>
                <w:rFonts w:ascii="Arial" w:hAnsi="Arial"/>
                <w:b/>
                <w:sz w:val="20"/>
                <w:szCs w:val="20"/>
              </w:rPr>
              <w:t>Student, primary</w:t>
            </w:r>
          </w:p>
        </w:tc>
        <w:tc>
          <w:tcPr>
            <w:tcW w:w="6379" w:type="dxa"/>
            <w:shd w:val="clear" w:color="auto" w:fill="FFFFFF" w:themeFill="background1"/>
          </w:tcPr>
          <w:p w:rsidR="0012052B" w:rsidRPr="00666ECE" w:rsidRDefault="00864A34" w:rsidP="00666ECE">
            <w:pPr>
              <w:keepNext/>
              <w:keepLines/>
              <w:spacing w:before="60" w:after="60" w:line="220" w:lineRule="atLeast"/>
              <w:ind w:right="28"/>
              <w:rPr>
                <w:rFonts w:ascii="Arial" w:hAnsi="Arial"/>
                <w:sz w:val="20"/>
                <w:szCs w:val="20"/>
              </w:rPr>
            </w:pPr>
            <w:r w:rsidRPr="00EE64E3">
              <w:rPr>
                <w:rFonts w:ascii="Arial" w:hAnsi="Arial"/>
                <w:sz w:val="20"/>
                <w:szCs w:val="20"/>
                <w:shd w:val="clear" w:color="auto" w:fill="FFFFFF" w:themeFill="background1"/>
              </w:rPr>
              <w:t xml:space="preserve">In 2014: </w:t>
            </w:r>
            <w:r w:rsidR="0012052B" w:rsidRPr="00666ECE">
              <w:rPr>
                <w:rFonts w:ascii="Arial" w:hAnsi="Arial"/>
                <w:sz w:val="20"/>
                <w:szCs w:val="20"/>
              </w:rPr>
              <w:t>A student in primary education, which covers pre-year 1 to year 6 in NSW, Victoria, Tasmania, ACT and the NT, pre-year 1 to year 7 in Qld, WA and SA.</w:t>
            </w:r>
          </w:p>
        </w:tc>
      </w:tr>
      <w:tr w:rsidR="0012052B" w:rsidRPr="00666ECE" w:rsidTr="00EE64E3">
        <w:tc>
          <w:tcPr>
            <w:tcW w:w="2410" w:type="dxa"/>
          </w:tcPr>
          <w:p w:rsidR="0012052B" w:rsidRPr="00666ECE" w:rsidRDefault="0012052B" w:rsidP="00666ECE">
            <w:pPr>
              <w:keepNext/>
              <w:keepLines/>
              <w:spacing w:before="60" w:after="60" w:line="220" w:lineRule="atLeast"/>
              <w:ind w:right="113"/>
              <w:rPr>
                <w:rFonts w:ascii="Arial" w:hAnsi="Arial"/>
                <w:b/>
                <w:sz w:val="20"/>
                <w:szCs w:val="20"/>
              </w:rPr>
            </w:pPr>
            <w:r w:rsidRPr="00666ECE">
              <w:rPr>
                <w:rFonts w:ascii="Arial" w:hAnsi="Arial"/>
                <w:b/>
                <w:sz w:val="20"/>
                <w:szCs w:val="20"/>
              </w:rPr>
              <w:t>Student, secondary</w:t>
            </w:r>
          </w:p>
        </w:tc>
        <w:tc>
          <w:tcPr>
            <w:tcW w:w="6379" w:type="dxa"/>
            <w:shd w:val="clear" w:color="auto" w:fill="FFFFFF" w:themeFill="background1"/>
          </w:tcPr>
          <w:p w:rsidR="0012052B" w:rsidRPr="00666ECE" w:rsidRDefault="00864A34" w:rsidP="00666ECE">
            <w:pPr>
              <w:keepNext/>
              <w:keepLines/>
              <w:spacing w:before="60" w:after="60" w:line="220" w:lineRule="atLeast"/>
              <w:ind w:right="28"/>
              <w:rPr>
                <w:rFonts w:ascii="Arial" w:hAnsi="Arial"/>
                <w:sz w:val="20"/>
                <w:szCs w:val="20"/>
              </w:rPr>
            </w:pPr>
            <w:r w:rsidRPr="00EE64E3">
              <w:rPr>
                <w:rFonts w:ascii="Arial" w:hAnsi="Arial"/>
                <w:sz w:val="20"/>
                <w:szCs w:val="20"/>
                <w:shd w:val="clear" w:color="auto" w:fill="FFFFFF" w:themeFill="background1"/>
              </w:rPr>
              <w:t>In 2014:</w:t>
            </w:r>
            <w:r>
              <w:rPr>
                <w:rFonts w:ascii="Arial" w:hAnsi="Arial"/>
                <w:sz w:val="20"/>
                <w:szCs w:val="20"/>
              </w:rPr>
              <w:t xml:space="preserve"> </w:t>
            </w:r>
            <w:r w:rsidR="0012052B" w:rsidRPr="00666ECE">
              <w:rPr>
                <w:rFonts w:ascii="Arial" w:hAnsi="Arial"/>
                <w:sz w:val="20"/>
                <w:szCs w:val="20"/>
              </w:rPr>
              <w:t>A student in secondary education, which commences at year 7 in NSW, Victoria, Tasmania, ACT and the NT, and at year 8 in Queensland, WA, and SA.</w:t>
            </w:r>
          </w:p>
        </w:tc>
      </w:tr>
      <w:tr w:rsidR="0012052B" w:rsidRPr="00666ECE" w:rsidTr="00EE64E3">
        <w:tc>
          <w:tcPr>
            <w:tcW w:w="2410" w:type="dxa"/>
          </w:tcPr>
          <w:p w:rsidR="0012052B" w:rsidRPr="00666ECE" w:rsidRDefault="0012052B" w:rsidP="00666ECE">
            <w:pPr>
              <w:keepNext/>
              <w:keepLines/>
              <w:spacing w:before="60" w:after="60" w:line="220" w:lineRule="atLeast"/>
              <w:ind w:right="113"/>
              <w:rPr>
                <w:rFonts w:ascii="Arial" w:hAnsi="Arial"/>
                <w:b/>
                <w:sz w:val="20"/>
                <w:szCs w:val="20"/>
              </w:rPr>
            </w:pPr>
            <w:r>
              <w:rPr>
                <w:rFonts w:ascii="Arial" w:hAnsi="Arial"/>
                <w:b/>
                <w:sz w:val="20"/>
                <w:szCs w:val="20"/>
              </w:rPr>
              <w:t xml:space="preserve">Students with </w:t>
            </w:r>
            <w:r w:rsidRPr="00666ECE">
              <w:rPr>
                <w:rFonts w:ascii="Arial" w:hAnsi="Arial"/>
                <w:b/>
                <w:sz w:val="20"/>
                <w:szCs w:val="20"/>
              </w:rPr>
              <w:t>disability</w:t>
            </w:r>
          </w:p>
        </w:tc>
        <w:tc>
          <w:tcPr>
            <w:tcW w:w="6379" w:type="dxa"/>
          </w:tcPr>
          <w:p w:rsidR="0012052B" w:rsidRPr="00666ECE" w:rsidRDefault="0012052B" w:rsidP="00A74B5F">
            <w:pPr>
              <w:keepNext/>
              <w:keepLines/>
              <w:spacing w:before="60" w:after="60" w:line="220" w:lineRule="atLeast"/>
              <w:ind w:right="28"/>
              <w:rPr>
                <w:rFonts w:ascii="Arial" w:hAnsi="Arial"/>
                <w:sz w:val="20"/>
                <w:szCs w:val="20"/>
              </w:rPr>
            </w:pPr>
            <w:r w:rsidRPr="00666ECE">
              <w:rPr>
                <w:rFonts w:ascii="Arial" w:hAnsi="Arial"/>
                <w:sz w:val="20"/>
                <w:szCs w:val="20"/>
              </w:rPr>
              <w:t xml:space="preserve">Students included in the annual system reports to </w:t>
            </w:r>
            <w:r>
              <w:rPr>
                <w:rFonts w:ascii="Arial" w:hAnsi="Arial"/>
                <w:sz w:val="20"/>
                <w:szCs w:val="20"/>
              </w:rPr>
              <w:t xml:space="preserve">the </w:t>
            </w:r>
            <w:r w:rsidRPr="007D2D50">
              <w:rPr>
                <w:rFonts w:ascii="Arial" w:hAnsi="Arial"/>
                <w:sz w:val="20"/>
                <w:szCs w:val="20"/>
              </w:rPr>
              <w:t>Department of Education</w:t>
            </w:r>
            <w:r w:rsidR="00A74B5F">
              <w:rPr>
                <w:rFonts w:ascii="Arial" w:hAnsi="Arial"/>
                <w:sz w:val="20"/>
                <w:szCs w:val="20"/>
              </w:rPr>
              <w:t xml:space="preserve"> and Training</w:t>
            </w:r>
            <w:r w:rsidRPr="00666ECE">
              <w:rPr>
                <w:rFonts w:ascii="Arial" w:hAnsi="Arial"/>
                <w:sz w:val="20"/>
                <w:szCs w:val="20"/>
              </w:rPr>
              <w:t xml:space="preserve">. The definitions of students with disabilities are based on individual State and Territory criteria, so data are not comparable across jurisdictions. </w:t>
            </w:r>
          </w:p>
        </w:tc>
      </w:tr>
      <w:tr w:rsidR="0012052B" w:rsidRPr="00666ECE" w:rsidTr="00EE64E3">
        <w:tc>
          <w:tcPr>
            <w:tcW w:w="2410" w:type="dxa"/>
            <w:shd w:val="clear" w:color="auto" w:fill="FFFFFF" w:themeFill="background1"/>
          </w:tcPr>
          <w:p w:rsidR="0012052B" w:rsidRPr="00666ECE" w:rsidRDefault="00864A34" w:rsidP="00864A34">
            <w:pPr>
              <w:keepNext/>
              <w:keepLines/>
              <w:spacing w:before="60" w:after="60" w:line="220" w:lineRule="atLeast"/>
              <w:ind w:right="113"/>
              <w:rPr>
                <w:rFonts w:ascii="Arial" w:hAnsi="Arial"/>
                <w:b/>
                <w:sz w:val="20"/>
                <w:szCs w:val="20"/>
              </w:rPr>
            </w:pPr>
            <w:r w:rsidRPr="00666ECE">
              <w:rPr>
                <w:rFonts w:ascii="Arial" w:hAnsi="Arial"/>
                <w:b/>
                <w:sz w:val="20"/>
                <w:szCs w:val="20"/>
              </w:rPr>
              <w:t>Teachi</w:t>
            </w:r>
            <w:r>
              <w:rPr>
                <w:rFonts w:ascii="Arial" w:hAnsi="Arial"/>
                <w:b/>
                <w:sz w:val="20"/>
                <w:szCs w:val="20"/>
              </w:rPr>
              <w:t>ng staff</w:t>
            </w:r>
          </w:p>
        </w:tc>
        <w:tc>
          <w:tcPr>
            <w:tcW w:w="6379" w:type="dxa"/>
          </w:tcPr>
          <w:p w:rsidR="0012052B" w:rsidRPr="00666ECE" w:rsidRDefault="0012052B" w:rsidP="00AF6FB4">
            <w:pPr>
              <w:keepNext/>
              <w:keepLines/>
              <w:spacing w:before="60" w:after="60" w:line="220" w:lineRule="atLeast"/>
              <w:ind w:right="113"/>
              <w:rPr>
                <w:rFonts w:ascii="Arial" w:hAnsi="Arial"/>
                <w:sz w:val="20"/>
                <w:szCs w:val="20"/>
              </w:rPr>
            </w:pPr>
            <w:r w:rsidRPr="00666ECE">
              <w:rPr>
                <w:rFonts w:ascii="Arial" w:hAnsi="Arial"/>
                <w:sz w:val="20"/>
                <w:szCs w:val="20"/>
              </w:rPr>
              <w:t xml:space="preserve">Teaching staff have teaching duties (that is, they are engaged to impart the school curriculum) and spend the majority of their time in contact with students. They support students, either by direct class contact or on an individual basis. Teaching staff include principals, deputy principals and senior teachers mainly involved in administrative duties, but not specialist support staff (who may spend the majority of their time in contact with students but are not engaged to impart the school curriculum). For the </w:t>
            </w:r>
            <w:r>
              <w:rPr>
                <w:rFonts w:ascii="Arial" w:hAnsi="Arial"/>
                <w:sz w:val="20"/>
                <w:szCs w:val="20"/>
              </w:rPr>
              <w:t>NT</w:t>
            </w:r>
            <w:r w:rsidRPr="00666ECE">
              <w:rPr>
                <w:rFonts w:ascii="Arial" w:hAnsi="Arial"/>
                <w:sz w:val="20"/>
                <w:szCs w:val="20"/>
              </w:rPr>
              <w:t>, Assistant Teachers in Homeland Learning Centres and community school are included as teaching staff.</w:t>
            </w:r>
          </w:p>
        </w:tc>
      </w:tr>
      <w:tr w:rsidR="0012052B" w:rsidRPr="00666ECE" w:rsidTr="003A2619">
        <w:tc>
          <w:tcPr>
            <w:tcW w:w="2410" w:type="dxa"/>
            <w:shd w:val="clear" w:color="auto" w:fill="auto"/>
          </w:tcPr>
          <w:p w:rsidR="0012052B" w:rsidRPr="00666ECE" w:rsidRDefault="0012052B" w:rsidP="00666ECE">
            <w:pPr>
              <w:keepNext/>
              <w:keepLines/>
              <w:spacing w:before="60" w:after="60" w:line="220" w:lineRule="atLeast"/>
              <w:ind w:right="113"/>
              <w:rPr>
                <w:rFonts w:ascii="Arial" w:hAnsi="Arial"/>
                <w:b/>
                <w:sz w:val="20"/>
                <w:szCs w:val="20"/>
              </w:rPr>
            </w:pPr>
            <w:r w:rsidRPr="00666ECE">
              <w:rPr>
                <w:rFonts w:ascii="Arial" w:hAnsi="Arial"/>
                <w:b/>
                <w:sz w:val="20"/>
                <w:szCs w:val="20"/>
              </w:rPr>
              <w:t>Ungraded student</w:t>
            </w:r>
          </w:p>
        </w:tc>
        <w:tc>
          <w:tcPr>
            <w:tcW w:w="6379" w:type="dxa"/>
            <w:shd w:val="clear" w:color="auto" w:fill="auto"/>
          </w:tcPr>
          <w:p w:rsidR="0012052B" w:rsidRPr="00666ECE" w:rsidRDefault="0012052B" w:rsidP="00666ECE">
            <w:pPr>
              <w:keepNext/>
              <w:keepLines/>
              <w:spacing w:before="60" w:after="60" w:line="220" w:lineRule="atLeast"/>
              <w:ind w:right="28"/>
              <w:rPr>
                <w:rFonts w:ascii="Arial" w:hAnsi="Arial"/>
                <w:sz w:val="20"/>
                <w:szCs w:val="20"/>
              </w:rPr>
            </w:pPr>
            <w:r w:rsidRPr="00666ECE">
              <w:rPr>
                <w:rFonts w:ascii="Arial" w:hAnsi="Arial"/>
                <w:sz w:val="20"/>
                <w:szCs w:val="20"/>
              </w:rPr>
              <w:t>A student in ungraded classes who cannot readily be allocated to a year of education. These students are included as either ungraded primary or ungraded secondary, according to the typical age level in each jurisdiction.</w:t>
            </w:r>
          </w:p>
        </w:tc>
      </w:tr>
      <w:tr w:rsidR="0012052B" w:rsidRPr="00666ECE" w:rsidTr="003A2619">
        <w:tc>
          <w:tcPr>
            <w:tcW w:w="2410" w:type="dxa"/>
            <w:shd w:val="clear" w:color="auto" w:fill="auto"/>
          </w:tcPr>
          <w:p w:rsidR="0012052B" w:rsidRPr="00666ECE" w:rsidRDefault="0012052B" w:rsidP="00666ECE">
            <w:pPr>
              <w:keepNext/>
              <w:keepLines/>
              <w:spacing w:before="60" w:after="60" w:line="220" w:lineRule="atLeast"/>
              <w:ind w:right="113"/>
              <w:rPr>
                <w:rFonts w:ascii="Arial" w:hAnsi="Arial"/>
                <w:b/>
                <w:sz w:val="20"/>
                <w:szCs w:val="20"/>
              </w:rPr>
            </w:pPr>
            <w:r w:rsidRPr="00666ECE">
              <w:rPr>
                <w:rFonts w:ascii="Arial" w:hAnsi="Arial"/>
                <w:b/>
                <w:sz w:val="20"/>
                <w:szCs w:val="20"/>
              </w:rPr>
              <w:lastRenderedPageBreak/>
              <w:t>VET in Schools</w:t>
            </w:r>
          </w:p>
        </w:tc>
        <w:tc>
          <w:tcPr>
            <w:tcW w:w="6379" w:type="dxa"/>
            <w:shd w:val="clear" w:color="auto" w:fill="auto"/>
          </w:tcPr>
          <w:p w:rsidR="0012052B" w:rsidRPr="00666ECE" w:rsidRDefault="0012052B" w:rsidP="00666ECE">
            <w:pPr>
              <w:keepNext/>
              <w:keepLines/>
              <w:spacing w:before="60" w:line="220" w:lineRule="atLeast"/>
              <w:ind w:right="28"/>
              <w:rPr>
                <w:rFonts w:ascii="Arial" w:hAnsi="Arial"/>
                <w:sz w:val="20"/>
                <w:szCs w:val="20"/>
              </w:rPr>
            </w:pPr>
            <w:r w:rsidRPr="00666ECE">
              <w:rPr>
                <w:rFonts w:ascii="Arial" w:hAnsi="Arial"/>
                <w:sz w:val="20"/>
                <w:szCs w:val="20"/>
              </w:rPr>
              <w:t>VET in Schools is a program which allows students to combine vocational studies with their general education curriculum. Students participating in VET in Schools continue to work towards their senior secondary school certificate, while the VET component of their studies gives them credit towards a nationally recognised VET qualification. The program may involve structured work placements and includes the options of a school-based apprenticeship and traineeship or VET subjects and courses.</w:t>
            </w:r>
          </w:p>
        </w:tc>
      </w:tr>
    </w:tbl>
    <w:p w:rsidR="00666ECE" w:rsidRPr="00666ECE" w:rsidRDefault="00666ECE" w:rsidP="007B0AE2">
      <w:pPr>
        <w:pStyle w:val="Heading2nosectionno"/>
      </w:pPr>
      <w:bookmarkStart w:id="27" w:name="_Toc433298259"/>
      <w:r w:rsidRPr="00666ECE">
        <w:t>4.</w:t>
      </w:r>
      <w:r w:rsidR="00033D89">
        <w:t>6</w:t>
      </w:r>
      <w:r w:rsidRPr="00666ECE">
        <w:tab/>
        <w:t>List of attachment tables</w:t>
      </w:r>
      <w:bookmarkEnd w:id="27"/>
    </w:p>
    <w:p w:rsidR="00666ECE" w:rsidRPr="00666ECE" w:rsidRDefault="00666ECE" w:rsidP="00666ECE">
      <w:pPr>
        <w:spacing w:before="240" w:after="120" w:line="320" w:lineRule="atLeast"/>
        <w:jc w:val="both"/>
        <w:rPr>
          <w:szCs w:val="20"/>
        </w:rPr>
      </w:pPr>
      <w:r w:rsidRPr="00666ECE">
        <w:rPr>
          <w:szCs w:val="20"/>
        </w:rPr>
        <w:t>Attachment tables are identified in references throughout this chapter by an ‘4A’ prefix (for example, table 4A.1). Attachment tables are available on the website (www.pc.gov.au/</w:t>
      </w:r>
      <w:r w:rsidR="003C1457">
        <w:rPr>
          <w:szCs w:val="20"/>
        </w:rPr>
        <w:t>rogs</w:t>
      </w:r>
      <w:r w:rsidR="00CE3E55">
        <w:rPr>
          <w:szCs w:val="20"/>
        </w:rPr>
        <w:t>/2016</w:t>
      </w:r>
      <w:r w:rsidRPr="00666ECE">
        <w:rPr>
          <w:szCs w:val="20"/>
        </w:rPr>
        <w:t>).</w:t>
      </w:r>
    </w:p>
    <w:tbl>
      <w:tblPr>
        <w:tblW w:w="8968" w:type="dxa"/>
        <w:tblLook w:val="01E0" w:firstRow="1" w:lastRow="1" w:firstColumn="1" w:lastColumn="1" w:noHBand="0" w:noVBand="0"/>
      </w:tblPr>
      <w:tblGrid>
        <w:gridCol w:w="13"/>
        <w:gridCol w:w="8769"/>
        <w:gridCol w:w="216"/>
        <w:gridCol w:w="7"/>
      </w:tblGrid>
      <w:tr w:rsidR="00666ECE" w:rsidRPr="001A75F9" w:rsidTr="000842AC">
        <w:trPr>
          <w:gridAfter w:val="1"/>
          <w:wAfter w:w="92" w:type="dxa"/>
          <w:trHeight w:val="405"/>
        </w:trPr>
        <w:tc>
          <w:tcPr>
            <w:tcW w:w="8876" w:type="dxa"/>
            <w:gridSpan w:val="3"/>
            <w:shd w:val="clear" w:color="auto" w:fill="auto"/>
            <w:noWrap/>
          </w:tcPr>
          <w:p w:rsidR="00666ECE" w:rsidRPr="001A75F9" w:rsidRDefault="00666ECE" w:rsidP="00666ECE">
            <w:pPr>
              <w:rPr>
                <w:rFonts w:ascii="Arial" w:hAnsi="Arial" w:cs="Arial"/>
                <w:b/>
                <w:bCs/>
                <w:sz w:val="20"/>
                <w:szCs w:val="20"/>
              </w:rPr>
            </w:pPr>
          </w:p>
        </w:tc>
      </w:tr>
      <w:tr w:rsidR="00196667" w:rsidRPr="001A75F9" w:rsidTr="00196667">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tcPr>
          <w:tbl>
            <w:tblPr>
              <w:tblW w:w="8860" w:type="dxa"/>
              <w:tblLook w:val="04A0" w:firstRow="1" w:lastRow="0" w:firstColumn="1" w:lastColumn="0" w:noHBand="0" w:noVBand="1"/>
            </w:tblPr>
            <w:tblGrid>
              <w:gridCol w:w="1456"/>
              <w:gridCol w:w="6469"/>
              <w:gridCol w:w="142"/>
              <w:gridCol w:w="142"/>
              <w:gridCol w:w="651"/>
            </w:tblGrid>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4A.1</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Government schools: students, staff and school numbers </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4A.2</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Non-government schools: students, staff and school numbers </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4A.3</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All schools: students, staff and school numbers </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4A.4</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All schools: students time series, by sex</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4A.5</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Students as a proportion of the population, 2014 (per cent)</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4A.6</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Average FTE student population, by school sector </w:t>
                  </w:r>
                </w:p>
              </w:tc>
            </w:tr>
            <w:tr w:rsidR="00196667" w:rsidRPr="00196667" w:rsidTr="007659B1">
              <w:trPr>
                <w:gridAfter w:val="3"/>
                <w:wAfter w:w="935" w:type="dxa"/>
                <w:trHeight w:val="612"/>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4A.7</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Real Australian, State and Territory government recurrent expenditure (2013-14 dollars) ($'000)   </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4A.8</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Nominal Australian, State and Territory government recurrent expenditure ($'000)  </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4A.9</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Australian Government specific purpose payments for schools, 2013-14  </w:t>
                  </w:r>
                </w:p>
              </w:tc>
            </w:tr>
            <w:tr w:rsidR="00196667" w:rsidRPr="00196667" w:rsidTr="007659B1">
              <w:trPr>
                <w:gridAfter w:val="3"/>
                <w:wAfter w:w="935" w:type="dxa"/>
                <w:trHeight w:val="612"/>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4A.10</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Australian, State and Territory government recurrent expenditure on government schools, 2013-14     </w:t>
                  </w:r>
                </w:p>
              </w:tc>
            </w:tr>
            <w:tr w:rsidR="00196667" w:rsidRPr="00196667" w:rsidTr="007659B1">
              <w:trPr>
                <w:gridAfter w:val="3"/>
                <w:wAfter w:w="935" w:type="dxa"/>
                <w:trHeight w:val="612"/>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4A.11</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Comparability of government expenditure on government schools — items included, 2013-14</w:t>
                  </w:r>
                </w:p>
              </w:tc>
            </w:tr>
            <w:tr w:rsidR="00196667" w:rsidRPr="00196667" w:rsidTr="007659B1">
              <w:trPr>
                <w:gridAfter w:val="3"/>
                <w:wAfter w:w="935" w:type="dxa"/>
                <w:trHeight w:val="612"/>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4A.12</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Real Australian, State and Territory government recurrent expenditure per student, government schools (2013-14 dollars) ($ per FTE student)  </w:t>
                  </w:r>
                </w:p>
              </w:tc>
            </w:tr>
            <w:tr w:rsidR="00196667" w:rsidRPr="00196667" w:rsidTr="007659B1">
              <w:trPr>
                <w:gridAfter w:val="3"/>
                <w:wAfter w:w="935" w:type="dxa"/>
                <w:trHeight w:val="612"/>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4A.13</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Nominal Australian, State and Territory government recurrent expenditure per student, government schools ($ per FTE student) </w:t>
                  </w:r>
                </w:p>
              </w:tc>
            </w:tr>
            <w:tr w:rsidR="00196667" w:rsidRPr="00196667" w:rsidTr="007659B1">
              <w:trPr>
                <w:gridAfter w:val="3"/>
                <w:wAfter w:w="935" w:type="dxa"/>
                <w:trHeight w:val="612"/>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4A.14</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Australian, State and Territory government recurrent expenditure per student on government schools, 2013-14 ($ per FTE student)     </w:t>
                  </w:r>
                </w:p>
              </w:tc>
            </w:tr>
            <w:tr w:rsidR="00196667" w:rsidRPr="00196667" w:rsidTr="007659B1">
              <w:trPr>
                <w:gridAfter w:val="3"/>
                <w:wAfter w:w="935" w:type="dxa"/>
                <w:trHeight w:val="612"/>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4A.15</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Real Australian, State and Territory government recurrent expenditure per student, non-government schools (2013-14 dollars) ($ per FTE student)   </w:t>
                  </w:r>
                </w:p>
              </w:tc>
            </w:tr>
            <w:tr w:rsidR="00196667" w:rsidRPr="00196667" w:rsidTr="007659B1">
              <w:trPr>
                <w:gridAfter w:val="3"/>
                <w:wAfter w:w="935" w:type="dxa"/>
                <w:trHeight w:val="612"/>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4A.16</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Nominal Australian, State and Territory government recurrent expenditure per student, non-government schools ($ per FTE student)  </w:t>
                  </w:r>
                </w:p>
              </w:tc>
            </w:tr>
            <w:tr w:rsidR="00196667" w:rsidRPr="00196667" w:rsidTr="007659B1">
              <w:trPr>
                <w:gridAfter w:val="3"/>
                <w:wAfter w:w="935" w:type="dxa"/>
                <w:trHeight w:val="612"/>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4A.17</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Real Australian, State and Territory government recurrent expenditure per student, all schools (2013-14 dollars) ($ per FTE student)    </w:t>
                  </w:r>
                </w:p>
              </w:tc>
            </w:tr>
            <w:tr w:rsidR="00196667" w:rsidRPr="00196667" w:rsidTr="007659B1">
              <w:trPr>
                <w:gridAfter w:val="3"/>
                <w:wAfter w:w="935" w:type="dxa"/>
                <w:trHeight w:val="612"/>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lastRenderedPageBreak/>
                    <w:t>Table 4A.18</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Nominal Australian, State and Territory government recurrent expenditure per student, all schools ($ per FTE student)   </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4A.19</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Value of capital stock, government schools ($’000)  </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4A.20</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Notional UCC per FTE student, government schools   </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4A.21</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Treatment of assets by school education agencies    </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4A.22</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Students-to-staff ratios, 2014 </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4A.23</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Students-to-staff ratios, teaching staff, all students  </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4A.24</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Distribution of school sizes — government schools, 2014 (per cent)   </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4A.25</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Distribution of school sizes — non-government schools, 2014 (per cent)   </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4A.26</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Distribution of school sizes — all schools, 2014 (per cent)   </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4A.27</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Full time student enrolments and schools (number) </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4A.28</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Change in number of schools and number of full time students, 2010–14 (per cent) </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4A.29</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Aboriginal and Torres Strait Islander full time students, 2014</w:t>
                  </w:r>
                </w:p>
              </w:tc>
            </w:tr>
            <w:tr w:rsidR="00196667" w:rsidRPr="00196667" w:rsidTr="007659B1">
              <w:trPr>
                <w:gridAfter w:val="3"/>
                <w:wAfter w:w="935" w:type="dxa"/>
                <w:trHeight w:val="612"/>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4A.30</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Students from language backgrounds other than English as a proportion of all students (per cent)        </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4A.31</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Funded students with disability, 2014  </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4A.32</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Student body mix, government schools (per cent)</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4A.33</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Student body mix, non-government schools (per cent) </w:t>
                  </w:r>
                </w:p>
              </w:tc>
            </w:tr>
            <w:tr w:rsidR="00196667" w:rsidRPr="00196667" w:rsidTr="007659B1">
              <w:trPr>
                <w:gridAfter w:val="3"/>
                <w:wAfter w:w="935" w:type="dxa"/>
                <w:trHeight w:val="35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4A.34</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Student body mix, all schools (per cent)</w:t>
                  </w:r>
                </w:p>
              </w:tc>
            </w:tr>
            <w:tr w:rsidR="00196667" w:rsidRPr="00196667" w:rsidTr="007659B1">
              <w:trPr>
                <w:gridAfter w:val="3"/>
                <w:wAfter w:w="935" w:type="dxa"/>
                <w:trHeight w:val="612"/>
              </w:trPr>
              <w:tc>
                <w:tcPr>
                  <w:tcW w:w="1456" w:type="dxa"/>
                  <w:tcBorders>
                    <w:top w:val="nil"/>
                    <w:left w:val="nil"/>
                    <w:bottom w:val="nil"/>
                    <w:right w:val="nil"/>
                  </w:tcBorders>
                  <w:shd w:val="clear" w:color="auto" w:fill="auto"/>
                  <w:noWrap/>
                  <w:hideMark/>
                </w:tcPr>
                <w:p w:rsidR="00196667" w:rsidRPr="001A75F9"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4A.35</w:t>
                  </w:r>
                </w:p>
                <w:p w:rsidR="00196667" w:rsidRPr="00196667" w:rsidRDefault="00196667" w:rsidP="00196667">
                  <w:pPr>
                    <w:rPr>
                      <w:rFonts w:ascii="Arial" w:hAnsi="Arial" w:cs="Arial"/>
                      <w:b/>
                      <w:bCs/>
                      <w:color w:val="0000FF"/>
                      <w:sz w:val="20"/>
                      <w:szCs w:val="20"/>
                    </w:rPr>
                  </w:pP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Proportion of students enrolled in schools in metropolitan, provincial, remote and very re</w:t>
                  </w:r>
                  <w:r w:rsidRPr="001A75F9">
                    <w:rPr>
                      <w:rFonts w:ascii="Arial" w:hAnsi="Arial" w:cs="Arial"/>
                      <w:sz w:val="20"/>
                      <w:szCs w:val="20"/>
                    </w:rPr>
                    <w:t xml:space="preserve">mote zones, 2014 (per cent)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4A.36</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year 3, 5, 7 and 9 students who achieved at or above the national minimum standard for NAPLAN reading, by Indigenous status and geolocation, 2015 (per cent)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4A.37</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for NAPLAN reading, by State and Territory, by parental education and parental occupation, 2015 (per cent)    </w:t>
                  </w:r>
                </w:p>
              </w:tc>
            </w:tr>
            <w:tr w:rsidR="00196667" w:rsidRPr="00196667" w:rsidTr="007659B1">
              <w:trPr>
                <w:gridAfter w:val="3"/>
                <w:wAfter w:w="935" w:type="dxa"/>
                <w:trHeight w:val="612"/>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4A.38</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NAPLAN Mean scale scores for reading, by Indigenous status and geolocation, 2015  (score points)      </w:t>
                  </w:r>
                </w:p>
              </w:tc>
            </w:tr>
            <w:tr w:rsidR="00196667" w:rsidRPr="00196667" w:rsidTr="007659B1">
              <w:trPr>
                <w:gridAfter w:val="3"/>
                <w:wAfter w:w="935" w:type="dxa"/>
                <w:trHeight w:val="612"/>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4A.39</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NAPLAN Mean scale scores for reading, by State and Territory, by parental education and parental occupation, 2015 (score points)    </w:t>
                  </w:r>
                </w:p>
              </w:tc>
            </w:tr>
            <w:tr w:rsidR="00196667" w:rsidRPr="00196667" w:rsidTr="007659B1">
              <w:trPr>
                <w:gridAfter w:val="3"/>
                <w:wAfter w:w="935" w:type="dxa"/>
                <w:trHeight w:val="612"/>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4A.40</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Exempt, absent , withdrawn, and assessed students and </w:t>
                  </w:r>
                  <w:r w:rsidR="00DC09B6" w:rsidRPr="00196667">
                    <w:rPr>
                      <w:rFonts w:ascii="Arial" w:hAnsi="Arial" w:cs="Arial"/>
                      <w:sz w:val="20"/>
                      <w:szCs w:val="20"/>
                    </w:rPr>
                    <w:t>participation</w:t>
                  </w:r>
                  <w:r w:rsidRPr="00196667">
                    <w:rPr>
                      <w:rFonts w:ascii="Arial" w:hAnsi="Arial" w:cs="Arial"/>
                      <w:sz w:val="20"/>
                      <w:szCs w:val="20"/>
                    </w:rPr>
                    <w:t xml:space="preserve"> rate in NAPLAN reading assessment, by Indigenous status, 2015 (per cent)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4A.41</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reading, and nature of differences, 2008 and 2014 to 2015, NSW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4A.42</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reading, and nature of differences, 2008 and 2014 to 2015, Victoria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lastRenderedPageBreak/>
                    <w:t>Table 4A.43</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reading, and nature of differences, 2008 and 2014 to 2015, Queensland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4A.44</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reading, and nature of differences, 2008 and 2014 to 2015, Western Australia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4A.45</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reading, and nature of differences, 2008 and 2014 to 2015, South Australia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4A.46</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reading, and nature of differences, 2008 and 2014 to 2015, Tasmania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4A.47</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reading, and nature of differences, 2008 and 2014 to 2015, Australian Capital Territory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4A.48</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reading, and nature of differences, 2008 and 2014 to 2015, Northern Territory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4A.49</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reading, and nature of differences, 2008 and 2014 to 2015, Australia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4A.50</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year 3, 5, 7 and 9 students who achieved at or above the national minimum standard for NAPLAN persuasive writing, by Indigenous status and geolocation, 2015 (per cent)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4A.51</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for NAPLAN persuasive writing, by State and Territory, by parental education and parental occupation, 2015 (per cent)    </w:t>
                  </w:r>
                </w:p>
              </w:tc>
            </w:tr>
            <w:tr w:rsidR="00196667" w:rsidRPr="00196667" w:rsidTr="007659B1">
              <w:trPr>
                <w:gridAfter w:val="3"/>
                <w:wAfter w:w="935" w:type="dxa"/>
                <w:trHeight w:val="612"/>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4A.52</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NAPLAN Mean scale scores for persuasive writing, by Indigenous status and geolocation, 2015  (score points)      </w:t>
                  </w:r>
                </w:p>
              </w:tc>
            </w:tr>
            <w:tr w:rsidR="00196667" w:rsidRPr="00196667" w:rsidTr="007659B1">
              <w:trPr>
                <w:gridAfter w:val="3"/>
                <w:wAfter w:w="935" w:type="dxa"/>
                <w:trHeight w:val="612"/>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4A.53</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NAPLAN Mean scale scores for persuasive writing, by State and Territory, by parental education and parental occupation, 2015 (score points)    </w:t>
                  </w:r>
                </w:p>
              </w:tc>
            </w:tr>
            <w:tr w:rsidR="00196667" w:rsidRPr="00196667" w:rsidTr="007659B1">
              <w:trPr>
                <w:gridAfter w:val="3"/>
                <w:wAfter w:w="935" w:type="dxa"/>
                <w:trHeight w:val="612"/>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4A.54</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Exempt, absent , withdrawn, and assessed students and </w:t>
                  </w:r>
                  <w:r w:rsidR="00DC09B6" w:rsidRPr="00196667">
                    <w:rPr>
                      <w:rFonts w:ascii="Arial" w:hAnsi="Arial" w:cs="Arial"/>
                      <w:sz w:val="20"/>
                      <w:szCs w:val="20"/>
                    </w:rPr>
                    <w:t>participation</w:t>
                  </w:r>
                  <w:r w:rsidRPr="00196667">
                    <w:rPr>
                      <w:rFonts w:ascii="Arial" w:hAnsi="Arial" w:cs="Arial"/>
                      <w:sz w:val="20"/>
                      <w:szCs w:val="20"/>
                    </w:rPr>
                    <w:t xml:space="preserve"> rate in NAPLAN persuasive writing assessment, by Indigenous status, 2015 (per cent)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4A.55</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persuasive writing, and nature of differences, 2008 and 2014 to 2015, NSW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4A.56</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persuasive writing, and nature of differences, 2008 and 2014 to 2015, Victoria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4A.57</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persuasive writing, and nature of differences, 2008 and 2014 to 2015, Queensland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4A.58</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persuasive writing, and nature of differences, 2008 and 2014 to 2015, Western Australia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lastRenderedPageBreak/>
                    <w:t>Table 4A.59</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persuasive writing, and nature of differences, 2008 and 2014 to 2015, South Australia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4A.60</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persuasive writing, and nature of differences, 2008 and 2014 to 2015, Tasmania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4A.61</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persuasive writing, and nature of differences, 2008 and 2014 to 2015, Australian Capital Territory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4A.62</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persuasive writing, and nature of differences, 2008 and 2014 to 2015, Northern Territory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4A.63</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persuasive writing, and nature of differences, 2008 and 2014 to 2015, Australia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4A.64</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year 3, 5, 7 and 9 students who achieved at or above the national minimum standard for NAPLAN numeracy, by Indigenous status and geolocation, 2015 (per cent)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4A.65</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for NAPLAN numeracy, by State and Territory, by parental education and parental occupation, 2015 (per cent)    </w:t>
                  </w:r>
                </w:p>
              </w:tc>
            </w:tr>
            <w:tr w:rsidR="00196667" w:rsidRPr="00196667" w:rsidTr="007659B1">
              <w:trPr>
                <w:gridAfter w:val="3"/>
                <w:wAfter w:w="935" w:type="dxa"/>
                <w:trHeight w:val="612"/>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4A.66</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NAPLAN Mean scale scores for numeracy, by Indigenous status and geolocation, 2015  (score points)      </w:t>
                  </w:r>
                </w:p>
              </w:tc>
            </w:tr>
            <w:tr w:rsidR="00196667" w:rsidRPr="00196667" w:rsidTr="007659B1">
              <w:trPr>
                <w:gridAfter w:val="3"/>
                <w:wAfter w:w="935" w:type="dxa"/>
                <w:trHeight w:val="612"/>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4A.67</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NAPLAN Mean scale scores for numeracy, by State and Territory, by parental education and parental occupation, 2015 (score points)    </w:t>
                  </w:r>
                </w:p>
              </w:tc>
            </w:tr>
            <w:tr w:rsidR="00196667" w:rsidRPr="00196667" w:rsidTr="007659B1">
              <w:trPr>
                <w:gridAfter w:val="3"/>
                <w:wAfter w:w="935" w:type="dxa"/>
                <w:trHeight w:val="612"/>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4A.68</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Exempt, absent , withdrawn, and assessed students and </w:t>
                  </w:r>
                  <w:r w:rsidR="00DC09B6" w:rsidRPr="00196667">
                    <w:rPr>
                      <w:rFonts w:ascii="Arial" w:hAnsi="Arial" w:cs="Arial"/>
                      <w:sz w:val="20"/>
                      <w:szCs w:val="20"/>
                    </w:rPr>
                    <w:t>participation</w:t>
                  </w:r>
                  <w:r w:rsidRPr="00196667">
                    <w:rPr>
                      <w:rFonts w:ascii="Arial" w:hAnsi="Arial" w:cs="Arial"/>
                      <w:sz w:val="20"/>
                      <w:szCs w:val="20"/>
                    </w:rPr>
                    <w:t xml:space="preserve"> rate in NAPLAN numeracy assessment, by Indigenous status, 2015 (per cent)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4A.69</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numeracy, and nature of differences, 2008 and 2014 to 2015, NSW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4A.70</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numeracy, and nature of differences, 2008 and 2014 to 2015, Victoria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4A.71</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numeracy writing, and nature of differences, 2008 and 2014 to 2015, Queensland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4A.72</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numeracy, and nature of differences, 2008 and 2014 to 2015, Western Australia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4A.73</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numeracy, and nature of differences, 2008 and 2014 to 2015, South Australia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4A.74</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numeracy, and nature of differences, 2008 and 2014 to 2015, Tasmania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lastRenderedPageBreak/>
                    <w:t>Table 4A.75</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numeracy, and nature of differences, 2008 and 2014 to 2015, Australian Capital Territory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4A.76</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numeracy, and nature of differences, 2008 and 2014 to 2015, Northern Territory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4A.77</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students who achieved at or above the national minimum standard and Mean scale scores for NAPLAN numeracy, and nature of differences, 2008 and 2014 to 2015, Australia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4A.78</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year 6 students achieving at or above the proficient standard in science literacy performance in the National Assessment Program (per cent) and statistical significance of differences between testing years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4A.79</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year 6 students achieving at or above the proficient standard in science literacy  performance in the National Assessment Program, by geolocation, Australia (per cent)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4A.80</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Proportion of year 6 students achieving at or above the proficient standard in science literacy  performance in the National Assessment Program, by equity</w:t>
                  </w:r>
                  <w:r w:rsidR="00714593">
                    <w:rPr>
                      <w:rFonts w:ascii="Arial" w:hAnsi="Arial" w:cs="Arial"/>
                      <w:sz w:val="20"/>
                      <w:szCs w:val="20"/>
                    </w:rPr>
                    <w:t xml:space="preserve"> group, Australia (per cent)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4A.81</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Average performance of year 6 students in science literacy  domain in the National Assessment Program (mean score) and statistical significance of any difference within jurisdictions over time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4A.82</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Average performance of year 6 students in science literacy in the National Assessment Program (mean score) and statistical significance of any difference across jurisdictions within each year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4A.83</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years 6 and 10 students achieving at or above the proficient standard in civics and citizenship performance in the National Assessment Program (per cent) and statistical significance of differences between testing years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4A.84</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years 6 and 10 students achieving at or above the proficient standard in civics and citizenship performance in the National Assessment Program, by geolocation, Australia (per cent)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4A.85</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years 6 and 10 students achieving at or above the proficient standard in civics and citizenship performance in the National Assessment Program, by equity group, Australia (per cent)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4A.86</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Average performance of years 6 and 10 students in Civics and citizenship domain in the National Assessment Program (mean score) and statistical significance of any difference within jurisdictions over time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4A.87</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Average performance of year 6 and 10 students in Civics and citizenship in the National Assessment Program (mean score) and statistical significance of any difference across jurisdictions within each year </w:t>
                  </w:r>
                </w:p>
              </w:tc>
            </w:tr>
            <w:tr w:rsidR="00196667" w:rsidRPr="00196667" w:rsidTr="007659B1">
              <w:trPr>
                <w:gridAfter w:val="3"/>
                <w:wAfter w:w="935" w:type="dxa"/>
                <w:trHeight w:val="1122"/>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4A.88</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years 6 and 10 students achieving at or above the proficient standard in information and communication technologies performance in the National Assessment Program (per cent) and statistical significance of differences between testing years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hideMark/>
                </w:tcPr>
                <w:p w:rsidR="00196667" w:rsidRPr="00196667" w:rsidRDefault="00196667" w:rsidP="00196667">
                  <w:pPr>
                    <w:rPr>
                      <w:rFonts w:ascii="Arial" w:hAnsi="Arial" w:cs="Arial"/>
                      <w:b/>
                      <w:bCs/>
                      <w:color w:val="0000FF"/>
                      <w:sz w:val="20"/>
                      <w:szCs w:val="20"/>
                    </w:rPr>
                  </w:pPr>
                  <w:r w:rsidRPr="001A75F9">
                    <w:rPr>
                      <w:rFonts w:ascii="Arial" w:hAnsi="Arial" w:cs="Arial"/>
                      <w:b/>
                      <w:bCs/>
                      <w:color w:val="0000FF"/>
                      <w:sz w:val="20"/>
                      <w:szCs w:val="20"/>
                    </w:rPr>
                    <w:t>Table 4A.89</w:t>
                  </w:r>
                </w:p>
              </w:tc>
              <w:tc>
                <w:tcPr>
                  <w:tcW w:w="6469" w:type="dxa"/>
                  <w:tcBorders>
                    <w:top w:val="nil"/>
                    <w:left w:val="nil"/>
                    <w:bottom w:val="nil"/>
                    <w:right w:val="nil"/>
                  </w:tcBorders>
                  <w:shd w:val="clear" w:color="auto" w:fill="auto"/>
                  <w:hideMark/>
                </w:tcPr>
                <w:p w:rsidR="00196667" w:rsidRPr="00196667" w:rsidRDefault="00196667" w:rsidP="00196667">
                  <w:pPr>
                    <w:jc w:val="both"/>
                    <w:rPr>
                      <w:rFonts w:ascii="Arial" w:hAnsi="Arial" w:cs="Arial"/>
                      <w:sz w:val="20"/>
                      <w:szCs w:val="20"/>
                    </w:rPr>
                  </w:pPr>
                  <w:r w:rsidRPr="00196667">
                    <w:rPr>
                      <w:rFonts w:ascii="Arial" w:hAnsi="Arial" w:cs="Arial"/>
                      <w:sz w:val="20"/>
                      <w:szCs w:val="20"/>
                    </w:rPr>
                    <w:t xml:space="preserve">Proportion of years 6 and 10 students achieving at or above the proficient standard in information and communication technologies performance in the National Assessment Program, by geolocation, Australia (per cent)  </w:t>
                  </w:r>
                </w:p>
              </w:tc>
            </w:tr>
            <w:tr w:rsidR="00196667" w:rsidRPr="00196667" w:rsidTr="007659B1">
              <w:trPr>
                <w:gridAfter w:val="3"/>
                <w:wAfter w:w="935" w:type="dxa"/>
                <w:trHeight w:val="867"/>
              </w:trPr>
              <w:tc>
                <w:tcPr>
                  <w:tcW w:w="1456" w:type="dxa"/>
                  <w:tcBorders>
                    <w:top w:val="nil"/>
                    <w:left w:val="nil"/>
                    <w:bottom w:val="nil"/>
                    <w:right w:val="nil"/>
                  </w:tcBorders>
                  <w:shd w:val="clear" w:color="auto" w:fill="auto"/>
                  <w:noWrap/>
                </w:tcPr>
                <w:p w:rsidR="00196667" w:rsidRPr="00196667" w:rsidRDefault="00196667" w:rsidP="00196667">
                  <w:pPr>
                    <w:rPr>
                      <w:rFonts w:ascii="Arial" w:hAnsi="Arial" w:cs="Arial"/>
                      <w:b/>
                      <w:bCs/>
                      <w:color w:val="0000FF"/>
                      <w:sz w:val="20"/>
                      <w:szCs w:val="20"/>
                    </w:rPr>
                  </w:pPr>
                </w:p>
              </w:tc>
              <w:tc>
                <w:tcPr>
                  <w:tcW w:w="6469" w:type="dxa"/>
                  <w:tcBorders>
                    <w:top w:val="nil"/>
                    <w:left w:val="nil"/>
                    <w:bottom w:val="nil"/>
                    <w:right w:val="nil"/>
                  </w:tcBorders>
                  <w:shd w:val="clear" w:color="auto" w:fill="auto"/>
                </w:tcPr>
                <w:p w:rsidR="00196667" w:rsidRPr="00196667" w:rsidRDefault="00196667" w:rsidP="00196667">
                  <w:pPr>
                    <w:jc w:val="both"/>
                    <w:rPr>
                      <w:rFonts w:ascii="Arial" w:hAnsi="Arial" w:cs="Arial"/>
                      <w:sz w:val="20"/>
                      <w:szCs w:val="20"/>
                    </w:rPr>
                  </w:pPr>
                </w:p>
              </w:tc>
            </w:tr>
            <w:tr w:rsidR="007659B1" w:rsidRPr="007659B1" w:rsidTr="007659B1">
              <w:trPr>
                <w:trHeight w:val="867"/>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4A.90</w:t>
                  </w:r>
                </w:p>
              </w:tc>
              <w:tc>
                <w:tcPr>
                  <w:tcW w:w="7404" w:type="dxa"/>
                  <w:gridSpan w:val="4"/>
                  <w:tcBorders>
                    <w:top w:val="nil"/>
                    <w:left w:val="nil"/>
                    <w:bottom w:val="nil"/>
                    <w:right w:val="nil"/>
                  </w:tcBorders>
                  <w:shd w:val="clear" w:color="auto" w:fill="auto"/>
                  <w:hideMark/>
                </w:tcPr>
                <w:p w:rsidR="007659B1" w:rsidRPr="007659B1" w:rsidRDefault="007659B1" w:rsidP="00DC09B6">
                  <w:pPr>
                    <w:ind w:right="968"/>
                    <w:jc w:val="both"/>
                    <w:rPr>
                      <w:rFonts w:ascii="Arial" w:hAnsi="Arial" w:cs="Arial"/>
                      <w:sz w:val="20"/>
                      <w:szCs w:val="20"/>
                    </w:rPr>
                  </w:pPr>
                  <w:r w:rsidRPr="007659B1">
                    <w:rPr>
                      <w:rFonts w:ascii="Arial" w:hAnsi="Arial" w:cs="Arial"/>
                      <w:sz w:val="20"/>
                      <w:szCs w:val="20"/>
                    </w:rPr>
                    <w:t xml:space="preserve">Average performance of years 6 and 10 students in information and communication technologies  domain in the National Assessment Program (mean score) and statistical significance of any difference within jurisdictions over time </w:t>
                  </w:r>
                </w:p>
              </w:tc>
            </w:tr>
            <w:tr w:rsidR="007659B1" w:rsidRPr="007659B1" w:rsidTr="00DC09B6">
              <w:trPr>
                <w:gridAfter w:val="1"/>
                <w:wAfter w:w="651" w:type="dxa"/>
                <w:trHeight w:val="867"/>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4A.91</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Average performance of year 6 and 10 students in information and communication technologies  in the National Assessment Program (mean score) and statistical significance of any difference across jurisdictions within each year </w:t>
                  </w:r>
                </w:p>
              </w:tc>
            </w:tr>
            <w:tr w:rsidR="007659B1" w:rsidRPr="007659B1" w:rsidTr="00DC09B6">
              <w:trPr>
                <w:gridAfter w:val="1"/>
                <w:wAfter w:w="651"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4A.92</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Proportion of 15 year old students achieving level 3 or above in the overall reading literacy scale in PISA assessments (per cent)    </w:t>
                  </w:r>
                </w:p>
              </w:tc>
            </w:tr>
            <w:tr w:rsidR="007659B1" w:rsidRPr="007659B1" w:rsidTr="00DC09B6">
              <w:trPr>
                <w:gridAfter w:val="1"/>
                <w:wAfter w:w="651"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4A.93</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Proportion of 15 year old students achieving level 3 or above in the overall reading literacy scale in PISA assessments, by equity group, (per cent)    </w:t>
                  </w:r>
                </w:p>
              </w:tc>
            </w:tr>
            <w:tr w:rsidR="007659B1" w:rsidRPr="007659B1" w:rsidTr="00DC09B6">
              <w:trPr>
                <w:gridAfter w:val="1"/>
                <w:wAfter w:w="651"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4A.94</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Proportion of 15 year old secondary students achieving at or above level 3 of the overall reading literacy scale in PISA assessments, Australia, by SES (per cent)    </w:t>
                  </w:r>
                </w:p>
              </w:tc>
            </w:tr>
            <w:tr w:rsidR="007659B1" w:rsidRPr="007659B1" w:rsidTr="00DC09B6">
              <w:trPr>
                <w:gridAfter w:val="1"/>
                <w:wAfter w:w="651" w:type="dxa"/>
                <w:trHeight w:val="867"/>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4A.95</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Proportion of 15 year old students achieving level 3 or above and in the highest and lowest levels in the overall reading literacy scale (per cent), mean scores and statistical difference of mean score performance  in PISA assessment, 2012        </w:t>
                  </w:r>
                </w:p>
              </w:tc>
            </w:tr>
            <w:tr w:rsidR="007659B1" w:rsidRPr="007659B1" w:rsidTr="00DC09B6">
              <w:trPr>
                <w:gridAfter w:val="1"/>
                <w:wAfter w:w="651"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4A.96</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Mean scores for reading literacy and statistical significance of differences between PISA surveys </w:t>
                  </w:r>
                </w:p>
              </w:tc>
            </w:tr>
            <w:tr w:rsidR="007659B1" w:rsidRPr="007659B1" w:rsidTr="00DC09B6">
              <w:trPr>
                <w:gridAfter w:val="1"/>
                <w:wAfter w:w="651"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4A.97</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Proportion of 15 year old students achieving level 3 or above in the overall mathematical literacy scale in PISA assessments (per cent)    </w:t>
                  </w:r>
                </w:p>
              </w:tc>
            </w:tr>
            <w:tr w:rsidR="007659B1" w:rsidRPr="007659B1" w:rsidTr="00DC09B6">
              <w:trPr>
                <w:gridAfter w:val="1"/>
                <w:wAfter w:w="651"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4A.98</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Proportion of 15 year old students achieving level 3 or above in the overall mathematical literacy scale in PISA assessments, by equity group (per cent)      </w:t>
                  </w:r>
                </w:p>
              </w:tc>
            </w:tr>
            <w:tr w:rsidR="007659B1" w:rsidRPr="007659B1" w:rsidTr="00DC09B6">
              <w:trPr>
                <w:gridAfter w:val="1"/>
                <w:wAfter w:w="651" w:type="dxa"/>
                <w:trHeight w:val="867"/>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4A.99</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Proportion of 15 year old secondary students achieving at or above level 3 of the overall mathematical literacy scale in PISA assessments, Australia, by SES (per cent)    </w:t>
                  </w:r>
                </w:p>
              </w:tc>
            </w:tr>
            <w:tr w:rsidR="007659B1" w:rsidRPr="007659B1" w:rsidTr="00DC09B6">
              <w:trPr>
                <w:gridAfter w:val="1"/>
                <w:wAfter w:w="651" w:type="dxa"/>
                <w:trHeight w:val="112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4A.100</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Proportion of 15 year old students achieving level 3 or above and in the highest and lowest levels in the overall mathematical literacy scale (per cent), mean scores and statistical difference of mean score performance in PISA assessment, 2012     </w:t>
                  </w:r>
                </w:p>
              </w:tc>
            </w:tr>
            <w:tr w:rsidR="007659B1" w:rsidRPr="007659B1" w:rsidTr="00DC09B6">
              <w:trPr>
                <w:gridAfter w:val="1"/>
                <w:wAfter w:w="651"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4A.101</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Mean scores for mathematical literacy and statistical significance of differences between PISA surveys </w:t>
                  </w:r>
                </w:p>
              </w:tc>
            </w:tr>
            <w:tr w:rsidR="007659B1" w:rsidRPr="007659B1" w:rsidTr="00DC09B6">
              <w:trPr>
                <w:gridAfter w:val="1"/>
                <w:wAfter w:w="651"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4A.102</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Proportion of 15 year old students achieving level 3 or above in the overall scientific literacy scale in PISA assessments (per cent)     </w:t>
                  </w:r>
                </w:p>
              </w:tc>
            </w:tr>
            <w:tr w:rsidR="007659B1" w:rsidRPr="007659B1" w:rsidTr="00DC09B6">
              <w:trPr>
                <w:gridAfter w:val="1"/>
                <w:wAfter w:w="651"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4A.103</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Proportion of 15 year old students achieving level 3 or above in the overall scientific literacy scale in PISA assessments, by equity group (per cent)    </w:t>
                  </w:r>
                </w:p>
              </w:tc>
            </w:tr>
            <w:tr w:rsidR="007659B1" w:rsidRPr="007659B1" w:rsidTr="00DC09B6">
              <w:trPr>
                <w:gridAfter w:val="1"/>
                <w:wAfter w:w="651"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4A.104</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Proportion of 15 year old secondary students achieving at or above level 3 of the overall scientific literacy scale in PISA assessment, Australia, by SES (per cent)     </w:t>
                  </w:r>
                </w:p>
              </w:tc>
            </w:tr>
            <w:tr w:rsidR="007659B1" w:rsidRPr="007659B1" w:rsidTr="00DC09B6">
              <w:trPr>
                <w:gridAfter w:val="1"/>
                <w:wAfter w:w="651" w:type="dxa"/>
                <w:trHeight w:val="867"/>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4A.105</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Proportion of 15 year old students achieving level 3 or above and in the highest and lowest levels in the overall scientific literacy scale in PISA assessment (per cent), mean scores and statistical difference of mean score performance, 2012     </w:t>
                  </w:r>
                </w:p>
              </w:tc>
            </w:tr>
            <w:tr w:rsidR="007659B1" w:rsidRPr="007659B1" w:rsidTr="00DC09B6">
              <w:trPr>
                <w:gridAfter w:val="1"/>
                <w:wAfter w:w="651"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lastRenderedPageBreak/>
                    <w:t>Table 4A.106</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Mean scores for scientific literacy and statistical significance of differences between PISA surveys </w:t>
                  </w:r>
                </w:p>
              </w:tc>
            </w:tr>
            <w:tr w:rsidR="007659B1" w:rsidRPr="007659B1" w:rsidTr="00DC09B6">
              <w:trPr>
                <w:gridAfter w:val="1"/>
                <w:wAfter w:w="651" w:type="dxa"/>
                <w:trHeight w:val="112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4A.107</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Proportion of year 4 students achieving at or above the intermediate international benchmark (per cent), and significance of difference over time for mean scores and proportions at and above the intermediate international benchmark in mathematics achievement in TIMSS assessments    </w:t>
                  </w:r>
                </w:p>
              </w:tc>
            </w:tr>
            <w:tr w:rsidR="007659B1" w:rsidRPr="007659B1" w:rsidTr="00DC09B6">
              <w:trPr>
                <w:gridAfter w:val="1"/>
                <w:wAfter w:w="651" w:type="dxa"/>
                <w:trHeight w:val="112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4A.108</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Proportion of year 8 students achieving at or above the intermediate international benchmark (per cent), and significance of difference over time for mean scores and proportions at and above the intermediate international benchmark in mathematics achievement in TIMSS assessments    </w:t>
                  </w:r>
                </w:p>
              </w:tc>
            </w:tr>
            <w:tr w:rsidR="007659B1" w:rsidRPr="007659B1" w:rsidTr="00DC09B6">
              <w:trPr>
                <w:gridAfter w:val="1"/>
                <w:wAfter w:w="651" w:type="dxa"/>
                <w:trHeight w:val="112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4A.109</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Proportion of year 4 students achieving at or above the intermediate international benchmark (per cent), and significance of difference over time for mean scores and proportions at and above the intermediate international benchmark in science achievement in TIMSS assessments    </w:t>
                  </w:r>
                </w:p>
              </w:tc>
            </w:tr>
            <w:tr w:rsidR="007659B1" w:rsidRPr="007659B1" w:rsidTr="00DC09B6">
              <w:trPr>
                <w:gridAfter w:val="1"/>
                <w:wAfter w:w="651" w:type="dxa"/>
                <w:trHeight w:val="112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4A.110</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Proportion of year 8 students achieving at or above the intermediate international benchmark (per cent), and significance of difference over time for mean scores and proportions at and above the intermediate international benchmark in science achievement in TIMSS assessments    </w:t>
                  </w:r>
                </w:p>
              </w:tc>
            </w:tr>
            <w:tr w:rsidR="007659B1" w:rsidRPr="007659B1" w:rsidTr="00DC09B6">
              <w:trPr>
                <w:gridAfter w:val="1"/>
                <w:wAfter w:w="651" w:type="dxa"/>
                <w:trHeight w:val="112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4A.111</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Proportion of year 4 and year 8 students achieving at or above the intermediate international benchmark (per cent); and mean scores in mathematics achievement and science achievement in TIMSS 2011 assessments by equity group, Australia (per cent)   </w:t>
                  </w:r>
                </w:p>
              </w:tc>
            </w:tr>
            <w:tr w:rsidR="007659B1" w:rsidRPr="007659B1" w:rsidTr="00DC09B6">
              <w:trPr>
                <w:gridAfter w:val="1"/>
                <w:wAfter w:w="651"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4A.112</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Proportion of year 4 students achieving at or above the intermediate international benchmark (per cent) and mean scores for 2011 PIRLS reading assessments </w:t>
                  </w:r>
                </w:p>
              </w:tc>
            </w:tr>
            <w:tr w:rsidR="007659B1" w:rsidRPr="007659B1" w:rsidTr="00DC09B6">
              <w:trPr>
                <w:gridAfter w:val="1"/>
                <w:wAfter w:w="651" w:type="dxa"/>
                <w:trHeight w:val="867"/>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4A.113</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Proportion of year 4 students achieving at or above the intermediate international benchmark (per cent) and mean scores for 2011 PIRLS reading assessments by equity group, Australia </w:t>
                  </w:r>
                </w:p>
              </w:tc>
            </w:tr>
            <w:tr w:rsidR="007659B1" w:rsidRPr="007659B1" w:rsidTr="00DC09B6">
              <w:trPr>
                <w:gridAfter w:val="1"/>
                <w:wAfter w:w="651" w:type="dxa"/>
                <w:trHeight w:val="867"/>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4A.114</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Proportion of year 8 students achieving at various levels (per cent) and mean scores for 2013 IEA International Computer and Information Literacy Study assessment  </w:t>
                  </w:r>
                </w:p>
              </w:tc>
            </w:tr>
            <w:tr w:rsidR="007659B1" w:rsidRPr="007659B1" w:rsidTr="00DC09B6">
              <w:trPr>
                <w:gridAfter w:val="1"/>
                <w:wAfter w:w="651"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4A.115</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Mean scores of year 8 students for 2013 IEA International Computer and Information Literacy Study assessment, by equity group </w:t>
                  </w:r>
                </w:p>
              </w:tc>
            </w:tr>
            <w:tr w:rsidR="007659B1" w:rsidRPr="007659B1" w:rsidTr="00DC09B6">
              <w:trPr>
                <w:gridAfter w:val="1"/>
                <w:wAfter w:w="651" w:type="dxa"/>
                <w:trHeight w:val="357"/>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4A.116</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Proportion of children aged 6–15 years enrolled in school </w:t>
                  </w:r>
                </w:p>
              </w:tc>
            </w:tr>
            <w:tr w:rsidR="007659B1" w:rsidRPr="007659B1" w:rsidTr="00DC09B6">
              <w:trPr>
                <w:gridAfter w:val="1"/>
                <w:wAfter w:w="651"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4A.117</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School participation rates by age and sex of students, all schools, 2014, (per cent)    </w:t>
                  </w:r>
                </w:p>
              </w:tc>
            </w:tr>
            <w:tr w:rsidR="007659B1" w:rsidRPr="007659B1" w:rsidTr="00DC09B6">
              <w:trPr>
                <w:gridAfter w:val="1"/>
                <w:wAfter w:w="651" w:type="dxa"/>
                <w:trHeight w:val="357"/>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4A.118</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School participation rates by age of students, all students, all schools (per cent)     </w:t>
                  </w:r>
                </w:p>
              </w:tc>
            </w:tr>
            <w:tr w:rsidR="007659B1" w:rsidRPr="007659B1" w:rsidTr="00DC09B6">
              <w:trPr>
                <w:gridAfter w:val="1"/>
                <w:wAfter w:w="651"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4A.119</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Apparent retention rates of full time secondary students from year 7/8 to years 10, 11 and 12, 2014 (per cent)  </w:t>
                  </w:r>
                </w:p>
              </w:tc>
            </w:tr>
            <w:tr w:rsidR="007659B1" w:rsidRPr="007659B1" w:rsidTr="00DC09B6">
              <w:trPr>
                <w:gridAfter w:val="1"/>
                <w:wAfter w:w="651" w:type="dxa"/>
                <w:trHeight w:val="357"/>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4A.120</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Apparent retention rates of secondary students from years 10–12 (per cent)     </w:t>
                  </w:r>
                </w:p>
              </w:tc>
            </w:tr>
            <w:tr w:rsidR="007659B1" w:rsidRPr="007659B1" w:rsidTr="00DC09B6">
              <w:trPr>
                <w:gridAfter w:val="1"/>
                <w:wAfter w:w="651" w:type="dxa"/>
                <w:trHeight w:val="357"/>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4A.121</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Apparent retention rates of full time secondary students, all schools (per cent)   </w:t>
                  </w:r>
                </w:p>
              </w:tc>
            </w:tr>
            <w:tr w:rsidR="007659B1" w:rsidRPr="007659B1" w:rsidTr="00DC09B6">
              <w:trPr>
                <w:gridAfter w:val="1"/>
                <w:wAfter w:w="651"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4A.122</w:t>
                  </w:r>
                </w:p>
              </w:tc>
              <w:tc>
                <w:tcPr>
                  <w:tcW w:w="6753" w:type="dxa"/>
                  <w:gridSpan w:val="3"/>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Apparent retention rates of full time secondary students, government schools (per cent)   </w:t>
                  </w:r>
                </w:p>
              </w:tc>
            </w:tr>
            <w:tr w:rsidR="007659B1" w:rsidRPr="007659B1" w:rsidTr="00DC09B6">
              <w:trPr>
                <w:gridAfter w:val="2"/>
                <w:wAfter w:w="793"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lastRenderedPageBreak/>
                    <w:t>Table 4A.123</w:t>
                  </w:r>
                </w:p>
              </w:tc>
              <w:tc>
                <w:tcPr>
                  <w:tcW w:w="6611" w:type="dxa"/>
                  <w:gridSpan w:val="2"/>
                  <w:tcBorders>
                    <w:top w:val="nil"/>
                    <w:left w:val="nil"/>
                    <w:bottom w:val="nil"/>
                    <w:right w:val="nil"/>
                  </w:tcBorders>
                  <w:shd w:val="clear" w:color="auto" w:fill="auto"/>
                  <w:hideMark/>
                </w:tcPr>
                <w:p w:rsidR="007659B1" w:rsidRPr="007659B1" w:rsidRDefault="007659B1" w:rsidP="00DC09B6">
                  <w:pPr>
                    <w:ind w:right="317"/>
                    <w:jc w:val="both"/>
                    <w:rPr>
                      <w:rFonts w:ascii="Arial" w:hAnsi="Arial" w:cs="Arial"/>
                      <w:sz w:val="20"/>
                      <w:szCs w:val="20"/>
                    </w:rPr>
                  </w:pPr>
                  <w:r w:rsidRPr="007659B1">
                    <w:rPr>
                      <w:rFonts w:ascii="Arial" w:hAnsi="Arial" w:cs="Arial"/>
                      <w:sz w:val="20"/>
                      <w:szCs w:val="20"/>
                    </w:rPr>
                    <w:t xml:space="preserve">Apparent retention rates of full time secondary students, non-government schools (per cent)   </w:t>
                  </w:r>
                </w:p>
              </w:tc>
            </w:tr>
            <w:tr w:rsidR="007659B1" w:rsidRPr="007659B1" w:rsidTr="00DC09B6">
              <w:trPr>
                <w:gridAfter w:val="2"/>
                <w:wAfter w:w="793"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4A.124</w:t>
                  </w:r>
                </w:p>
              </w:tc>
              <w:tc>
                <w:tcPr>
                  <w:tcW w:w="6611" w:type="dxa"/>
                  <w:gridSpan w:val="2"/>
                  <w:tcBorders>
                    <w:top w:val="nil"/>
                    <w:left w:val="nil"/>
                    <w:bottom w:val="nil"/>
                    <w:right w:val="nil"/>
                  </w:tcBorders>
                  <w:shd w:val="clear" w:color="auto" w:fill="auto"/>
                  <w:hideMark/>
                </w:tcPr>
                <w:p w:rsidR="007659B1" w:rsidRPr="007659B1" w:rsidRDefault="007659B1" w:rsidP="007659B1">
                  <w:pPr>
                    <w:jc w:val="both"/>
                    <w:rPr>
                      <w:rFonts w:ascii="Arial" w:hAnsi="Arial" w:cs="Arial"/>
                      <w:sz w:val="20"/>
                      <w:szCs w:val="20"/>
                    </w:rPr>
                  </w:pPr>
                  <w:r w:rsidRPr="007659B1">
                    <w:rPr>
                      <w:rFonts w:ascii="Arial" w:hAnsi="Arial" w:cs="Arial"/>
                      <w:sz w:val="20"/>
                      <w:szCs w:val="20"/>
                    </w:rPr>
                    <w:t xml:space="preserve">Completion rates, year 12, by socioeconomic status and sex, all schools (per cent)     </w:t>
                  </w:r>
                </w:p>
              </w:tc>
            </w:tr>
            <w:tr w:rsidR="007659B1" w:rsidRPr="007659B1" w:rsidTr="00DC09B6">
              <w:trPr>
                <w:gridAfter w:val="2"/>
                <w:wAfter w:w="793" w:type="dxa"/>
                <w:trHeight w:val="357"/>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4A.125</w:t>
                  </w:r>
                </w:p>
              </w:tc>
              <w:tc>
                <w:tcPr>
                  <w:tcW w:w="6611" w:type="dxa"/>
                  <w:gridSpan w:val="2"/>
                  <w:tcBorders>
                    <w:top w:val="nil"/>
                    <w:left w:val="nil"/>
                    <w:bottom w:val="nil"/>
                    <w:right w:val="nil"/>
                  </w:tcBorders>
                  <w:shd w:val="clear" w:color="auto" w:fill="auto"/>
                  <w:hideMark/>
                </w:tcPr>
                <w:p w:rsidR="007659B1" w:rsidRPr="007659B1" w:rsidRDefault="007659B1" w:rsidP="007659B1">
                  <w:pPr>
                    <w:jc w:val="both"/>
                    <w:rPr>
                      <w:rFonts w:ascii="Arial" w:hAnsi="Arial" w:cs="Arial"/>
                      <w:sz w:val="20"/>
                      <w:szCs w:val="20"/>
                    </w:rPr>
                  </w:pPr>
                  <w:r w:rsidRPr="007659B1">
                    <w:rPr>
                      <w:rFonts w:ascii="Arial" w:hAnsi="Arial" w:cs="Arial"/>
                      <w:sz w:val="20"/>
                      <w:szCs w:val="20"/>
                    </w:rPr>
                    <w:t xml:space="preserve">Completion rates, year 12, by locality and sex, all schools (per cent)   </w:t>
                  </w:r>
                </w:p>
              </w:tc>
            </w:tr>
            <w:tr w:rsidR="007659B1" w:rsidRPr="007659B1" w:rsidTr="00DC09B6">
              <w:trPr>
                <w:gridAfter w:val="2"/>
                <w:wAfter w:w="793"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4A.126</w:t>
                  </w:r>
                </w:p>
              </w:tc>
              <w:tc>
                <w:tcPr>
                  <w:tcW w:w="6611" w:type="dxa"/>
                  <w:gridSpan w:val="2"/>
                  <w:tcBorders>
                    <w:top w:val="nil"/>
                    <w:left w:val="nil"/>
                    <w:bottom w:val="nil"/>
                    <w:right w:val="nil"/>
                  </w:tcBorders>
                  <w:shd w:val="clear" w:color="auto" w:fill="auto"/>
                  <w:hideMark/>
                </w:tcPr>
                <w:p w:rsidR="007659B1" w:rsidRPr="007659B1" w:rsidRDefault="007659B1" w:rsidP="007659B1">
                  <w:pPr>
                    <w:jc w:val="both"/>
                    <w:rPr>
                      <w:rFonts w:ascii="Arial" w:hAnsi="Arial" w:cs="Arial"/>
                      <w:sz w:val="20"/>
                      <w:szCs w:val="20"/>
                    </w:rPr>
                  </w:pPr>
                  <w:r w:rsidRPr="007659B1">
                    <w:rPr>
                      <w:rFonts w:ascii="Arial" w:hAnsi="Arial" w:cs="Arial"/>
                      <w:sz w:val="20"/>
                      <w:szCs w:val="20"/>
                    </w:rPr>
                    <w:t xml:space="preserve">Destination of 15-19 year old school leavers by highest level of schooling by level of non-school enrolment by engagement in study and/or employment, 2014       </w:t>
                  </w:r>
                </w:p>
              </w:tc>
            </w:tr>
            <w:tr w:rsidR="007659B1" w:rsidRPr="007659B1" w:rsidTr="00DC09B6">
              <w:trPr>
                <w:gridAfter w:val="2"/>
                <w:wAfter w:w="793"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4A.127</w:t>
                  </w:r>
                </w:p>
              </w:tc>
              <w:tc>
                <w:tcPr>
                  <w:tcW w:w="6611" w:type="dxa"/>
                  <w:gridSpan w:val="2"/>
                  <w:tcBorders>
                    <w:top w:val="nil"/>
                    <w:left w:val="nil"/>
                    <w:bottom w:val="nil"/>
                    <w:right w:val="nil"/>
                  </w:tcBorders>
                  <w:shd w:val="clear" w:color="auto" w:fill="auto"/>
                  <w:hideMark/>
                </w:tcPr>
                <w:p w:rsidR="007659B1" w:rsidRPr="007659B1" w:rsidRDefault="007659B1" w:rsidP="007659B1">
                  <w:pPr>
                    <w:jc w:val="both"/>
                    <w:rPr>
                      <w:rFonts w:ascii="Arial" w:hAnsi="Arial" w:cs="Arial"/>
                      <w:sz w:val="20"/>
                      <w:szCs w:val="20"/>
                    </w:rPr>
                  </w:pPr>
                  <w:r w:rsidRPr="007659B1">
                    <w:rPr>
                      <w:rFonts w:ascii="Arial" w:hAnsi="Arial" w:cs="Arial"/>
                      <w:sz w:val="20"/>
                      <w:szCs w:val="20"/>
                    </w:rPr>
                    <w:t xml:space="preserve">School leaver destination by highest level of school completed (15–24 year olds), 2014     </w:t>
                  </w:r>
                </w:p>
              </w:tc>
            </w:tr>
            <w:tr w:rsidR="007659B1" w:rsidRPr="007659B1" w:rsidTr="00DC09B6">
              <w:trPr>
                <w:gridAfter w:val="2"/>
                <w:wAfter w:w="793"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4A.128</w:t>
                  </w:r>
                </w:p>
              </w:tc>
              <w:tc>
                <w:tcPr>
                  <w:tcW w:w="6611" w:type="dxa"/>
                  <w:gridSpan w:val="2"/>
                  <w:tcBorders>
                    <w:top w:val="nil"/>
                    <w:left w:val="nil"/>
                    <w:bottom w:val="nil"/>
                    <w:right w:val="nil"/>
                  </w:tcBorders>
                  <w:shd w:val="clear" w:color="auto" w:fill="auto"/>
                  <w:hideMark/>
                </w:tcPr>
                <w:p w:rsidR="007659B1" w:rsidRPr="007659B1" w:rsidRDefault="007659B1" w:rsidP="007659B1">
                  <w:pPr>
                    <w:jc w:val="both"/>
                    <w:rPr>
                      <w:rFonts w:ascii="Arial" w:hAnsi="Arial" w:cs="Arial"/>
                      <w:sz w:val="20"/>
                      <w:szCs w:val="20"/>
                    </w:rPr>
                  </w:pPr>
                  <w:r w:rsidRPr="007659B1">
                    <w:rPr>
                      <w:rFonts w:ascii="Arial" w:hAnsi="Arial" w:cs="Arial"/>
                      <w:sz w:val="20"/>
                      <w:szCs w:val="20"/>
                    </w:rPr>
                    <w:t xml:space="preserve">Study and employment destination for 15–19 and 20–24 year olds not in school education, by highest year of school completed and non-school qualification, 2011     </w:t>
                  </w:r>
                </w:p>
              </w:tc>
            </w:tr>
            <w:tr w:rsidR="007659B1" w:rsidRPr="007659B1" w:rsidTr="00DC09B6">
              <w:trPr>
                <w:gridAfter w:val="2"/>
                <w:wAfter w:w="793"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4A.129</w:t>
                  </w:r>
                </w:p>
              </w:tc>
              <w:tc>
                <w:tcPr>
                  <w:tcW w:w="6611" w:type="dxa"/>
                  <w:gridSpan w:val="2"/>
                  <w:tcBorders>
                    <w:top w:val="nil"/>
                    <w:left w:val="nil"/>
                    <w:bottom w:val="nil"/>
                    <w:right w:val="nil"/>
                  </w:tcBorders>
                  <w:shd w:val="clear" w:color="auto" w:fill="auto"/>
                  <w:hideMark/>
                </w:tcPr>
                <w:p w:rsidR="007659B1" w:rsidRPr="007659B1" w:rsidRDefault="007659B1" w:rsidP="007659B1">
                  <w:pPr>
                    <w:jc w:val="both"/>
                    <w:rPr>
                      <w:rFonts w:ascii="Arial" w:hAnsi="Arial" w:cs="Arial"/>
                      <w:sz w:val="20"/>
                      <w:szCs w:val="20"/>
                    </w:rPr>
                  </w:pPr>
                  <w:r w:rsidRPr="007659B1">
                    <w:rPr>
                      <w:rFonts w:ascii="Arial" w:hAnsi="Arial" w:cs="Arial"/>
                      <w:sz w:val="20"/>
                      <w:szCs w:val="20"/>
                    </w:rPr>
                    <w:t xml:space="preserve">School leaver destination by highest level of school completed (15–24 year olds), 2014      </w:t>
                  </w:r>
                </w:p>
              </w:tc>
            </w:tr>
            <w:tr w:rsidR="007659B1" w:rsidRPr="007659B1" w:rsidTr="00DC09B6">
              <w:trPr>
                <w:gridAfter w:val="2"/>
                <w:wAfter w:w="793"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4A.130</w:t>
                  </w:r>
                </w:p>
              </w:tc>
              <w:tc>
                <w:tcPr>
                  <w:tcW w:w="6611" w:type="dxa"/>
                  <w:gridSpan w:val="2"/>
                  <w:tcBorders>
                    <w:top w:val="nil"/>
                    <w:left w:val="nil"/>
                    <w:bottom w:val="nil"/>
                    <w:right w:val="nil"/>
                  </w:tcBorders>
                  <w:shd w:val="clear" w:color="auto" w:fill="auto"/>
                  <w:hideMark/>
                </w:tcPr>
                <w:p w:rsidR="007659B1" w:rsidRPr="007659B1" w:rsidRDefault="007659B1" w:rsidP="007659B1">
                  <w:pPr>
                    <w:jc w:val="both"/>
                    <w:rPr>
                      <w:rFonts w:ascii="Arial" w:hAnsi="Arial" w:cs="Arial"/>
                      <w:sz w:val="20"/>
                      <w:szCs w:val="20"/>
                    </w:rPr>
                  </w:pPr>
                  <w:r w:rsidRPr="007659B1">
                    <w:rPr>
                      <w:rFonts w:ascii="Arial" w:hAnsi="Arial" w:cs="Arial"/>
                      <w:sz w:val="20"/>
                      <w:szCs w:val="20"/>
                    </w:rPr>
                    <w:t>15 to 19-year-olds successfully completing at least one unit of competency at AQF II or above</w:t>
                  </w:r>
                </w:p>
              </w:tc>
            </w:tr>
            <w:tr w:rsidR="007659B1" w:rsidRPr="007659B1" w:rsidTr="00DC09B6">
              <w:trPr>
                <w:gridAfter w:val="2"/>
                <w:wAfter w:w="793"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4A.131</w:t>
                  </w:r>
                </w:p>
              </w:tc>
              <w:tc>
                <w:tcPr>
                  <w:tcW w:w="6611" w:type="dxa"/>
                  <w:gridSpan w:val="2"/>
                  <w:tcBorders>
                    <w:top w:val="nil"/>
                    <w:left w:val="nil"/>
                    <w:bottom w:val="nil"/>
                    <w:right w:val="nil"/>
                  </w:tcBorders>
                  <w:shd w:val="clear" w:color="auto" w:fill="auto"/>
                  <w:hideMark/>
                </w:tcPr>
                <w:p w:rsidR="007659B1" w:rsidRPr="007659B1" w:rsidRDefault="007659B1" w:rsidP="007659B1">
                  <w:pPr>
                    <w:jc w:val="both"/>
                    <w:rPr>
                      <w:rFonts w:ascii="Arial" w:hAnsi="Arial" w:cs="Arial"/>
                      <w:sz w:val="20"/>
                      <w:szCs w:val="20"/>
                    </w:rPr>
                  </w:pPr>
                  <w:r w:rsidRPr="007659B1">
                    <w:rPr>
                      <w:rFonts w:ascii="Arial" w:hAnsi="Arial" w:cs="Arial"/>
                      <w:sz w:val="20"/>
                      <w:szCs w:val="20"/>
                    </w:rPr>
                    <w:t xml:space="preserve">Student attendance rates, government schools, by Indigenous status and remoteness, 2015 (per cent) </w:t>
                  </w:r>
                </w:p>
              </w:tc>
            </w:tr>
            <w:tr w:rsidR="007659B1" w:rsidRPr="007659B1" w:rsidTr="00DC09B6">
              <w:trPr>
                <w:gridAfter w:val="2"/>
                <w:wAfter w:w="793"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4A.132</w:t>
                  </w:r>
                </w:p>
              </w:tc>
              <w:tc>
                <w:tcPr>
                  <w:tcW w:w="6611" w:type="dxa"/>
                  <w:gridSpan w:val="2"/>
                  <w:tcBorders>
                    <w:top w:val="nil"/>
                    <w:left w:val="nil"/>
                    <w:bottom w:val="nil"/>
                    <w:right w:val="nil"/>
                  </w:tcBorders>
                  <w:shd w:val="clear" w:color="auto" w:fill="auto"/>
                  <w:hideMark/>
                </w:tcPr>
                <w:p w:rsidR="007659B1" w:rsidRPr="007659B1" w:rsidRDefault="007659B1" w:rsidP="007659B1">
                  <w:pPr>
                    <w:jc w:val="both"/>
                    <w:rPr>
                      <w:rFonts w:ascii="Arial" w:hAnsi="Arial" w:cs="Arial"/>
                      <w:sz w:val="20"/>
                      <w:szCs w:val="20"/>
                    </w:rPr>
                  </w:pPr>
                  <w:r w:rsidRPr="007659B1">
                    <w:rPr>
                      <w:rFonts w:ascii="Arial" w:hAnsi="Arial" w:cs="Arial"/>
                      <w:sz w:val="20"/>
                      <w:szCs w:val="20"/>
                    </w:rPr>
                    <w:t xml:space="preserve">Student attendance rates, non-government schools, by Indigenous status and remoteness, 2015 (per cent) </w:t>
                  </w:r>
                </w:p>
              </w:tc>
            </w:tr>
            <w:tr w:rsidR="007659B1" w:rsidRPr="007659B1" w:rsidTr="00DC09B6">
              <w:trPr>
                <w:gridAfter w:val="2"/>
                <w:wAfter w:w="793"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4A.133</w:t>
                  </w:r>
                </w:p>
              </w:tc>
              <w:tc>
                <w:tcPr>
                  <w:tcW w:w="6611" w:type="dxa"/>
                  <w:gridSpan w:val="2"/>
                  <w:tcBorders>
                    <w:top w:val="nil"/>
                    <w:left w:val="nil"/>
                    <w:bottom w:val="nil"/>
                    <w:right w:val="nil"/>
                  </w:tcBorders>
                  <w:shd w:val="clear" w:color="auto" w:fill="auto"/>
                  <w:hideMark/>
                </w:tcPr>
                <w:p w:rsidR="007659B1" w:rsidRPr="007659B1" w:rsidRDefault="007659B1" w:rsidP="007659B1">
                  <w:pPr>
                    <w:jc w:val="both"/>
                    <w:rPr>
                      <w:rFonts w:ascii="Arial" w:hAnsi="Arial" w:cs="Arial"/>
                      <w:sz w:val="20"/>
                      <w:szCs w:val="20"/>
                    </w:rPr>
                  </w:pPr>
                  <w:r w:rsidRPr="007659B1">
                    <w:rPr>
                      <w:rFonts w:ascii="Arial" w:hAnsi="Arial" w:cs="Arial"/>
                      <w:sz w:val="20"/>
                      <w:szCs w:val="20"/>
                    </w:rPr>
                    <w:t xml:space="preserve">Student attendance rates, all schools, by Indigenous status and remoteness, 2015 (per cent) </w:t>
                  </w:r>
                </w:p>
              </w:tc>
            </w:tr>
            <w:tr w:rsidR="007659B1" w:rsidRPr="007659B1" w:rsidTr="00DC09B6">
              <w:trPr>
                <w:gridAfter w:val="2"/>
                <w:wAfter w:w="793"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4A.134</w:t>
                  </w:r>
                </w:p>
              </w:tc>
              <w:tc>
                <w:tcPr>
                  <w:tcW w:w="6611" w:type="dxa"/>
                  <w:gridSpan w:val="2"/>
                  <w:tcBorders>
                    <w:top w:val="nil"/>
                    <w:left w:val="nil"/>
                    <w:bottom w:val="nil"/>
                    <w:right w:val="nil"/>
                  </w:tcBorders>
                  <w:shd w:val="clear" w:color="auto" w:fill="auto"/>
                  <w:hideMark/>
                </w:tcPr>
                <w:p w:rsidR="007659B1" w:rsidRPr="007659B1" w:rsidRDefault="007659B1" w:rsidP="007659B1">
                  <w:pPr>
                    <w:jc w:val="both"/>
                    <w:rPr>
                      <w:rFonts w:ascii="Arial" w:hAnsi="Arial" w:cs="Arial"/>
                      <w:sz w:val="20"/>
                      <w:szCs w:val="20"/>
                    </w:rPr>
                  </w:pPr>
                  <w:r w:rsidRPr="007659B1">
                    <w:rPr>
                      <w:rFonts w:ascii="Arial" w:hAnsi="Arial" w:cs="Arial"/>
                      <w:sz w:val="20"/>
                      <w:szCs w:val="20"/>
                    </w:rPr>
                    <w:t xml:space="preserve">Student attendance rates, government schools, by Indigenous status and remoteness, 2014 (per cent)  </w:t>
                  </w:r>
                </w:p>
              </w:tc>
            </w:tr>
            <w:tr w:rsidR="007659B1" w:rsidRPr="007659B1" w:rsidTr="00DC09B6">
              <w:trPr>
                <w:gridAfter w:val="2"/>
                <w:wAfter w:w="793"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4A.135</w:t>
                  </w:r>
                </w:p>
              </w:tc>
              <w:tc>
                <w:tcPr>
                  <w:tcW w:w="6611" w:type="dxa"/>
                  <w:gridSpan w:val="2"/>
                  <w:tcBorders>
                    <w:top w:val="nil"/>
                    <w:left w:val="nil"/>
                    <w:bottom w:val="nil"/>
                    <w:right w:val="nil"/>
                  </w:tcBorders>
                  <w:shd w:val="clear" w:color="auto" w:fill="auto"/>
                  <w:hideMark/>
                </w:tcPr>
                <w:p w:rsidR="007659B1" w:rsidRPr="007659B1" w:rsidRDefault="007659B1" w:rsidP="007659B1">
                  <w:pPr>
                    <w:jc w:val="both"/>
                    <w:rPr>
                      <w:rFonts w:ascii="Arial" w:hAnsi="Arial" w:cs="Arial"/>
                      <w:sz w:val="20"/>
                      <w:szCs w:val="20"/>
                    </w:rPr>
                  </w:pPr>
                  <w:r w:rsidRPr="007659B1">
                    <w:rPr>
                      <w:rFonts w:ascii="Arial" w:hAnsi="Arial" w:cs="Arial"/>
                      <w:sz w:val="20"/>
                      <w:szCs w:val="20"/>
                    </w:rPr>
                    <w:t xml:space="preserve">Student attendance rates, non-government schools, by Indigenous status and remoteness, 2014 (per cent) </w:t>
                  </w:r>
                </w:p>
              </w:tc>
            </w:tr>
            <w:tr w:rsidR="007659B1" w:rsidRPr="007659B1" w:rsidTr="00DC09B6">
              <w:trPr>
                <w:gridAfter w:val="2"/>
                <w:wAfter w:w="793"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4A.136</w:t>
                  </w:r>
                </w:p>
              </w:tc>
              <w:tc>
                <w:tcPr>
                  <w:tcW w:w="6611" w:type="dxa"/>
                  <w:gridSpan w:val="2"/>
                  <w:tcBorders>
                    <w:top w:val="nil"/>
                    <w:left w:val="nil"/>
                    <w:bottom w:val="nil"/>
                    <w:right w:val="nil"/>
                  </w:tcBorders>
                  <w:shd w:val="clear" w:color="auto" w:fill="auto"/>
                  <w:hideMark/>
                </w:tcPr>
                <w:p w:rsidR="007659B1" w:rsidRPr="007659B1" w:rsidRDefault="007659B1" w:rsidP="007659B1">
                  <w:pPr>
                    <w:jc w:val="both"/>
                    <w:rPr>
                      <w:rFonts w:ascii="Arial" w:hAnsi="Arial" w:cs="Arial"/>
                      <w:sz w:val="20"/>
                      <w:szCs w:val="20"/>
                    </w:rPr>
                  </w:pPr>
                  <w:r w:rsidRPr="007659B1">
                    <w:rPr>
                      <w:rFonts w:ascii="Arial" w:hAnsi="Arial" w:cs="Arial"/>
                      <w:sz w:val="20"/>
                      <w:szCs w:val="20"/>
                    </w:rPr>
                    <w:t xml:space="preserve">Student attendance rates, all schools, by Indigenous status and remoteness, 2014 (per cent) </w:t>
                  </w:r>
                </w:p>
              </w:tc>
            </w:tr>
            <w:tr w:rsidR="007659B1" w:rsidRPr="007659B1" w:rsidTr="00DC09B6">
              <w:trPr>
                <w:gridAfter w:val="2"/>
                <w:wAfter w:w="793" w:type="dxa"/>
                <w:trHeight w:val="612"/>
              </w:trPr>
              <w:tc>
                <w:tcPr>
                  <w:tcW w:w="1456" w:type="dxa"/>
                  <w:tcBorders>
                    <w:top w:val="nil"/>
                    <w:left w:val="nil"/>
                    <w:bottom w:val="nil"/>
                    <w:right w:val="nil"/>
                  </w:tcBorders>
                  <w:shd w:val="clear" w:color="auto" w:fill="auto"/>
                  <w:noWrap/>
                  <w:hideMark/>
                </w:tcPr>
                <w:p w:rsidR="007659B1" w:rsidRPr="007659B1" w:rsidRDefault="007659B1" w:rsidP="007659B1">
                  <w:pPr>
                    <w:rPr>
                      <w:rFonts w:ascii="Arial" w:hAnsi="Arial" w:cs="Arial"/>
                      <w:b/>
                      <w:bCs/>
                      <w:color w:val="0000FF"/>
                      <w:sz w:val="20"/>
                      <w:szCs w:val="20"/>
                    </w:rPr>
                  </w:pPr>
                  <w:r w:rsidRPr="007659B1">
                    <w:rPr>
                      <w:rFonts w:ascii="Arial" w:hAnsi="Arial" w:cs="Arial"/>
                      <w:b/>
                      <w:bCs/>
                      <w:color w:val="0000FF"/>
                      <w:sz w:val="20"/>
                      <w:szCs w:val="20"/>
                    </w:rPr>
                    <w:t>Table 4A.137</w:t>
                  </w:r>
                </w:p>
              </w:tc>
              <w:tc>
                <w:tcPr>
                  <w:tcW w:w="6611" w:type="dxa"/>
                  <w:gridSpan w:val="2"/>
                  <w:tcBorders>
                    <w:top w:val="nil"/>
                    <w:left w:val="nil"/>
                    <w:bottom w:val="nil"/>
                    <w:right w:val="nil"/>
                  </w:tcBorders>
                  <w:shd w:val="clear" w:color="auto" w:fill="auto"/>
                  <w:hideMark/>
                </w:tcPr>
                <w:p w:rsidR="007B76C5" w:rsidRPr="007659B1" w:rsidRDefault="007659B1" w:rsidP="007659B1">
                  <w:pPr>
                    <w:jc w:val="both"/>
                    <w:rPr>
                      <w:rFonts w:ascii="Arial" w:hAnsi="Arial" w:cs="Arial"/>
                      <w:sz w:val="20"/>
                      <w:szCs w:val="20"/>
                    </w:rPr>
                  </w:pPr>
                  <w:r w:rsidRPr="007659B1">
                    <w:rPr>
                      <w:rFonts w:ascii="Arial" w:hAnsi="Arial" w:cs="Arial"/>
                      <w:sz w:val="20"/>
                      <w:szCs w:val="20"/>
                    </w:rPr>
                    <w:t xml:space="preserve">Student attendance level, government schools, by Indigenous status and remoteness, 2015 (per cent) </w:t>
                  </w:r>
                </w:p>
              </w:tc>
            </w:tr>
            <w:tr w:rsidR="007B76C5" w:rsidRPr="007659B1" w:rsidTr="00DC09B6">
              <w:trPr>
                <w:gridAfter w:val="2"/>
                <w:wAfter w:w="793" w:type="dxa"/>
                <w:trHeight w:val="612"/>
              </w:trPr>
              <w:tc>
                <w:tcPr>
                  <w:tcW w:w="1456" w:type="dxa"/>
                  <w:tcBorders>
                    <w:top w:val="nil"/>
                    <w:left w:val="nil"/>
                    <w:bottom w:val="nil"/>
                    <w:right w:val="nil"/>
                  </w:tcBorders>
                  <w:shd w:val="clear" w:color="auto" w:fill="auto"/>
                  <w:noWrap/>
                </w:tcPr>
                <w:p w:rsidR="007B76C5" w:rsidRPr="007659B1" w:rsidRDefault="007B76C5" w:rsidP="007B76C5">
                  <w:pPr>
                    <w:rPr>
                      <w:rFonts w:ascii="Arial" w:hAnsi="Arial" w:cs="Arial"/>
                      <w:b/>
                      <w:bCs/>
                      <w:color w:val="0000FF"/>
                      <w:sz w:val="20"/>
                      <w:szCs w:val="20"/>
                    </w:rPr>
                  </w:pPr>
                  <w:r w:rsidRPr="007659B1">
                    <w:rPr>
                      <w:rFonts w:ascii="Arial" w:hAnsi="Arial" w:cs="Arial"/>
                      <w:b/>
                      <w:bCs/>
                      <w:color w:val="0000FF"/>
                      <w:sz w:val="20"/>
                      <w:szCs w:val="20"/>
                    </w:rPr>
                    <w:t>Table 4A.13</w:t>
                  </w:r>
                  <w:r>
                    <w:rPr>
                      <w:rFonts w:ascii="Arial" w:hAnsi="Arial" w:cs="Arial"/>
                      <w:b/>
                      <w:bCs/>
                      <w:color w:val="0000FF"/>
                      <w:sz w:val="20"/>
                      <w:szCs w:val="20"/>
                    </w:rPr>
                    <w:t>8</w:t>
                  </w:r>
                </w:p>
              </w:tc>
              <w:tc>
                <w:tcPr>
                  <w:tcW w:w="6611" w:type="dxa"/>
                  <w:gridSpan w:val="2"/>
                  <w:tcBorders>
                    <w:top w:val="nil"/>
                    <w:left w:val="nil"/>
                    <w:bottom w:val="nil"/>
                    <w:right w:val="nil"/>
                  </w:tcBorders>
                  <w:shd w:val="clear" w:color="auto" w:fill="auto"/>
                </w:tcPr>
                <w:p w:rsidR="007B76C5" w:rsidRPr="007659B1" w:rsidRDefault="007B76C5" w:rsidP="00720F21">
                  <w:pPr>
                    <w:jc w:val="both"/>
                    <w:rPr>
                      <w:rFonts w:ascii="Arial" w:hAnsi="Arial" w:cs="Arial"/>
                      <w:sz w:val="20"/>
                      <w:szCs w:val="20"/>
                    </w:rPr>
                  </w:pPr>
                  <w:r w:rsidRPr="007659B1">
                    <w:rPr>
                      <w:rFonts w:ascii="Arial" w:hAnsi="Arial" w:cs="Arial"/>
                      <w:sz w:val="20"/>
                      <w:szCs w:val="20"/>
                    </w:rPr>
                    <w:t xml:space="preserve">Student attendance level, </w:t>
                  </w:r>
                  <w:r>
                    <w:rPr>
                      <w:rFonts w:ascii="Arial" w:hAnsi="Arial" w:cs="Arial"/>
                      <w:sz w:val="20"/>
                      <w:szCs w:val="20"/>
                    </w:rPr>
                    <w:t>non-</w:t>
                  </w:r>
                  <w:r w:rsidRPr="007659B1">
                    <w:rPr>
                      <w:rFonts w:ascii="Arial" w:hAnsi="Arial" w:cs="Arial"/>
                      <w:sz w:val="20"/>
                      <w:szCs w:val="20"/>
                    </w:rPr>
                    <w:t xml:space="preserve">government schools, by Indigenous status and remoteness, 2015 (per cent) </w:t>
                  </w:r>
                </w:p>
              </w:tc>
            </w:tr>
            <w:tr w:rsidR="007B76C5" w:rsidRPr="007659B1" w:rsidTr="00DC09B6">
              <w:trPr>
                <w:gridAfter w:val="1"/>
                <w:wAfter w:w="651" w:type="dxa"/>
                <w:trHeight w:val="612"/>
              </w:trPr>
              <w:tc>
                <w:tcPr>
                  <w:tcW w:w="1456" w:type="dxa"/>
                  <w:tcBorders>
                    <w:top w:val="nil"/>
                    <w:left w:val="nil"/>
                    <w:bottom w:val="nil"/>
                    <w:right w:val="nil"/>
                  </w:tcBorders>
                  <w:shd w:val="clear" w:color="auto" w:fill="auto"/>
                  <w:noWrap/>
                  <w:hideMark/>
                </w:tcPr>
                <w:p w:rsidR="007B76C5" w:rsidRPr="007659B1" w:rsidRDefault="007B76C5" w:rsidP="007B76C5">
                  <w:pPr>
                    <w:rPr>
                      <w:rFonts w:ascii="Arial" w:hAnsi="Arial" w:cs="Arial"/>
                      <w:b/>
                      <w:bCs/>
                      <w:color w:val="0000FF"/>
                      <w:sz w:val="20"/>
                      <w:szCs w:val="20"/>
                    </w:rPr>
                  </w:pPr>
                  <w:r w:rsidRPr="007659B1">
                    <w:rPr>
                      <w:rFonts w:ascii="Arial" w:hAnsi="Arial" w:cs="Arial"/>
                      <w:b/>
                      <w:bCs/>
                      <w:color w:val="0000FF"/>
                      <w:sz w:val="20"/>
                      <w:szCs w:val="20"/>
                    </w:rPr>
                    <w:t>Table 4A.13</w:t>
                  </w:r>
                  <w:r>
                    <w:rPr>
                      <w:rFonts w:ascii="Arial" w:hAnsi="Arial" w:cs="Arial"/>
                      <w:b/>
                      <w:bCs/>
                      <w:color w:val="0000FF"/>
                      <w:sz w:val="20"/>
                      <w:szCs w:val="20"/>
                    </w:rPr>
                    <w:t>9</w:t>
                  </w:r>
                </w:p>
              </w:tc>
              <w:tc>
                <w:tcPr>
                  <w:tcW w:w="6753" w:type="dxa"/>
                  <w:gridSpan w:val="3"/>
                  <w:tcBorders>
                    <w:top w:val="nil"/>
                    <w:left w:val="nil"/>
                    <w:bottom w:val="nil"/>
                    <w:right w:val="nil"/>
                  </w:tcBorders>
                  <w:shd w:val="clear" w:color="auto" w:fill="auto"/>
                  <w:hideMark/>
                </w:tcPr>
                <w:p w:rsidR="007B76C5" w:rsidRPr="007659B1" w:rsidRDefault="007B76C5" w:rsidP="007659B1">
                  <w:pPr>
                    <w:jc w:val="both"/>
                    <w:rPr>
                      <w:rFonts w:ascii="Arial" w:hAnsi="Arial" w:cs="Arial"/>
                      <w:sz w:val="20"/>
                      <w:szCs w:val="20"/>
                    </w:rPr>
                  </w:pPr>
                  <w:r w:rsidRPr="007659B1">
                    <w:rPr>
                      <w:rFonts w:ascii="Arial" w:hAnsi="Arial" w:cs="Arial"/>
                      <w:sz w:val="20"/>
                      <w:szCs w:val="20"/>
                    </w:rPr>
                    <w:t>General Government Final Consumption Expenditure (GGFCE) chain price deflator  (index)</w:t>
                  </w:r>
                </w:p>
              </w:tc>
            </w:tr>
          </w:tbl>
          <w:p w:rsidR="00196667" w:rsidRPr="001A75F9" w:rsidRDefault="00196667">
            <w:pPr>
              <w:rPr>
                <w:rFonts w:ascii="Arial" w:hAnsi="Arial" w:cs="Arial"/>
                <w:b/>
                <w:bCs/>
                <w:i/>
                <w:color w:val="0000FF"/>
                <w:sz w:val="20"/>
                <w:szCs w:val="20"/>
              </w:rPr>
            </w:pPr>
          </w:p>
        </w:tc>
        <w:tc>
          <w:tcPr>
            <w:tcW w:w="7404" w:type="dxa"/>
            <w:gridSpan w:val="2"/>
            <w:tcBorders>
              <w:top w:val="nil"/>
              <w:left w:val="nil"/>
              <w:bottom w:val="nil"/>
              <w:right w:val="nil"/>
            </w:tcBorders>
            <w:shd w:val="clear" w:color="auto" w:fill="auto"/>
          </w:tcPr>
          <w:p w:rsidR="00196667" w:rsidRPr="001A75F9" w:rsidRDefault="00196667">
            <w:pPr>
              <w:jc w:val="both"/>
              <w:rPr>
                <w:rFonts w:ascii="Arial" w:hAnsi="Arial" w:cs="Arial"/>
                <w:i/>
                <w:sz w:val="20"/>
                <w:szCs w:val="20"/>
              </w:rPr>
            </w:pPr>
          </w:p>
        </w:tc>
      </w:tr>
    </w:tbl>
    <w:p w:rsidR="00666ECE" w:rsidRPr="00F848EE" w:rsidRDefault="00033D89" w:rsidP="00F41385">
      <w:pPr>
        <w:pStyle w:val="Heading2"/>
        <w:spacing w:before="360"/>
      </w:pPr>
      <w:bookmarkStart w:id="28" w:name="_Toc433298260"/>
      <w:r>
        <w:lastRenderedPageBreak/>
        <w:t>4.7</w:t>
      </w:r>
      <w:r>
        <w:tab/>
      </w:r>
      <w:r w:rsidR="009C2F51">
        <w:t>Refe</w:t>
      </w:r>
      <w:r w:rsidR="00666ECE" w:rsidRPr="00F848EE">
        <w:t>rences</w:t>
      </w:r>
      <w:bookmarkEnd w:id="28"/>
      <w:r w:rsidR="00666ECE" w:rsidRPr="00F848EE">
        <w:t xml:space="preserve"> </w:t>
      </w:r>
    </w:p>
    <w:p w:rsidR="00666ECE" w:rsidRPr="00F848EE" w:rsidRDefault="00666ECE" w:rsidP="00666ECE">
      <w:pPr>
        <w:spacing w:before="120" w:line="320" w:lineRule="atLeast"/>
        <w:ind w:left="340" w:hanging="340"/>
        <w:jc w:val="both"/>
        <w:rPr>
          <w:szCs w:val="20"/>
        </w:rPr>
      </w:pPr>
      <w:r w:rsidRPr="00F848EE">
        <w:rPr>
          <w:szCs w:val="20"/>
        </w:rPr>
        <w:t>ABS (Australian Bureau of Statistics) 201</w:t>
      </w:r>
      <w:r w:rsidR="001A75F9">
        <w:rPr>
          <w:szCs w:val="20"/>
        </w:rPr>
        <w:t>5</w:t>
      </w:r>
      <w:r w:rsidRPr="00F848EE">
        <w:rPr>
          <w:szCs w:val="20"/>
        </w:rPr>
        <w:t xml:space="preserve">, </w:t>
      </w:r>
      <w:r w:rsidRPr="00F848EE">
        <w:rPr>
          <w:i/>
          <w:szCs w:val="20"/>
        </w:rPr>
        <w:t>Schools Australia, 201</w:t>
      </w:r>
      <w:r w:rsidR="001A75F9">
        <w:rPr>
          <w:i/>
          <w:szCs w:val="20"/>
        </w:rPr>
        <w:t>4</w:t>
      </w:r>
      <w:r w:rsidR="00C548AE">
        <w:rPr>
          <w:szCs w:val="20"/>
        </w:rPr>
        <w:t>, Cat. </w:t>
      </w:r>
      <w:r w:rsidRPr="00F848EE">
        <w:rPr>
          <w:szCs w:val="20"/>
        </w:rPr>
        <w:t>no.</w:t>
      </w:r>
      <w:r w:rsidR="00C548AE">
        <w:rPr>
          <w:szCs w:val="20"/>
        </w:rPr>
        <w:t> </w:t>
      </w:r>
      <w:r w:rsidRPr="00F848EE">
        <w:rPr>
          <w:szCs w:val="20"/>
        </w:rPr>
        <w:t>4221.0, Canberra.</w:t>
      </w:r>
    </w:p>
    <w:p w:rsidR="00644F57" w:rsidRPr="003E2FC9" w:rsidRDefault="00666ECE" w:rsidP="00666ECE">
      <w:pPr>
        <w:spacing w:before="120" w:line="320" w:lineRule="atLeast"/>
        <w:ind w:left="340" w:hanging="340"/>
        <w:jc w:val="both"/>
        <w:rPr>
          <w:szCs w:val="20"/>
        </w:rPr>
      </w:pPr>
      <w:r w:rsidRPr="00F848EE">
        <w:rPr>
          <w:szCs w:val="20"/>
        </w:rPr>
        <w:t xml:space="preserve">ACARA (Australian Curriculum and Assessment Reporting Authority), </w:t>
      </w:r>
      <w:r w:rsidR="003E2FC9">
        <w:rPr>
          <w:szCs w:val="20"/>
        </w:rPr>
        <w:t>201</w:t>
      </w:r>
      <w:r w:rsidR="00137816">
        <w:rPr>
          <w:szCs w:val="20"/>
        </w:rPr>
        <w:t>4</w:t>
      </w:r>
      <w:r w:rsidR="009D18E1">
        <w:rPr>
          <w:szCs w:val="20"/>
        </w:rPr>
        <w:t>a</w:t>
      </w:r>
      <w:r w:rsidR="003E2FC9">
        <w:rPr>
          <w:szCs w:val="20"/>
        </w:rPr>
        <w:t xml:space="preserve">, </w:t>
      </w:r>
      <w:r w:rsidR="003E2FC9" w:rsidRPr="003E2FC9">
        <w:rPr>
          <w:i/>
          <w:iCs/>
          <w:szCs w:val="20"/>
        </w:rPr>
        <w:t>National Report on Schooling in Australia 201</w:t>
      </w:r>
      <w:r w:rsidR="00E33ABF">
        <w:rPr>
          <w:i/>
          <w:iCs/>
          <w:szCs w:val="20"/>
        </w:rPr>
        <w:t>2</w:t>
      </w:r>
      <w:r w:rsidR="003E2FC9">
        <w:rPr>
          <w:i/>
          <w:iCs/>
          <w:szCs w:val="20"/>
        </w:rPr>
        <w:t xml:space="preserve">, </w:t>
      </w:r>
      <w:r w:rsidR="003E2FC9" w:rsidRPr="003E2FC9">
        <w:rPr>
          <w:iCs/>
          <w:szCs w:val="20"/>
        </w:rPr>
        <w:t>Sydney</w:t>
      </w:r>
    </w:p>
    <w:p w:rsidR="00F67FA3" w:rsidRDefault="00F67FA3" w:rsidP="00F67FA3">
      <w:pPr>
        <w:spacing w:before="120" w:line="320" w:lineRule="atLeast"/>
        <w:ind w:left="340" w:hanging="340"/>
        <w:jc w:val="both"/>
        <w:rPr>
          <w:szCs w:val="20"/>
        </w:rPr>
      </w:pPr>
      <w:r w:rsidRPr="0083461E">
        <w:rPr>
          <w:szCs w:val="20"/>
        </w:rPr>
        <w:t>——</w:t>
      </w:r>
      <w:r>
        <w:rPr>
          <w:szCs w:val="20"/>
        </w:rPr>
        <w:t> 2014</w:t>
      </w:r>
      <w:r w:rsidR="009D18E1">
        <w:rPr>
          <w:szCs w:val="20"/>
        </w:rPr>
        <w:t>b</w:t>
      </w:r>
      <w:r>
        <w:rPr>
          <w:szCs w:val="20"/>
        </w:rPr>
        <w:t xml:space="preserve"> </w:t>
      </w:r>
      <w:r w:rsidRPr="004E4896">
        <w:rPr>
          <w:i/>
          <w:szCs w:val="20"/>
        </w:rPr>
        <w:t>Information and Communication Technology (ICT) Capability</w:t>
      </w:r>
      <w:r w:rsidRPr="0083461E">
        <w:rPr>
          <w:szCs w:val="20"/>
        </w:rPr>
        <w:t>.</w:t>
      </w:r>
      <w:r w:rsidRPr="004E4896">
        <w:t xml:space="preserve"> </w:t>
      </w:r>
      <w:r w:rsidRPr="00E44919">
        <w:rPr>
          <w:szCs w:val="20"/>
        </w:rPr>
        <w:t>http://www.australiancurriculum.edu.au/generalcapabilities/information-and-</w:t>
      </w:r>
      <w:r w:rsidRPr="00E44919">
        <w:rPr>
          <w:szCs w:val="20"/>
        </w:rPr>
        <w:lastRenderedPageBreak/>
        <w:t>communication-technology-capability/introduction/introduction</w:t>
      </w:r>
      <w:r>
        <w:rPr>
          <w:szCs w:val="20"/>
        </w:rPr>
        <w:t xml:space="preserve"> accessed 21 October 2015</w:t>
      </w:r>
    </w:p>
    <w:p w:rsidR="00735213" w:rsidRPr="00F848EE" w:rsidRDefault="00735213" w:rsidP="00735213">
      <w:pPr>
        <w:shd w:val="clear" w:color="auto" w:fill="FFFFFF" w:themeFill="background1"/>
        <w:spacing w:before="120" w:line="320" w:lineRule="atLeast"/>
        <w:ind w:left="340" w:hanging="340"/>
        <w:jc w:val="both"/>
        <w:rPr>
          <w:szCs w:val="20"/>
        </w:rPr>
      </w:pPr>
      <w:r w:rsidRPr="0083461E">
        <w:rPr>
          <w:szCs w:val="20"/>
        </w:rPr>
        <w:t xml:space="preserve">—— </w:t>
      </w:r>
      <w:r w:rsidRPr="00F848EE">
        <w:rPr>
          <w:szCs w:val="20"/>
        </w:rPr>
        <w:t>201</w:t>
      </w:r>
      <w:r w:rsidR="00137816">
        <w:rPr>
          <w:szCs w:val="20"/>
        </w:rPr>
        <w:t>5</w:t>
      </w:r>
      <w:r>
        <w:rPr>
          <w:szCs w:val="20"/>
        </w:rPr>
        <w:t>a</w:t>
      </w:r>
      <w:r w:rsidRPr="00F848EE">
        <w:rPr>
          <w:szCs w:val="20"/>
        </w:rPr>
        <w:t xml:space="preserve">, </w:t>
      </w:r>
      <w:r w:rsidRPr="00F848EE">
        <w:rPr>
          <w:i/>
          <w:szCs w:val="20"/>
        </w:rPr>
        <w:t>National Assessment Program — Literacy and Numeracy Achievement in Reading, Writing, Language Conventions and Numeracy: National Report for 201</w:t>
      </w:r>
      <w:r>
        <w:rPr>
          <w:i/>
          <w:szCs w:val="20"/>
        </w:rPr>
        <w:t>4</w:t>
      </w:r>
      <w:r w:rsidRPr="00F848EE">
        <w:rPr>
          <w:i/>
          <w:szCs w:val="20"/>
        </w:rPr>
        <w:t>,</w:t>
      </w:r>
      <w:r w:rsidRPr="00F848EE">
        <w:rPr>
          <w:szCs w:val="20"/>
        </w:rPr>
        <w:t xml:space="preserve"> Sydney.</w:t>
      </w:r>
    </w:p>
    <w:p w:rsidR="0030069A" w:rsidRDefault="00644F57" w:rsidP="0030069A">
      <w:pPr>
        <w:spacing w:before="120" w:line="320" w:lineRule="atLeast"/>
        <w:ind w:left="340" w:hanging="340"/>
        <w:jc w:val="both"/>
        <w:rPr>
          <w:szCs w:val="20"/>
        </w:rPr>
      </w:pPr>
      <w:r w:rsidRPr="0083461E">
        <w:rPr>
          <w:szCs w:val="20"/>
        </w:rPr>
        <w:t xml:space="preserve">—— </w:t>
      </w:r>
      <w:r w:rsidR="0030069A">
        <w:rPr>
          <w:szCs w:val="20"/>
        </w:rPr>
        <w:t>201</w:t>
      </w:r>
      <w:r w:rsidR="00137816">
        <w:rPr>
          <w:szCs w:val="20"/>
        </w:rPr>
        <w:t>5</w:t>
      </w:r>
      <w:r w:rsidR="00735213">
        <w:rPr>
          <w:szCs w:val="20"/>
        </w:rPr>
        <w:t>b</w:t>
      </w:r>
      <w:r w:rsidR="0030069A">
        <w:rPr>
          <w:szCs w:val="20"/>
        </w:rPr>
        <w:t xml:space="preserve"> </w:t>
      </w:r>
      <w:r w:rsidR="0030069A" w:rsidRPr="0083461E">
        <w:rPr>
          <w:i/>
          <w:szCs w:val="20"/>
        </w:rPr>
        <w:t xml:space="preserve">National Assessment Program — </w:t>
      </w:r>
      <w:r w:rsidR="00137816">
        <w:rPr>
          <w:i/>
          <w:szCs w:val="20"/>
        </w:rPr>
        <w:t>Information and Communications Technology</w:t>
      </w:r>
      <w:r w:rsidR="0030069A" w:rsidRPr="0083461E">
        <w:rPr>
          <w:i/>
          <w:szCs w:val="20"/>
        </w:rPr>
        <w:t xml:space="preserve"> Year 6 </w:t>
      </w:r>
      <w:r w:rsidR="0030069A">
        <w:rPr>
          <w:i/>
          <w:szCs w:val="20"/>
        </w:rPr>
        <w:t xml:space="preserve">and 10 </w:t>
      </w:r>
      <w:r w:rsidR="0030069A" w:rsidRPr="0083461E">
        <w:rPr>
          <w:i/>
          <w:szCs w:val="20"/>
        </w:rPr>
        <w:t>Report 201</w:t>
      </w:r>
      <w:r w:rsidR="00137816">
        <w:rPr>
          <w:i/>
          <w:szCs w:val="20"/>
        </w:rPr>
        <w:t>4</w:t>
      </w:r>
      <w:r w:rsidR="0030069A" w:rsidRPr="0083461E">
        <w:rPr>
          <w:i/>
          <w:szCs w:val="20"/>
        </w:rPr>
        <w:t xml:space="preserve">, </w:t>
      </w:r>
      <w:r w:rsidR="0030069A" w:rsidRPr="0083461E">
        <w:rPr>
          <w:szCs w:val="20"/>
        </w:rPr>
        <w:t>Sydney.</w:t>
      </w:r>
    </w:p>
    <w:p w:rsidR="00EC06F7" w:rsidRPr="00657F82" w:rsidRDefault="00666ECE" w:rsidP="007D6009">
      <w:pPr>
        <w:shd w:val="clear" w:color="auto" w:fill="FFFFFF" w:themeFill="background1"/>
        <w:spacing w:before="120" w:line="320" w:lineRule="atLeast"/>
        <w:ind w:left="340" w:hanging="340"/>
        <w:jc w:val="both"/>
        <w:rPr>
          <w:szCs w:val="20"/>
        </w:rPr>
      </w:pPr>
      <w:r w:rsidRPr="00657F82">
        <w:rPr>
          <w:szCs w:val="20"/>
        </w:rPr>
        <w:t>ACER (Australian Council for Educational Research),</w:t>
      </w:r>
      <w:r w:rsidR="009B6671" w:rsidRPr="00657F82">
        <w:rPr>
          <w:szCs w:val="20"/>
        </w:rPr>
        <w:t xml:space="preserve"> </w:t>
      </w:r>
      <w:r w:rsidR="00564B80" w:rsidRPr="00657F82">
        <w:rPr>
          <w:szCs w:val="20"/>
        </w:rPr>
        <w:t>2012</w:t>
      </w:r>
      <w:r w:rsidR="009B6671" w:rsidRPr="00657F82">
        <w:rPr>
          <w:szCs w:val="20"/>
        </w:rPr>
        <w:t xml:space="preserve">, </w:t>
      </w:r>
      <w:r w:rsidR="00EC06F7" w:rsidRPr="00657F82">
        <w:rPr>
          <w:bCs/>
          <w:i/>
          <w:szCs w:val="20"/>
        </w:rPr>
        <w:t xml:space="preserve">Highlights from TIMSS &amp; PIRLS 2011 </w:t>
      </w:r>
      <w:r w:rsidR="00EC06F7" w:rsidRPr="00657F82">
        <w:rPr>
          <w:i/>
          <w:szCs w:val="20"/>
        </w:rPr>
        <w:t xml:space="preserve">from Australia’s perspective </w:t>
      </w:r>
      <w:r w:rsidR="00EC06F7" w:rsidRPr="00981DEB">
        <w:rPr>
          <w:szCs w:val="20"/>
        </w:rPr>
        <w:t>http://www.acer.edu.au/documents/TIMSS-PIRLS_Australian-Highlights.pdf</w:t>
      </w:r>
      <w:r w:rsidR="00EC06F7" w:rsidRPr="00C548AE">
        <w:rPr>
          <w:szCs w:val="20"/>
        </w:rPr>
        <w:t xml:space="preserve"> accessed</w:t>
      </w:r>
      <w:r w:rsidR="00EC06F7" w:rsidRPr="00657F82">
        <w:rPr>
          <w:szCs w:val="20"/>
        </w:rPr>
        <w:t xml:space="preserve"> 12 December 2012</w:t>
      </w:r>
      <w:r w:rsidR="007D6009">
        <w:rPr>
          <w:szCs w:val="20"/>
        </w:rPr>
        <w:t xml:space="preserve"> </w:t>
      </w:r>
    </w:p>
    <w:p w:rsidR="00F96D38" w:rsidRPr="007D6009" w:rsidRDefault="00F96D38" w:rsidP="007D6009">
      <w:pPr>
        <w:shd w:val="clear" w:color="auto" w:fill="FFFFFF" w:themeFill="background1"/>
        <w:spacing w:before="120" w:line="320" w:lineRule="atLeast"/>
        <w:ind w:left="340" w:hanging="340"/>
        <w:jc w:val="both"/>
        <w:rPr>
          <w:szCs w:val="20"/>
        </w:rPr>
      </w:pPr>
      <w:r w:rsidRPr="00657F82">
        <w:rPr>
          <w:szCs w:val="20"/>
        </w:rPr>
        <w:t xml:space="preserve">—— 2013, </w:t>
      </w:r>
      <w:r w:rsidRPr="007D6009">
        <w:rPr>
          <w:i/>
          <w:szCs w:val="20"/>
        </w:rPr>
        <w:t>PISA in Brief –Highlights from the full Australian Report: Challenges for Australian Education: Results from PISA 2012</w:t>
      </w:r>
      <w:r w:rsidRPr="007D6009">
        <w:rPr>
          <w:szCs w:val="20"/>
        </w:rPr>
        <w:t>, Melbourne.</w:t>
      </w:r>
    </w:p>
    <w:p w:rsidR="00804A23" w:rsidRDefault="00E33ABF" w:rsidP="00B31842">
      <w:pPr>
        <w:pStyle w:val="Reference"/>
        <w:shd w:val="clear" w:color="auto" w:fill="FFFFFF" w:themeFill="background1"/>
        <w:rPr>
          <w:shd w:val="clear" w:color="auto" w:fill="FFFFFF" w:themeFill="background1"/>
        </w:rPr>
      </w:pPr>
      <w:r>
        <w:rPr>
          <w:shd w:val="clear" w:color="auto" w:fill="FFFFFF" w:themeFill="background1"/>
        </w:rPr>
        <w:t>—— 2014</w:t>
      </w:r>
      <w:r w:rsidR="00DB7D8A" w:rsidRPr="007D6009">
        <w:rPr>
          <w:shd w:val="clear" w:color="auto" w:fill="FFFFFF" w:themeFill="background1"/>
        </w:rPr>
        <w:t>,</w:t>
      </w:r>
      <w:r w:rsidR="00804A23" w:rsidRPr="007D6009">
        <w:rPr>
          <w:shd w:val="clear" w:color="auto" w:fill="FFFFFF" w:themeFill="background1"/>
        </w:rPr>
        <w:t xml:space="preserve"> </w:t>
      </w:r>
      <w:r w:rsidR="00363AD8" w:rsidRPr="007D6009">
        <w:rPr>
          <w:i/>
          <w:shd w:val="clear" w:color="auto" w:fill="FFFFFF" w:themeFill="background1"/>
        </w:rPr>
        <w:t>ICILS 2013: Australian students’ readiness for study, work and</w:t>
      </w:r>
      <w:r w:rsidR="006B2F36" w:rsidRPr="007D6009">
        <w:rPr>
          <w:i/>
          <w:shd w:val="clear" w:color="auto" w:fill="FFFFFF" w:themeFill="background1"/>
        </w:rPr>
        <w:t xml:space="preserve"> </w:t>
      </w:r>
      <w:r w:rsidR="00363AD8" w:rsidRPr="007D6009">
        <w:rPr>
          <w:i/>
          <w:shd w:val="clear" w:color="auto" w:fill="FFFFFF" w:themeFill="background1"/>
        </w:rPr>
        <w:t>life in the digital age</w:t>
      </w:r>
      <w:r w:rsidR="006B2F36" w:rsidRPr="007D6009">
        <w:rPr>
          <w:shd w:val="clear" w:color="auto" w:fill="FFFFFF" w:themeFill="background1"/>
        </w:rPr>
        <w:t>, Melbourne.</w:t>
      </w:r>
    </w:p>
    <w:p w:rsidR="00A5454F" w:rsidRDefault="00A5454F" w:rsidP="00A5454F">
      <w:pPr>
        <w:pStyle w:val="Reference"/>
      </w:pPr>
      <w:r w:rsidRPr="005C0AF2">
        <w:t xml:space="preserve">Hancock, K. J., Shepherd, C. C. J., Lawrence, D. and Zubrick, S. R. 2013, </w:t>
      </w:r>
      <w:r w:rsidRPr="005C0AF2">
        <w:rPr>
          <w:i/>
        </w:rPr>
        <w:t>Student attendance and educational outcomes: Every day counts.</w:t>
      </w:r>
      <w:r w:rsidRPr="005C0AF2">
        <w:t xml:space="preserve"> Report for the Department of Education, Employment and Workplace Relations, Canberra.</w:t>
      </w:r>
    </w:p>
    <w:p w:rsidR="00735213" w:rsidRPr="00F848EE" w:rsidRDefault="00666ECE" w:rsidP="00735213">
      <w:pPr>
        <w:spacing w:before="120" w:line="320" w:lineRule="atLeast"/>
        <w:ind w:left="340" w:hanging="340"/>
        <w:jc w:val="both"/>
        <w:rPr>
          <w:szCs w:val="20"/>
        </w:rPr>
      </w:pPr>
      <w:r w:rsidRPr="00F848EE">
        <w:rPr>
          <w:szCs w:val="20"/>
        </w:rPr>
        <w:t xml:space="preserve">MCEETYA (Ministerial Council on Education, Employment, Training and Youth Affairs) </w:t>
      </w:r>
      <w:r w:rsidR="00735213" w:rsidRPr="00F848EE">
        <w:rPr>
          <w:szCs w:val="20"/>
        </w:rPr>
        <w:t>2008, Melbourne Declaration on Educational Goals for Young Australians, Melbourne, www.mceecdya.edu.au/mceecdya/melbourne_declaration,25979.html (accessed 10 December 2010).</w:t>
      </w:r>
    </w:p>
    <w:p w:rsidR="00666ECE" w:rsidRPr="00F848EE" w:rsidRDefault="00666ECE" w:rsidP="00666ECE">
      <w:pPr>
        <w:spacing w:before="120" w:line="320" w:lineRule="atLeast"/>
        <w:ind w:left="340" w:hanging="340"/>
        <w:jc w:val="both"/>
        <w:rPr>
          <w:szCs w:val="20"/>
        </w:rPr>
      </w:pPr>
      <w:r w:rsidRPr="00F848EE">
        <w:rPr>
          <w:szCs w:val="20"/>
        </w:rPr>
        <w:t>NCVER (National C</w:t>
      </w:r>
      <w:r w:rsidR="0083616F">
        <w:rPr>
          <w:szCs w:val="20"/>
        </w:rPr>
        <w:t>entre</w:t>
      </w:r>
      <w:r w:rsidRPr="00F848EE">
        <w:rPr>
          <w:szCs w:val="20"/>
        </w:rPr>
        <w:t xml:space="preserve"> for Vocational Education Research) 20</w:t>
      </w:r>
      <w:r w:rsidR="00742BA6" w:rsidRPr="00F848EE">
        <w:rPr>
          <w:szCs w:val="20"/>
        </w:rPr>
        <w:t>1</w:t>
      </w:r>
      <w:r w:rsidR="00F67FA3">
        <w:rPr>
          <w:szCs w:val="20"/>
        </w:rPr>
        <w:t>4</w:t>
      </w:r>
      <w:r w:rsidRPr="00F848EE">
        <w:rPr>
          <w:szCs w:val="20"/>
        </w:rPr>
        <w:t xml:space="preserve">, </w:t>
      </w:r>
      <w:r w:rsidRPr="00F848EE">
        <w:rPr>
          <w:i/>
          <w:szCs w:val="20"/>
        </w:rPr>
        <w:t>Australian Vocational education and training statistics: Young people in education and training</w:t>
      </w:r>
      <w:r w:rsidR="00F848EE" w:rsidRPr="00F848EE">
        <w:rPr>
          <w:i/>
          <w:szCs w:val="20"/>
        </w:rPr>
        <w:t xml:space="preserve"> 201</w:t>
      </w:r>
      <w:r w:rsidR="00F67FA3">
        <w:rPr>
          <w:i/>
          <w:szCs w:val="20"/>
        </w:rPr>
        <w:t>3</w:t>
      </w:r>
      <w:r w:rsidRPr="00F848EE">
        <w:rPr>
          <w:i/>
          <w:szCs w:val="20"/>
        </w:rPr>
        <w:t xml:space="preserve">, </w:t>
      </w:r>
      <w:r w:rsidRPr="00F848EE">
        <w:rPr>
          <w:szCs w:val="20"/>
        </w:rPr>
        <w:t>Adelaide.</w:t>
      </w:r>
    </w:p>
    <w:sectPr w:rsidR="00666ECE" w:rsidRPr="00F848EE" w:rsidSect="00AD60DF">
      <w:headerReference w:type="even" r:id="rId51"/>
      <w:headerReference w:type="default" r:id="rId52"/>
      <w:footerReference w:type="even" r:id="rId53"/>
      <w:footerReference w:type="default" r:id="rId54"/>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008" w:rsidRDefault="00494008">
      <w:r>
        <w:separator/>
      </w:r>
    </w:p>
  </w:endnote>
  <w:endnote w:type="continuationSeparator" w:id="0">
    <w:p w:rsidR="00494008" w:rsidRDefault="00494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4008" w:rsidTr="00354E9A">
      <w:trPr>
        <w:trHeight w:hRule="exact" w:val="567"/>
      </w:trPr>
      <w:tc>
        <w:tcPr>
          <w:tcW w:w="510" w:type="dxa"/>
        </w:tcPr>
        <w:p w:rsidR="00494008" w:rsidRPr="00A24443" w:rsidRDefault="00494008" w:rsidP="0019293B">
          <w:pPr>
            <w:pStyle w:val="Footer"/>
            <w:tabs>
              <w:tab w:val="left" w:pos="0"/>
            </w:tabs>
            <w:ind w:right="0"/>
            <w:rPr>
              <w:rStyle w:val="PageNumber"/>
              <w:caps w:val="0"/>
            </w:rPr>
          </w:pPr>
          <w:r>
            <w:rPr>
              <w:rStyle w:val="PageNumber"/>
              <w:caps w:val="0"/>
            </w:rPr>
            <w:t>4.</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C1E1C">
            <w:rPr>
              <w:rStyle w:val="PageNumber"/>
              <w:caps w:val="0"/>
              <w:noProof/>
            </w:rPr>
            <w:t>86</w:t>
          </w:r>
          <w:r w:rsidRPr="00A24443">
            <w:rPr>
              <w:rStyle w:val="PageNumber"/>
              <w:caps w:val="0"/>
            </w:rPr>
            <w:fldChar w:fldCharType="end"/>
          </w:r>
        </w:p>
      </w:tc>
      <w:tc>
        <w:tcPr>
          <w:tcW w:w="7767" w:type="dxa"/>
        </w:tcPr>
        <w:p w:rsidR="00494008" w:rsidRPr="0013739A" w:rsidRDefault="00494008" w:rsidP="00AD60DF">
          <w:pPr>
            <w:pStyle w:val="Footer"/>
            <w:rPr>
              <w:rFonts w:cs="Arial"/>
            </w:rPr>
          </w:pPr>
          <w:r>
            <w:rPr>
              <w:rFonts w:cs="Arial"/>
            </w:rPr>
            <w:t>Report on Government Services 2016</w:t>
          </w:r>
        </w:p>
      </w:tc>
      <w:tc>
        <w:tcPr>
          <w:tcW w:w="510" w:type="dxa"/>
        </w:tcPr>
        <w:p w:rsidR="00494008" w:rsidRDefault="00494008" w:rsidP="0019293B">
          <w:pPr>
            <w:pStyle w:val="Footer"/>
          </w:pPr>
        </w:p>
      </w:tc>
    </w:tr>
  </w:tbl>
  <w:p w:rsidR="00494008" w:rsidRDefault="00494008" w:rsidP="0019293B">
    <w:pPr>
      <w:pStyle w:val="FooterEnd"/>
    </w:pPr>
  </w:p>
  <w:p w:rsidR="00494008" w:rsidRDefault="0049400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4008" w:rsidTr="00354E9A">
      <w:trPr>
        <w:trHeight w:hRule="exact" w:val="567"/>
      </w:trPr>
      <w:tc>
        <w:tcPr>
          <w:tcW w:w="510" w:type="dxa"/>
        </w:tcPr>
        <w:p w:rsidR="00494008" w:rsidRDefault="00494008">
          <w:pPr>
            <w:pStyle w:val="Footer"/>
            <w:ind w:right="360" w:firstLine="360"/>
          </w:pPr>
        </w:p>
      </w:tc>
      <w:tc>
        <w:tcPr>
          <w:tcW w:w="7767" w:type="dxa"/>
        </w:tcPr>
        <w:p w:rsidR="00494008" w:rsidRPr="00BA5B14" w:rsidRDefault="00494008" w:rsidP="00354E9A">
          <w:pPr>
            <w:pStyle w:val="Footer"/>
            <w:jc w:val="right"/>
            <w:rPr>
              <w:rFonts w:cs="Arial"/>
            </w:rPr>
          </w:pPr>
          <w:r>
            <w:rPr>
              <w:rFonts w:cs="Arial"/>
            </w:rPr>
            <w:t>School education</w:t>
          </w:r>
        </w:p>
      </w:tc>
      <w:tc>
        <w:tcPr>
          <w:tcW w:w="510" w:type="dxa"/>
        </w:tcPr>
        <w:p w:rsidR="00494008" w:rsidRPr="00A24443" w:rsidRDefault="00494008">
          <w:pPr>
            <w:pStyle w:val="Footer"/>
            <w:jc w:val="right"/>
            <w:rPr>
              <w:caps w:val="0"/>
            </w:rPr>
          </w:pPr>
          <w:r>
            <w:rPr>
              <w:rStyle w:val="PageNumber"/>
              <w:caps w:val="0"/>
            </w:rPr>
            <w:t>4.</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C1E1C">
            <w:rPr>
              <w:rStyle w:val="PageNumber"/>
              <w:caps w:val="0"/>
              <w:noProof/>
            </w:rPr>
            <w:t>85</w:t>
          </w:r>
          <w:r w:rsidRPr="00A24443">
            <w:rPr>
              <w:rStyle w:val="PageNumber"/>
              <w:caps w:val="0"/>
            </w:rPr>
            <w:fldChar w:fldCharType="end"/>
          </w:r>
        </w:p>
      </w:tc>
    </w:tr>
  </w:tbl>
  <w:p w:rsidR="00494008" w:rsidRDefault="00494008">
    <w:pPr>
      <w:pStyle w:val="FooterEnd"/>
    </w:pPr>
  </w:p>
  <w:p w:rsidR="00494008" w:rsidRDefault="00494008">
    <w:pPr>
      <w:pStyle w:val="FooterEnd"/>
    </w:pPr>
    <w:bookmarkStart w:id="29" w:name="DraftReportEven"/>
    <w:bookmarkEnd w:id="29"/>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008" w:rsidRDefault="00494008">
      <w:r>
        <w:separator/>
      </w:r>
    </w:p>
  </w:footnote>
  <w:footnote w:type="continuationSeparator" w:id="0">
    <w:p w:rsidR="00494008" w:rsidRDefault="00494008">
      <w:r>
        <w:continuationSeparator/>
      </w:r>
    </w:p>
  </w:footnote>
  <w:footnote w:id="1">
    <w:p w:rsidR="00494008" w:rsidRDefault="00494008">
      <w:pPr>
        <w:pStyle w:val="FootnoteText"/>
      </w:pPr>
      <w:r>
        <w:rPr>
          <w:rStyle w:val="FootnoteReference"/>
        </w:rPr>
        <w:footnoteRef/>
      </w:r>
      <w:r>
        <w:tab/>
      </w:r>
      <w:r w:rsidRPr="00926CAF">
        <w:t>From 1 January 2014, Australian Government funding for government and non-government schools is determined by the Australian Education Act 2013. Prior to this, Australian Government funding was determined under the Intergovernmental Agreement on Federal Financial Relations. The non-government schools funding component was determined by the Schools Assistance Act 2008.</w:t>
      </w:r>
    </w:p>
  </w:footnote>
  <w:footnote w:id="2">
    <w:p w:rsidR="00494008" w:rsidRDefault="00494008">
      <w:pPr>
        <w:pStyle w:val="FootnoteText"/>
      </w:pPr>
      <w:r>
        <w:rPr>
          <w:rStyle w:val="FootnoteReference"/>
        </w:rPr>
        <w:footnoteRef/>
      </w:r>
      <w:r>
        <w:tab/>
        <w:t>A change in the writing test from narrative to persuasive writing created a break in series in writing results. Narrative writing data for 2008 to 2010 are included in 2010, 2011 and 2012 Reports.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94008" w:rsidTr="00DE5FA9">
      <w:tc>
        <w:tcPr>
          <w:tcW w:w="2155" w:type="dxa"/>
          <w:tcBorders>
            <w:top w:val="single" w:sz="24" w:space="0" w:color="auto"/>
          </w:tcBorders>
        </w:tcPr>
        <w:p w:rsidR="00494008" w:rsidRDefault="00494008" w:rsidP="00DE5FA9">
          <w:pPr>
            <w:pStyle w:val="HeaderEven"/>
          </w:pPr>
        </w:p>
      </w:tc>
      <w:tc>
        <w:tcPr>
          <w:tcW w:w="6634" w:type="dxa"/>
          <w:tcBorders>
            <w:top w:val="single" w:sz="6" w:space="0" w:color="auto"/>
          </w:tcBorders>
        </w:tcPr>
        <w:p w:rsidR="00494008" w:rsidRDefault="00494008" w:rsidP="00DC67BB">
          <w:pPr>
            <w:pStyle w:val="HeaderEven"/>
            <w:jc w:val="right"/>
          </w:pPr>
        </w:p>
      </w:tc>
    </w:tr>
  </w:tbl>
  <w:p w:rsidR="00494008" w:rsidRDefault="00494008" w:rsidP="00E82F8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94008">
      <w:tc>
        <w:tcPr>
          <w:tcW w:w="6634" w:type="dxa"/>
          <w:tcBorders>
            <w:top w:val="single" w:sz="6" w:space="0" w:color="auto"/>
          </w:tcBorders>
        </w:tcPr>
        <w:p w:rsidR="00494008" w:rsidRDefault="00494008" w:rsidP="00E669E2">
          <w:pPr>
            <w:pStyle w:val="HeaderOdd"/>
          </w:pPr>
        </w:p>
      </w:tc>
      <w:tc>
        <w:tcPr>
          <w:tcW w:w="2155" w:type="dxa"/>
          <w:tcBorders>
            <w:top w:val="single" w:sz="24" w:space="0" w:color="auto"/>
          </w:tcBorders>
        </w:tcPr>
        <w:p w:rsidR="00494008" w:rsidRDefault="00494008" w:rsidP="00E669E2">
          <w:pPr>
            <w:pStyle w:val="HeaderOdd"/>
          </w:pPr>
        </w:p>
      </w:tc>
    </w:tr>
  </w:tbl>
  <w:p w:rsidR="00494008" w:rsidRDefault="00494008"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2EA8195B"/>
    <w:multiLevelType w:val="multilevel"/>
    <w:tmpl w:val="646E295C"/>
    <w:lvl w:ilvl="0">
      <w:start w:val="4"/>
      <w:numFmt w:val="decimal"/>
      <w:lvlText w:val="%1"/>
      <w:lvlJc w:val="left"/>
      <w:pPr>
        <w:tabs>
          <w:tab w:val="num" w:pos="1260"/>
        </w:tabs>
        <w:ind w:left="1260" w:hanging="900"/>
      </w:pPr>
      <w:rPr>
        <w:rFonts w:hint="default"/>
      </w:rPr>
    </w:lvl>
    <w:lvl w:ilvl="1">
      <w:start w:val="1"/>
      <w:numFmt w:val="decimal"/>
      <w:isLgl/>
      <w:lvlText w:val="%1.%2"/>
      <w:lvlJc w:val="left"/>
      <w:pPr>
        <w:tabs>
          <w:tab w:val="num" w:pos="1260"/>
        </w:tabs>
        <w:ind w:left="1260" w:hanging="900"/>
      </w:pPr>
      <w:rPr>
        <w:rFonts w:hint="default"/>
      </w:rPr>
    </w:lvl>
    <w:lvl w:ilvl="2">
      <w:start w:val="1"/>
      <w:numFmt w:val="decimal"/>
      <w:isLgl/>
      <w:lvlText w:val="%1.%2.%3"/>
      <w:lvlJc w:val="left"/>
      <w:pPr>
        <w:tabs>
          <w:tab w:val="num" w:pos="1260"/>
        </w:tabs>
        <w:ind w:left="1260" w:hanging="90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34EF66DB"/>
    <w:multiLevelType w:val="hybridMultilevel"/>
    <w:tmpl w:val="561CE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D826A4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E7B1625"/>
    <w:multiLevelType w:val="multilevel"/>
    <w:tmpl w:val="8188D0B6"/>
    <w:lvl w:ilvl="0">
      <w:start w:val="4"/>
      <w:numFmt w:val="decimal"/>
      <w:lvlText w:val="%1"/>
      <w:lvlJc w:val="left"/>
      <w:pPr>
        <w:tabs>
          <w:tab w:val="num" w:pos="450"/>
        </w:tabs>
        <w:ind w:left="450" w:hanging="45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7">
    <w:nsid w:val="50C7225E"/>
    <w:multiLevelType w:val="multilevel"/>
    <w:tmpl w:val="4718C2C4"/>
    <w:lvl w:ilvl="0">
      <w:start w:val="4"/>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594913D3"/>
    <w:multiLevelType w:val="hybridMultilevel"/>
    <w:tmpl w:val="848EAC66"/>
    <w:lvl w:ilvl="0" w:tplc="DE88AD14">
      <w:start w:val="2016"/>
      <w:numFmt w:val="bullet"/>
      <w:lvlText w:val="-"/>
      <w:lvlJc w:val="left"/>
      <w:pPr>
        <w:ind w:left="405" w:hanging="360"/>
      </w:pPr>
      <w:rPr>
        <w:rFonts w:ascii="Arial" w:eastAsia="Times New Roman" w:hAnsi="Arial" w:cs="Arial"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23">
    <w:nsid w:val="5B7F684F"/>
    <w:multiLevelType w:val="multilevel"/>
    <w:tmpl w:val="CC207A18"/>
    <w:lvl w:ilvl="0">
      <w:start w:val="4"/>
      <w:numFmt w:val="decimal"/>
      <w:lvlText w:val="%1"/>
      <w:lvlJc w:val="left"/>
      <w:pPr>
        <w:tabs>
          <w:tab w:val="num" w:pos="900"/>
        </w:tabs>
        <w:ind w:left="900" w:hanging="900"/>
      </w:pPr>
      <w:rPr>
        <w:rFonts w:hint="default"/>
      </w:rPr>
    </w:lvl>
    <w:lvl w:ilvl="1">
      <w:start w:val="4"/>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28">
    <w:nsid w:val="7C93597F"/>
    <w:multiLevelType w:val="hybridMultilevel"/>
    <w:tmpl w:val="452034AE"/>
    <w:lvl w:ilvl="0" w:tplc="315ABD1E">
      <w:numFmt w:val="bullet"/>
      <w:lvlText w:val=""/>
      <w:lvlJc w:val="left"/>
      <w:pPr>
        <w:tabs>
          <w:tab w:val="num" w:pos="340"/>
        </w:tabs>
        <w:ind w:left="340" w:hanging="340"/>
      </w:pPr>
      <w:rPr>
        <w:rFonts w:ascii="Symbol" w:hAnsi="Symbol"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6"/>
  </w:num>
  <w:num w:numId="3">
    <w:abstractNumId w:val="2"/>
  </w:num>
  <w:num w:numId="4">
    <w:abstractNumId w:val="18"/>
  </w:num>
  <w:num w:numId="5">
    <w:abstractNumId w:val="3"/>
  </w:num>
  <w:num w:numId="6">
    <w:abstractNumId w:val="25"/>
  </w:num>
  <w:num w:numId="7">
    <w:abstractNumId w:val="20"/>
  </w:num>
  <w:num w:numId="8">
    <w:abstractNumId w:val="27"/>
  </w:num>
  <w:num w:numId="9">
    <w:abstractNumId w:val="7"/>
  </w:num>
  <w:num w:numId="10">
    <w:abstractNumId w:val="19"/>
  </w:num>
  <w:num w:numId="11">
    <w:abstractNumId w:val="6"/>
  </w:num>
  <w:num w:numId="12">
    <w:abstractNumId w:val="5"/>
  </w:num>
  <w:num w:numId="13">
    <w:abstractNumId w:val="9"/>
  </w:num>
  <w:num w:numId="14">
    <w:abstractNumId w:val="10"/>
  </w:num>
  <w:num w:numId="15">
    <w:abstractNumId w:val="15"/>
  </w:num>
  <w:num w:numId="16">
    <w:abstractNumId w:val="4"/>
  </w:num>
  <w:num w:numId="17">
    <w:abstractNumId w:val="21"/>
  </w:num>
  <w:num w:numId="18">
    <w:abstractNumId w:val="11"/>
  </w:num>
  <w:num w:numId="19">
    <w:abstractNumId w:val="17"/>
  </w:num>
  <w:num w:numId="20">
    <w:abstractNumId w:val="23"/>
  </w:num>
  <w:num w:numId="21">
    <w:abstractNumId w:val="16"/>
  </w:num>
  <w:num w:numId="22">
    <w:abstractNumId w:val="28"/>
  </w:num>
  <w:num w:numId="23">
    <w:abstractNumId w:val="13"/>
  </w:num>
  <w:num w:numId="24">
    <w:abstractNumId w:val="2"/>
  </w:num>
  <w:num w:numId="25">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6">
    <w:abstractNumId w:val="0"/>
  </w:num>
  <w:num w:numId="27">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8">
    <w:abstractNumId w:val="24"/>
  </w:num>
  <w:num w:numId="29">
    <w:abstractNumId w:val="8"/>
  </w:num>
  <w:num w:numId="30">
    <w:abstractNumId w:val="14"/>
  </w:num>
  <w:num w:numId="31">
    <w:abstractNumId w:val="18"/>
  </w:num>
  <w:num w:numId="32">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266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chool education"/>
    <w:docVar w:name="ShortReportTitle" w:val="Report on Government Services 2015"/>
  </w:docVars>
  <w:rsids>
    <w:rsidRoot w:val="00666ECE"/>
    <w:rsid w:val="0000007D"/>
    <w:rsid w:val="000003D4"/>
    <w:rsid w:val="00001089"/>
    <w:rsid w:val="00001986"/>
    <w:rsid w:val="00002DCB"/>
    <w:rsid w:val="00002F18"/>
    <w:rsid w:val="00004322"/>
    <w:rsid w:val="000048A3"/>
    <w:rsid w:val="00004B66"/>
    <w:rsid w:val="0000677C"/>
    <w:rsid w:val="00006BD6"/>
    <w:rsid w:val="0000726C"/>
    <w:rsid w:val="00010D96"/>
    <w:rsid w:val="00011461"/>
    <w:rsid w:val="00011CA6"/>
    <w:rsid w:val="00011ECA"/>
    <w:rsid w:val="00014C57"/>
    <w:rsid w:val="000210F5"/>
    <w:rsid w:val="00021454"/>
    <w:rsid w:val="0002178B"/>
    <w:rsid w:val="000227D5"/>
    <w:rsid w:val="000233BF"/>
    <w:rsid w:val="00024115"/>
    <w:rsid w:val="000245AA"/>
    <w:rsid w:val="0002508B"/>
    <w:rsid w:val="00025423"/>
    <w:rsid w:val="000259C1"/>
    <w:rsid w:val="00025A3C"/>
    <w:rsid w:val="000269CC"/>
    <w:rsid w:val="00031DF6"/>
    <w:rsid w:val="00032235"/>
    <w:rsid w:val="0003283E"/>
    <w:rsid w:val="00033B2C"/>
    <w:rsid w:val="00033D89"/>
    <w:rsid w:val="0003664B"/>
    <w:rsid w:val="00036D8F"/>
    <w:rsid w:val="00037A0A"/>
    <w:rsid w:val="000401F1"/>
    <w:rsid w:val="0004111F"/>
    <w:rsid w:val="00041385"/>
    <w:rsid w:val="00041A0B"/>
    <w:rsid w:val="000421CD"/>
    <w:rsid w:val="00043048"/>
    <w:rsid w:val="00043A76"/>
    <w:rsid w:val="00043D6D"/>
    <w:rsid w:val="000445E2"/>
    <w:rsid w:val="00044FE8"/>
    <w:rsid w:val="00046152"/>
    <w:rsid w:val="00046634"/>
    <w:rsid w:val="00047B36"/>
    <w:rsid w:val="000505D3"/>
    <w:rsid w:val="0005160C"/>
    <w:rsid w:val="000518BE"/>
    <w:rsid w:val="00053132"/>
    <w:rsid w:val="00053F13"/>
    <w:rsid w:val="000565B3"/>
    <w:rsid w:val="00056869"/>
    <w:rsid w:val="00057744"/>
    <w:rsid w:val="00062208"/>
    <w:rsid w:val="00063FE8"/>
    <w:rsid w:val="0006446B"/>
    <w:rsid w:val="000666F6"/>
    <w:rsid w:val="00066A82"/>
    <w:rsid w:val="000674C4"/>
    <w:rsid w:val="000701DC"/>
    <w:rsid w:val="000702D0"/>
    <w:rsid w:val="00070BCD"/>
    <w:rsid w:val="0007150B"/>
    <w:rsid w:val="00071EE4"/>
    <w:rsid w:val="0007582D"/>
    <w:rsid w:val="00076493"/>
    <w:rsid w:val="00076DD8"/>
    <w:rsid w:val="00076F94"/>
    <w:rsid w:val="00084024"/>
    <w:rsid w:val="000842AC"/>
    <w:rsid w:val="00084C5E"/>
    <w:rsid w:val="00085459"/>
    <w:rsid w:val="00086D5A"/>
    <w:rsid w:val="0009017A"/>
    <w:rsid w:val="00090723"/>
    <w:rsid w:val="000907E5"/>
    <w:rsid w:val="000911E9"/>
    <w:rsid w:val="00092A77"/>
    <w:rsid w:val="00092B6C"/>
    <w:rsid w:val="000930E2"/>
    <w:rsid w:val="000938F5"/>
    <w:rsid w:val="00093A97"/>
    <w:rsid w:val="0009443A"/>
    <w:rsid w:val="00094925"/>
    <w:rsid w:val="00094A90"/>
    <w:rsid w:val="00096E55"/>
    <w:rsid w:val="00097127"/>
    <w:rsid w:val="00097825"/>
    <w:rsid w:val="000A0E95"/>
    <w:rsid w:val="000A399C"/>
    <w:rsid w:val="000A4258"/>
    <w:rsid w:val="000A4F55"/>
    <w:rsid w:val="000A554E"/>
    <w:rsid w:val="000A5C65"/>
    <w:rsid w:val="000A7317"/>
    <w:rsid w:val="000A7A95"/>
    <w:rsid w:val="000B1EFE"/>
    <w:rsid w:val="000B1FF0"/>
    <w:rsid w:val="000B2CA3"/>
    <w:rsid w:val="000B3B25"/>
    <w:rsid w:val="000B4834"/>
    <w:rsid w:val="000B4ADA"/>
    <w:rsid w:val="000B601B"/>
    <w:rsid w:val="000B654D"/>
    <w:rsid w:val="000B687F"/>
    <w:rsid w:val="000B7ACD"/>
    <w:rsid w:val="000B7F27"/>
    <w:rsid w:val="000C187A"/>
    <w:rsid w:val="000C207E"/>
    <w:rsid w:val="000C2B98"/>
    <w:rsid w:val="000C2ECE"/>
    <w:rsid w:val="000C386B"/>
    <w:rsid w:val="000C4B75"/>
    <w:rsid w:val="000C510D"/>
    <w:rsid w:val="000C7D44"/>
    <w:rsid w:val="000D0319"/>
    <w:rsid w:val="000D0FA0"/>
    <w:rsid w:val="000D1DE7"/>
    <w:rsid w:val="000D2662"/>
    <w:rsid w:val="000D2E31"/>
    <w:rsid w:val="000D3111"/>
    <w:rsid w:val="000E3357"/>
    <w:rsid w:val="000E46D2"/>
    <w:rsid w:val="000E4798"/>
    <w:rsid w:val="000E4D56"/>
    <w:rsid w:val="000E5315"/>
    <w:rsid w:val="000E5B08"/>
    <w:rsid w:val="000E5E6C"/>
    <w:rsid w:val="000E6669"/>
    <w:rsid w:val="000E6F59"/>
    <w:rsid w:val="000F0035"/>
    <w:rsid w:val="000F0C6D"/>
    <w:rsid w:val="000F12AB"/>
    <w:rsid w:val="000F1E10"/>
    <w:rsid w:val="000F2314"/>
    <w:rsid w:val="000F23F5"/>
    <w:rsid w:val="000F3BED"/>
    <w:rsid w:val="000F420B"/>
    <w:rsid w:val="000F4E5A"/>
    <w:rsid w:val="000F4F43"/>
    <w:rsid w:val="00100308"/>
    <w:rsid w:val="0010287A"/>
    <w:rsid w:val="001048D1"/>
    <w:rsid w:val="00104AF2"/>
    <w:rsid w:val="00105847"/>
    <w:rsid w:val="00105898"/>
    <w:rsid w:val="001064B9"/>
    <w:rsid w:val="00110116"/>
    <w:rsid w:val="00112BD6"/>
    <w:rsid w:val="0011371F"/>
    <w:rsid w:val="001155F2"/>
    <w:rsid w:val="00117BF3"/>
    <w:rsid w:val="00120072"/>
    <w:rsid w:val="0012052B"/>
    <w:rsid w:val="00123AC8"/>
    <w:rsid w:val="0012436B"/>
    <w:rsid w:val="00126978"/>
    <w:rsid w:val="00126EB8"/>
    <w:rsid w:val="0012710C"/>
    <w:rsid w:val="001274D4"/>
    <w:rsid w:val="001278AB"/>
    <w:rsid w:val="001318DB"/>
    <w:rsid w:val="00132A57"/>
    <w:rsid w:val="0013490E"/>
    <w:rsid w:val="00135CC2"/>
    <w:rsid w:val="001363AA"/>
    <w:rsid w:val="0013664B"/>
    <w:rsid w:val="00136E77"/>
    <w:rsid w:val="00137343"/>
    <w:rsid w:val="00137390"/>
    <w:rsid w:val="0013774C"/>
    <w:rsid w:val="00137816"/>
    <w:rsid w:val="00137849"/>
    <w:rsid w:val="00137E0C"/>
    <w:rsid w:val="00142033"/>
    <w:rsid w:val="001435AF"/>
    <w:rsid w:val="0014433C"/>
    <w:rsid w:val="001445EC"/>
    <w:rsid w:val="00145956"/>
    <w:rsid w:val="00145F60"/>
    <w:rsid w:val="00146776"/>
    <w:rsid w:val="00146838"/>
    <w:rsid w:val="001471F7"/>
    <w:rsid w:val="00150EBB"/>
    <w:rsid w:val="00151258"/>
    <w:rsid w:val="0015150C"/>
    <w:rsid w:val="0015169D"/>
    <w:rsid w:val="001517E0"/>
    <w:rsid w:val="001521BB"/>
    <w:rsid w:val="00152235"/>
    <w:rsid w:val="001530B5"/>
    <w:rsid w:val="00154469"/>
    <w:rsid w:val="001552DE"/>
    <w:rsid w:val="001554D2"/>
    <w:rsid w:val="0015705B"/>
    <w:rsid w:val="001577AA"/>
    <w:rsid w:val="00161054"/>
    <w:rsid w:val="0016188E"/>
    <w:rsid w:val="0016625F"/>
    <w:rsid w:val="00166BCF"/>
    <w:rsid w:val="001671A0"/>
    <w:rsid w:val="00167649"/>
    <w:rsid w:val="00170688"/>
    <w:rsid w:val="00171D56"/>
    <w:rsid w:val="00172535"/>
    <w:rsid w:val="00172674"/>
    <w:rsid w:val="00173F8E"/>
    <w:rsid w:val="001748FA"/>
    <w:rsid w:val="001774B4"/>
    <w:rsid w:val="00177564"/>
    <w:rsid w:val="001807B5"/>
    <w:rsid w:val="00181937"/>
    <w:rsid w:val="00183E82"/>
    <w:rsid w:val="001878BB"/>
    <w:rsid w:val="00190D67"/>
    <w:rsid w:val="00191335"/>
    <w:rsid w:val="00191AE0"/>
    <w:rsid w:val="0019293B"/>
    <w:rsid w:val="0019297C"/>
    <w:rsid w:val="001936FB"/>
    <w:rsid w:val="001961FC"/>
    <w:rsid w:val="00196667"/>
    <w:rsid w:val="0019719B"/>
    <w:rsid w:val="0019742D"/>
    <w:rsid w:val="00197701"/>
    <w:rsid w:val="00197AB2"/>
    <w:rsid w:val="001A1596"/>
    <w:rsid w:val="001A2DA9"/>
    <w:rsid w:val="001A4137"/>
    <w:rsid w:val="001A4445"/>
    <w:rsid w:val="001A5611"/>
    <w:rsid w:val="001A5631"/>
    <w:rsid w:val="001A75F9"/>
    <w:rsid w:val="001A7B14"/>
    <w:rsid w:val="001B1FC7"/>
    <w:rsid w:val="001B4DD4"/>
    <w:rsid w:val="001B4F71"/>
    <w:rsid w:val="001B5448"/>
    <w:rsid w:val="001B5ABA"/>
    <w:rsid w:val="001B5FF2"/>
    <w:rsid w:val="001B60DD"/>
    <w:rsid w:val="001B6514"/>
    <w:rsid w:val="001B733D"/>
    <w:rsid w:val="001B73AB"/>
    <w:rsid w:val="001C01FD"/>
    <w:rsid w:val="001C0865"/>
    <w:rsid w:val="001C174A"/>
    <w:rsid w:val="001C3ABA"/>
    <w:rsid w:val="001C3CC1"/>
    <w:rsid w:val="001C5764"/>
    <w:rsid w:val="001C6189"/>
    <w:rsid w:val="001C7673"/>
    <w:rsid w:val="001C7CBA"/>
    <w:rsid w:val="001D0D31"/>
    <w:rsid w:val="001D0F72"/>
    <w:rsid w:val="001D21C5"/>
    <w:rsid w:val="001D57DF"/>
    <w:rsid w:val="001D5AD2"/>
    <w:rsid w:val="001D6209"/>
    <w:rsid w:val="001D73CF"/>
    <w:rsid w:val="001E0CB9"/>
    <w:rsid w:val="001E15A3"/>
    <w:rsid w:val="001E18F5"/>
    <w:rsid w:val="001E2082"/>
    <w:rsid w:val="001E232E"/>
    <w:rsid w:val="001E35A6"/>
    <w:rsid w:val="001E47D5"/>
    <w:rsid w:val="001E4B26"/>
    <w:rsid w:val="001E65D8"/>
    <w:rsid w:val="001E7BE8"/>
    <w:rsid w:val="001F0248"/>
    <w:rsid w:val="001F05DD"/>
    <w:rsid w:val="001F16C5"/>
    <w:rsid w:val="001F1E44"/>
    <w:rsid w:val="001F23D4"/>
    <w:rsid w:val="001F3EB3"/>
    <w:rsid w:val="001F4F86"/>
    <w:rsid w:val="001F5425"/>
    <w:rsid w:val="001F7ABF"/>
    <w:rsid w:val="00202C2C"/>
    <w:rsid w:val="00203666"/>
    <w:rsid w:val="0020467A"/>
    <w:rsid w:val="00204D51"/>
    <w:rsid w:val="0020618D"/>
    <w:rsid w:val="002104AA"/>
    <w:rsid w:val="002112BD"/>
    <w:rsid w:val="002135AB"/>
    <w:rsid w:val="002144BE"/>
    <w:rsid w:val="00214B63"/>
    <w:rsid w:val="0021626A"/>
    <w:rsid w:val="0022061D"/>
    <w:rsid w:val="00220AAE"/>
    <w:rsid w:val="00220C70"/>
    <w:rsid w:val="00221519"/>
    <w:rsid w:val="00221E5A"/>
    <w:rsid w:val="002223A1"/>
    <w:rsid w:val="00222956"/>
    <w:rsid w:val="00223BC4"/>
    <w:rsid w:val="00223E34"/>
    <w:rsid w:val="00224018"/>
    <w:rsid w:val="0022483F"/>
    <w:rsid w:val="0022542B"/>
    <w:rsid w:val="002261EA"/>
    <w:rsid w:val="0022764E"/>
    <w:rsid w:val="002316F7"/>
    <w:rsid w:val="00231DB5"/>
    <w:rsid w:val="00231E34"/>
    <w:rsid w:val="0023294D"/>
    <w:rsid w:val="002338F3"/>
    <w:rsid w:val="002349F8"/>
    <w:rsid w:val="00234F3D"/>
    <w:rsid w:val="0023570A"/>
    <w:rsid w:val="00236091"/>
    <w:rsid w:val="002362DE"/>
    <w:rsid w:val="002364ED"/>
    <w:rsid w:val="002377B3"/>
    <w:rsid w:val="00241576"/>
    <w:rsid w:val="00242279"/>
    <w:rsid w:val="002430C9"/>
    <w:rsid w:val="00244151"/>
    <w:rsid w:val="0024434B"/>
    <w:rsid w:val="00244BFF"/>
    <w:rsid w:val="00245C82"/>
    <w:rsid w:val="00245D02"/>
    <w:rsid w:val="0024630F"/>
    <w:rsid w:val="002475A9"/>
    <w:rsid w:val="0024765E"/>
    <w:rsid w:val="0025000B"/>
    <w:rsid w:val="0025099B"/>
    <w:rsid w:val="00250A9C"/>
    <w:rsid w:val="00251546"/>
    <w:rsid w:val="002526E1"/>
    <w:rsid w:val="00252EB9"/>
    <w:rsid w:val="002532CC"/>
    <w:rsid w:val="002552A3"/>
    <w:rsid w:val="002568A7"/>
    <w:rsid w:val="00257C8E"/>
    <w:rsid w:val="00260F55"/>
    <w:rsid w:val="00262E79"/>
    <w:rsid w:val="00262F21"/>
    <w:rsid w:val="002700D1"/>
    <w:rsid w:val="00270656"/>
    <w:rsid w:val="00270DA3"/>
    <w:rsid w:val="00271196"/>
    <w:rsid w:val="00271DC3"/>
    <w:rsid w:val="0027264A"/>
    <w:rsid w:val="002737D8"/>
    <w:rsid w:val="00275141"/>
    <w:rsid w:val="0027579A"/>
    <w:rsid w:val="002765A4"/>
    <w:rsid w:val="00277216"/>
    <w:rsid w:val="00277CA6"/>
    <w:rsid w:val="00280A69"/>
    <w:rsid w:val="00280C38"/>
    <w:rsid w:val="002824D0"/>
    <w:rsid w:val="00283EB4"/>
    <w:rsid w:val="00285523"/>
    <w:rsid w:val="00286168"/>
    <w:rsid w:val="0028714B"/>
    <w:rsid w:val="00291B40"/>
    <w:rsid w:val="00292174"/>
    <w:rsid w:val="00292B9B"/>
    <w:rsid w:val="00293C90"/>
    <w:rsid w:val="002A20D1"/>
    <w:rsid w:val="002A3124"/>
    <w:rsid w:val="002A5D78"/>
    <w:rsid w:val="002A6CD1"/>
    <w:rsid w:val="002A79FF"/>
    <w:rsid w:val="002B0B2B"/>
    <w:rsid w:val="002B152E"/>
    <w:rsid w:val="002B1D5E"/>
    <w:rsid w:val="002B248C"/>
    <w:rsid w:val="002B27DE"/>
    <w:rsid w:val="002B3034"/>
    <w:rsid w:val="002B4008"/>
    <w:rsid w:val="002B464E"/>
    <w:rsid w:val="002B51C1"/>
    <w:rsid w:val="002B759B"/>
    <w:rsid w:val="002C05C8"/>
    <w:rsid w:val="002C12D6"/>
    <w:rsid w:val="002C472B"/>
    <w:rsid w:val="002C4C48"/>
    <w:rsid w:val="002C5BBE"/>
    <w:rsid w:val="002C69DA"/>
    <w:rsid w:val="002C6D98"/>
    <w:rsid w:val="002C6F2E"/>
    <w:rsid w:val="002C733C"/>
    <w:rsid w:val="002C7822"/>
    <w:rsid w:val="002C7848"/>
    <w:rsid w:val="002C7EF2"/>
    <w:rsid w:val="002D0071"/>
    <w:rsid w:val="002D077A"/>
    <w:rsid w:val="002D0C34"/>
    <w:rsid w:val="002D0E4E"/>
    <w:rsid w:val="002D0E8E"/>
    <w:rsid w:val="002D2AB6"/>
    <w:rsid w:val="002D33DC"/>
    <w:rsid w:val="002D4E90"/>
    <w:rsid w:val="002D5668"/>
    <w:rsid w:val="002D6773"/>
    <w:rsid w:val="002D7C16"/>
    <w:rsid w:val="002E11DD"/>
    <w:rsid w:val="002E13DF"/>
    <w:rsid w:val="002E192C"/>
    <w:rsid w:val="002E2217"/>
    <w:rsid w:val="002E27CC"/>
    <w:rsid w:val="002E3D01"/>
    <w:rsid w:val="002E562A"/>
    <w:rsid w:val="002E5D79"/>
    <w:rsid w:val="002E5EAF"/>
    <w:rsid w:val="002E6DEC"/>
    <w:rsid w:val="002E7CD5"/>
    <w:rsid w:val="002F0289"/>
    <w:rsid w:val="002F2C3A"/>
    <w:rsid w:val="002F4BB0"/>
    <w:rsid w:val="002F4E23"/>
    <w:rsid w:val="002F6918"/>
    <w:rsid w:val="002F792C"/>
    <w:rsid w:val="0030069A"/>
    <w:rsid w:val="00300EE5"/>
    <w:rsid w:val="0030108C"/>
    <w:rsid w:val="00301189"/>
    <w:rsid w:val="003013FC"/>
    <w:rsid w:val="00302B1B"/>
    <w:rsid w:val="00303738"/>
    <w:rsid w:val="00303AEB"/>
    <w:rsid w:val="0030452D"/>
    <w:rsid w:val="003049DA"/>
    <w:rsid w:val="0030591E"/>
    <w:rsid w:val="00305964"/>
    <w:rsid w:val="0030648A"/>
    <w:rsid w:val="003103F0"/>
    <w:rsid w:val="00310557"/>
    <w:rsid w:val="003113D3"/>
    <w:rsid w:val="00311887"/>
    <w:rsid w:val="00311AB0"/>
    <w:rsid w:val="003126A5"/>
    <w:rsid w:val="00315070"/>
    <w:rsid w:val="00315778"/>
    <w:rsid w:val="00316446"/>
    <w:rsid w:val="00316C9B"/>
    <w:rsid w:val="003173CB"/>
    <w:rsid w:val="00317521"/>
    <w:rsid w:val="00317926"/>
    <w:rsid w:val="00317ACB"/>
    <w:rsid w:val="00320B60"/>
    <w:rsid w:val="00323E09"/>
    <w:rsid w:val="00323E8D"/>
    <w:rsid w:val="00326539"/>
    <w:rsid w:val="003308EC"/>
    <w:rsid w:val="00330B94"/>
    <w:rsid w:val="00331761"/>
    <w:rsid w:val="00331F26"/>
    <w:rsid w:val="00333932"/>
    <w:rsid w:val="00333E25"/>
    <w:rsid w:val="00335525"/>
    <w:rsid w:val="003368DC"/>
    <w:rsid w:val="00342FCF"/>
    <w:rsid w:val="00343769"/>
    <w:rsid w:val="00343AD9"/>
    <w:rsid w:val="00344D76"/>
    <w:rsid w:val="00345249"/>
    <w:rsid w:val="0034666A"/>
    <w:rsid w:val="00347361"/>
    <w:rsid w:val="003474B9"/>
    <w:rsid w:val="003518AA"/>
    <w:rsid w:val="00352165"/>
    <w:rsid w:val="00353182"/>
    <w:rsid w:val="0035340F"/>
    <w:rsid w:val="00353C55"/>
    <w:rsid w:val="00354E9A"/>
    <w:rsid w:val="003565D9"/>
    <w:rsid w:val="00356C97"/>
    <w:rsid w:val="00357237"/>
    <w:rsid w:val="003602E1"/>
    <w:rsid w:val="00360B71"/>
    <w:rsid w:val="00360D26"/>
    <w:rsid w:val="003611D5"/>
    <w:rsid w:val="00362049"/>
    <w:rsid w:val="0036251F"/>
    <w:rsid w:val="0036281D"/>
    <w:rsid w:val="003639D7"/>
    <w:rsid w:val="00363AD8"/>
    <w:rsid w:val="00364A90"/>
    <w:rsid w:val="00364AF6"/>
    <w:rsid w:val="0037014B"/>
    <w:rsid w:val="00370228"/>
    <w:rsid w:val="0037026F"/>
    <w:rsid w:val="00371240"/>
    <w:rsid w:val="0037267A"/>
    <w:rsid w:val="00372941"/>
    <w:rsid w:val="00372F16"/>
    <w:rsid w:val="0037387A"/>
    <w:rsid w:val="003740D3"/>
    <w:rsid w:val="0037462C"/>
    <w:rsid w:val="00374731"/>
    <w:rsid w:val="003749F3"/>
    <w:rsid w:val="00375613"/>
    <w:rsid w:val="0037689C"/>
    <w:rsid w:val="00376E59"/>
    <w:rsid w:val="00377B29"/>
    <w:rsid w:val="00380F44"/>
    <w:rsid w:val="00382599"/>
    <w:rsid w:val="00382A5B"/>
    <w:rsid w:val="00382B91"/>
    <w:rsid w:val="00383289"/>
    <w:rsid w:val="00384621"/>
    <w:rsid w:val="003852A6"/>
    <w:rsid w:val="003856E6"/>
    <w:rsid w:val="00390679"/>
    <w:rsid w:val="003919F9"/>
    <w:rsid w:val="00391AA5"/>
    <w:rsid w:val="0039329F"/>
    <w:rsid w:val="003932A0"/>
    <w:rsid w:val="00393A2C"/>
    <w:rsid w:val="00393CC5"/>
    <w:rsid w:val="00393DA8"/>
    <w:rsid w:val="00395282"/>
    <w:rsid w:val="00396368"/>
    <w:rsid w:val="003968DE"/>
    <w:rsid w:val="003A0189"/>
    <w:rsid w:val="003A0804"/>
    <w:rsid w:val="003A2619"/>
    <w:rsid w:val="003A273A"/>
    <w:rsid w:val="003A2EA3"/>
    <w:rsid w:val="003A35C3"/>
    <w:rsid w:val="003A37B3"/>
    <w:rsid w:val="003A3EA4"/>
    <w:rsid w:val="003A5B31"/>
    <w:rsid w:val="003A7F8A"/>
    <w:rsid w:val="003B149C"/>
    <w:rsid w:val="003B2379"/>
    <w:rsid w:val="003B4371"/>
    <w:rsid w:val="003B4524"/>
    <w:rsid w:val="003B5A5B"/>
    <w:rsid w:val="003B6788"/>
    <w:rsid w:val="003B6DC5"/>
    <w:rsid w:val="003B7112"/>
    <w:rsid w:val="003B7F27"/>
    <w:rsid w:val="003C000E"/>
    <w:rsid w:val="003C0DFA"/>
    <w:rsid w:val="003C13CA"/>
    <w:rsid w:val="003C1457"/>
    <w:rsid w:val="003C17D3"/>
    <w:rsid w:val="003C25A5"/>
    <w:rsid w:val="003C38B5"/>
    <w:rsid w:val="003C5D99"/>
    <w:rsid w:val="003C66C1"/>
    <w:rsid w:val="003D0607"/>
    <w:rsid w:val="003D0E85"/>
    <w:rsid w:val="003D1C93"/>
    <w:rsid w:val="003D2F21"/>
    <w:rsid w:val="003D42B3"/>
    <w:rsid w:val="003D5991"/>
    <w:rsid w:val="003E08B1"/>
    <w:rsid w:val="003E0918"/>
    <w:rsid w:val="003E0F27"/>
    <w:rsid w:val="003E2CB5"/>
    <w:rsid w:val="003E2F59"/>
    <w:rsid w:val="003E2FC9"/>
    <w:rsid w:val="003E3261"/>
    <w:rsid w:val="003E52C6"/>
    <w:rsid w:val="003E5D52"/>
    <w:rsid w:val="003E6D5F"/>
    <w:rsid w:val="003F004E"/>
    <w:rsid w:val="003F0641"/>
    <w:rsid w:val="003F0789"/>
    <w:rsid w:val="003F084D"/>
    <w:rsid w:val="003F0A54"/>
    <w:rsid w:val="003F1874"/>
    <w:rsid w:val="003F1C17"/>
    <w:rsid w:val="003F29F7"/>
    <w:rsid w:val="003F4AAE"/>
    <w:rsid w:val="003F62AA"/>
    <w:rsid w:val="003F66BF"/>
    <w:rsid w:val="00400583"/>
    <w:rsid w:val="00401882"/>
    <w:rsid w:val="00402244"/>
    <w:rsid w:val="00403955"/>
    <w:rsid w:val="00403C73"/>
    <w:rsid w:val="00404778"/>
    <w:rsid w:val="00405BC2"/>
    <w:rsid w:val="00406C4A"/>
    <w:rsid w:val="004100C8"/>
    <w:rsid w:val="0041092E"/>
    <w:rsid w:val="0041120A"/>
    <w:rsid w:val="0041139D"/>
    <w:rsid w:val="00411DBD"/>
    <w:rsid w:val="00412ACE"/>
    <w:rsid w:val="00414312"/>
    <w:rsid w:val="0041457D"/>
    <w:rsid w:val="004145D6"/>
    <w:rsid w:val="00415476"/>
    <w:rsid w:val="00416E33"/>
    <w:rsid w:val="004170F4"/>
    <w:rsid w:val="00417122"/>
    <w:rsid w:val="0042126C"/>
    <w:rsid w:val="00422161"/>
    <w:rsid w:val="004249F1"/>
    <w:rsid w:val="00425401"/>
    <w:rsid w:val="00425D7B"/>
    <w:rsid w:val="00426295"/>
    <w:rsid w:val="00431249"/>
    <w:rsid w:val="004317EA"/>
    <w:rsid w:val="00432982"/>
    <w:rsid w:val="00434C19"/>
    <w:rsid w:val="00435927"/>
    <w:rsid w:val="0043627D"/>
    <w:rsid w:val="0043798F"/>
    <w:rsid w:val="00442792"/>
    <w:rsid w:val="0044298F"/>
    <w:rsid w:val="004438CB"/>
    <w:rsid w:val="00443ABF"/>
    <w:rsid w:val="00443B0C"/>
    <w:rsid w:val="00444AE9"/>
    <w:rsid w:val="00444C24"/>
    <w:rsid w:val="0044511E"/>
    <w:rsid w:val="00445835"/>
    <w:rsid w:val="004463B9"/>
    <w:rsid w:val="00447017"/>
    <w:rsid w:val="00450810"/>
    <w:rsid w:val="0045135E"/>
    <w:rsid w:val="00451D4B"/>
    <w:rsid w:val="004522E7"/>
    <w:rsid w:val="00454CF4"/>
    <w:rsid w:val="00455728"/>
    <w:rsid w:val="00456929"/>
    <w:rsid w:val="00457C8A"/>
    <w:rsid w:val="00462886"/>
    <w:rsid w:val="00463C50"/>
    <w:rsid w:val="00464ACE"/>
    <w:rsid w:val="00466214"/>
    <w:rsid w:val="004677AA"/>
    <w:rsid w:val="00467ECF"/>
    <w:rsid w:val="004708E3"/>
    <w:rsid w:val="004715C2"/>
    <w:rsid w:val="00473292"/>
    <w:rsid w:val="004745F6"/>
    <w:rsid w:val="004756D3"/>
    <w:rsid w:val="00476217"/>
    <w:rsid w:val="004765E8"/>
    <w:rsid w:val="00477144"/>
    <w:rsid w:val="00481083"/>
    <w:rsid w:val="0048153E"/>
    <w:rsid w:val="00481583"/>
    <w:rsid w:val="00481A6E"/>
    <w:rsid w:val="00482113"/>
    <w:rsid w:val="00482120"/>
    <w:rsid w:val="00483382"/>
    <w:rsid w:val="00483564"/>
    <w:rsid w:val="00483D1F"/>
    <w:rsid w:val="004856A8"/>
    <w:rsid w:val="004856D3"/>
    <w:rsid w:val="0048677F"/>
    <w:rsid w:val="00490911"/>
    <w:rsid w:val="00491380"/>
    <w:rsid w:val="00491994"/>
    <w:rsid w:val="00491C19"/>
    <w:rsid w:val="00494008"/>
    <w:rsid w:val="0049459F"/>
    <w:rsid w:val="00495C57"/>
    <w:rsid w:val="00496590"/>
    <w:rsid w:val="004969A8"/>
    <w:rsid w:val="004A0FBB"/>
    <w:rsid w:val="004A24B3"/>
    <w:rsid w:val="004A253D"/>
    <w:rsid w:val="004A2ADB"/>
    <w:rsid w:val="004A30A9"/>
    <w:rsid w:val="004A38DD"/>
    <w:rsid w:val="004A4FD0"/>
    <w:rsid w:val="004A4FDF"/>
    <w:rsid w:val="004B0692"/>
    <w:rsid w:val="004B2C4F"/>
    <w:rsid w:val="004B33CD"/>
    <w:rsid w:val="004B3683"/>
    <w:rsid w:val="004B4046"/>
    <w:rsid w:val="004B43AE"/>
    <w:rsid w:val="004B4EC9"/>
    <w:rsid w:val="004B55B1"/>
    <w:rsid w:val="004B6E81"/>
    <w:rsid w:val="004B78E7"/>
    <w:rsid w:val="004C0D14"/>
    <w:rsid w:val="004C1479"/>
    <w:rsid w:val="004C2933"/>
    <w:rsid w:val="004C30ED"/>
    <w:rsid w:val="004C3736"/>
    <w:rsid w:val="004C785C"/>
    <w:rsid w:val="004D2AC5"/>
    <w:rsid w:val="004D3367"/>
    <w:rsid w:val="004D5675"/>
    <w:rsid w:val="004D6023"/>
    <w:rsid w:val="004D6836"/>
    <w:rsid w:val="004D736C"/>
    <w:rsid w:val="004D745F"/>
    <w:rsid w:val="004D79BB"/>
    <w:rsid w:val="004E3154"/>
    <w:rsid w:val="004E4896"/>
    <w:rsid w:val="004E492B"/>
    <w:rsid w:val="004E4FE0"/>
    <w:rsid w:val="004E5182"/>
    <w:rsid w:val="004E52C6"/>
    <w:rsid w:val="004E6318"/>
    <w:rsid w:val="004E70FF"/>
    <w:rsid w:val="004E7C84"/>
    <w:rsid w:val="004F0285"/>
    <w:rsid w:val="004F0487"/>
    <w:rsid w:val="004F0AB1"/>
    <w:rsid w:val="004F137D"/>
    <w:rsid w:val="004F297F"/>
    <w:rsid w:val="004F2DCF"/>
    <w:rsid w:val="004F5114"/>
    <w:rsid w:val="004F724D"/>
    <w:rsid w:val="005004F7"/>
    <w:rsid w:val="0050477E"/>
    <w:rsid w:val="00505748"/>
    <w:rsid w:val="00511AE4"/>
    <w:rsid w:val="00514213"/>
    <w:rsid w:val="00514EB2"/>
    <w:rsid w:val="00515AE0"/>
    <w:rsid w:val="00515EF9"/>
    <w:rsid w:val="00516723"/>
    <w:rsid w:val="00520EA5"/>
    <w:rsid w:val="00523639"/>
    <w:rsid w:val="00525589"/>
    <w:rsid w:val="00526EC7"/>
    <w:rsid w:val="00527BDD"/>
    <w:rsid w:val="005303EE"/>
    <w:rsid w:val="00530424"/>
    <w:rsid w:val="00530C4B"/>
    <w:rsid w:val="00531D09"/>
    <w:rsid w:val="00531FE5"/>
    <w:rsid w:val="00532BAB"/>
    <w:rsid w:val="00535E89"/>
    <w:rsid w:val="00535EC9"/>
    <w:rsid w:val="00535F78"/>
    <w:rsid w:val="005360D5"/>
    <w:rsid w:val="00536FF3"/>
    <w:rsid w:val="00537400"/>
    <w:rsid w:val="00540B73"/>
    <w:rsid w:val="005415C9"/>
    <w:rsid w:val="005420A2"/>
    <w:rsid w:val="00542C78"/>
    <w:rsid w:val="005450F5"/>
    <w:rsid w:val="00547B02"/>
    <w:rsid w:val="005516D1"/>
    <w:rsid w:val="0055265A"/>
    <w:rsid w:val="00555811"/>
    <w:rsid w:val="005563F6"/>
    <w:rsid w:val="00556429"/>
    <w:rsid w:val="0055682A"/>
    <w:rsid w:val="00556909"/>
    <w:rsid w:val="005605D5"/>
    <w:rsid w:val="005608A3"/>
    <w:rsid w:val="00560C42"/>
    <w:rsid w:val="00560DE1"/>
    <w:rsid w:val="00564940"/>
    <w:rsid w:val="00564B7E"/>
    <w:rsid w:val="00564B80"/>
    <w:rsid w:val="00565D74"/>
    <w:rsid w:val="00566AB0"/>
    <w:rsid w:val="0056711C"/>
    <w:rsid w:val="00567193"/>
    <w:rsid w:val="00567A3B"/>
    <w:rsid w:val="00570434"/>
    <w:rsid w:val="005713CC"/>
    <w:rsid w:val="0057289C"/>
    <w:rsid w:val="00572CD1"/>
    <w:rsid w:val="00574106"/>
    <w:rsid w:val="00574FEE"/>
    <w:rsid w:val="00575467"/>
    <w:rsid w:val="00575D0B"/>
    <w:rsid w:val="00575FB4"/>
    <w:rsid w:val="0057698F"/>
    <w:rsid w:val="00582527"/>
    <w:rsid w:val="00583350"/>
    <w:rsid w:val="005834AA"/>
    <w:rsid w:val="00583C39"/>
    <w:rsid w:val="0058556B"/>
    <w:rsid w:val="00586AA0"/>
    <w:rsid w:val="00587845"/>
    <w:rsid w:val="00587F28"/>
    <w:rsid w:val="005909CF"/>
    <w:rsid w:val="00590BF6"/>
    <w:rsid w:val="00590C4D"/>
    <w:rsid w:val="00590C7B"/>
    <w:rsid w:val="00591E71"/>
    <w:rsid w:val="00592D0D"/>
    <w:rsid w:val="0059510A"/>
    <w:rsid w:val="005953B6"/>
    <w:rsid w:val="0059584D"/>
    <w:rsid w:val="0059753B"/>
    <w:rsid w:val="005A0D41"/>
    <w:rsid w:val="005A122F"/>
    <w:rsid w:val="005A177C"/>
    <w:rsid w:val="005A251E"/>
    <w:rsid w:val="005A2FDC"/>
    <w:rsid w:val="005A41AD"/>
    <w:rsid w:val="005A7A0B"/>
    <w:rsid w:val="005B08A6"/>
    <w:rsid w:val="005B0D1E"/>
    <w:rsid w:val="005B0E36"/>
    <w:rsid w:val="005B179C"/>
    <w:rsid w:val="005B22A7"/>
    <w:rsid w:val="005B3E40"/>
    <w:rsid w:val="005B3EDD"/>
    <w:rsid w:val="005B55D5"/>
    <w:rsid w:val="005B601D"/>
    <w:rsid w:val="005B60FC"/>
    <w:rsid w:val="005B7022"/>
    <w:rsid w:val="005C0A8A"/>
    <w:rsid w:val="005C0ABD"/>
    <w:rsid w:val="005C0D49"/>
    <w:rsid w:val="005C12D1"/>
    <w:rsid w:val="005C12E5"/>
    <w:rsid w:val="005C1D95"/>
    <w:rsid w:val="005C236B"/>
    <w:rsid w:val="005C24FE"/>
    <w:rsid w:val="005C39D4"/>
    <w:rsid w:val="005C44D0"/>
    <w:rsid w:val="005C4705"/>
    <w:rsid w:val="005C4E85"/>
    <w:rsid w:val="005C5E87"/>
    <w:rsid w:val="005C7768"/>
    <w:rsid w:val="005C7D52"/>
    <w:rsid w:val="005D0B84"/>
    <w:rsid w:val="005D151B"/>
    <w:rsid w:val="005D2CF5"/>
    <w:rsid w:val="005D3130"/>
    <w:rsid w:val="005D5321"/>
    <w:rsid w:val="005D5C8F"/>
    <w:rsid w:val="005D7450"/>
    <w:rsid w:val="005E123D"/>
    <w:rsid w:val="005E2523"/>
    <w:rsid w:val="005E2EE2"/>
    <w:rsid w:val="005E413E"/>
    <w:rsid w:val="005E4316"/>
    <w:rsid w:val="005E564E"/>
    <w:rsid w:val="005E5A9B"/>
    <w:rsid w:val="005E6C64"/>
    <w:rsid w:val="005E7BE6"/>
    <w:rsid w:val="005F1DCB"/>
    <w:rsid w:val="005F1E51"/>
    <w:rsid w:val="005F4973"/>
    <w:rsid w:val="005F4A4A"/>
    <w:rsid w:val="005F4AEF"/>
    <w:rsid w:val="005F6283"/>
    <w:rsid w:val="005F714A"/>
    <w:rsid w:val="005F7536"/>
    <w:rsid w:val="005F7911"/>
    <w:rsid w:val="005F7D18"/>
    <w:rsid w:val="00600EA1"/>
    <w:rsid w:val="00601660"/>
    <w:rsid w:val="00602605"/>
    <w:rsid w:val="0060292B"/>
    <w:rsid w:val="00602CDA"/>
    <w:rsid w:val="006040C5"/>
    <w:rsid w:val="00606C57"/>
    <w:rsid w:val="00606D98"/>
    <w:rsid w:val="00607118"/>
    <w:rsid w:val="00607BF1"/>
    <w:rsid w:val="00610533"/>
    <w:rsid w:val="00611405"/>
    <w:rsid w:val="00611D9B"/>
    <w:rsid w:val="006135F8"/>
    <w:rsid w:val="006137A4"/>
    <w:rsid w:val="00613CE6"/>
    <w:rsid w:val="00614276"/>
    <w:rsid w:val="00614371"/>
    <w:rsid w:val="00615BC4"/>
    <w:rsid w:val="0061654B"/>
    <w:rsid w:val="00616CB7"/>
    <w:rsid w:val="00616E8C"/>
    <w:rsid w:val="00617000"/>
    <w:rsid w:val="00620779"/>
    <w:rsid w:val="006216A4"/>
    <w:rsid w:val="006236F1"/>
    <w:rsid w:val="00625234"/>
    <w:rsid w:val="00625500"/>
    <w:rsid w:val="00626547"/>
    <w:rsid w:val="00627784"/>
    <w:rsid w:val="006308F9"/>
    <w:rsid w:val="00630D4D"/>
    <w:rsid w:val="00632170"/>
    <w:rsid w:val="00632A74"/>
    <w:rsid w:val="006348F0"/>
    <w:rsid w:val="00634DA5"/>
    <w:rsid w:val="00635573"/>
    <w:rsid w:val="006361A3"/>
    <w:rsid w:val="0064078D"/>
    <w:rsid w:val="00640C1A"/>
    <w:rsid w:val="00640DB6"/>
    <w:rsid w:val="006419E8"/>
    <w:rsid w:val="00642D88"/>
    <w:rsid w:val="00643280"/>
    <w:rsid w:val="00644F57"/>
    <w:rsid w:val="0064504F"/>
    <w:rsid w:val="006451F8"/>
    <w:rsid w:val="00645AF3"/>
    <w:rsid w:val="00646CE4"/>
    <w:rsid w:val="00651320"/>
    <w:rsid w:val="006514BF"/>
    <w:rsid w:val="0065269E"/>
    <w:rsid w:val="00652B79"/>
    <w:rsid w:val="006539FD"/>
    <w:rsid w:val="00653D15"/>
    <w:rsid w:val="00653F56"/>
    <w:rsid w:val="006574D7"/>
    <w:rsid w:val="00657F82"/>
    <w:rsid w:val="00660DFA"/>
    <w:rsid w:val="00662137"/>
    <w:rsid w:val="00662E13"/>
    <w:rsid w:val="006644C8"/>
    <w:rsid w:val="0066655C"/>
    <w:rsid w:val="00666ECE"/>
    <w:rsid w:val="00667155"/>
    <w:rsid w:val="00670FC9"/>
    <w:rsid w:val="00670FE0"/>
    <w:rsid w:val="006730CC"/>
    <w:rsid w:val="00673909"/>
    <w:rsid w:val="00674619"/>
    <w:rsid w:val="00674AAF"/>
    <w:rsid w:val="00677430"/>
    <w:rsid w:val="00681DD0"/>
    <w:rsid w:val="006823CF"/>
    <w:rsid w:val="006830A6"/>
    <w:rsid w:val="00683381"/>
    <w:rsid w:val="006859E5"/>
    <w:rsid w:val="00685D96"/>
    <w:rsid w:val="00685E65"/>
    <w:rsid w:val="00686364"/>
    <w:rsid w:val="00686637"/>
    <w:rsid w:val="0068677C"/>
    <w:rsid w:val="006941AA"/>
    <w:rsid w:val="0069423B"/>
    <w:rsid w:val="006942B0"/>
    <w:rsid w:val="0069451F"/>
    <w:rsid w:val="0069548A"/>
    <w:rsid w:val="006971C5"/>
    <w:rsid w:val="006A0359"/>
    <w:rsid w:val="006A1406"/>
    <w:rsid w:val="006A1D05"/>
    <w:rsid w:val="006A2830"/>
    <w:rsid w:val="006A2EB8"/>
    <w:rsid w:val="006A3E2E"/>
    <w:rsid w:val="006A4655"/>
    <w:rsid w:val="006A6921"/>
    <w:rsid w:val="006A703E"/>
    <w:rsid w:val="006A7764"/>
    <w:rsid w:val="006B03CA"/>
    <w:rsid w:val="006B2B3C"/>
    <w:rsid w:val="006B2F36"/>
    <w:rsid w:val="006B318B"/>
    <w:rsid w:val="006B4AC1"/>
    <w:rsid w:val="006B57EA"/>
    <w:rsid w:val="006B5B86"/>
    <w:rsid w:val="006B683F"/>
    <w:rsid w:val="006B6F5D"/>
    <w:rsid w:val="006C164A"/>
    <w:rsid w:val="006C1AC6"/>
    <w:rsid w:val="006C1D81"/>
    <w:rsid w:val="006C2F47"/>
    <w:rsid w:val="006C4495"/>
    <w:rsid w:val="006C62E8"/>
    <w:rsid w:val="006C6387"/>
    <w:rsid w:val="006C7038"/>
    <w:rsid w:val="006C72B4"/>
    <w:rsid w:val="006C7FED"/>
    <w:rsid w:val="006D16D8"/>
    <w:rsid w:val="006D3961"/>
    <w:rsid w:val="006D545B"/>
    <w:rsid w:val="006D7834"/>
    <w:rsid w:val="006E09ED"/>
    <w:rsid w:val="006E13E3"/>
    <w:rsid w:val="006E16B6"/>
    <w:rsid w:val="006E1F49"/>
    <w:rsid w:val="006E3DBB"/>
    <w:rsid w:val="006E4442"/>
    <w:rsid w:val="006E4E1C"/>
    <w:rsid w:val="006E542F"/>
    <w:rsid w:val="006E7180"/>
    <w:rsid w:val="006E73EF"/>
    <w:rsid w:val="006E74BD"/>
    <w:rsid w:val="006E7C15"/>
    <w:rsid w:val="006E7E40"/>
    <w:rsid w:val="006F04A3"/>
    <w:rsid w:val="006F2A4E"/>
    <w:rsid w:val="006F4899"/>
    <w:rsid w:val="006F5077"/>
    <w:rsid w:val="006F605D"/>
    <w:rsid w:val="006F6F59"/>
    <w:rsid w:val="006F7099"/>
    <w:rsid w:val="006F732B"/>
    <w:rsid w:val="00700F6C"/>
    <w:rsid w:val="00701AD6"/>
    <w:rsid w:val="00702ED5"/>
    <w:rsid w:val="00702F3D"/>
    <w:rsid w:val="007034A1"/>
    <w:rsid w:val="00703A74"/>
    <w:rsid w:val="00704CAD"/>
    <w:rsid w:val="007055A8"/>
    <w:rsid w:val="00706592"/>
    <w:rsid w:val="007072F5"/>
    <w:rsid w:val="007077FB"/>
    <w:rsid w:val="00707EBD"/>
    <w:rsid w:val="00711273"/>
    <w:rsid w:val="007128C9"/>
    <w:rsid w:val="00712ABB"/>
    <w:rsid w:val="00714593"/>
    <w:rsid w:val="00714D4D"/>
    <w:rsid w:val="00715585"/>
    <w:rsid w:val="007159F6"/>
    <w:rsid w:val="00716749"/>
    <w:rsid w:val="00720F21"/>
    <w:rsid w:val="00721F5D"/>
    <w:rsid w:val="00723DDD"/>
    <w:rsid w:val="00725094"/>
    <w:rsid w:val="0072651B"/>
    <w:rsid w:val="007267E2"/>
    <w:rsid w:val="007275F7"/>
    <w:rsid w:val="007278AC"/>
    <w:rsid w:val="00727C58"/>
    <w:rsid w:val="007306CB"/>
    <w:rsid w:val="00732876"/>
    <w:rsid w:val="00733468"/>
    <w:rsid w:val="007340A2"/>
    <w:rsid w:val="007344D0"/>
    <w:rsid w:val="007346CF"/>
    <w:rsid w:val="00735213"/>
    <w:rsid w:val="007364E8"/>
    <w:rsid w:val="00736F8F"/>
    <w:rsid w:val="00737203"/>
    <w:rsid w:val="00742440"/>
    <w:rsid w:val="007425CD"/>
    <w:rsid w:val="00742BA6"/>
    <w:rsid w:val="00742D58"/>
    <w:rsid w:val="00743FB2"/>
    <w:rsid w:val="00744812"/>
    <w:rsid w:val="00744920"/>
    <w:rsid w:val="00744E85"/>
    <w:rsid w:val="00745B04"/>
    <w:rsid w:val="00745C09"/>
    <w:rsid w:val="00746390"/>
    <w:rsid w:val="00746562"/>
    <w:rsid w:val="00747BE8"/>
    <w:rsid w:val="00751345"/>
    <w:rsid w:val="007528A0"/>
    <w:rsid w:val="007528D0"/>
    <w:rsid w:val="00753C72"/>
    <w:rsid w:val="00757B2F"/>
    <w:rsid w:val="007604BB"/>
    <w:rsid w:val="007606E4"/>
    <w:rsid w:val="007607B4"/>
    <w:rsid w:val="00761473"/>
    <w:rsid w:val="00764C20"/>
    <w:rsid w:val="007656BB"/>
    <w:rsid w:val="007659B1"/>
    <w:rsid w:val="00765CF2"/>
    <w:rsid w:val="00766B69"/>
    <w:rsid w:val="00767B23"/>
    <w:rsid w:val="00770673"/>
    <w:rsid w:val="00770948"/>
    <w:rsid w:val="0077168C"/>
    <w:rsid w:val="007723B1"/>
    <w:rsid w:val="00773F21"/>
    <w:rsid w:val="00775294"/>
    <w:rsid w:val="007752F5"/>
    <w:rsid w:val="0077694F"/>
    <w:rsid w:val="00776B6F"/>
    <w:rsid w:val="0077781A"/>
    <w:rsid w:val="0078036C"/>
    <w:rsid w:val="0078276C"/>
    <w:rsid w:val="00783CC1"/>
    <w:rsid w:val="00785232"/>
    <w:rsid w:val="007864A7"/>
    <w:rsid w:val="00786A9A"/>
    <w:rsid w:val="00787508"/>
    <w:rsid w:val="00790630"/>
    <w:rsid w:val="00790D2B"/>
    <w:rsid w:val="0079117D"/>
    <w:rsid w:val="0079166F"/>
    <w:rsid w:val="007A21EB"/>
    <w:rsid w:val="007A4022"/>
    <w:rsid w:val="007A42E5"/>
    <w:rsid w:val="007A73E8"/>
    <w:rsid w:val="007B0AE2"/>
    <w:rsid w:val="007B1A93"/>
    <w:rsid w:val="007B2E01"/>
    <w:rsid w:val="007B32D4"/>
    <w:rsid w:val="007B3ABE"/>
    <w:rsid w:val="007B3E7F"/>
    <w:rsid w:val="007B5838"/>
    <w:rsid w:val="007B5845"/>
    <w:rsid w:val="007B58AF"/>
    <w:rsid w:val="007B76C5"/>
    <w:rsid w:val="007C0809"/>
    <w:rsid w:val="007C35B5"/>
    <w:rsid w:val="007C36C9"/>
    <w:rsid w:val="007C3D5B"/>
    <w:rsid w:val="007C52AB"/>
    <w:rsid w:val="007C767F"/>
    <w:rsid w:val="007C7E11"/>
    <w:rsid w:val="007D0745"/>
    <w:rsid w:val="007D2391"/>
    <w:rsid w:val="007D293B"/>
    <w:rsid w:val="007D2D50"/>
    <w:rsid w:val="007D34B7"/>
    <w:rsid w:val="007D6009"/>
    <w:rsid w:val="007D6401"/>
    <w:rsid w:val="007E01E4"/>
    <w:rsid w:val="007E1D11"/>
    <w:rsid w:val="007E226B"/>
    <w:rsid w:val="007E3E6E"/>
    <w:rsid w:val="007E4269"/>
    <w:rsid w:val="007E44D6"/>
    <w:rsid w:val="007E4F60"/>
    <w:rsid w:val="007E6BD3"/>
    <w:rsid w:val="007E7081"/>
    <w:rsid w:val="007E78CB"/>
    <w:rsid w:val="007F0FEB"/>
    <w:rsid w:val="007F19E7"/>
    <w:rsid w:val="007F2B04"/>
    <w:rsid w:val="007F2CAE"/>
    <w:rsid w:val="007F30B6"/>
    <w:rsid w:val="007F31E6"/>
    <w:rsid w:val="007F3B2E"/>
    <w:rsid w:val="007F3F52"/>
    <w:rsid w:val="007F43FC"/>
    <w:rsid w:val="007F7107"/>
    <w:rsid w:val="007F7D6B"/>
    <w:rsid w:val="00800D4C"/>
    <w:rsid w:val="0080220E"/>
    <w:rsid w:val="0080263C"/>
    <w:rsid w:val="008027DC"/>
    <w:rsid w:val="00802819"/>
    <w:rsid w:val="00802D6A"/>
    <w:rsid w:val="00804A23"/>
    <w:rsid w:val="0081030F"/>
    <w:rsid w:val="00810456"/>
    <w:rsid w:val="0081078D"/>
    <w:rsid w:val="008114E1"/>
    <w:rsid w:val="00812A5B"/>
    <w:rsid w:val="00813CE9"/>
    <w:rsid w:val="0081630C"/>
    <w:rsid w:val="008169C2"/>
    <w:rsid w:val="00817F8F"/>
    <w:rsid w:val="00820804"/>
    <w:rsid w:val="0082087D"/>
    <w:rsid w:val="00820CF9"/>
    <w:rsid w:val="008217B8"/>
    <w:rsid w:val="00821F36"/>
    <w:rsid w:val="008248C6"/>
    <w:rsid w:val="00825189"/>
    <w:rsid w:val="00825292"/>
    <w:rsid w:val="008257B5"/>
    <w:rsid w:val="00825838"/>
    <w:rsid w:val="00826405"/>
    <w:rsid w:val="0082662D"/>
    <w:rsid w:val="008271BA"/>
    <w:rsid w:val="008318D5"/>
    <w:rsid w:val="00833807"/>
    <w:rsid w:val="00833B6E"/>
    <w:rsid w:val="0083461E"/>
    <w:rsid w:val="00835771"/>
    <w:rsid w:val="0083616F"/>
    <w:rsid w:val="0083643B"/>
    <w:rsid w:val="0084112C"/>
    <w:rsid w:val="00841747"/>
    <w:rsid w:val="00842933"/>
    <w:rsid w:val="00842BC2"/>
    <w:rsid w:val="00842FBF"/>
    <w:rsid w:val="00843E12"/>
    <w:rsid w:val="00845DD5"/>
    <w:rsid w:val="0084635A"/>
    <w:rsid w:val="00847B4C"/>
    <w:rsid w:val="00850402"/>
    <w:rsid w:val="00850B9B"/>
    <w:rsid w:val="008515E1"/>
    <w:rsid w:val="00853939"/>
    <w:rsid w:val="00855086"/>
    <w:rsid w:val="00856771"/>
    <w:rsid w:val="00857D89"/>
    <w:rsid w:val="00857DE0"/>
    <w:rsid w:val="0086082C"/>
    <w:rsid w:val="008612A7"/>
    <w:rsid w:val="008649C3"/>
    <w:rsid w:val="00864A34"/>
    <w:rsid w:val="00864ADC"/>
    <w:rsid w:val="0086590D"/>
    <w:rsid w:val="00867124"/>
    <w:rsid w:val="00871957"/>
    <w:rsid w:val="00872F89"/>
    <w:rsid w:val="008746F5"/>
    <w:rsid w:val="00875300"/>
    <w:rsid w:val="008753B7"/>
    <w:rsid w:val="0087621E"/>
    <w:rsid w:val="00876EE5"/>
    <w:rsid w:val="008771B2"/>
    <w:rsid w:val="00877579"/>
    <w:rsid w:val="00877681"/>
    <w:rsid w:val="00877F34"/>
    <w:rsid w:val="00880153"/>
    <w:rsid w:val="0088029F"/>
    <w:rsid w:val="0088078A"/>
    <w:rsid w:val="00880F97"/>
    <w:rsid w:val="0088133A"/>
    <w:rsid w:val="00881D86"/>
    <w:rsid w:val="00882D6B"/>
    <w:rsid w:val="00884098"/>
    <w:rsid w:val="00885E20"/>
    <w:rsid w:val="00887D04"/>
    <w:rsid w:val="00891026"/>
    <w:rsid w:val="00891EF6"/>
    <w:rsid w:val="0089285E"/>
    <w:rsid w:val="00892D0C"/>
    <w:rsid w:val="00892F20"/>
    <w:rsid w:val="0089436C"/>
    <w:rsid w:val="00895A13"/>
    <w:rsid w:val="00895B0E"/>
    <w:rsid w:val="00896525"/>
    <w:rsid w:val="0089766B"/>
    <w:rsid w:val="008A0EEB"/>
    <w:rsid w:val="008A1B07"/>
    <w:rsid w:val="008A206B"/>
    <w:rsid w:val="008A2074"/>
    <w:rsid w:val="008A2153"/>
    <w:rsid w:val="008A307B"/>
    <w:rsid w:val="008A37ED"/>
    <w:rsid w:val="008A6C2C"/>
    <w:rsid w:val="008A76CD"/>
    <w:rsid w:val="008A788F"/>
    <w:rsid w:val="008B2093"/>
    <w:rsid w:val="008B2521"/>
    <w:rsid w:val="008B2F15"/>
    <w:rsid w:val="008B5589"/>
    <w:rsid w:val="008B5ED3"/>
    <w:rsid w:val="008B7DBB"/>
    <w:rsid w:val="008C11A8"/>
    <w:rsid w:val="008C39E8"/>
    <w:rsid w:val="008C43C7"/>
    <w:rsid w:val="008C5CF1"/>
    <w:rsid w:val="008C68AE"/>
    <w:rsid w:val="008C6F9C"/>
    <w:rsid w:val="008C752D"/>
    <w:rsid w:val="008C7BAA"/>
    <w:rsid w:val="008D0842"/>
    <w:rsid w:val="008D365C"/>
    <w:rsid w:val="008D3CBD"/>
    <w:rsid w:val="008D4B72"/>
    <w:rsid w:val="008D5A88"/>
    <w:rsid w:val="008D60E8"/>
    <w:rsid w:val="008D6577"/>
    <w:rsid w:val="008D7C76"/>
    <w:rsid w:val="008E00E0"/>
    <w:rsid w:val="008E1C10"/>
    <w:rsid w:val="008E1DDC"/>
    <w:rsid w:val="008E2B3D"/>
    <w:rsid w:val="008E344A"/>
    <w:rsid w:val="008E56F3"/>
    <w:rsid w:val="008E648F"/>
    <w:rsid w:val="008E7623"/>
    <w:rsid w:val="008F28FD"/>
    <w:rsid w:val="008F294A"/>
    <w:rsid w:val="008F3AA3"/>
    <w:rsid w:val="008F464B"/>
    <w:rsid w:val="008F46A2"/>
    <w:rsid w:val="008F4CC2"/>
    <w:rsid w:val="008F5666"/>
    <w:rsid w:val="008F7EAC"/>
    <w:rsid w:val="0090011D"/>
    <w:rsid w:val="00902108"/>
    <w:rsid w:val="0090234C"/>
    <w:rsid w:val="00902B56"/>
    <w:rsid w:val="009030BF"/>
    <w:rsid w:val="00904788"/>
    <w:rsid w:val="00905F95"/>
    <w:rsid w:val="009062E8"/>
    <w:rsid w:val="0090637D"/>
    <w:rsid w:val="00907066"/>
    <w:rsid w:val="0091032F"/>
    <w:rsid w:val="009107BE"/>
    <w:rsid w:val="009108EE"/>
    <w:rsid w:val="009110FE"/>
    <w:rsid w:val="0091319A"/>
    <w:rsid w:val="009131A4"/>
    <w:rsid w:val="0091414E"/>
    <w:rsid w:val="00914368"/>
    <w:rsid w:val="00914E76"/>
    <w:rsid w:val="00915427"/>
    <w:rsid w:val="009157C6"/>
    <w:rsid w:val="00915E9C"/>
    <w:rsid w:val="009160CF"/>
    <w:rsid w:val="00920B20"/>
    <w:rsid w:val="00921F85"/>
    <w:rsid w:val="009223BC"/>
    <w:rsid w:val="0092436D"/>
    <w:rsid w:val="00924EB2"/>
    <w:rsid w:val="0092541F"/>
    <w:rsid w:val="0092611A"/>
    <w:rsid w:val="00926CAF"/>
    <w:rsid w:val="00926D58"/>
    <w:rsid w:val="00927DE2"/>
    <w:rsid w:val="00931076"/>
    <w:rsid w:val="00931890"/>
    <w:rsid w:val="0093337F"/>
    <w:rsid w:val="00933726"/>
    <w:rsid w:val="009345D9"/>
    <w:rsid w:val="00934B15"/>
    <w:rsid w:val="009352DB"/>
    <w:rsid w:val="00937A93"/>
    <w:rsid w:val="00937F52"/>
    <w:rsid w:val="00942105"/>
    <w:rsid w:val="00942B62"/>
    <w:rsid w:val="0094305D"/>
    <w:rsid w:val="00945F46"/>
    <w:rsid w:val="0094693D"/>
    <w:rsid w:val="00950439"/>
    <w:rsid w:val="00950495"/>
    <w:rsid w:val="009517C4"/>
    <w:rsid w:val="00953C11"/>
    <w:rsid w:val="00953E9C"/>
    <w:rsid w:val="009553ED"/>
    <w:rsid w:val="009560A8"/>
    <w:rsid w:val="00956A0C"/>
    <w:rsid w:val="00956BD9"/>
    <w:rsid w:val="0096039E"/>
    <w:rsid w:val="0096040E"/>
    <w:rsid w:val="009613EF"/>
    <w:rsid w:val="00961C9D"/>
    <w:rsid w:val="00962489"/>
    <w:rsid w:val="00963BD1"/>
    <w:rsid w:val="00963C13"/>
    <w:rsid w:val="00964077"/>
    <w:rsid w:val="0096612F"/>
    <w:rsid w:val="00971BA3"/>
    <w:rsid w:val="00971C91"/>
    <w:rsid w:val="00972691"/>
    <w:rsid w:val="0097269D"/>
    <w:rsid w:val="0097296B"/>
    <w:rsid w:val="009738E5"/>
    <w:rsid w:val="00974AA3"/>
    <w:rsid w:val="00974ADA"/>
    <w:rsid w:val="00974DDF"/>
    <w:rsid w:val="009762F7"/>
    <w:rsid w:val="00976613"/>
    <w:rsid w:val="00976D0E"/>
    <w:rsid w:val="009807CA"/>
    <w:rsid w:val="009819A6"/>
    <w:rsid w:val="00981DEB"/>
    <w:rsid w:val="00982591"/>
    <w:rsid w:val="00984F75"/>
    <w:rsid w:val="0098573D"/>
    <w:rsid w:val="009865F8"/>
    <w:rsid w:val="00986931"/>
    <w:rsid w:val="00986A8E"/>
    <w:rsid w:val="0099070E"/>
    <w:rsid w:val="00990C2C"/>
    <w:rsid w:val="00990EEF"/>
    <w:rsid w:val="009952FC"/>
    <w:rsid w:val="0099541F"/>
    <w:rsid w:val="00996CF4"/>
    <w:rsid w:val="00997EBC"/>
    <w:rsid w:val="009A0722"/>
    <w:rsid w:val="009A382C"/>
    <w:rsid w:val="009A48EC"/>
    <w:rsid w:val="009A52FC"/>
    <w:rsid w:val="009A760C"/>
    <w:rsid w:val="009A7B9C"/>
    <w:rsid w:val="009B1348"/>
    <w:rsid w:val="009B1E55"/>
    <w:rsid w:val="009B229E"/>
    <w:rsid w:val="009B6671"/>
    <w:rsid w:val="009B7E51"/>
    <w:rsid w:val="009C02CE"/>
    <w:rsid w:val="009C1DFA"/>
    <w:rsid w:val="009C1EF7"/>
    <w:rsid w:val="009C28C8"/>
    <w:rsid w:val="009C2F51"/>
    <w:rsid w:val="009C3987"/>
    <w:rsid w:val="009C4A6C"/>
    <w:rsid w:val="009C5BAC"/>
    <w:rsid w:val="009C5C5E"/>
    <w:rsid w:val="009C663F"/>
    <w:rsid w:val="009D117F"/>
    <w:rsid w:val="009D18E1"/>
    <w:rsid w:val="009D1C5F"/>
    <w:rsid w:val="009D2DB3"/>
    <w:rsid w:val="009D3338"/>
    <w:rsid w:val="009D4E1A"/>
    <w:rsid w:val="009D6C89"/>
    <w:rsid w:val="009D7675"/>
    <w:rsid w:val="009D7A8B"/>
    <w:rsid w:val="009D7D07"/>
    <w:rsid w:val="009E05AE"/>
    <w:rsid w:val="009E344D"/>
    <w:rsid w:val="009E3B82"/>
    <w:rsid w:val="009E6DB8"/>
    <w:rsid w:val="009E7B08"/>
    <w:rsid w:val="009F02C7"/>
    <w:rsid w:val="009F03D5"/>
    <w:rsid w:val="009F0531"/>
    <w:rsid w:val="009F0D1B"/>
    <w:rsid w:val="009F2094"/>
    <w:rsid w:val="009F21B1"/>
    <w:rsid w:val="009F2EDB"/>
    <w:rsid w:val="009F2FAB"/>
    <w:rsid w:val="009F46AB"/>
    <w:rsid w:val="009F5910"/>
    <w:rsid w:val="009F604D"/>
    <w:rsid w:val="009F696D"/>
    <w:rsid w:val="009F6BC6"/>
    <w:rsid w:val="009F6CF4"/>
    <w:rsid w:val="00A014FB"/>
    <w:rsid w:val="00A0570A"/>
    <w:rsid w:val="00A059FF"/>
    <w:rsid w:val="00A06D34"/>
    <w:rsid w:val="00A07C80"/>
    <w:rsid w:val="00A10710"/>
    <w:rsid w:val="00A10C73"/>
    <w:rsid w:val="00A11734"/>
    <w:rsid w:val="00A11DA7"/>
    <w:rsid w:val="00A138B2"/>
    <w:rsid w:val="00A14CFF"/>
    <w:rsid w:val="00A1564B"/>
    <w:rsid w:val="00A17291"/>
    <w:rsid w:val="00A17328"/>
    <w:rsid w:val="00A17461"/>
    <w:rsid w:val="00A1799F"/>
    <w:rsid w:val="00A22968"/>
    <w:rsid w:val="00A2357B"/>
    <w:rsid w:val="00A23A20"/>
    <w:rsid w:val="00A25602"/>
    <w:rsid w:val="00A2582D"/>
    <w:rsid w:val="00A259EC"/>
    <w:rsid w:val="00A260FF"/>
    <w:rsid w:val="00A268B9"/>
    <w:rsid w:val="00A2703A"/>
    <w:rsid w:val="00A308AF"/>
    <w:rsid w:val="00A31986"/>
    <w:rsid w:val="00A31EA8"/>
    <w:rsid w:val="00A32335"/>
    <w:rsid w:val="00A32BA6"/>
    <w:rsid w:val="00A33A33"/>
    <w:rsid w:val="00A33DFF"/>
    <w:rsid w:val="00A33EA2"/>
    <w:rsid w:val="00A35115"/>
    <w:rsid w:val="00A358BA"/>
    <w:rsid w:val="00A36D19"/>
    <w:rsid w:val="00A36D9A"/>
    <w:rsid w:val="00A37418"/>
    <w:rsid w:val="00A37647"/>
    <w:rsid w:val="00A43357"/>
    <w:rsid w:val="00A43986"/>
    <w:rsid w:val="00A44105"/>
    <w:rsid w:val="00A47EA6"/>
    <w:rsid w:val="00A50B74"/>
    <w:rsid w:val="00A510CB"/>
    <w:rsid w:val="00A528EF"/>
    <w:rsid w:val="00A52A90"/>
    <w:rsid w:val="00A543B0"/>
    <w:rsid w:val="00A5454F"/>
    <w:rsid w:val="00A554AB"/>
    <w:rsid w:val="00A5566A"/>
    <w:rsid w:val="00A56DC7"/>
    <w:rsid w:val="00A57062"/>
    <w:rsid w:val="00A57CDC"/>
    <w:rsid w:val="00A60072"/>
    <w:rsid w:val="00A6036C"/>
    <w:rsid w:val="00A60C5F"/>
    <w:rsid w:val="00A627D5"/>
    <w:rsid w:val="00A62E3C"/>
    <w:rsid w:val="00A6327D"/>
    <w:rsid w:val="00A63943"/>
    <w:rsid w:val="00A63A4A"/>
    <w:rsid w:val="00A64CBD"/>
    <w:rsid w:val="00A64CE2"/>
    <w:rsid w:val="00A65024"/>
    <w:rsid w:val="00A67249"/>
    <w:rsid w:val="00A67DE1"/>
    <w:rsid w:val="00A71945"/>
    <w:rsid w:val="00A71EBC"/>
    <w:rsid w:val="00A721CA"/>
    <w:rsid w:val="00A727F9"/>
    <w:rsid w:val="00A74B5F"/>
    <w:rsid w:val="00A74D32"/>
    <w:rsid w:val="00A75C27"/>
    <w:rsid w:val="00A76A43"/>
    <w:rsid w:val="00A76E4F"/>
    <w:rsid w:val="00A77107"/>
    <w:rsid w:val="00A83EC3"/>
    <w:rsid w:val="00A8608B"/>
    <w:rsid w:val="00A868EF"/>
    <w:rsid w:val="00A878FC"/>
    <w:rsid w:val="00A90148"/>
    <w:rsid w:val="00A90335"/>
    <w:rsid w:val="00A90BEF"/>
    <w:rsid w:val="00A9150A"/>
    <w:rsid w:val="00A92B53"/>
    <w:rsid w:val="00A93FFC"/>
    <w:rsid w:val="00A94690"/>
    <w:rsid w:val="00A94BF8"/>
    <w:rsid w:val="00A94C0D"/>
    <w:rsid w:val="00A94FA6"/>
    <w:rsid w:val="00A95197"/>
    <w:rsid w:val="00A95AB9"/>
    <w:rsid w:val="00A962D0"/>
    <w:rsid w:val="00A97042"/>
    <w:rsid w:val="00AA13D7"/>
    <w:rsid w:val="00AA425C"/>
    <w:rsid w:val="00AA49A0"/>
    <w:rsid w:val="00AA54CA"/>
    <w:rsid w:val="00AA6710"/>
    <w:rsid w:val="00AA7A30"/>
    <w:rsid w:val="00AA7CA0"/>
    <w:rsid w:val="00AB0681"/>
    <w:rsid w:val="00AB3077"/>
    <w:rsid w:val="00AB469E"/>
    <w:rsid w:val="00AB5749"/>
    <w:rsid w:val="00AC1233"/>
    <w:rsid w:val="00AC1472"/>
    <w:rsid w:val="00AC21C3"/>
    <w:rsid w:val="00AC290D"/>
    <w:rsid w:val="00AC3104"/>
    <w:rsid w:val="00AC4675"/>
    <w:rsid w:val="00AC57B8"/>
    <w:rsid w:val="00AC630B"/>
    <w:rsid w:val="00AD051F"/>
    <w:rsid w:val="00AD520B"/>
    <w:rsid w:val="00AD60DF"/>
    <w:rsid w:val="00AD6595"/>
    <w:rsid w:val="00AD7395"/>
    <w:rsid w:val="00AD7FD0"/>
    <w:rsid w:val="00AE1B64"/>
    <w:rsid w:val="00AE54E6"/>
    <w:rsid w:val="00AE5F38"/>
    <w:rsid w:val="00AF0478"/>
    <w:rsid w:val="00AF16E2"/>
    <w:rsid w:val="00AF1E86"/>
    <w:rsid w:val="00AF243E"/>
    <w:rsid w:val="00AF57AE"/>
    <w:rsid w:val="00AF6243"/>
    <w:rsid w:val="00AF6FB4"/>
    <w:rsid w:val="00AF7181"/>
    <w:rsid w:val="00B002E5"/>
    <w:rsid w:val="00B02190"/>
    <w:rsid w:val="00B03F1B"/>
    <w:rsid w:val="00B04268"/>
    <w:rsid w:val="00B04EA8"/>
    <w:rsid w:val="00B06349"/>
    <w:rsid w:val="00B13ED5"/>
    <w:rsid w:val="00B14484"/>
    <w:rsid w:val="00B15C05"/>
    <w:rsid w:val="00B16437"/>
    <w:rsid w:val="00B169F1"/>
    <w:rsid w:val="00B17604"/>
    <w:rsid w:val="00B2059A"/>
    <w:rsid w:val="00B20B7A"/>
    <w:rsid w:val="00B20CD1"/>
    <w:rsid w:val="00B213DA"/>
    <w:rsid w:val="00B2261C"/>
    <w:rsid w:val="00B261EC"/>
    <w:rsid w:val="00B2668E"/>
    <w:rsid w:val="00B30D28"/>
    <w:rsid w:val="00B31229"/>
    <w:rsid w:val="00B31842"/>
    <w:rsid w:val="00B32C32"/>
    <w:rsid w:val="00B33738"/>
    <w:rsid w:val="00B33EFE"/>
    <w:rsid w:val="00B34EF1"/>
    <w:rsid w:val="00B37ED2"/>
    <w:rsid w:val="00B40393"/>
    <w:rsid w:val="00B40709"/>
    <w:rsid w:val="00B410A0"/>
    <w:rsid w:val="00B425C3"/>
    <w:rsid w:val="00B43174"/>
    <w:rsid w:val="00B43CCB"/>
    <w:rsid w:val="00B440AD"/>
    <w:rsid w:val="00B45495"/>
    <w:rsid w:val="00B46F2F"/>
    <w:rsid w:val="00B47757"/>
    <w:rsid w:val="00B47A67"/>
    <w:rsid w:val="00B503CF"/>
    <w:rsid w:val="00B507D4"/>
    <w:rsid w:val="00B50EC4"/>
    <w:rsid w:val="00B519CC"/>
    <w:rsid w:val="00B52BB2"/>
    <w:rsid w:val="00B53E7E"/>
    <w:rsid w:val="00B54118"/>
    <w:rsid w:val="00B569FC"/>
    <w:rsid w:val="00B56EE3"/>
    <w:rsid w:val="00B57AF2"/>
    <w:rsid w:val="00B60137"/>
    <w:rsid w:val="00B60440"/>
    <w:rsid w:val="00B60DC3"/>
    <w:rsid w:val="00B6284D"/>
    <w:rsid w:val="00B6342E"/>
    <w:rsid w:val="00B649E7"/>
    <w:rsid w:val="00B64C33"/>
    <w:rsid w:val="00B651F4"/>
    <w:rsid w:val="00B665F2"/>
    <w:rsid w:val="00B67553"/>
    <w:rsid w:val="00B70781"/>
    <w:rsid w:val="00B7113F"/>
    <w:rsid w:val="00B71E09"/>
    <w:rsid w:val="00B74245"/>
    <w:rsid w:val="00B7436D"/>
    <w:rsid w:val="00B74B71"/>
    <w:rsid w:val="00B752C7"/>
    <w:rsid w:val="00B764E2"/>
    <w:rsid w:val="00B77624"/>
    <w:rsid w:val="00B8116A"/>
    <w:rsid w:val="00B81EE1"/>
    <w:rsid w:val="00B833D8"/>
    <w:rsid w:val="00B84DC8"/>
    <w:rsid w:val="00B85035"/>
    <w:rsid w:val="00B851E4"/>
    <w:rsid w:val="00B90AB3"/>
    <w:rsid w:val="00B93E6F"/>
    <w:rsid w:val="00B94972"/>
    <w:rsid w:val="00B95F26"/>
    <w:rsid w:val="00B95FAF"/>
    <w:rsid w:val="00B96852"/>
    <w:rsid w:val="00BA0589"/>
    <w:rsid w:val="00BA076C"/>
    <w:rsid w:val="00BA1188"/>
    <w:rsid w:val="00BA1348"/>
    <w:rsid w:val="00BA1CEC"/>
    <w:rsid w:val="00BA3744"/>
    <w:rsid w:val="00BA40CA"/>
    <w:rsid w:val="00BA4E34"/>
    <w:rsid w:val="00BA51F5"/>
    <w:rsid w:val="00BA5714"/>
    <w:rsid w:val="00BA6298"/>
    <w:rsid w:val="00BA73B6"/>
    <w:rsid w:val="00BA7D17"/>
    <w:rsid w:val="00BA7E27"/>
    <w:rsid w:val="00BB16A8"/>
    <w:rsid w:val="00BB23C2"/>
    <w:rsid w:val="00BB2603"/>
    <w:rsid w:val="00BB29B6"/>
    <w:rsid w:val="00BB496A"/>
    <w:rsid w:val="00BB4FCD"/>
    <w:rsid w:val="00BB61C8"/>
    <w:rsid w:val="00BB794B"/>
    <w:rsid w:val="00BB7BD8"/>
    <w:rsid w:val="00BC1029"/>
    <w:rsid w:val="00BC3022"/>
    <w:rsid w:val="00BC3CC8"/>
    <w:rsid w:val="00BC4CB0"/>
    <w:rsid w:val="00BC5353"/>
    <w:rsid w:val="00BC56E7"/>
    <w:rsid w:val="00BC7997"/>
    <w:rsid w:val="00BD13EA"/>
    <w:rsid w:val="00BD3A56"/>
    <w:rsid w:val="00BD45B3"/>
    <w:rsid w:val="00BD6059"/>
    <w:rsid w:val="00BD6C4C"/>
    <w:rsid w:val="00BD787D"/>
    <w:rsid w:val="00BD78B2"/>
    <w:rsid w:val="00BD7E09"/>
    <w:rsid w:val="00BE0005"/>
    <w:rsid w:val="00BE3808"/>
    <w:rsid w:val="00BE4E82"/>
    <w:rsid w:val="00BE59AB"/>
    <w:rsid w:val="00BE72C6"/>
    <w:rsid w:val="00BF0352"/>
    <w:rsid w:val="00BF138B"/>
    <w:rsid w:val="00BF18A5"/>
    <w:rsid w:val="00BF47EB"/>
    <w:rsid w:val="00BF53AE"/>
    <w:rsid w:val="00BF66C5"/>
    <w:rsid w:val="00BF6853"/>
    <w:rsid w:val="00C006D3"/>
    <w:rsid w:val="00C00A49"/>
    <w:rsid w:val="00C05DB5"/>
    <w:rsid w:val="00C062E9"/>
    <w:rsid w:val="00C066EE"/>
    <w:rsid w:val="00C06C52"/>
    <w:rsid w:val="00C07B64"/>
    <w:rsid w:val="00C1051D"/>
    <w:rsid w:val="00C105CC"/>
    <w:rsid w:val="00C11942"/>
    <w:rsid w:val="00C133C6"/>
    <w:rsid w:val="00C13721"/>
    <w:rsid w:val="00C142E2"/>
    <w:rsid w:val="00C14E6F"/>
    <w:rsid w:val="00C14FE4"/>
    <w:rsid w:val="00C16695"/>
    <w:rsid w:val="00C16B98"/>
    <w:rsid w:val="00C1705F"/>
    <w:rsid w:val="00C20D68"/>
    <w:rsid w:val="00C21900"/>
    <w:rsid w:val="00C2397B"/>
    <w:rsid w:val="00C24812"/>
    <w:rsid w:val="00C24E49"/>
    <w:rsid w:val="00C25635"/>
    <w:rsid w:val="00C27408"/>
    <w:rsid w:val="00C279A5"/>
    <w:rsid w:val="00C27AEE"/>
    <w:rsid w:val="00C3066D"/>
    <w:rsid w:val="00C30BDB"/>
    <w:rsid w:val="00C30F35"/>
    <w:rsid w:val="00C32E47"/>
    <w:rsid w:val="00C33B80"/>
    <w:rsid w:val="00C34086"/>
    <w:rsid w:val="00C348A4"/>
    <w:rsid w:val="00C3583A"/>
    <w:rsid w:val="00C35CCA"/>
    <w:rsid w:val="00C35FD6"/>
    <w:rsid w:val="00C372BF"/>
    <w:rsid w:val="00C3749C"/>
    <w:rsid w:val="00C379BD"/>
    <w:rsid w:val="00C37AC5"/>
    <w:rsid w:val="00C40CA7"/>
    <w:rsid w:val="00C4109F"/>
    <w:rsid w:val="00C43085"/>
    <w:rsid w:val="00C43453"/>
    <w:rsid w:val="00C43487"/>
    <w:rsid w:val="00C464C0"/>
    <w:rsid w:val="00C5362D"/>
    <w:rsid w:val="00C53C42"/>
    <w:rsid w:val="00C543F4"/>
    <w:rsid w:val="00C548AE"/>
    <w:rsid w:val="00C54EC5"/>
    <w:rsid w:val="00C5653D"/>
    <w:rsid w:val="00C56E90"/>
    <w:rsid w:val="00C5707D"/>
    <w:rsid w:val="00C611A4"/>
    <w:rsid w:val="00C61349"/>
    <w:rsid w:val="00C6291C"/>
    <w:rsid w:val="00C629D5"/>
    <w:rsid w:val="00C63368"/>
    <w:rsid w:val="00C633CB"/>
    <w:rsid w:val="00C659FE"/>
    <w:rsid w:val="00C70D6F"/>
    <w:rsid w:val="00C72BD9"/>
    <w:rsid w:val="00C73899"/>
    <w:rsid w:val="00C7498D"/>
    <w:rsid w:val="00C76C22"/>
    <w:rsid w:val="00C778F5"/>
    <w:rsid w:val="00C81D4A"/>
    <w:rsid w:val="00C83FD1"/>
    <w:rsid w:val="00C84258"/>
    <w:rsid w:val="00C84DEC"/>
    <w:rsid w:val="00C84FF2"/>
    <w:rsid w:val="00C8762C"/>
    <w:rsid w:val="00C90AD6"/>
    <w:rsid w:val="00C90B4B"/>
    <w:rsid w:val="00C91E23"/>
    <w:rsid w:val="00C92821"/>
    <w:rsid w:val="00C92ED0"/>
    <w:rsid w:val="00C931C6"/>
    <w:rsid w:val="00C9495A"/>
    <w:rsid w:val="00C94CE1"/>
    <w:rsid w:val="00C97555"/>
    <w:rsid w:val="00C97801"/>
    <w:rsid w:val="00CA00F9"/>
    <w:rsid w:val="00CA13EA"/>
    <w:rsid w:val="00CA2961"/>
    <w:rsid w:val="00CA2DA6"/>
    <w:rsid w:val="00CA3C60"/>
    <w:rsid w:val="00CA4833"/>
    <w:rsid w:val="00CA6634"/>
    <w:rsid w:val="00CA71F0"/>
    <w:rsid w:val="00CB2908"/>
    <w:rsid w:val="00CB2928"/>
    <w:rsid w:val="00CB2D4B"/>
    <w:rsid w:val="00CB50D7"/>
    <w:rsid w:val="00CB7177"/>
    <w:rsid w:val="00CC1998"/>
    <w:rsid w:val="00CC29DE"/>
    <w:rsid w:val="00CC2C02"/>
    <w:rsid w:val="00CC41FD"/>
    <w:rsid w:val="00CC4946"/>
    <w:rsid w:val="00CC6141"/>
    <w:rsid w:val="00CC62BF"/>
    <w:rsid w:val="00CD069F"/>
    <w:rsid w:val="00CD10BF"/>
    <w:rsid w:val="00CD1611"/>
    <w:rsid w:val="00CD203F"/>
    <w:rsid w:val="00CD275A"/>
    <w:rsid w:val="00CD37BC"/>
    <w:rsid w:val="00CD37FD"/>
    <w:rsid w:val="00CD44D8"/>
    <w:rsid w:val="00CD704C"/>
    <w:rsid w:val="00CD7A77"/>
    <w:rsid w:val="00CE09C7"/>
    <w:rsid w:val="00CE1968"/>
    <w:rsid w:val="00CE28CD"/>
    <w:rsid w:val="00CE3E55"/>
    <w:rsid w:val="00CE5C75"/>
    <w:rsid w:val="00CE626A"/>
    <w:rsid w:val="00CE6669"/>
    <w:rsid w:val="00CE6853"/>
    <w:rsid w:val="00CE740B"/>
    <w:rsid w:val="00CF1E50"/>
    <w:rsid w:val="00CF2310"/>
    <w:rsid w:val="00CF3A4A"/>
    <w:rsid w:val="00CF41FD"/>
    <w:rsid w:val="00CF4383"/>
    <w:rsid w:val="00CF5D56"/>
    <w:rsid w:val="00CF6D3D"/>
    <w:rsid w:val="00CF6F4E"/>
    <w:rsid w:val="00D02C13"/>
    <w:rsid w:val="00D0342A"/>
    <w:rsid w:val="00D0359D"/>
    <w:rsid w:val="00D03C69"/>
    <w:rsid w:val="00D05BAF"/>
    <w:rsid w:val="00D05D6B"/>
    <w:rsid w:val="00D06215"/>
    <w:rsid w:val="00D06782"/>
    <w:rsid w:val="00D07F9F"/>
    <w:rsid w:val="00D1223E"/>
    <w:rsid w:val="00D20DC5"/>
    <w:rsid w:val="00D20FDF"/>
    <w:rsid w:val="00D22B36"/>
    <w:rsid w:val="00D2428E"/>
    <w:rsid w:val="00D2516E"/>
    <w:rsid w:val="00D255D9"/>
    <w:rsid w:val="00D25933"/>
    <w:rsid w:val="00D2642F"/>
    <w:rsid w:val="00D26A1D"/>
    <w:rsid w:val="00D26BF4"/>
    <w:rsid w:val="00D270A4"/>
    <w:rsid w:val="00D304FE"/>
    <w:rsid w:val="00D3193D"/>
    <w:rsid w:val="00D31D27"/>
    <w:rsid w:val="00D31FE9"/>
    <w:rsid w:val="00D32391"/>
    <w:rsid w:val="00D34E1B"/>
    <w:rsid w:val="00D37062"/>
    <w:rsid w:val="00D376BA"/>
    <w:rsid w:val="00D37CF1"/>
    <w:rsid w:val="00D37E95"/>
    <w:rsid w:val="00D40C7A"/>
    <w:rsid w:val="00D42F26"/>
    <w:rsid w:val="00D43188"/>
    <w:rsid w:val="00D44077"/>
    <w:rsid w:val="00D4417E"/>
    <w:rsid w:val="00D45357"/>
    <w:rsid w:val="00D45634"/>
    <w:rsid w:val="00D45855"/>
    <w:rsid w:val="00D50E8F"/>
    <w:rsid w:val="00D514E0"/>
    <w:rsid w:val="00D515CD"/>
    <w:rsid w:val="00D51826"/>
    <w:rsid w:val="00D52982"/>
    <w:rsid w:val="00D54C12"/>
    <w:rsid w:val="00D5568A"/>
    <w:rsid w:val="00D55690"/>
    <w:rsid w:val="00D55908"/>
    <w:rsid w:val="00D56886"/>
    <w:rsid w:val="00D576CE"/>
    <w:rsid w:val="00D57C6E"/>
    <w:rsid w:val="00D612DE"/>
    <w:rsid w:val="00D616EC"/>
    <w:rsid w:val="00D62FAA"/>
    <w:rsid w:val="00D63D73"/>
    <w:rsid w:val="00D640FF"/>
    <w:rsid w:val="00D64452"/>
    <w:rsid w:val="00D650D1"/>
    <w:rsid w:val="00D65B69"/>
    <w:rsid w:val="00D65FA9"/>
    <w:rsid w:val="00D66BE8"/>
    <w:rsid w:val="00D66E1E"/>
    <w:rsid w:val="00D66FBA"/>
    <w:rsid w:val="00D67553"/>
    <w:rsid w:val="00D67F9B"/>
    <w:rsid w:val="00D70378"/>
    <w:rsid w:val="00D717D7"/>
    <w:rsid w:val="00D72057"/>
    <w:rsid w:val="00D74DE6"/>
    <w:rsid w:val="00D75722"/>
    <w:rsid w:val="00D75886"/>
    <w:rsid w:val="00D76D4A"/>
    <w:rsid w:val="00D774C0"/>
    <w:rsid w:val="00D804E8"/>
    <w:rsid w:val="00D80CF5"/>
    <w:rsid w:val="00D82572"/>
    <w:rsid w:val="00D84066"/>
    <w:rsid w:val="00D90D4B"/>
    <w:rsid w:val="00D92134"/>
    <w:rsid w:val="00D948AA"/>
    <w:rsid w:val="00D94D81"/>
    <w:rsid w:val="00D95AB0"/>
    <w:rsid w:val="00D95B84"/>
    <w:rsid w:val="00D95E3D"/>
    <w:rsid w:val="00D96599"/>
    <w:rsid w:val="00D977DA"/>
    <w:rsid w:val="00DA1812"/>
    <w:rsid w:val="00DA2525"/>
    <w:rsid w:val="00DA25B0"/>
    <w:rsid w:val="00DA42AC"/>
    <w:rsid w:val="00DA4B0D"/>
    <w:rsid w:val="00DA50E4"/>
    <w:rsid w:val="00DA58A9"/>
    <w:rsid w:val="00DA5BBA"/>
    <w:rsid w:val="00DA5DC0"/>
    <w:rsid w:val="00DA7453"/>
    <w:rsid w:val="00DB04E5"/>
    <w:rsid w:val="00DB1157"/>
    <w:rsid w:val="00DB26D2"/>
    <w:rsid w:val="00DB2B49"/>
    <w:rsid w:val="00DB33FC"/>
    <w:rsid w:val="00DB66EE"/>
    <w:rsid w:val="00DB67C9"/>
    <w:rsid w:val="00DB7304"/>
    <w:rsid w:val="00DB7D8A"/>
    <w:rsid w:val="00DC0442"/>
    <w:rsid w:val="00DC09B6"/>
    <w:rsid w:val="00DC0C95"/>
    <w:rsid w:val="00DC1E1C"/>
    <w:rsid w:val="00DC2D81"/>
    <w:rsid w:val="00DC457C"/>
    <w:rsid w:val="00DC4FA9"/>
    <w:rsid w:val="00DC67BB"/>
    <w:rsid w:val="00DD03E4"/>
    <w:rsid w:val="00DD0BFF"/>
    <w:rsid w:val="00DD185A"/>
    <w:rsid w:val="00DD1BBC"/>
    <w:rsid w:val="00DD1F68"/>
    <w:rsid w:val="00DD215D"/>
    <w:rsid w:val="00DD3B2D"/>
    <w:rsid w:val="00DD4462"/>
    <w:rsid w:val="00DD6565"/>
    <w:rsid w:val="00DD6580"/>
    <w:rsid w:val="00DD6C8D"/>
    <w:rsid w:val="00DD725D"/>
    <w:rsid w:val="00DE4F54"/>
    <w:rsid w:val="00DE57A6"/>
    <w:rsid w:val="00DE5FA9"/>
    <w:rsid w:val="00DE6188"/>
    <w:rsid w:val="00DE6407"/>
    <w:rsid w:val="00DE74EC"/>
    <w:rsid w:val="00DE79BB"/>
    <w:rsid w:val="00DF3C6E"/>
    <w:rsid w:val="00DF4FBD"/>
    <w:rsid w:val="00DF4FC0"/>
    <w:rsid w:val="00DF5F90"/>
    <w:rsid w:val="00DF62FE"/>
    <w:rsid w:val="00DF7906"/>
    <w:rsid w:val="00E013F0"/>
    <w:rsid w:val="00E01C1A"/>
    <w:rsid w:val="00E04508"/>
    <w:rsid w:val="00E04653"/>
    <w:rsid w:val="00E0600E"/>
    <w:rsid w:val="00E06898"/>
    <w:rsid w:val="00E116EB"/>
    <w:rsid w:val="00E11F24"/>
    <w:rsid w:val="00E14387"/>
    <w:rsid w:val="00E146B7"/>
    <w:rsid w:val="00E15065"/>
    <w:rsid w:val="00E15201"/>
    <w:rsid w:val="00E15E33"/>
    <w:rsid w:val="00E15EA5"/>
    <w:rsid w:val="00E161F4"/>
    <w:rsid w:val="00E1633E"/>
    <w:rsid w:val="00E163C5"/>
    <w:rsid w:val="00E17C72"/>
    <w:rsid w:val="00E212DB"/>
    <w:rsid w:val="00E21FC6"/>
    <w:rsid w:val="00E262C3"/>
    <w:rsid w:val="00E274CE"/>
    <w:rsid w:val="00E2790E"/>
    <w:rsid w:val="00E308C4"/>
    <w:rsid w:val="00E31E4A"/>
    <w:rsid w:val="00E33100"/>
    <w:rsid w:val="00E33ABF"/>
    <w:rsid w:val="00E34421"/>
    <w:rsid w:val="00E345A1"/>
    <w:rsid w:val="00E35297"/>
    <w:rsid w:val="00E35469"/>
    <w:rsid w:val="00E35958"/>
    <w:rsid w:val="00E35E09"/>
    <w:rsid w:val="00E36862"/>
    <w:rsid w:val="00E372EE"/>
    <w:rsid w:val="00E37D60"/>
    <w:rsid w:val="00E40152"/>
    <w:rsid w:val="00E412A5"/>
    <w:rsid w:val="00E41D90"/>
    <w:rsid w:val="00E41F99"/>
    <w:rsid w:val="00E422E7"/>
    <w:rsid w:val="00E42718"/>
    <w:rsid w:val="00E431A9"/>
    <w:rsid w:val="00E44919"/>
    <w:rsid w:val="00E44A6F"/>
    <w:rsid w:val="00E50987"/>
    <w:rsid w:val="00E51CBF"/>
    <w:rsid w:val="00E51DB5"/>
    <w:rsid w:val="00E54529"/>
    <w:rsid w:val="00E54545"/>
    <w:rsid w:val="00E55771"/>
    <w:rsid w:val="00E57D1B"/>
    <w:rsid w:val="00E61D8B"/>
    <w:rsid w:val="00E63525"/>
    <w:rsid w:val="00E64416"/>
    <w:rsid w:val="00E64F5B"/>
    <w:rsid w:val="00E65701"/>
    <w:rsid w:val="00E66784"/>
    <w:rsid w:val="00E669E2"/>
    <w:rsid w:val="00E700B9"/>
    <w:rsid w:val="00E70E0E"/>
    <w:rsid w:val="00E724E6"/>
    <w:rsid w:val="00E72DBF"/>
    <w:rsid w:val="00E73CA5"/>
    <w:rsid w:val="00E74486"/>
    <w:rsid w:val="00E753CC"/>
    <w:rsid w:val="00E76135"/>
    <w:rsid w:val="00E779CD"/>
    <w:rsid w:val="00E81B3E"/>
    <w:rsid w:val="00E81C76"/>
    <w:rsid w:val="00E81F78"/>
    <w:rsid w:val="00E81F7F"/>
    <w:rsid w:val="00E82F4F"/>
    <w:rsid w:val="00E82F8E"/>
    <w:rsid w:val="00E842D5"/>
    <w:rsid w:val="00E87EFD"/>
    <w:rsid w:val="00E91307"/>
    <w:rsid w:val="00E91B74"/>
    <w:rsid w:val="00E93B08"/>
    <w:rsid w:val="00E94201"/>
    <w:rsid w:val="00E94352"/>
    <w:rsid w:val="00E95417"/>
    <w:rsid w:val="00E96BE1"/>
    <w:rsid w:val="00E97CD0"/>
    <w:rsid w:val="00EA078D"/>
    <w:rsid w:val="00EA224B"/>
    <w:rsid w:val="00EA4EAE"/>
    <w:rsid w:val="00EA54E6"/>
    <w:rsid w:val="00EA56B6"/>
    <w:rsid w:val="00EA69E7"/>
    <w:rsid w:val="00EA799F"/>
    <w:rsid w:val="00EB0121"/>
    <w:rsid w:val="00EB0185"/>
    <w:rsid w:val="00EB0190"/>
    <w:rsid w:val="00EB12D4"/>
    <w:rsid w:val="00EB256F"/>
    <w:rsid w:val="00EB34BC"/>
    <w:rsid w:val="00EB3852"/>
    <w:rsid w:val="00EB4819"/>
    <w:rsid w:val="00EB5241"/>
    <w:rsid w:val="00EB582D"/>
    <w:rsid w:val="00EB625F"/>
    <w:rsid w:val="00EB7A11"/>
    <w:rsid w:val="00EC06F7"/>
    <w:rsid w:val="00EC1488"/>
    <w:rsid w:val="00EC166E"/>
    <w:rsid w:val="00EC1693"/>
    <w:rsid w:val="00EC2844"/>
    <w:rsid w:val="00EC2FA3"/>
    <w:rsid w:val="00EC4AB8"/>
    <w:rsid w:val="00EC5500"/>
    <w:rsid w:val="00EC7696"/>
    <w:rsid w:val="00EC7D00"/>
    <w:rsid w:val="00ED0C51"/>
    <w:rsid w:val="00ED1FA7"/>
    <w:rsid w:val="00ED33D5"/>
    <w:rsid w:val="00ED3E9F"/>
    <w:rsid w:val="00ED43CC"/>
    <w:rsid w:val="00EE0262"/>
    <w:rsid w:val="00EE1973"/>
    <w:rsid w:val="00EE27CE"/>
    <w:rsid w:val="00EE3934"/>
    <w:rsid w:val="00EE4203"/>
    <w:rsid w:val="00EE475D"/>
    <w:rsid w:val="00EE4BD2"/>
    <w:rsid w:val="00EE64E3"/>
    <w:rsid w:val="00EE6972"/>
    <w:rsid w:val="00EF028D"/>
    <w:rsid w:val="00EF0F2C"/>
    <w:rsid w:val="00EF142D"/>
    <w:rsid w:val="00EF1CE5"/>
    <w:rsid w:val="00EF1D5C"/>
    <w:rsid w:val="00EF2CFB"/>
    <w:rsid w:val="00EF378C"/>
    <w:rsid w:val="00EF4AA1"/>
    <w:rsid w:val="00EF6C6C"/>
    <w:rsid w:val="00F03AEE"/>
    <w:rsid w:val="00F04B7F"/>
    <w:rsid w:val="00F056FC"/>
    <w:rsid w:val="00F05C2C"/>
    <w:rsid w:val="00F05EFD"/>
    <w:rsid w:val="00F0659D"/>
    <w:rsid w:val="00F07200"/>
    <w:rsid w:val="00F10476"/>
    <w:rsid w:val="00F12A93"/>
    <w:rsid w:val="00F135D8"/>
    <w:rsid w:val="00F15872"/>
    <w:rsid w:val="00F170F6"/>
    <w:rsid w:val="00F172BD"/>
    <w:rsid w:val="00F2002A"/>
    <w:rsid w:val="00F2021A"/>
    <w:rsid w:val="00F230E8"/>
    <w:rsid w:val="00F2371A"/>
    <w:rsid w:val="00F23812"/>
    <w:rsid w:val="00F243DF"/>
    <w:rsid w:val="00F25AA8"/>
    <w:rsid w:val="00F267D1"/>
    <w:rsid w:val="00F26D58"/>
    <w:rsid w:val="00F31299"/>
    <w:rsid w:val="00F3187A"/>
    <w:rsid w:val="00F3188C"/>
    <w:rsid w:val="00F3264F"/>
    <w:rsid w:val="00F32C6E"/>
    <w:rsid w:val="00F3314B"/>
    <w:rsid w:val="00F346D9"/>
    <w:rsid w:val="00F3534A"/>
    <w:rsid w:val="00F365D1"/>
    <w:rsid w:val="00F3718F"/>
    <w:rsid w:val="00F37F98"/>
    <w:rsid w:val="00F405A8"/>
    <w:rsid w:val="00F41385"/>
    <w:rsid w:val="00F41936"/>
    <w:rsid w:val="00F42673"/>
    <w:rsid w:val="00F4596F"/>
    <w:rsid w:val="00F45C6F"/>
    <w:rsid w:val="00F46196"/>
    <w:rsid w:val="00F470B0"/>
    <w:rsid w:val="00F47AB8"/>
    <w:rsid w:val="00F47D1B"/>
    <w:rsid w:val="00F50877"/>
    <w:rsid w:val="00F50B4F"/>
    <w:rsid w:val="00F51609"/>
    <w:rsid w:val="00F52080"/>
    <w:rsid w:val="00F529CA"/>
    <w:rsid w:val="00F52F4D"/>
    <w:rsid w:val="00F539AD"/>
    <w:rsid w:val="00F54DD0"/>
    <w:rsid w:val="00F562B5"/>
    <w:rsid w:val="00F567A3"/>
    <w:rsid w:val="00F57E88"/>
    <w:rsid w:val="00F6086E"/>
    <w:rsid w:val="00F62857"/>
    <w:rsid w:val="00F63897"/>
    <w:rsid w:val="00F649B3"/>
    <w:rsid w:val="00F64D20"/>
    <w:rsid w:val="00F65C5A"/>
    <w:rsid w:val="00F65D46"/>
    <w:rsid w:val="00F663D5"/>
    <w:rsid w:val="00F664B3"/>
    <w:rsid w:val="00F665D2"/>
    <w:rsid w:val="00F670A8"/>
    <w:rsid w:val="00F67FA3"/>
    <w:rsid w:val="00F72BEC"/>
    <w:rsid w:val="00F73140"/>
    <w:rsid w:val="00F751B3"/>
    <w:rsid w:val="00F75D72"/>
    <w:rsid w:val="00F80A76"/>
    <w:rsid w:val="00F8111F"/>
    <w:rsid w:val="00F8126D"/>
    <w:rsid w:val="00F81BA3"/>
    <w:rsid w:val="00F8243C"/>
    <w:rsid w:val="00F82743"/>
    <w:rsid w:val="00F848EE"/>
    <w:rsid w:val="00F85276"/>
    <w:rsid w:val="00F85325"/>
    <w:rsid w:val="00F86622"/>
    <w:rsid w:val="00F86716"/>
    <w:rsid w:val="00F86F1A"/>
    <w:rsid w:val="00F903EE"/>
    <w:rsid w:val="00F92C44"/>
    <w:rsid w:val="00F93345"/>
    <w:rsid w:val="00F94A96"/>
    <w:rsid w:val="00F95F08"/>
    <w:rsid w:val="00F96D38"/>
    <w:rsid w:val="00F979EC"/>
    <w:rsid w:val="00FA0AEA"/>
    <w:rsid w:val="00FA202A"/>
    <w:rsid w:val="00FA4E1B"/>
    <w:rsid w:val="00FA667D"/>
    <w:rsid w:val="00FB1A1E"/>
    <w:rsid w:val="00FB23D7"/>
    <w:rsid w:val="00FB33F3"/>
    <w:rsid w:val="00FB47B0"/>
    <w:rsid w:val="00FB4F5A"/>
    <w:rsid w:val="00FB578D"/>
    <w:rsid w:val="00FB5878"/>
    <w:rsid w:val="00FB6D06"/>
    <w:rsid w:val="00FC0035"/>
    <w:rsid w:val="00FC06CC"/>
    <w:rsid w:val="00FC28FD"/>
    <w:rsid w:val="00FC2FA2"/>
    <w:rsid w:val="00FC2FDF"/>
    <w:rsid w:val="00FC486F"/>
    <w:rsid w:val="00FC5535"/>
    <w:rsid w:val="00FC58DF"/>
    <w:rsid w:val="00FC7ED6"/>
    <w:rsid w:val="00FD0285"/>
    <w:rsid w:val="00FD0D28"/>
    <w:rsid w:val="00FD0F5E"/>
    <w:rsid w:val="00FD1087"/>
    <w:rsid w:val="00FD22B1"/>
    <w:rsid w:val="00FD2CB6"/>
    <w:rsid w:val="00FD64B2"/>
    <w:rsid w:val="00FE1609"/>
    <w:rsid w:val="00FE24C6"/>
    <w:rsid w:val="00FE26EC"/>
    <w:rsid w:val="00FE2E01"/>
    <w:rsid w:val="00FE38EF"/>
    <w:rsid w:val="00FE6C1A"/>
    <w:rsid w:val="00FE6EA7"/>
    <w:rsid w:val="00FE7697"/>
    <w:rsid w:val="00FF07ED"/>
    <w:rsid w:val="00FF24CC"/>
    <w:rsid w:val="00FF2AB3"/>
    <w:rsid w:val="00FF3391"/>
    <w:rsid w:val="00FF34B8"/>
    <w:rsid w:val="00FF4F04"/>
    <w:rsid w:val="00FF4FBD"/>
    <w:rsid w:val="00FF5A8E"/>
    <w:rsid w:val="00FF654E"/>
    <w:rsid w:val="00FF7C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6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C1E1C"/>
    <w:rPr>
      <w:sz w:val="24"/>
      <w:szCs w:val="24"/>
    </w:rPr>
  </w:style>
  <w:style w:type="paragraph" w:styleId="Heading1">
    <w:name w:val="heading 1"/>
    <w:basedOn w:val="BodyText"/>
    <w:next w:val="BodyText"/>
    <w:link w:val="Heading1Char"/>
    <w:rsid w:val="00DC1E1C"/>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DC1E1C"/>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DC1E1C"/>
    <w:pPr>
      <w:spacing w:before="560" w:line="320" w:lineRule="exact"/>
      <w:ind w:left="0" w:firstLine="0"/>
      <w:outlineLvl w:val="2"/>
    </w:pPr>
    <w:rPr>
      <w:sz w:val="26"/>
    </w:rPr>
  </w:style>
  <w:style w:type="paragraph" w:styleId="Heading4">
    <w:name w:val="heading 4"/>
    <w:basedOn w:val="Heading3"/>
    <w:next w:val="BodyText"/>
    <w:link w:val="Heading4Char"/>
    <w:qFormat/>
    <w:rsid w:val="00DC1E1C"/>
    <w:pPr>
      <w:spacing w:before="480"/>
      <w:outlineLvl w:val="3"/>
    </w:pPr>
    <w:rPr>
      <w:b w:val="0"/>
      <w:sz w:val="24"/>
    </w:rPr>
  </w:style>
  <w:style w:type="paragraph" w:styleId="Heading5">
    <w:name w:val="heading 5"/>
    <w:basedOn w:val="Heading4"/>
    <w:next w:val="BodyText"/>
    <w:link w:val="Heading5Char"/>
    <w:qFormat/>
    <w:rsid w:val="00DC1E1C"/>
    <w:pPr>
      <w:outlineLvl w:val="4"/>
    </w:pPr>
    <w:rPr>
      <w:i/>
      <w:sz w:val="22"/>
    </w:rPr>
  </w:style>
  <w:style w:type="paragraph" w:styleId="Heading6">
    <w:name w:val="heading 6"/>
    <w:basedOn w:val="BodyText"/>
    <w:next w:val="BodyText"/>
    <w:rsid w:val="00DC1E1C"/>
    <w:pPr>
      <w:spacing w:after="60"/>
      <w:jc w:val="left"/>
      <w:outlineLvl w:val="5"/>
    </w:pPr>
    <w:rPr>
      <w:i/>
      <w:sz w:val="22"/>
    </w:rPr>
  </w:style>
  <w:style w:type="paragraph" w:styleId="Heading7">
    <w:name w:val="heading 7"/>
    <w:basedOn w:val="BodyText"/>
    <w:next w:val="BodyText"/>
    <w:rsid w:val="00DC1E1C"/>
    <w:pPr>
      <w:spacing w:after="60" w:line="240" w:lineRule="auto"/>
      <w:jc w:val="left"/>
      <w:outlineLvl w:val="6"/>
    </w:pPr>
    <w:rPr>
      <w:rFonts w:ascii="Arial" w:hAnsi="Arial"/>
      <w:sz w:val="20"/>
    </w:rPr>
  </w:style>
  <w:style w:type="paragraph" w:styleId="Heading8">
    <w:name w:val="heading 8"/>
    <w:basedOn w:val="BodyText"/>
    <w:next w:val="BodyText"/>
    <w:rsid w:val="00DC1E1C"/>
    <w:pPr>
      <w:spacing w:after="60" w:line="240" w:lineRule="auto"/>
      <w:jc w:val="left"/>
      <w:outlineLvl w:val="7"/>
    </w:pPr>
    <w:rPr>
      <w:rFonts w:ascii="Arial" w:hAnsi="Arial"/>
      <w:i/>
      <w:sz w:val="20"/>
    </w:rPr>
  </w:style>
  <w:style w:type="paragraph" w:styleId="Heading9">
    <w:name w:val="heading 9"/>
    <w:basedOn w:val="BodyText"/>
    <w:next w:val="BodyText"/>
    <w:rsid w:val="00DC1E1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C1E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1E1C"/>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DC1E1C"/>
    <w:pPr>
      <w:spacing w:before="240" w:line="300" w:lineRule="atLeast"/>
      <w:jc w:val="both"/>
    </w:pPr>
    <w:rPr>
      <w:sz w:val="24"/>
    </w:rPr>
  </w:style>
  <w:style w:type="paragraph" w:styleId="Footer">
    <w:name w:val="footer"/>
    <w:basedOn w:val="BodyText"/>
    <w:link w:val="FooterChar"/>
    <w:rsid w:val="00DC1E1C"/>
    <w:pPr>
      <w:spacing w:before="80" w:line="200" w:lineRule="exact"/>
      <w:ind w:right="6"/>
      <w:jc w:val="left"/>
    </w:pPr>
    <w:rPr>
      <w:rFonts w:ascii="Arial" w:hAnsi="Arial"/>
      <w:caps/>
      <w:spacing w:val="-4"/>
      <w:sz w:val="16"/>
    </w:rPr>
  </w:style>
  <w:style w:type="paragraph" w:customStyle="1" w:styleId="FooterEnd">
    <w:name w:val="Footer End"/>
    <w:basedOn w:val="Footer"/>
    <w:rsid w:val="00DC1E1C"/>
    <w:pPr>
      <w:spacing w:before="0" w:line="20" w:lineRule="exact"/>
    </w:pPr>
  </w:style>
  <w:style w:type="paragraph" w:styleId="Header">
    <w:name w:val="header"/>
    <w:basedOn w:val="BodyText"/>
    <w:rsid w:val="00DC1E1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C1E1C"/>
    <w:pPr>
      <w:spacing w:line="20" w:lineRule="exact"/>
    </w:pPr>
    <w:rPr>
      <w:sz w:val="16"/>
    </w:rPr>
  </w:style>
  <w:style w:type="paragraph" w:customStyle="1" w:styleId="HeaderEven">
    <w:name w:val="Header Even"/>
    <w:basedOn w:val="Header"/>
    <w:semiHidden/>
    <w:rsid w:val="00DC1E1C"/>
  </w:style>
  <w:style w:type="paragraph" w:customStyle="1" w:styleId="HeaderOdd">
    <w:name w:val="Header Odd"/>
    <w:basedOn w:val="Header"/>
    <w:semiHidden/>
    <w:rsid w:val="00DC1E1C"/>
  </w:style>
  <w:style w:type="character" w:styleId="PageNumber">
    <w:name w:val="page number"/>
    <w:basedOn w:val="DefaultParagraphFont"/>
    <w:rsid w:val="00DC1E1C"/>
    <w:rPr>
      <w:rFonts w:ascii="Arial" w:hAnsi="Arial"/>
      <w:b/>
      <w:sz w:val="16"/>
    </w:rPr>
  </w:style>
  <w:style w:type="paragraph" w:customStyle="1" w:styleId="Abbreviation">
    <w:name w:val="Abbreviation"/>
    <w:basedOn w:val="BodyText"/>
    <w:rsid w:val="00DC1E1C"/>
    <w:pPr>
      <w:spacing w:before="120"/>
      <w:ind w:left="2381" w:hanging="2381"/>
      <w:jc w:val="left"/>
    </w:pPr>
  </w:style>
  <w:style w:type="paragraph" w:customStyle="1" w:styleId="Box">
    <w:name w:val="Box"/>
    <w:basedOn w:val="BodyText"/>
    <w:link w:val="BoxChar"/>
    <w:qFormat/>
    <w:rsid w:val="00DC1E1C"/>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DC1E1C"/>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DC1E1C"/>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DC1E1C"/>
    <w:rPr>
      <w:b w:val="0"/>
      <w:i/>
    </w:rPr>
  </w:style>
  <w:style w:type="paragraph" w:customStyle="1" w:styleId="BoxListBullet">
    <w:name w:val="Box List Bullet"/>
    <w:basedOn w:val="BodyText"/>
    <w:link w:val="BoxListBulletChar"/>
    <w:rsid w:val="00DC1E1C"/>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DC1E1C"/>
    <w:pPr>
      <w:numPr>
        <w:numId w:val="16"/>
      </w:numPr>
      <w:ind w:left="568" w:hanging="284"/>
    </w:pPr>
  </w:style>
  <w:style w:type="paragraph" w:customStyle="1" w:styleId="BoxListNumber">
    <w:name w:val="Box List Number"/>
    <w:basedOn w:val="BodyText"/>
    <w:link w:val="BoxListNumberChar"/>
    <w:rsid w:val="00DC1E1C"/>
    <w:pPr>
      <w:keepNext/>
      <w:numPr>
        <w:numId w:val="12"/>
      </w:numPr>
      <w:spacing w:before="100" w:line="260" w:lineRule="atLeast"/>
    </w:pPr>
    <w:rPr>
      <w:rFonts w:ascii="Arial" w:hAnsi="Arial"/>
      <w:sz w:val="20"/>
    </w:rPr>
  </w:style>
  <w:style w:type="paragraph" w:customStyle="1" w:styleId="BoxListNumber2">
    <w:name w:val="Box List Number 2"/>
    <w:basedOn w:val="BoxListNumber"/>
    <w:link w:val="BoxListNumber2Char"/>
    <w:rsid w:val="00DC1E1C"/>
    <w:pPr>
      <w:numPr>
        <w:ilvl w:val="1"/>
      </w:numPr>
      <w:ind w:left="681" w:hanging="397"/>
    </w:pPr>
  </w:style>
  <w:style w:type="paragraph" w:customStyle="1" w:styleId="BoxQuote">
    <w:name w:val="Box Quote"/>
    <w:basedOn w:val="BodyText"/>
    <w:next w:val="Box"/>
    <w:link w:val="BoxQuoteChar"/>
    <w:qFormat/>
    <w:rsid w:val="00DC1E1C"/>
    <w:pPr>
      <w:keepNext/>
      <w:spacing w:before="60" w:line="240" w:lineRule="exact"/>
      <w:ind w:left="284"/>
    </w:pPr>
    <w:rPr>
      <w:rFonts w:ascii="Arial" w:hAnsi="Arial"/>
      <w:sz w:val="18"/>
    </w:rPr>
  </w:style>
  <w:style w:type="paragraph" w:customStyle="1" w:styleId="Note">
    <w:name w:val="Note"/>
    <w:basedOn w:val="BodyText"/>
    <w:next w:val="BodyText"/>
    <w:link w:val="NoteChar"/>
    <w:rsid w:val="00DC1E1C"/>
    <w:pPr>
      <w:keepLines/>
      <w:spacing w:before="80" w:line="220" w:lineRule="exact"/>
    </w:pPr>
    <w:rPr>
      <w:rFonts w:ascii="Arial" w:hAnsi="Arial"/>
      <w:sz w:val="18"/>
    </w:rPr>
  </w:style>
  <w:style w:type="paragraph" w:customStyle="1" w:styleId="Source">
    <w:name w:val="Source"/>
    <w:basedOn w:val="Normal"/>
    <w:next w:val="BodyText"/>
    <w:link w:val="SourceChar"/>
    <w:rsid w:val="00DC1E1C"/>
    <w:pPr>
      <w:keepLines/>
      <w:spacing w:before="80" w:line="220" w:lineRule="exact"/>
      <w:jc w:val="both"/>
    </w:pPr>
    <w:rPr>
      <w:rFonts w:ascii="Arial" w:hAnsi="Arial"/>
      <w:sz w:val="18"/>
      <w:szCs w:val="20"/>
    </w:rPr>
  </w:style>
  <w:style w:type="paragraph" w:customStyle="1" w:styleId="BoxSource">
    <w:name w:val="Box Source"/>
    <w:basedOn w:val="Source"/>
    <w:next w:val="BodyText"/>
    <w:rsid w:val="00DC1E1C"/>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DC1E1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C1E1C"/>
    <w:pPr>
      <w:spacing w:before="120" w:after="0"/>
    </w:pPr>
  </w:style>
  <w:style w:type="paragraph" w:customStyle="1" w:styleId="BoxSubtitle">
    <w:name w:val="Box Subtitle"/>
    <w:basedOn w:val="BoxTitle"/>
    <w:next w:val="Normal"/>
    <w:rsid w:val="00DC1E1C"/>
    <w:pPr>
      <w:spacing w:after="80" w:line="200" w:lineRule="exact"/>
      <w:ind w:firstLine="0"/>
    </w:pPr>
    <w:rPr>
      <w:b w:val="0"/>
      <w:sz w:val="20"/>
    </w:rPr>
  </w:style>
  <w:style w:type="paragraph" w:customStyle="1" w:styleId="Chapter">
    <w:name w:val="Chapter"/>
    <w:basedOn w:val="Heading1"/>
    <w:next w:val="BodyText"/>
    <w:link w:val="ChapterChar"/>
    <w:semiHidden/>
    <w:rsid w:val="00DC1E1C"/>
    <w:pPr>
      <w:ind w:left="0" w:firstLine="0"/>
      <w:outlineLvl w:val="9"/>
    </w:pPr>
  </w:style>
  <w:style w:type="paragraph" w:customStyle="1" w:styleId="ChapterSummary">
    <w:name w:val="Chapter Summary"/>
    <w:basedOn w:val="BodyText"/>
    <w:rsid w:val="00DC1E1C"/>
    <w:pPr>
      <w:spacing w:line="280" w:lineRule="atLeast"/>
      <w:ind w:left="907"/>
    </w:pPr>
    <w:rPr>
      <w:rFonts w:ascii="Arial" w:hAnsi="Arial"/>
      <w:b/>
      <w:sz w:val="20"/>
    </w:rPr>
  </w:style>
  <w:style w:type="character" w:styleId="CommentReference">
    <w:name w:val="annotation reference"/>
    <w:basedOn w:val="DefaultParagraphFont"/>
    <w:semiHidden/>
    <w:rsid w:val="00DC1E1C"/>
    <w:rPr>
      <w:b/>
      <w:vanish/>
      <w:color w:val="FF00FF"/>
      <w:sz w:val="20"/>
    </w:rPr>
  </w:style>
  <w:style w:type="paragraph" w:styleId="CommentText">
    <w:name w:val="annotation text"/>
    <w:basedOn w:val="Normal"/>
    <w:link w:val="CommentTextChar"/>
    <w:semiHidden/>
    <w:rsid w:val="00DC1E1C"/>
    <w:pPr>
      <w:spacing w:before="120" w:line="240" w:lineRule="atLeast"/>
      <w:ind w:left="567" w:hanging="567"/>
    </w:pPr>
    <w:rPr>
      <w:sz w:val="20"/>
    </w:rPr>
  </w:style>
  <w:style w:type="paragraph" w:customStyle="1" w:styleId="Continued">
    <w:name w:val="Continued"/>
    <w:basedOn w:val="BoxContinued"/>
    <w:next w:val="BodyText"/>
    <w:link w:val="ContinuedChar"/>
    <w:rsid w:val="00DC1E1C"/>
  </w:style>
  <w:style w:type="character" w:customStyle="1" w:styleId="DocumentInfo">
    <w:name w:val="Document Info"/>
    <w:basedOn w:val="DefaultParagraphFont"/>
    <w:semiHidden/>
    <w:rsid w:val="00DC1E1C"/>
    <w:rPr>
      <w:rFonts w:ascii="Arial" w:hAnsi="Arial"/>
      <w:sz w:val="14"/>
    </w:rPr>
  </w:style>
  <w:style w:type="character" w:customStyle="1" w:styleId="DraftingNote">
    <w:name w:val="Drafting Note"/>
    <w:basedOn w:val="DefaultParagraphFont"/>
    <w:rsid w:val="00DC1E1C"/>
    <w:rPr>
      <w:b/>
      <w:color w:val="FF0000"/>
      <w:sz w:val="24"/>
      <w:u w:val="dotted"/>
    </w:rPr>
  </w:style>
  <w:style w:type="paragraph" w:customStyle="1" w:styleId="Figure">
    <w:name w:val="Figure"/>
    <w:basedOn w:val="BodyText"/>
    <w:rsid w:val="00DC1E1C"/>
    <w:pPr>
      <w:keepNext/>
      <w:spacing w:before="120" w:after="120" w:line="240" w:lineRule="atLeast"/>
      <w:jc w:val="center"/>
    </w:pPr>
  </w:style>
  <w:style w:type="paragraph" w:customStyle="1" w:styleId="FigureTitle">
    <w:name w:val="Figure Title"/>
    <w:basedOn w:val="Caption"/>
    <w:next w:val="Subtitle"/>
    <w:rsid w:val="00DC1E1C"/>
    <w:pPr>
      <w:spacing w:before="120"/>
    </w:pPr>
  </w:style>
  <w:style w:type="paragraph" w:styleId="Subtitle">
    <w:name w:val="Subtitle"/>
    <w:basedOn w:val="Caption"/>
    <w:link w:val="SubtitleChar"/>
    <w:qFormat/>
    <w:rsid w:val="00DC1E1C"/>
    <w:pPr>
      <w:spacing w:before="0" w:line="200" w:lineRule="exact"/>
      <w:ind w:firstLine="0"/>
    </w:pPr>
    <w:rPr>
      <w:b w:val="0"/>
      <w:sz w:val="20"/>
    </w:rPr>
  </w:style>
  <w:style w:type="paragraph" w:customStyle="1" w:styleId="Finding">
    <w:name w:val="Finding"/>
    <w:basedOn w:val="BodyText"/>
    <w:rsid w:val="00DC1E1C"/>
    <w:pPr>
      <w:keepLines/>
      <w:spacing w:before="120" w:line="280" w:lineRule="atLeast"/>
    </w:pPr>
    <w:rPr>
      <w:rFonts w:ascii="Arial" w:hAnsi="Arial"/>
      <w:sz w:val="22"/>
    </w:rPr>
  </w:style>
  <w:style w:type="paragraph" w:customStyle="1" w:styleId="FindingBullet">
    <w:name w:val="Finding Bullet"/>
    <w:basedOn w:val="Finding"/>
    <w:rsid w:val="00DC1E1C"/>
    <w:pPr>
      <w:numPr>
        <w:numId w:val="2"/>
      </w:numPr>
      <w:spacing w:before="80"/>
    </w:pPr>
  </w:style>
  <w:style w:type="paragraph" w:customStyle="1" w:styleId="FindingNoTitle">
    <w:name w:val="Finding NoTitle"/>
    <w:basedOn w:val="Finding"/>
    <w:rsid w:val="00DC1E1C"/>
    <w:pPr>
      <w:spacing w:before="240"/>
    </w:pPr>
  </w:style>
  <w:style w:type="paragraph" w:customStyle="1" w:styleId="RecTitle">
    <w:name w:val="Rec Title"/>
    <w:basedOn w:val="BodyText"/>
    <w:next w:val="Rec"/>
    <w:qFormat/>
    <w:rsid w:val="00DC1E1C"/>
    <w:pPr>
      <w:keepNext/>
      <w:keepLines/>
      <w:spacing w:line="280" w:lineRule="atLeast"/>
    </w:pPr>
    <w:rPr>
      <w:rFonts w:ascii="Arial" w:hAnsi="Arial"/>
      <w:caps/>
      <w:sz w:val="18"/>
    </w:rPr>
  </w:style>
  <w:style w:type="paragraph" w:customStyle="1" w:styleId="FindingTitle">
    <w:name w:val="Finding Title"/>
    <w:basedOn w:val="RecTitle"/>
    <w:next w:val="Finding"/>
    <w:rsid w:val="00DC1E1C"/>
  </w:style>
  <w:style w:type="character" w:styleId="FootnoteReference">
    <w:name w:val="footnote reference"/>
    <w:basedOn w:val="DefaultParagraphFont"/>
    <w:semiHidden/>
    <w:rsid w:val="00DC1E1C"/>
    <w:rPr>
      <w:rFonts w:ascii="Times New Roman" w:hAnsi="Times New Roman"/>
      <w:position w:val="6"/>
      <w:sz w:val="20"/>
      <w:vertAlign w:val="baseline"/>
    </w:rPr>
  </w:style>
  <w:style w:type="paragraph" w:styleId="FootnoteText">
    <w:name w:val="footnote text"/>
    <w:basedOn w:val="BodyText"/>
    <w:link w:val="FootnoteTextChar"/>
    <w:rsid w:val="00DC1E1C"/>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DC1E1C"/>
    <w:rPr>
      <w:i/>
    </w:rPr>
  </w:style>
  <w:style w:type="paragraph" w:customStyle="1" w:styleId="Jurisdictioncommentsbodytext">
    <w:name w:val="Jurisdiction comments body text"/>
    <w:rsid w:val="00DC1E1C"/>
    <w:pPr>
      <w:spacing w:after="140"/>
      <w:jc w:val="both"/>
    </w:pPr>
    <w:rPr>
      <w:rFonts w:ascii="Arial" w:hAnsi="Arial"/>
      <w:sz w:val="24"/>
      <w:lang w:eastAsia="en-US"/>
    </w:rPr>
  </w:style>
  <w:style w:type="paragraph" w:customStyle="1" w:styleId="Jurisdictioncommentsheading">
    <w:name w:val="Jurisdiction comments heading"/>
    <w:rsid w:val="00DC1E1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C1E1C"/>
    <w:pPr>
      <w:numPr>
        <w:numId w:val="3"/>
      </w:numPr>
      <w:spacing w:after="140"/>
      <w:jc w:val="both"/>
    </w:pPr>
    <w:rPr>
      <w:rFonts w:ascii="Arial" w:hAnsi="Arial"/>
      <w:sz w:val="24"/>
      <w:lang w:eastAsia="en-US"/>
    </w:rPr>
  </w:style>
  <w:style w:type="paragraph" w:styleId="ListBullet">
    <w:name w:val="List Bullet"/>
    <w:basedOn w:val="BodyText"/>
    <w:link w:val="ListBulletChar"/>
    <w:rsid w:val="00DC1E1C"/>
    <w:pPr>
      <w:numPr>
        <w:numId w:val="4"/>
      </w:numPr>
      <w:spacing w:before="120"/>
    </w:pPr>
  </w:style>
  <w:style w:type="paragraph" w:styleId="ListBullet2">
    <w:name w:val="List Bullet 2"/>
    <w:basedOn w:val="BodyText"/>
    <w:rsid w:val="00DC1E1C"/>
    <w:pPr>
      <w:numPr>
        <w:numId w:val="5"/>
      </w:numPr>
      <w:spacing w:before="120"/>
    </w:pPr>
  </w:style>
  <w:style w:type="paragraph" w:styleId="ListBullet3">
    <w:name w:val="List Bullet 3"/>
    <w:basedOn w:val="BodyText"/>
    <w:rsid w:val="00DC1E1C"/>
    <w:pPr>
      <w:numPr>
        <w:numId w:val="6"/>
      </w:numPr>
      <w:spacing w:before="120"/>
      <w:ind w:left="1020" w:hanging="340"/>
    </w:pPr>
  </w:style>
  <w:style w:type="paragraph" w:styleId="ListNumber">
    <w:name w:val="List Number"/>
    <w:basedOn w:val="BodyText"/>
    <w:rsid w:val="00DC1E1C"/>
    <w:pPr>
      <w:numPr>
        <w:numId w:val="11"/>
      </w:numPr>
      <w:spacing w:before="120"/>
    </w:pPr>
  </w:style>
  <w:style w:type="paragraph" w:styleId="ListNumber2">
    <w:name w:val="List Number 2"/>
    <w:basedOn w:val="ListNumber"/>
    <w:rsid w:val="00DC1E1C"/>
    <w:pPr>
      <w:numPr>
        <w:ilvl w:val="1"/>
      </w:numPr>
    </w:pPr>
  </w:style>
  <w:style w:type="paragraph" w:styleId="ListNumber3">
    <w:name w:val="List Number 3"/>
    <w:basedOn w:val="ListNumber2"/>
    <w:rsid w:val="00DC1E1C"/>
    <w:pPr>
      <w:numPr>
        <w:ilvl w:val="2"/>
      </w:numPr>
    </w:pPr>
  </w:style>
  <w:style w:type="character" w:customStyle="1" w:styleId="NoteLabel">
    <w:name w:val="Note Label"/>
    <w:basedOn w:val="DefaultParagraphFont"/>
    <w:rsid w:val="00DC1E1C"/>
    <w:rPr>
      <w:rFonts w:ascii="Arial" w:hAnsi="Arial"/>
      <w:b/>
      <w:position w:val="6"/>
      <w:sz w:val="18"/>
    </w:rPr>
  </w:style>
  <w:style w:type="paragraph" w:customStyle="1" w:styleId="PartDivider">
    <w:name w:val="Part Divider"/>
    <w:basedOn w:val="BodyText"/>
    <w:next w:val="BodyText"/>
    <w:semiHidden/>
    <w:rsid w:val="00DC1E1C"/>
    <w:pPr>
      <w:spacing w:before="0" w:line="40" w:lineRule="exact"/>
      <w:jc w:val="right"/>
    </w:pPr>
    <w:rPr>
      <w:smallCaps/>
      <w:sz w:val="16"/>
    </w:rPr>
  </w:style>
  <w:style w:type="paragraph" w:customStyle="1" w:styleId="PartNumber">
    <w:name w:val="Part Number"/>
    <w:basedOn w:val="BodyText"/>
    <w:next w:val="BodyText"/>
    <w:semiHidden/>
    <w:rsid w:val="00DC1E1C"/>
    <w:pPr>
      <w:spacing w:before="4000" w:line="320" w:lineRule="exact"/>
      <w:ind w:left="6634"/>
      <w:jc w:val="right"/>
    </w:pPr>
    <w:rPr>
      <w:smallCaps/>
      <w:spacing w:val="60"/>
      <w:sz w:val="32"/>
    </w:rPr>
  </w:style>
  <w:style w:type="paragraph" w:customStyle="1" w:styleId="PartTitle">
    <w:name w:val="Part Title"/>
    <w:basedOn w:val="BodyText"/>
    <w:semiHidden/>
    <w:rsid w:val="00DC1E1C"/>
    <w:pPr>
      <w:spacing w:before="160" w:after="1360" w:line="520" w:lineRule="exact"/>
      <w:ind w:right="2381"/>
      <w:jc w:val="right"/>
    </w:pPr>
    <w:rPr>
      <w:smallCaps/>
      <w:sz w:val="52"/>
    </w:rPr>
  </w:style>
  <w:style w:type="paragraph" w:styleId="Quote">
    <w:name w:val="Quote"/>
    <w:basedOn w:val="BodyText"/>
    <w:next w:val="BodyText"/>
    <w:qFormat/>
    <w:rsid w:val="00DC1E1C"/>
    <w:pPr>
      <w:spacing w:before="120" w:line="280" w:lineRule="exact"/>
      <w:ind w:left="340"/>
    </w:pPr>
    <w:rPr>
      <w:sz w:val="22"/>
    </w:rPr>
  </w:style>
  <w:style w:type="paragraph" w:customStyle="1" w:styleId="QuoteBullet">
    <w:name w:val="Quote Bullet"/>
    <w:basedOn w:val="Quote"/>
    <w:rsid w:val="00DC1E1C"/>
    <w:pPr>
      <w:numPr>
        <w:numId w:val="7"/>
      </w:numPr>
    </w:pPr>
  </w:style>
  <w:style w:type="paragraph" w:customStyle="1" w:styleId="Rec">
    <w:name w:val="Rec"/>
    <w:basedOn w:val="BodyText"/>
    <w:qFormat/>
    <w:rsid w:val="00DC1E1C"/>
    <w:pPr>
      <w:keepLines/>
      <w:spacing w:before="120" w:line="280" w:lineRule="atLeast"/>
    </w:pPr>
    <w:rPr>
      <w:rFonts w:ascii="Arial" w:hAnsi="Arial"/>
      <w:sz w:val="22"/>
    </w:rPr>
  </w:style>
  <w:style w:type="paragraph" w:customStyle="1" w:styleId="RecBullet">
    <w:name w:val="Rec Bullet"/>
    <w:basedOn w:val="Rec"/>
    <w:rsid w:val="00DC1E1C"/>
    <w:pPr>
      <w:numPr>
        <w:numId w:val="8"/>
      </w:numPr>
      <w:spacing w:before="80"/>
    </w:pPr>
  </w:style>
  <w:style w:type="paragraph" w:customStyle="1" w:styleId="RecB">
    <w:name w:val="RecB"/>
    <w:basedOn w:val="Normal"/>
    <w:rsid w:val="00DC1E1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DC1E1C"/>
    <w:pPr>
      <w:numPr>
        <w:numId w:val="13"/>
      </w:numPr>
      <w:spacing w:before="80"/>
    </w:pPr>
  </w:style>
  <w:style w:type="paragraph" w:customStyle="1" w:styleId="RecBNoTitle">
    <w:name w:val="RecB NoTitle"/>
    <w:basedOn w:val="RecB"/>
    <w:rsid w:val="00DC1E1C"/>
    <w:pPr>
      <w:spacing w:before="240"/>
    </w:pPr>
  </w:style>
  <w:style w:type="paragraph" w:customStyle="1" w:styleId="Reference">
    <w:name w:val="Reference"/>
    <w:basedOn w:val="BodyText"/>
    <w:link w:val="ReferenceChar"/>
    <w:rsid w:val="00DC1E1C"/>
    <w:pPr>
      <w:spacing w:before="120"/>
      <w:ind w:left="340" w:hanging="340"/>
    </w:pPr>
  </w:style>
  <w:style w:type="paragraph" w:customStyle="1" w:styleId="SequenceInfo">
    <w:name w:val="Sequence Info"/>
    <w:basedOn w:val="BodyText"/>
    <w:semiHidden/>
    <w:rsid w:val="00DC1E1C"/>
    <w:rPr>
      <w:vanish/>
      <w:sz w:val="16"/>
    </w:rPr>
  </w:style>
  <w:style w:type="paragraph" w:customStyle="1" w:styleId="SideNote">
    <w:name w:val="Side Note"/>
    <w:basedOn w:val="BodyText"/>
    <w:next w:val="BodyText"/>
    <w:semiHidden/>
    <w:rsid w:val="00DC1E1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DC1E1C"/>
    <w:pPr>
      <w:framePr w:wrap="around"/>
      <w:numPr>
        <w:numId w:val="9"/>
      </w:numPr>
      <w:tabs>
        <w:tab w:val="left" w:pos="227"/>
      </w:tabs>
    </w:pPr>
  </w:style>
  <w:style w:type="paragraph" w:customStyle="1" w:styleId="SideNoteGraphic">
    <w:name w:val="Side Note Graphic"/>
    <w:basedOn w:val="SideNote"/>
    <w:next w:val="BodyText"/>
    <w:semiHidden/>
    <w:rsid w:val="00DC1E1C"/>
    <w:pPr>
      <w:framePr w:wrap="around"/>
    </w:pPr>
  </w:style>
  <w:style w:type="paragraph" w:customStyle="1" w:styleId="TableBodyText">
    <w:name w:val="Table Body Text"/>
    <w:basedOn w:val="BodyText"/>
    <w:link w:val="TableBodyTextChar"/>
    <w:rsid w:val="00DC1E1C"/>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DC1E1C"/>
    <w:pPr>
      <w:numPr>
        <w:numId w:val="10"/>
      </w:numPr>
      <w:jc w:val="left"/>
    </w:pPr>
  </w:style>
  <w:style w:type="paragraph" w:customStyle="1" w:styleId="TableColumnHeading">
    <w:name w:val="Table Column Heading"/>
    <w:basedOn w:val="TableBodyText"/>
    <w:rsid w:val="00DC1E1C"/>
    <w:pPr>
      <w:spacing w:before="80" w:after="80"/>
    </w:pPr>
    <w:rPr>
      <w:i/>
    </w:rPr>
  </w:style>
  <w:style w:type="paragraph" w:styleId="TOC2">
    <w:name w:val="toc 2"/>
    <w:basedOn w:val="TOC1"/>
    <w:rsid w:val="00DC1E1C"/>
    <w:pPr>
      <w:ind w:left="1134" w:hanging="624"/>
    </w:pPr>
    <w:rPr>
      <w:b w:val="0"/>
    </w:rPr>
  </w:style>
  <w:style w:type="paragraph" w:styleId="TOC3">
    <w:name w:val="toc 3"/>
    <w:basedOn w:val="TOC2"/>
    <w:rsid w:val="00DC1E1C"/>
    <w:pPr>
      <w:spacing w:before="60"/>
      <w:ind w:left="1190" w:hanging="680"/>
    </w:pPr>
  </w:style>
  <w:style w:type="paragraph" w:styleId="TableofFigures">
    <w:name w:val="table of figures"/>
    <w:basedOn w:val="TOC3"/>
    <w:next w:val="BodyText"/>
    <w:semiHidden/>
    <w:rsid w:val="00DC1E1C"/>
    <w:pPr>
      <w:ind w:left="737" w:hanging="737"/>
    </w:pPr>
  </w:style>
  <w:style w:type="paragraph" w:customStyle="1" w:styleId="TableTitle">
    <w:name w:val="Table Title"/>
    <w:basedOn w:val="Caption"/>
    <w:next w:val="Subtitle"/>
    <w:qFormat/>
    <w:rsid w:val="00DC1E1C"/>
    <w:pPr>
      <w:spacing w:before="120"/>
    </w:pPr>
  </w:style>
  <w:style w:type="paragraph" w:customStyle="1" w:styleId="TableUnitsRow">
    <w:name w:val="Table Units Row"/>
    <w:basedOn w:val="TableBodyText"/>
    <w:rsid w:val="00DC1E1C"/>
    <w:pPr>
      <w:spacing w:before="40"/>
    </w:pPr>
  </w:style>
  <w:style w:type="paragraph" w:styleId="TOC1">
    <w:name w:val="toc 1"/>
    <w:basedOn w:val="Normal"/>
    <w:next w:val="TOC2"/>
    <w:link w:val="TOC1Char"/>
    <w:rsid w:val="00DC1E1C"/>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DC1E1C"/>
    <w:pPr>
      <w:ind w:left="1191" w:firstLine="0"/>
    </w:pPr>
  </w:style>
  <w:style w:type="paragraph" w:customStyle="1" w:styleId="RecBBullet2">
    <w:name w:val="RecB Bullet 2"/>
    <w:basedOn w:val="ListBullet2"/>
    <w:semiHidden/>
    <w:rsid w:val="00DC1E1C"/>
    <w:pPr>
      <w:pBdr>
        <w:left w:val="single" w:sz="24" w:space="29" w:color="C0C0C0"/>
      </w:pBdr>
    </w:pPr>
    <w:rPr>
      <w:b/>
      <w:i/>
    </w:rPr>
  </w:style>
  <w:style w:type="paragraph" w:styleId="BalloonText">
    <w:name w:val="Balloon Text"/>
    <w:basedOn w:val="Normal"/>
    <w:link w:val="BalloonTextChar"/>
    <w:rsid w:val="00DC1E1C"/>
    <w:rPr>
      <w:rFonts w:ascii="Tahoma" w:hAnsi="Tahoma" w:cs="Tahoma"/>
      <w:sz w:val="16"/>
      <w:szCs w:val="16"/>
    </w:rPr>
  </w:style>
  <w:style w:type="character" w:customStyle="1" w:styleId="BalloonTextChar">
    <w:name w:val="Balloon Text Char"/>
    <w:basedOn w:val="DefaultParagraphFont"/>
    <w:link w:val="BalloonText"/>
    <w:rsid w:val="00DC1E1C"/>
    <w:rPr>
      <w:rFonts w:ascii="Tahoma" w:hAnsi="Tahoma" w:cs="Tahoma"/>
      <w:sz w:val="16"/>
      <w:szCs w:val="16"/>
    </w:rPr>
  </w:style>
  <w:style w:type="character" w:customStyle="1" w:styleId="SubtitleChar">
    <w:name w:val="Subtitle Char"/>
    <w:basedOn w:val="DefaultParagraphFont"/>
    <w:link w:val="Subtitle"/>
    <w:rsid w:val="00DC1E1C"/>
    <w:rPr>
      <w:rFonts w:ascii="Arial" w:hAnsi="Arial"/>
      <w:szCs w:val="24"/>
    </w:rPr>
  </w:style>
  <w:style w:type="paragraph" w:customStyle="1" w:styleId="BoxListBullet3">
    <w:name w:val="Box List Bullet 3"/>
    <w:basedOn w:val="ListBullet3"/>
    <w:rsid w:val="00DC1E1C"/>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C1E1C"/>
    <w:rPr>
      <w:i/>
      <w:iCs/>
    </w:rPr>
  </w:style>
  <w:style w:type="paragraph" w:customStyle="1" w:styleId="BoxQuoteBullet">
    <w:name w:val="Box Quote Bullet"/>
    <w:basedOn w:val="BoxQuote"/>
    <w:next w:val="Box"/>
    <w:rsid w:val="00DC1E1C"/>
    <w:pPr>
      <w:numPr>
        <w:numId w:val="14"/>
      </w:numPr>
      <w:ind w:left="568" w:hanging="284"/>
    </w:pPr>
  </w:style>
  <w:style w:type="paragraph" w:customStyle="1" w:styleId="InformationRequestBullet">
    <w:name w:val="Information Request Bullet"/>
    <w:basedOn w:val="ListBullet"/>
    <w:next w:val="BodyText"/>
    <w:rsid w:val="00DC1E1C"/>
    <w:pPr>
      <w:numPr>
        <w:numId w:val="15"/>
      </w:numPr>
      <w:spacing w:before="80" w:line="280" w:lineRule="atLeast"/>
      <w:ind w:left="357" w:hanging="357"/>
    </w:pPr>
    <w:rPr>
      <w:rFonts w:ascii="Arial" w:hAnsi="Arial"/>
      <w:i/>
      <w:sz w:val="22"/>
    </w:rPr>
  </w:style>
  <w:style w:type="character" w:customStyle="1" w:styleId="NoteChar">
    <w:name w:val="Note Char"/>
    <w:link w:val="Note"/>
    <w:rsid w:val="00666ECE"/>
    <w:rPr>
      <w:rFonts w:ascii="Arial" w:hAnsi="Arial"/>
      <w:sz w:val="18"/>
    </w:rPr>
  </w:style>
  <w:style w:type="character" w:customStyle="1" w:styleId="Heading1Char">
    <w:name w:val="Heading 1 Char"/>
    <w:link w:val="Heading1"/>
    <w:rsid w:val="00666ECE"/>
    <w:rPr>
      <w:sz w:val="52"/>
    </w:rPr>
  </w:style>
  <w:style w:type="character" w:customStyle="1" w:styleId="ChapterChar">
    <w:name w:val="Chapter Char"/>
    <w:basedOn w:val="Heading1Char"/>
    <w:link w:val="Chapter"/>
    <w:semiHidden/>
    <w:rsid w:val="00666ECE"/>
    <w:rPr>
      <w:sz w:val="52"/>
    </w:rPr>
  </w:style>
  <w:style w:type="character" w:customStyle="1" w:styleId="Heading2Char">
    <w:name w:val="Heading 2 Char"/>
    <w:link w:val="Heading2"/>
    <w:rsid w:val="00666ECE"/>
    <w:rPr>
      <w:rFonts w:ascii="Arial" w:hAnsi="Arial"/>
      <w:b/>
      <w:sz w:val="32"/>
    </w:rPr>
  </w:style>
  <w:style w:type="character" w:customStyle="1" w:styleId="Heading3Char">
    <w:name w:val="Heading 3 Char"/>
    <w:link w:val="Heading3"/>
    <w:rsid w:val="00666ECE"/>
    <w:rPr>
      <w:rFonts w:ascii="Arial" w:hAnsi="Arial"/>
      <w:b/>
      <w:sz w:val="26"/>
    </w:rPr>
  </w:style>
  <w:style w:type="character" w:customStyle="1" w:styleId="SourceChar">
    <w:name w:val="Source Char"/>
    <w:link w:val="Source"/>
    <w:rsid w:val="00666ECE"/>
    <w:rPr>
      <w:rFonts w:ascii="Arial" w:hAnsi="Arial"/>
      <w:sz w:val="18"/>
    </w:rPr>
  </w:style>
  <w:style w:type="character" w:customStyle="1" w:styleId="BoxTitleChar">
    <w:name w:val="Box Title Char"/>
    <w:link w:val="BoxTitle"/>
    <w:rsid w:val="00666ECE"/>
    <w:rPr>
      <w:rFonts w:ascii="Arial" w:hAnsi="Arial"/>
      <w:b/>
      <w:sz w:val="24"/>
      <w:szCs w:val="24"/>
    </w:rPr>
  </w:style>
  <w:style w:type="character" w:customStyle="1" w:styleId="BoxChar">
    <w:name w:val="Box Char"/>
    <w:link w:val="Box"/>
    <w:rsid w:val="00666ECE"/>
    <w:rPr>
      <w:rFonts w:ascii="Arial" w:hAnsi="Arial"/>
    </w:rPr>
  </w:style>
  <w:style w:type="character" w:customStyle="1" w:styleId="BoxListBulletChar">
    <w:name w:val="Box List Bullet Char"/>
    <w:link w:val="BoxListBullet"/>
    <w:rsid w:val="00666ECE"/>
    <w:rPr>
      <w:rFonts w:ascii="Arial" w:hAnsi="Arial"/>
    </w:rPr>
  </w:style>
  <w:style w:type="character" w:styleId="Hyperlink">
    <w:name w:val="Hyperlink"/>
    <w:uiPriority w:val="99"/>
    <w:rsid w:val="00666ECE"/>
    <w:rPr>
      <w:color w:val="0000FF"/>
      <w:u w:val="single"/>
    </w:rPr>
  </w:style>
  <w:style w:type="character" w:customStyle="1" w:styleId="Heading4Char">
    <w:name w:val="Heading 4 Char"/>
    <w:link w:val="Heading4"/>
    <w:rsid w:val="00666ECE"/>
    <w:rPr>
      <w:rFonts w:ascii="Arial" w:hAnsi="Arial"/>
      <w:sz w:val="24"/>
    </w:rPr>
  </w:style>
  <w:style w:type="character" w:customStyle="1" w:styleId="Heading5Char">
    <w:name w:val="Heading 5 Char"/>
    <w:basedOn w:val="DefaultParagraphFont"/>
    <w:link w:val="Heading5"/>
    <w:rsid w:val="00DC1E1C"/>
    <w:rPr>
      <w:rFonts w:ascii="Arial" w:hAnsi="Arial"/>
      <w:i/>
      <w:sz w:val="22"/>
    </w:rPr>
  </w:style>
  <w:style w:type="character" w:customStyle="1" w:styleId="BoxContinuedChar">
    <w:name w:val="Box Continued Char"/>
    <w:link w:val="BoxContinued"/>
    <w:semiHidden/>
    <w:rsid w:val="00666ECE"/>
    <w:rPr>
      <w:rFonts w:ascii="Arial" w:hAnsi="Arial"/>
      <w:sz w:val="18"/>
    </w:rPr>
  </w:style>
  <w:style w:type="table" w:styleId="TableGrid">
    <w:name w:val="Table Grid"/>
    <w:basedOn w:val="TableNormal"/>
    <w:rsid w:val="00DC1E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BodyTextChar">
    <w:name w:val="Table Body Text Char"/>
    <w:link w:val="TableBodyText"/>
    <w:rsid w:val="00666ECE"/>
    <w:rPr>
      <w:rFonts w:ascii="Arial" w:hAnsi="Arial"/>
      <w:sz w:val="18"/>
    </w:rPr>
  </w:style>
  <w:style w:type="character" w:customStyle="1" w:styleId="ReferenceChar">
    <w:name w:val="Reference Char"/>
    <w:link w:val="Reference"/>
    <w:rsid w:val="00666ECE"/>
    <w:rPr>
      <w:sz w:val="24"/>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DC1E1C"/>
    <w:rPr>
      <w:sz w:val="24"/>
    </w:rPr>
  </w:style>
  <w:style w:type="character" w:customStyle="1" w:styleId="BoxListNumberChar">
    <w:name w:val="Box List Number Char"/>
    <w:link w:val="BoxListNumber"/>
    <w:rsid w:val="00666ECE"/>
    <w:rPr>
      <w:rFonts w:ascii="Arial" w:hAnsi="Arial"/>
    </w:rPr>
  </w:style>
  <w:style w:type="character" w:customStyle="1" w:styleId="BoxListNumber2Char">
    <w:name w:val="Box List Number 2 Char"/>
    <w:basedOn w:val="BoxListNumberChar"/>
    <w:link w:val="BoxListNumber2"/>
    <w:rsid w:val="00666ECE"/>
    <w:rPr>
      <w:rFonts w:ascii="Arial" w:hAnsi="Arial"/>
    </w:rPr>
  </w:style>
  <w:style w:type="character" w:styleId="FollowedHyperlink">
    <w:name w:val="FollowedHyperlink"/>
    <w:rsid w:val="00666ECE"/>
    <w:rPr>
      <w:color w:val="800080"/>
      <w:u w:val="single"/>
    </w:rPr>
  </w:style>
  <w:style w:type="character" w:customStyle="1" w:styleId="BoxQuoteChar">
    <w:name w:val="Box Quote Char"/>
    <w:link w:val="BoxQuote"/>
    <w:rsid w:val="00666ECE"/>
    <w:rPr>
      <w:rFonts w:ascii="Arial" w:hAnsi="Arial"/>
      <w:sz w:val="18"/>
    </w:rPr>
  </w:style>
  <w:style w:type="paragraph" w:customStyle="1" w:styleId="jurisdictioncommentsbodytext0">
    <w:name w:val="jurisdictioncommentsbodytext"/>
    <w:basedOn w:val="Normal"/>
    <w:rsid w:val="00666ECE"/>
    <w:pPr>
      <w:spacing w:after="140"/>
      <w:jc w:val="both"/>
    </w:pPr>
    <w:rPr>
      <w:rFonts w:ascii="Arial" w:eastAsia="SimSun" w:hAnsi="Arial" w:cs="Arial"/>
      <w:lang w:eastAsia="zh-CN"/>
    </w:rPr>
  </w:style>
  <w:style w:type="character" w:customStyle="1" w:styleId="BoxHeading1Char">
    <w:name w:val="Box Heading 1 Char"/>
    <w:link w:val="BoxHeading1"/>
    <w:rsid w:val="00666ECE"/>
    <w:rPr>
      <w:rFonts w:ascii="Arial" w:hAnsi="Arial"/>
      <w:b/>
      <w:sz w:val="22"/>
    </w:rPr>
  </w:style>
  <w:style w:type="character" w:customStyle="1" w:styleId="BoxHeading2Char">
    <w:name w:val="Box Heading 2 Char"/>
    <w:link w:val="BoxHeading2"/>
    <w:rsid w:val="00666ECE"/>
    <w:rPr>
      <w:rFonts w:ascii="Arial" w:hAnsi="Arial"/>
      <w:i/>
      <w:sz w:val="22"/>
    </w:rPr>
  </w:style>
  <w:style w:type="character" w:customStyle="1" w:styleId="ListBulletChar">
    <w:name w:val="List Bullet Char"/>
    <w:basedOn w:val="BodyTextChar"/>
    <w:link w:val="ListBullet"/>
    <w:rsid w:val="00666ECE"/>
    <w:rPr>
      <w:sz w:val="24"/>
    </w:rPr>
  </w:style>
  <w:style w:type="character" w:customStyle="1" w:styleId="CommentTextChar">
    <w:name w:val="Comment Text Char"/>
    <w:link w:val="CommentText"/>
    <w:semiHidden/>
    <w:rsid w:val="00666ECE"/>
    <w:rPr>
      <w:szCs w:val="24"/>
    </w:rPr>
  </w:style>
  <w:style w:type="paragraph" w:styleId="NormalWeb">
    <w:name w:val="Normal (Web)"/>
    <w:basedOn w:val="Normal"/>
    <w:uiPriority w:val="99"/>
    <w:unhideWhenUsed/>
    <w:rsid w:val="00B410A0"/>
    <w:pPr>
      <w:spacing w:before="100" w:beforeAutospacing="1" w:after="100" w:afterAutospacing="1"/>
    </w:pPr>
    <w:rPr>
      <w:rFonts w:eastAsiaTheme="minorHAnsi"/>
    </w:rPr>
  </w:style>
  <w:style w:type="paragraph" w:styleId="CommentSubject">
    <w:name w:val="annotation subject"/>
    <w:basedOn w:val="CommentText"/>
    <w:next w:val="CommentText"/>
    <w:link w:val="CommentSubjectChar"/>
    <w:rsid w:val="00DF3C6E"/>
    <w:pPr>
      <w:spacing w:before="0" w:line="240" w:lineRule="auto"/>
      <w:ind w:left="0" w:firstLine="0"/>
    </w:pPr>
    <w:rPr>
      <w:b/>
      <w:bCs/>
      <w:szCs w:val="20"/>
    </w:rPr>
  </w:style>
  <w:style w:type="character" w:customStyle="1" w:styleId="CommentSubjectChar">
    <w:name w:val="Comment Subject Char"/>
    <w:basedOn w:val="CommentTextChar"/>
    <w:link w:val="CommentSubject"/>
    <w:rsid w:val="00DF3C6E"/>
    <w:rPr>
      <w:b/>
      <w:bCs/>
      <w:szCs w:val="24"/>
    </w:rPr>
  </w:style>
  <w:style w:type="paragraph" w:customStyle="1" w:styleId="Default">
    <w:name w:val="Default"/>
    <w:basedOn w:val="Normal"/>
    <w:rsid w:val="00976D0E"/>
    <w:pPr>
      <w:autoSpaceDE w:val="0"/>
      <w:autoSpaceDN w:val="0"/>
    </w:pPr>
    <w:rPr>
      <w:rFonts w:ascii="Arial" w:eastAsiaTheme="minorHAnsi" w:hAnsi="Arial" w:cs="Arial"/>
      <w:color w:val="000000"/>
    </w:rPr>
  </w:style>
  <w:style w:type="character" w:customStyle="1" w:styleId="FootnoteTextChar">
    <w:name w:val="Footnote Text Char"/>
    <w:basedOn w:val="DefaultParagraphFont"/>
    <w:link w:val="FootnoteText"/>
    <w:rsid w:val="0041139D"/>
  </w:style>
  <w:style w:type="paragraph" w:styleId="ListParagraph">
    <w:name w:val="List Paragraph"/>
    <w:basedOn w:val="Normal"/>
    <w:uiPriority w:val="34"/>
    <w:rsid w:val="009B6671"/>
    <w:pPr>
      <w:ind w:left="720"/>
      <w:contextualSpacing/>
    </w:pPr>
  </w:style>
  <w:style w:type="paragraph" w:customStyle="1" w:styleId="BoxSpaceAbove">
    <w:name w:val="Box Space Above"/>
    <w:basedOn w:val="BodyText"/>
    <w:rsid w:val="00DC1E1C"/>
    <w:pPr>
      <w:keepNext/>
      <w:spacing w:before="360" w:line="80" w:lineRule="exact"/>
      <w:jc w:val="left"/>
    </w:pPr>
  </w:style>
  <w:style w:type="paragraph" w:customStyle="1" w:styleId="BoxSpaceBelow">
    <w:name w:val="Box Space Below"/>
    <w:basedOn w:val="Box"/>
    <w:rsid w:val="00DC1E1C"/>
    <w:pPr>
      <w:keepNext w:val="0"/>
      <w:spacing w:before="60" w:after="60" w:line="80" w:lineRule="exact"/>
    </w:pPr>
    <w:rPr>
      <w:sz w:val="14"/>
    </w:rPr>
  </w:style>
  <w:style w:type="paragraph" w:customStyle="1" w:styleId="KeyPointsListBullet">
    <w:name w:val="Key Points List Bullet"/>
    <w:basedOn w:val="Normal"/>
    <w:qFormat/>
    <w:rsid w:val="00DC1E1C"/>
    <w:pPr>
      <w:keepNext/>
      <w:numPr>
        <w:numId w:val="2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DC1E1C"/>
    <w:pPr>
      <w:numPr>
        <w:numId w:val="29"/>
      </w:numPr>
      <w:ind w:left="568" w:hanging="284"/>
    </w:pPr>
  </w:style>
  <w:style w:type="paragraph" w:customStyle="1" w:styleId="InformationRequestTitle">
    <w:name w:val="Information Request Title"/>
    <w:basedOn w:val="FindingTitle"/>
    <w:next w:val="InformationRequest"/>
    <w:rsid w:val="00DC1E1C"/>
    <w:rPr>
      <w:i/>
    </w:rPr>
  </w:style>
  <w:style w:type="paragraph" w:customStyle="1" w:styleId="Space">
    <w:name w:val="Space"/>
    <w:basedOn w:val="Normal"/>
    <w:rsid w:val="00DC1E1C"/>
    <w:pPr>
      <w:keepNext/>
      <w:spacing w:line="120" w:lineRule="exact"/>
      <w:jc w:val="both"/>
    </w:pPr>
    <w:rPr>
      <w:rFonts w:ascii="Arial" w:hAnsi="Arial"/>
      <w:sz w:val="20"/>
      <w:szCs w:val="20"/>
    </w:rPr>
  </w:style>
  <w:style w:type="paragraph" w:customStyle="1" w:styleId="Heading1nochapterno">
    <w:name w:val="Heading 1 (no chapter no.)"/>
    <w:basedOn w:val="Heading1"/>
    <w:rsid w:val="00DC1E1C"/>
    <w:pPr>
      <w:spacing w:before="0"/>
      <w:ind w:left="0" w:firstLine="0"/>
    </w:pPr>
  </w:style>
  <w:style w:type="paragraph" w:customStyle="1" w:styleId="Heading2nosectionno">
    <w:name w:val="Heading 2 (no section no.)"/>
    <w:basedOn w:val="Heading2"/>
    <w:rsid w:val="00DC1E1C"/>
    <w:pPr>
      <w:ind w:left="0" w:firstLine="0"/>
    </w:pPr>
  </w:style>
  <w:style w:type="paragraph" w:customStyle="1" w:styleId="Figurespace">
    <w:name w:val="Figure space"/>
    <w:basedOn w:val="Box"/>
    <w:rsid w:val="00DC1E1C"/>
    <w:pPr>
      <w:spacing w:before="0" w:line="120" w:lineRule="exact"/>
    </w:pPr>
  </w:style>
  <w:style w:type="paragraph" w:customStyle="1" w:styleId="FooterDraftReport">
    <w:name w:val="FooterDraftReport"/>
    <w:basedOn w:val="Footer"/>
    <w:link w:val="FooterDraftReportChar"/>
    <w:rsid w:val="00DC1E1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DC1E1C"/>
    <w:rPr>
      <w:rFonts w:ascii="Arial" w:hAnsi="Arial"/>
      <w:caps/>
      <w:spacing w:val="-4"/>
      <w:sz w:val="16"/>
    </w:rPr>
  </w:style>
  <w:style w:type="character" w:customStyle="1" w:styleId="FooterDraftReportChar">
    <w:name w:val="FooterDraftReport Char"/>
    <w:basedOn w:val="FooterChar"/>
    <w:link w:val="FooterDraftReport"/>
    <w:rsid w:val="00DC1E1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DC1E1C"/>
    <w:rPr>
      <w:rFonts w:ascii="Arial" w:hAnsi="Arial"/>
      <w:b/>
      <w:sz w:val="26"/>
      <w:szCs w:val="26"/>
      <w:lang w:eastAsia="en-US"/>
    </w:rPr>
  </w:style>
  <w:style w:type="paragraph" w:styleId="Revision">
    <w:name w:val="Revision"/>
    <w:hidden/>
    <w:uiPriority w:val="99"/>
    <w:semiHidden/>
    <w:rsid w:val="00B04EA8"/>
    <w:rPr>
      <w:sz w:val="24"/>
      <w:szCs w:val="24"/>
    </w:rPr>
  </w:style>
  <w:style w:type="character" w:customStyle="1" w:styleId="ContinuedChar">
    <w:name w:val="Continued Char"/>
    <w:basedOn w:val="BoxContinuedChar"/>
    <w:link w:val="Continued"/>
    <w:rsid w:val="008217B8"/>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C1E1C"/>
    <w:rPr>
      <w:sz w:val="24"/>
      <w:szCs w:val="24"/>
    </w:rPr>
  </w:style>
  <w:style w:type="paragraph" w:styleId="Heading1">
    <w:name w:val="heading 1"/>
    <w:basedOn w:val="BodyText"/>
    <w:next w:val="BodyText"/>
    <w:link w:val="Heading1Char"/>
    <w:rsid w:val="00DC1E1C"/>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DC1E1C"/>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DC1E1C"/>
    <w:pPr>
      <w:spacing w:before="560" w:line="320" w:lineRule="exact"/>
      <w:ind w:left="0" w:firstLine="0"/>
      <w:outlineLvl w:val="2"/>
    </w:pPr>
    <w:rPr>
      <w:sz w:val="26"/>
    </w:rPr>
  </w:style>
  <w:style w:type="paragraph" w:styleId="Heading4">
    <w:name w:val="heading 4"/>
    <w:basedOn w:val="Heading3"/>
    <w:next w:val="BodyText"/>
    <w:link w:val="Heading4Char"/>
    <w:qFormat/>
    <w:rsid w:val="00DC1E1C"/>
    <w:pPr>
      <w:spacing w:before="480"/>
      <w:outlineLvl w:val="3"/>
    </w:pPr>
    <w:rPr>
      <w:b w:val="0"/>
      <w:sz w:val="24"/>
    </w:rPr>
  </w:style>
  <w:style w:type="paragraph" w:styleId="Heading5">
    <w:name w:val="heading 5"/>
    <w:basedOn w:val="Heading4"/>
    <w:next w:val="BodyText"/>
    <w:link w:val="Heading5Char"/>
    <w:qFormat/>
    <w:rsid w:val="00DC1E1C"/>
    <w:pPr>
      <w:outlineLvl w:val="4"/>
    </w:pPr>
    <w:rPr>
      <w:i/>
      <w:sz w:val="22"/>
    </w:rPr>
  </w:style>
  <w:style w:type="paragraph" w:styleId="Heading6">
    <w:name w:val="heading 6"/>
    <w:basedOn w:val="BodyText"/>
    <w:next w:val="BodyText"/>
    <w:rsid w:val="00DC1E1C"/>
    <w:pPr>
      <w:spacing w:after="60"/>
      <w:jc w:val="left"/>
      <w:outlineLvl w:val="5"/>
    </w:pPr>
    <w:rPr>
      <w:i/>
      <w:sz w:val="22"/>
    </w:rPr>
  </w:style>
  <w:style w:type="paragraph" w:styleId="Heading7">
    <w:name w:val="heading 7"/>
    <w:basedOn w:val="BodyText"/>
    <w:next w:val="BodyText"/>
    <w:rsid w:val="00DC1E1C"/>
    <w:pPr>
      <w:spacing w:after="60" w:line="240" w:lineRule="auto"/>
      <w:jc w:val="left"/>
      <w:outlineLvl w:val="6"/>
    </w:pPr>
    <w:rPr>
      <w:rFonts w:ascii="Arial" w:hAnsi="Arial"/>
      <w:sz w:val="20"/>
    </w:rPr>
  </w:style>
  <w:style w:type="paragraph" w:styleId="Heading8">
    <w:name w:val="heading 8"/>
    <w:basedOn w:val="BodyText"/>
    <w:next w:val="BodyText"/>
    <w:rsid w:val="00DC1E1C"/>
    <w:pPr>
      <w:spacing w:after="60" w:line="240" w:lineRule="auto"/>
      <w:jc w:val="left"/>
      <w:outlineLvl w:val="7"/>
    </w:pPr>
    <w:rPr>
      <w:rFonts w:ascii="Arial" w:hAnsi="Arial"/>
      <w:i/>
      <w:sz w:val="20"/>
    </w:rPr>
  </w:style>
  <w:style w:type="paragraph" w:styleId="Heading9">
    <w:name w:val="heading 9"/>
    <w:basedOn w:val="BodyText"/>
    <w:next w:val="BodyText"/>
    <w:rsid w:val="00DC1E1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C1E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1E1C"/>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DC1E1C"/>
    <w:pPr>
      <w:spacing w:before="240" w:line="300" w:lineRule="atLeast"/>
      <w:jc w:val="both"/>
    </w:pPr>
    <w:rPr>
      <w:sz w:val="24"/>
    </w:rPr>
  </w:style>
  <w:style w:type="paragraph" w:styleId="Footer">
    <w:name w:val="footer"/>
    <w:basedOn w:val="BodyText"/>
    <w:link w:val="FooterChar"/>
    <w:rsid w:val="00DC1E1C"/>
    <w:pPr>
      <w:spacing w:before="80" w:line="200" w:lineRule="exact"/>
      <w:ind w:right="6"/>
      <w:jc w:val="left"/>
    </w:pPr>
    <w:rPr>
      <w:rFonts w:ascii="Arial" w:hAnsi="Arial"/>
      <w:caps/>
      <w:spacing w:val="-4"/>
      <w:sz w:val="16"/>
    </w:rPr>
  </w:style>
  <w:style w:type="paragraph" w:customStyle="1" w:styleId="FooterEnd">
    <w:name w:val="Footer End"/>
    <w:basedOn w:val="Footer"/>
    <w:rsid w:val="00DC1E1C"/>
    <w:pPr>
      <w:spacing w:before="0" w:line="20" w:lineRule="exact"/>
    </w:pPr>
  </w:style>
  <w:style w:type="paragraph" w:styleId="Header">
    <w:name w:val="header"/>
    <w:basedOn w:val="BodyText"/>
    <w:rsid w:val="00DC1E1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C1E1C"/>
    <w:pPr>
      <w:spacing w:line="20" w:lineRule="exact"/>
    </w:pPr>
    <w:rPr>
      <w:sz w:val="16"/>
    </w:rPr>
  </w:style>
  <w:style w:type="paragraph" w:customStyle="1" w:styleId="HeaderEven">
    <w:name w:val="Header Even"/>
    <w:basedOn w:val="Header"/>
    <w:semiHidden/>
    <w:rsid w:val="00DC1E1C"/>
  </w:style>
  <w:style w:type="paragraph" w:customStyle="1" w:styleId="HeaderOdd">
    <w:name w:val="Header Odd"/>
    <w:basedOn w:val="Header"/>
    <w:semiHidden/>
    <w:rsid w:val="00DC1E1C"/>
  </w:style>
  <w:style w:type="character" w:styleId="PageNumber">
    <w:name w:val="page number"/>
    <w:basedOn w:val="DefaultParagraphFont"/>
    <w:rsid w:val="00DC1E1C"/>
    <w:rPr>
      <w:rFonts w:ascii="Arial" w:hAnsi="Arial"/>
      <w:b/>
      <w:sz w:val="16"/>
    </w:rPr>
  </w:style>
  <w:style w:type="paragraph" w:customStyle="1" w:styleId="Abbreviation">
    <w:name w:val="Abbreviation"/>
    <w:basedOn w:val="BodyText"/>
    <w:rsid w:val="00DC1E1C"/>
    <w:pPr>
      <w:spacing w:before="120"/>
      <w:ind w:left="2381" w:hanging="2381"/>
      <w:jc w:val="left"/>
    </w:pPr>
  </w:style>
  <w:style w:type="paragraph" w:customStyle="1" w:styleId="Box">
    <w:name w:val="Box"/>
    <w:basedOn w:val="BodyText"/>
    <w:link w:val="BoxChar"/>
    <w:qFormat/>
    <w:rsid w:val="00DC1E1C"/>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DC1E1C"/>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DC1E1C"/>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DC1E1C"/>
    <w:rPr>
      <w:b w:val="0"/>
      <w:i/>
    </w:rPr>
  </w:style>
  <w:style w:type="paragraph" w:customStyle="1" w:styleId="BoxListBullet">
    <w:name w:val="Box List Bullet"/>
    <w:basedOn w:val="BodyText"/>
    <w:link w:val="BoxListBulletChar"/>
    <w:rsid w:val="00DC1E1C"/>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DC1E1C"/>
    <w:pPr>
      <w:numPr>
        <w:numId w:val="16"/>
      </w:numPr>
      <w:ind w:left="568" w:hanging="284"/>
    </w:pPr>
  </w:style>
  <w:style w:type="paragraph" w:customStyle="1" w:styleId="BoxListNumber">
    <w:name w:val="Box List Number"/>
    <w:basedOn w:val="BodyText"/>
    <w:link w:val="BoxListNumberChar"/>
    <w:rsid w:val="00DC1E1C"/>
    <w:pPr>
      <w:keepNext/>
      <w:numPr>
        <w:numId w:val="12"/>
      </w:numPr>
      <w:spacing w:before="100" w:line="260" w:lineRule="atLeast"/>
    </w:pPr>
    <w:rPr>
      <w:rFonts w:ascii="Arial" w:hAnsi="Arial"/>
      <w:sz w:val="20"/>
    </w:rPr>
  </w:style>
  <w:style w:type="paragraph" w:customStyle="1" w:styleId="BoxListNumber2">
    <w:name w:val="Box List Number 2"/>
    <w:basedOn w:val="BoxListNumber"/>
    <w:link w:val="BoxListNumber2Char"/>
    <w:rsid w:val="00DC1E1C"/>
    <w:pPr>
      <w:numPr>
        <w:ilvl w:val="1"/>
      </w:numPr>
      <w:ind w:left="681" w:hanging="397"/>
    </w:pPr>
  </w:style>
  <w:style w:type="paragraph" w:customStyle="1" w:styleId="BoxQuote">
    <w:name w:val="Box Quote"/>
    <w:basedOn w:val="BodyText"/>
    <w:next w:val="Box"/>
    <w:link w:val="BoxQuoteChar"/>
    <w:qFormat/>
    <w:rsid w:val="00DC1E1C"/>
    <w:pPr>
      <w:keepNext/>
      <w:spacing w:before="60" w:line="240" w:lineRule="exact"/>
      <w:ind w:left="284"/>
    </w:pPr>
    <w:rPr>
      <w:rFonts w:ascii="Arial" w:hAnsi="Arial"/>
      <w:sz w:val="18"/>
    </w:rPr>
  </w:style>
  <w:style w:type="paragraph" w:customStyle="1" w:styleId="Note">
    <w:name w:val="Note"/>
    <w:basedOn w:val="BodyText"/>
    <w:next w:val="BodyText"/>
    <w:link w:val="NoteChar"/>
    <w:rsid w:val="00DC1E1C"/>
    <w:pPr>
      <w:keepLines/>
      <w:spacing w:before="80" w:line="220" w:lineRule="exact"/>
    </w:pPr>
    <w:rPr>
      <w:rFonts w:ascii="Arial" w:hAnsi="Arial"/>
      <w:sz w:val="18"/>
    </w:rPr>
  </w:style>
  <w:style w:type="paragraph" w:customStyle="1" w:styleId="Source">
    <w:name w:val="Source"/>
    <w:basedOn w:val="Normal"/>
    <w:next w:val="BodyText"/>
    <w:link w:val="SourceChar"/>
    <w:rsid w:val="00DC1E1C"/>
    <w:pPr>
      <w:keepLines/>
      <w:spacing w:before="80" w:line="220" w:lineRule="exact"/>
      <w:jc w:val="both"/>
    </w:pPr>
    <w:rPr>
      <w:rFonts w:ascii="Arial" w:hAnsi="Arial"/>
      <w:sz w:val="18"/>
      <w:szCs w:val="20"/>
    </w:rPr>
  </w:style>
  <w:style w:type="paragraph" w:customStyle="1" w:styleId="BoxSource">
    <w:name w:val="Box Source"/>
    <w:basedOn w:val="Source"/>
    <w:next w:val="BodyText"/>
    <w:rsid w:val="00DC1E1C"/>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DC1E1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C1E1C"/>
    <w:pPr>
      <w:spacing w:before="120" w:after="0"/>
    </w:pPr>
  </w:style>
  <w:style w:type="paragraph" w:customStyle="1" w:styleId="BoxSubtitle">
    <w:name w:val="Box Subtitle"/>
    <w:basedOn w:val="BoxTitle"/>
    <w:next w:val="Normal"/>
    <w:rsid w:val="00DC1E1C"/>
    <w:pPr>
      <w:spacing w:after="80" w:line="200" w:lineRule="exact"/>
      <w:ind w:firstLine="0"/>
    </w:pPr>
    <w:rPr>
      <w:b w:val="0"/>
      <w:sz w:val="20"/>
    </w:rPr>
  </w:style>
  <w:style w:type="paragraph" w:customStyle="1" w:styleId="Chapter">
    <w:name w:val="Chapter"/>
    <w:basedOn w:val="Heading1"/>
    <w:next w:val="BodyText"/>
    <w:link w:val="ChapterChar"/>
    <w:semiHidden/>
    <w:rsid w:val="00DC1E1C"/>
    <w:pPr>
      <w:ind w:left="0" w:firstLine="0"/>
      <w:outlineLvl w:val="9"/>
    </w:pPr>
  </w:style>
  <w:style w:type="paragraph" w:customStyle="1" w:styleId="ChapterSummary">
    <w:name w:val="Chapter Summary"/>
    <w:basedOn w:val="BodyText"/>
    <w:rsid w:val="00DC1E1C"/>
    <w:pPr>
      <w:spacing w:line="280" w:lineRule="atLeast"/>
      <w:ind w:left="907"/>
    </w:pPr>
    <w:rPr>
      <w:rFonts w:ascii="Arial" w:hAnsi="Arial"/>
      <w:b/>
      <w:sz w:val="20"/>
    </w:rPr>
  </w:style>
  <w:style w:type="character" w:styleId="CommentReference">
    <w:name w:val="annotation reference"/>
    <w:basedOn w:val="DefaultParagraphFont"/>
    <w:semiHidden/>
    <w:rsid w:val="00DC1E1C"/>
    <w:rPr>
      <w:b/>
      <w:vanish/>
      <w:color w:val="FF00FF"/>
      <w:sz w:val="20"/>
    </w:rPr>
  </w:style>
  <w:style w:type="paragraph" w:styleId="CommentText">
    <w:name w:val="annotation text"/>
    <w:basedOn w:val="Normal"/>
    <w:link w:val="CommentTextChar"/>
    <w:semiHidden/>
    <w:rsid w:val="00DC1E1C"/>
    <w:pPr>
      <w:spacing w:before="120" w:line="240" w:lineRule="atLeast"/>
      <w:ind w:left="567" w:hanging="567"/>
    </w:pPr>
    <w:rPr>
      <w:sz w:val="20"/>
    </w:rPr>
  </w:style>
  <w:style w:type="paragraph" w:customStyle="1" w:styleId="Continued">
    <w:name w:val="Continued"/>
    <w:basedOn w:val="BoxContinued"/>
    <w:next w:val="BodyText"/>
    <w:link w:val="ContinuedChar"/>
    <w:rsid w:val="00DC1E1C"/>
  </w:style>
  <w:style w:type="character" w:customStyle="1" w:styleId="DocumentInfo">
    <w:name w:val="Document Info"/>
    <w:basedOn w:val="DefaultParagraphFont"/>
    <w:semiHidden/>
    <w:rsid w:val="00DC1E1C"/>
    <w:rPr>
      <w:rFonts w:ascii="Arial" w:hAnsi="Arial"/>
      <w:sz w:val="14"/>
    </w:rPr>
  </w:style>
  <w:style w:type="character" w:customStyle="1" w:styleId="DraftingNote">
    <w:name w:val="Drafting Note"/>
    <w:basedOn w:val="DefaultParagraphFont"/>
    <w:rsid w:val="00DC1E1C"/>
    <w:rPr>
      <w:b/>
      <w:color w:val="FF0000"/>
      <w:sz w:val="24"/>
      <w:u w:val="dotted"/>
    </w:rPr>
  </w:style>
  <w:style w:type="paragraph" w:customStyle="1" w:styleId="Figure">
    <w:name w:val="Figure"/>
    <w:basedOn w:val="BodyText"/>
    <w:rsid w:val="00DC1E1C"/>
    <w:pPr>
      <w:keepNext/>
      <w:spacing w:before="120" w:after="120" w:line="240" w:lineRule="atLeast"/>
      <w:jc w:val="center"/>
    </w:pPr>
  </w:style>
  <w:style w:type="paragraph" w:customStyle="1" w:styleId="FigureTitle">
    <w:name w:val="Figure Title"/>
    <w:basedOn w:val="Caption"/>
    <w:next w:val="Subtitle"/>
    <w:rsid w:val="00DC1E1C"/>
    <w:pPr>
      <w:spacing w:before="120"/>
    </w:pPr>
  </w:style>
  <w:style w:type="paragraph" w:styleId="Subtitle">
    <w:name w:val="Subtitle"/>
    <w:basedOn w:val="Caption"/>
    <w:link w:val="SubtitleChar"/>
    <w:qFormat/>
    <w:rsid w:val="00DC1E1C"/>
    <w:pPr>
      <w:spacing w:before="0" w:line="200" w:lineRule="exact"/>
      <w:ind w:firstLine="0"/>
    </w:pPr>
    <w:rPr>
      <w:b w:val="0"/>
      <w:sz w:val="20"/>
    </w:rPr>
  </w:style>
  <w:style w:type="paragraph" w:customStyle="1" w:styleId="Finding">
    <w:name w:val="Finding"/>
    <w:basedOn w:val="BodyText"/>
    <w:rsid w:val="00DC1E1C"/>
    <w:pPr>
      <w:keepLines/>
      <w:spacing w:before="120" w:line="280" w:lineRule="atLeast"/>
    </w:pPr>
    <w:rPr>
      <w:rFonts w:ascii="Arial" w:hAnsi="Arial"/>
      <w:sz w:val="22"/>
    </w:rPr>
  </w:style>
  <w:style w:type="paragraph" w:customStyle="1" w:styleId="FindingBullet">
    <w:name w:val="Finding Bullet"/>
    <w:basedOn w:val="Finding"/>
    <w:rsid w:val="00DC1E1C"/>
    <w:pPr>
      <w:numPr>
        <w:numId w:val="2"/>
      </w:numPr>
      <w:spacing w:before="80"/>
    </w:pPr>
  </w:style>
  <w:style w:type="paragraph" w:customStyle="1" w:styleId="FindingNoTitle">
    <w:name w:val="Finding NoTitle"/>
    <w:basedOn w:val="Finding"/>
    <w:rsid w:val="00DC1E1C"/>
    <w:pPr>
      <w:spacing w:before="240"/>
    </w:pPr>
  </w:style>
  <w:style w:type="paragraph" w:customStyle="1" w:styleId="RecTitle">
    <w:name w:val="Rec Title"/>
    <w:basedOn w:val="BodyText"/>
    <w:next w:val="Rec"/>
    <w:qFormat/>
    <w:rsid w:val="00DC1E1C"/>
    <w:pPr>
      <w:keepNext/>
      <w:keepLines/>
      <w:spacing w:line="280" w:lineRule="atLeast"/>
    </w:pPr>
    <w:rPr>
      <w:rFonts w:ascii="Arial" w:hAnsi="Arial"/>
      <w:caps/>
      <w:sz w:val="18"/>
    </w:rPr>
  </w:style>
  <w:style w:type="paragraph" w:customStyle="1" w:styleId="FindingTitle">
    <w:name w:val="Finding Title"/>
    <w:basedOn w:val="RecTitle"/>
    <w:next w:val="Finding"/>
    <w:rsid w:val="00DC1E1C"/>
  </w:style>
  <w:style w:type="character" w:styleId="FootnoteReference">
    <w:name w:val="footnote reference"/>
    <w:basedOn w:val="DefaultParagraphFont"/>
    <w:semiHidden/>
    <w:rsid w:val="00DC1E1C"/>
    <w:rPr>
      <w:rFonts w:ascii="Times New Roman" w:hAnsi="Times New Roman"/>
      <w:position w:val="6"/>
      <w:sz w:val="20"/>
      <w:vertAlign w:val="baseline"/>
    </w:rPr>
  </w:style>
  <w:style w:type="paragraph" w:styleId="FootnoteText">
    <w:name w:val="footnote text"/>
    <w:basedOn w:val="BodyText"/>
    <w:link w:val="FootnoteTextChar"/>
    <w:rsid w:val="00DC1E1C"/>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DC1E1C"/>
    <w:rPr>
      <w:i/>
    </w:rPr>
  </w:style>
  <w:style w:type="paragraph" w:customStyle="1" w:styleId="Jurisdictioncommentsbodytext">
    <w:name w:val="Jurisdiction comments body text"/>
    <w:rsid w:val="00DC1E1C"/>
    <w:pPr>
      <w:spacing w:after="140"/>
      <w:jc w:val="both"/>
    </w:pPr>
    <w:rPr>
      <w:rFonts w:ascii="Arial" w:hAnsi="Arial"/>
      <w:sz w:val="24"/>
      <w:lang w:eastAsia="en-US"/>
    </w:rPr>
  </w:style>
  <w:style w:type="paragraph" w:customStyle="1" w:styleId="Jurisdictioncommentsheading">
    <w:name w:val="Jurisdiction comments heading"/>
    <w:rsid w:val="00DC1E1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C1E1C"/>
    <w:pPr>
      <w:numPr>
        <w:numId w:val="3"/>
      </w:numPr>
      <w:spacing w:after="140"/>
      <w:jc w:val="both"/>
    </w:pPr>
    <w:rPr>
      <w:rFonts w:ascii="Arial" w:hAnsi="Arial"/>
      <w:sz w:val="24"/>
      <w:lang w:eastAsia="en-US"/>
    </w:rPr>
  </w:style>
  <w:style w:type="paragraph" w:styleId="ListBullet">
    <w:name w:val="List Bullet"/>
    <w:basedOn w:val="BodyText"/>
    <w:link w:val="ListBulletChar"/>
    <w:rsid w:val="00DC1E1C"/>
    <w:pPr>
      <w:numPr>
        <w:numId w:val="4"/>
      </w:numPr>
      <w:spacing w:before="120"/>
    </w:pPr>
  </w:style>
  <w:style w:type="paragraph" w:styleId="ListBullet2">
    <w:name w:val="List Bullet 2"/>
    <w:basedOn w:val="BodyText"/>
    <w:rsid w:val="00DC1E1C"/>
    <w:pPr>
      <w:numPr>
        <w:numId w:val="5"/>
      </w:numPr>
      <w:spacing w:before="120"/>
    </w:pPr>
  </w:style>
  <w:style w:type="paragraph" w:styleId="ListBullet3">
    <w:name w:val="List Bullet 3"/>
    <w:basedOn w:val="BodyText"/>
    <w:rsid w:val="00DC1E1C"/>
    <w:pPr>
      <w:numPr>
        <w:numId w:val="6"/>
      </w:numPr>
      <w:spacing w:before="120"/>
      <w:ind w:left="1020" w:hanging="340"/>
    </w:pPr>
  </w:style>
  <w:style w:type="paragraph" w:styleId="ListNumber">
    <w:name w:val="List Number"/>
    <w:basedOn w:val="BodyText"/>
    <w:rsid w:val="00DC1E1C"/>
    <w:pPr>
      <w:numPr>
        <w:numId w:val="11"/>
      </w:numPr>
      <w:spacing w:before="120"/>
    </w:pPr>
  </w:style>
  <w:style w:type="paragraph" w:styleId="ListNumber2">
    <w:name w:val="List Number 2"/>
    <w:basedOn w:val="ListNumber"/>
    <w:rsid w:val="00DC1E1C"/>
    <w:pPr>
      <w:numPr>
        <w:ilvl w:val="1"/>
      </w:numPr>
    </w:pPr>
  </w:style>
  <w:style w:type="paragraph" w:styleId="ListNumber3">
    <w:name w:val="List Number 3"/>
    <w:basedOn w:val="ListNumber2"/>
    <w:rsid w:val="00DC1E1C"/>
    <w:pPr>
      <w:numPr>
        <w:ilvl w:val="2"/>
      </w:numPr>
    </w:pPr>
  </w:style>
  <w:style w:type="character" w:customStyle="1" w:styleId="NoteLabel">
    <w:name w:val="Note Label"/>
    <w:basedOn w:val="DefaultParagraphFont"/>
    <w:rsid w:val="00DC1E1C"/>
    <w:rPr>
      <w:rFonts w:ascii="Arial" w:hAnsi="Arial"/>
      <w:b/>
      <w:position w:val="6"/>
      <w:sz w:val="18"/>
    </w:rPr>
  </w:style>
  <w:style w:type="paragraph" w:customStyle="1" w:styleId="PartDivider">
    <w:name w:val="Part Divider"/>
    <w:basedOn w:val="BodyText"/>
    <w:next w:val="BodyText"/>
    <w:semiHidden/>
    <w:rsid w:val="00DC1E1C"/>
    <w:pPr>
      <w:spacing w:before="0" w:line="40" w:lineRule="exact"/>
      <w:jc w:val="right"/>
    </w:pPr>
    <w:rPr>
      <w:smallCaps/>
      <w:sz w:val="16"/>
    </w:rPr>
  </w:style>
  <w:style w:type="paragraph" w:customStyle="1" w:styleId="PartNumber">
    <w:name w:val="Part Number"/>
    <w:basedOn w:val="BodyText"/>
    <w:next w:val="BodyText"/>
    <w:semiHidden/>
    <w:rsid w:val="00DC1E1C"/>
    <w:pPr>
      <w:spacing w:before="4000" w:line="320" w:lineRule="exact"/>
      <w:ind w:left="6634"/>
      <w:jc w:val="right"/>
    </w:pPr>
    <w:rPr>
      <w:smallCaps/>
      <w:spacing w:val="60"/>
      <w:sz w:val="32"/>
    </w:rPr>
  </w:style>
  <w:style w:type="paragraph" w:customStyle="1" w:styleId="PartTitle">
    <w:name w:val="Part Title"/>
    <w:basedOn w:val="BodyText"/>
    <w:semiHidden/>
    <w:rsid w:val="00DC1E1C"/>
    <w:pPr>
      <w:spacing w:before="160" w:after="1360" w:line="520" w:lineRule="exact"/>
      <w:ind w:right="2381"/>
      <w:jc w:val="right"/>
    </w:pPr>
    <w:rPr>
      <w:smallCaps/>
      <w:sz w:val="52"/>
    </w:rPr>
  </w:style>
  <w:style w:type="paragraph" w:styleId="Quote">
    <w:name w:val="Quote"/>
    <w:basedOn w:val="BodyText"/>
    <w:next w:val="BodyText"/>
    <w:qFormat/>
    <w:rsid w:val="00DC1E1C"/>
    <w:pPr>
      <w:spacing w:before="120" w:line="280" w:lineRule="exact"/>
      <w:ind w:left="340"/>
    </w:pPr>
    <w:rPr>
      <w:sz w:val="22"/>
    </w:rPr>
  </w:style>
  <w:style w:type="paragraph" w:customStyle="1" w:styleId="QuoteBullet">
    <w:name w:val="Quote Bullet"/>
    <w:basedOn w:val="Quote"/>
    <w:rsid w:val="00DC1E1C"/>
    <w:pPr>
      <w:numPr>
        <w:numId w:val="7"/>
      </w:numPr>
    </w:pPr>
  </w:style>
  <w:style w:type="paragraph" w:customStyle="1" w:styleId="Rec">
    <w:name w:val="Rec"/>
    <w:basedOn w:val="BodyText"/>
    <w:qFormat/>
    <w:rsid w:val="00DC1E1C"/>
    <w:pPr>
      <w:keepLines/>
      <w:spacing w:before="120" w:line="280" w:lineRule="atLeast"/>
    </w:pPr>
    <w:rPr>
      <w:rFonts w:ascii="Arial" w:hAnsi="Arial"/>
      <w:sz w:val="22"/>
    </w:rPr>
  </w:style>
  <w:style w:type="paragraph" w:customStyle="1" w:styleId="RecBullet">
    <w:name w:val="Rec Bullet"/>
    <w:basedOn w:val="Rec"/>
    <w:rsid w:val="00DC1E1C"/>
    <w:pPr>
      <w:numPr>
        <w:numId w:val="8"/>
      </w:numPr>
      <w:spacing w:before="80"/>
    </w:pPr>
  </w:style>
  <w:style w:type="paragraph" w:customStyle="1" w:styleId="RecB">
    <w:name w:val="RecB"/>
    <w:basedOn w:val="Normal"/>
    <w:rsid w:val="00DC1E1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DC1E1C"/>
    <w:pPr>
      <w:numPr>
        <w:numId w:val="13"/>
      </w:numPr>
      <w:spacing w:before="80"/>
    </w:pPr>
  </w:style>
  <w:style w:type="paragraph" w:customStyle="1" w:styleId="RecBNoTitle">
    <w:name w:val="RecB NoTitle"/>
    <w:basedOn w:val="RecB"/>
    <w:rsid w:val="00DC1E1C"/>
    <w:pPr>
      <w:spacing w:before="240"/>
    </w:pPr>
  </w:style>
  <w:style w:type="paragraph" w:customStyle="1" w:styleId="Reference">
    <w:name w:val="Reference"/>
    <w:basedOn w:val="BodyText"/>
    <w:link w:val="ReferenceChar"/>
    <w:rsid w:val="00DC1E1C"/>
    <w:pPr>
      <w:spacing w:before="120"/>
      <w:ind w:left="340" w:hanging="340"/>
    </w:pPr>
  </w:style>
  <w:style w:type="paragraph" w:customStyle="1" w:styleId="SequenceInfo">
    <w:name w:val="Sequence Info"/>
    <w:basedOn w:val="BodyText"/>
    <w:semiHidden/>
    <w:rsid w:val="00DC1E1C"/>
    <w:rPr>
      <w:vanish/>
      <w:sz w:val="16"/>
    </w:rPr>
  </w:style>
  <w:style w:type="paragraph" w:customStyle="1" w:styleId="SideNote">
    <w:name w:val="Side Note"/>
    <w:basedOn w:val="BodyText"/>
    <w:next w:val="BodyText"/>
    <w:semiHidden/>
    <w:rsid w:val="00DC1E1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DC1E1C"/>
    <w:pPr>
      <w:framePr w:wrap="around"/>
      <w:numPr>
        <w:numId w:val="9"/>
      </w:numPr>
      <w:tabs>
        <w:tab w:val="left" w:pos="227"/>
      </w:tabs>
    </w:pPr>
  </w:style>
  <w:style w:type="paragraph" w:customStyle="1" w:styleId="SideNoteGraphic">
    <w:name w:val="Side Note Graphic"/>
    <w:basedOn w:val="SideNote"/>
    <w:next w:val="BodyText"/>
    <w:semiHidden/>
    <w:rsid w:val="00DC1E1C"/>
    <w:pPr>
      <w:framePr w:wrap="around"/>
    </w:pPr>
  </w:style>
  <w:style w:type="paragraph" w:customStyle="1" w:styleId="TableBodyText">
    <w:name w:val="Table Body Text"/>
    <w:basedOn w:val="BodyText"/>
    <w:link w:val="TableBodyTextChar"/>
    <w:rsid w:val="00DC1E1C"/>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DC1E1C"/>
    <w:pPr>
      <w:numPr>
        <w:numId w:val="10"/>
      </w:numPr>
      <w:jc w:val="left"/>
    </w:pPr>
  </w:style>
  <w:style w:type="paragraph" w:customStyle="1" w:styleId="TableColumnHeading">
    <w:name w:val="Table Column Heading"/>
    <w:basedOn w:val="TableBodyText"/>
    <w:rsid w:val="00DC1E1C"/>
    <w:pPr>
      <w:spacing w:before="80" w:after="80"/>
    </w:pPr>
    <w:rPr>
      <w:i/>
    </w:rPr>
  </w:style>
  <w:style w:type="paragraph" w:styleId="TOC2">
    <w:name w:val="toc 2"/>
    <w:basedOn w:val="TOC1"/>
    <w:rsid w:val="00DC1E1C"/>
    <w:pPr>
      <w:ind w:left="1134" w:hanging="624"/>
    </w:pPr>
    <w:rPr>
      <w:b w:val="0"/>
    </w:rPr>
  </w:style>
  <w:style w:type="paragraph" w:styleId="TOC3">
    <w:name w:val="toc 3"/>
    <w:basedOn w:val="TOC2"/>
    <w:rsid w:val="00DC1E1C"/>
    <w:pPr>
      <w:spacing w:before="60"/>
      <w:ind w:left="1190" w:hanging="680"/>
    </w:pPr>
  </w:style>
  <w:style w:type="paragraph" w:styleId="TableofFigures">
    <w:name w:val="table of figures"/>
    <w:basedOn w:val="TOC3"/>
    <w:next w:val="BodyText"/>
    <w:semiHidden/>
    <w:rsid w:val="00DC1E1C"/>
    <w:pPr>
      <w:ind w:left="737" w:hanging="737"/>
    </w:pPr>
  </w:style>
  <w:style w:type="paragraph" w:customStyle="1" w:styleId="TableTitle">
    <w:name w:val="Table Title"/>
    <w:basedOn w:val="Caption"/>
    <w:next w:val="Subtitle"/>
    <w:qFormat/>
    <w:rsid w:val="00DC1E1C"/>
    <w:pPr>
      <w:spacing w:before="120"/>
    </w:pPr>
  </w:style>
  <w:style w:type="paragraph" w:customStyle="1" w:styleId="TableUnitsRow">
    <w:name w:val="Table Units Row"/>
    <w:basedOn w:val="TableBodyText"/>
    <w:rsid w:val="00DC1E1C"/>
    <w:pPr>
      <w:spacing w:before="40"/>
    </w:pPr>
  </w:style>
  <w:style w:type="paragraph" w:styleId="TOC1">
    <w:name w:val="toc 1"/>
    <w:basedOn w:val="Normal"/>
    <w:next w:val="TOC2"/>
    <w:link w:val="TOC1Char"/>
    <w:rsid w:val="00DC1E1C"/>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DC1E1C"/>
    <w:pPr>
      <w:ind w:left="1191" w:firstLine="0"/>
    </w:pPr>
  </w:style>
  <w:style w:type="paragraph" w:customStyle="1" w:styleId="RecBBullet2">
    <w:name w:val="RecB Bullet 2"/>
    <w:basedOn w:val="ListBullet2"/>
    <w:semiHidden/>
    <w:rsid w:val="00DC1E1C"/>
    <w:pPr>
      <w:pBdr>
        <w:left w:val="single" w:sz="24" w:space="29" w:color="C0C0C0"/>
      </w:pBdr>
    </w:pPr>
    <w:rPr>
      <w:b/>
      <w:i/>
    </w:rPr>
  </w:style>
  <w:style w:type="paragraph" w:styleId="BalloonText">
    <w:name w:val="Balloon Text"/>
    <w:basedOn w:val="Normal"/>
    <w:link w:val="BalloonTextChar"/>
    <w:rsid w:val="00DC1E1C"/>
    <w:rPr>
      <w:rFonts w:ascii="Tahoma" w:hAnsi="Tahoma" w:cs="Tahoma"/>
      <w:sz w:val="16"/>
      <w:szCs w:val="16"/>
    </w:rPr>
  </w:style>
  <w:style w:type="character" w:customStyle="1" w:styleId="BalloonTextChar">
    <w:name w:val="Balloon Text Char"/>
    <w:basedOn w:val="DefaultParagraphFont"/>
    <w:link w:val="BalloonText"/>
    <w:rsid w:val="00DC1E1C"/>
    <w:rPr>
      <w:rFonts w:ascii="Tahoma" w:hAnsi="Tahoma" w:cs="Tahoma"/>
      <w:sz w:val="16"/>
      <w:szCs w:val="16"/>
    </w:rPr>
  </w:style>
  <w:style w:type="character" w:customStyle="1" w:styleId="SubtitleChar">
    <w:name w:val="Subtitle Char"/>
    <w:basedOn w:val="DefaultParagraphFont"/>
    <w:link w:val="Subtitle"/>
    <w:rsid w:val="00DC1E1C"/>
    <w:rPr>
      <w:rFonts w:ascii="Arial" w:hAnsi="Arial"/>
      <w:szCs w:val="24"/>
    </w:rPr>
  </w:style>
  <w:style w:type="paragraph" w:customStyle="1" w:styleId="BoxListBullet3">
    <w:name w:val="Box List Bullet 3"/>
    <w:basedOn w:val="ListBullet3"/>
    <w:rsid w:val="00DC1E1C"/>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C1E1C"/>
    <w:rPr>
      <w:i/>
      <w:iCs/>
    </w:rPr>
  </w:style>
  <w:style w:type="paragraph" w:customStyle="1" w:styleId="BoxQuoteBullet">
    <w:name w:val="Box Quote Bullet"/>
    <w:basedOn w:val="BoxQuote"/>
    <w:next w:val="Box"/>
    <w:rsid w:val="00DC1E1C"/>
    <w:pPr>
      <w:numPr>
        <w:numId w:val="14"/>
      </w:numPr>
      <w:ind w:left="568" w:hanging="284"/>
    </w:pPr>
  </w:style>
  <w:style w:type="paragraph" w:customStyle="1" w:styleId="InformationRequestBullet">
    <w:name w:val="Information Request Bullet"/>
    <w:basedOn w:val="ListBullet"/>
    <w:next w:val="BodyText"/>
    <w:rsid w:val="00DC1E1C"/>
    <w:pPr>
      <w:numPr>
        <w:numId w:val="15"/>
      </w:numPr>
      <w:spacing w:before="80" w:line="280" w:lineRule="atLeast"/>
      <w:ind w:left="357" w:hanging="357"/>
    </w:pPr>
    <w:rPr>
      <w:rFonts w:ascii="Arial" w:hAnsi="Arial"/>
      <w:i/>
      <w:sz w:val="22"/>
    </w:rPr>
  </w:style>
  <w:style w:type="character" w:customStyle="1" w:styleId="NoteChar">
    <w:name w:val="Note Char"/>
    <w:link w:val="Note"/>
    <w:rsid w:val="00666ECE"/>
    <w:rPr>
      <w:rFonts w:ascii="Arial" w:hAnsi="Arial"/>
      <w:sz w:val="18"/>
    </w:rPr>
  </w:style>
  <w:style w:type="character" w:customStyle="1" w:styleId="Heading1Char">
    <w:name w:val="Heading 1 Char"/>
    <w:link w:val="Heading1"/>
    <w:rsid w:val="00666ECE"/>
    <w:rPr>
      <w:sz w:val="52"/>
    </w:rPr>
  </w:style>
  <w:style w:type="character" w:customStyle="1" w:styleId="ChapterChar">
    <w:name w:val="Chapter Char"/>
    <w:basedOn w:val="Heading1Char"/>
    <w:link w:val="Chapter"/>
    <w:semiHidden/>
    <w:rsid w:val="00666ECE"/>
    <w:rPr>
      <w:sz w:val="52"/>
    </w:rPr>
  </w:style>
  <w:style w:type="character" w:customStyle="1" w:styleId="Heading2Char">
    <w:name w:val="Heading 2 Char"/>
    <w:link w:val="Heading2"/>
    <w:rsid w:val="00666ECE"/>
    <w:rPr>
      <w:rFonts w:ascii="Arial" w:hAnsi="Arial"/>
      <w:b/>
      <w:sz w:val="32"/>
    </w:rPr>
  </w:style>
  <w:style w:type="character" w:customStyle="1" w:styleId="Heading3Char">
    <w:name w:val="Heading 3 Char"/>
    <w:link w:val="Heading3"/>
    <w:rsid w:val="00666ECE"/>
    <w:rPr>
      <w:rFonts w:ascii="Arial" w:hAnsi="Arial"/>
      <w:b/>
      <w:sz w:val="26"/>
    </w:rPr>
  </w:style>
  <w:style w:type="character" w:customStyle="1" w:styleId="SourceChar">
    <w:name w:val="Source Char"/>
    <w:link w:val="Source"/>
    <w:rsid w:val="00666ECE"/>
    <w:rPr>
      <w:rFonts w:ascii="Arial" w:hAnsi="Arial"/>
      <w:sz w:val="18"/>
    </w:rPr>
  </w:style>
  <w:style w:type="character" w:customStyle="1" w:styleId="BoxTitleChar">
    <w:name w:val="Box Title Char"/>
    <w:link w:val="BoxTitle"/>
    <w:rsid w:val="00666ECE"/>
    <w:rPr>
      <w:rFonts w:ascii="Arial" w:hAnsi="Arial"/>
      <w:b/>
      <w:sz w:val="24"/>
      <w:szCs w:val="24"/>
    </w:rPr>
  </w:style>
  <w:style w:type="character" w:customStyle="1" w:styleId="BoxChar">
    <w:name w:val="Box Char"/>
    <w:link w:val="Box"/>
    <w:rsid w:val="00666ECE"/>
    <w:rPr>
      <w:rFonts w:ascii="Arial" w:hAnsi="Arial"/>
    </w:rPr>
  </w:style>
  <w:style w:type="character" w:customStyle="1" w:styleId="BoxListBulletChar">
    <w:name w:val="Box List Bullet Char"/>
    <w:link w:val="BoxListBullet"/>
    <w:rsid w:val="00666ECE"/>
    <w:rPr>
      <w:rFonts w:ascii="Arial" w:hAnsi="Arial"/>
    </w:rPr>
  </w:style>
  <w:style w:type="character" w:styleId="Hyperlink">
    <w:name w:val="Hyperlink"/>
    <w:uiPriority w:val="99"/>
    <w:rsid w:val="00666ECE"/>
    <w:rPr>
      <w:color w:val="0000FF"/>
      <w:u w:val="single"/>
    </w:rPr>
  </w:style>
  <w:style w:type="character" w:customStyle="1" w:styleId="Heading4Char">
    <w:name w:val="Heading 4 Char"/>
    <w:link w:val="Heading4"/>
    <w:rsid w:val="00666ECE"/>
    <w:rPr>
      <w:rFonts w:ascii="Arial" w:hAnsi="Arial"/>
      <w:sz w:val="24"/>
    </w:rPr>
  </w:style>
  <w:style w:type="character" w:customStyle="1" w:styleId="Heading5Char">
    <w:name w:val="Heading 5 Char"/>
    <w:basedOn w:val="DefaultParagraphFont"/>
    <w:link w:val="Heading5"/>
    <w:rsid w:val="00DC1E1C"/>
    <w:rPr>
      <w:rFonts w:ascii="Arial" w:hAnsi="Arial"/>
      <w:i/>
      <w:sz w:val="22"/>
    </w:rPr>
  </w:style>
  <w:style w:type="character" w:customStyle="1" w:styleId="BoxContinuedChar">
    <w:name w:val="Box Continued Char"/>
    <w:link w:val="BoxContinued"/>
    <w:semiHidden/>
    <w:rsid w:val="00666ECE"/>
    <w:rPr>
      <w:rFonts w:ascii="Arial" w:hAnsi="Arial"/>
      <w:sz w:val="18"/>
    </w:rPr>
  </w:style>
  <w:style w:type="table" w:styleId="TableGrid">
    <w:name w:val="Table Grid"/>
    <w:basedOn w:val="TableNormal"/>
    <w:rsid w:val="00DC1E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BodyTextChar">
    <w:name w:val="Table Body Text Char"/>
    <w:link w:val="TableBodyText"/>
    <w:rsid w:val="00666ECE"/>
    <w:rPr>
      <w:rFonts w:ascii="Arial" w:hAnsi="Arial"/>
      <w:sz w:val="18"/>
    </w:rPr>
  </w:style>
  <w:style w:type="character" w:customStyle="1" w:styleId="ReferenceChar">
    <w:name w:val="Reference Char"/>
    <w:link w:val="Reference"/>
    <w:rsid w:val="00666ECE"/>
    <w:rPr>
      <w:sz w:val="24"/>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DC1E1C"/>
    <w:rPr>
      <w:sz w:val="24"/>
    </w:rPr>
  </w:style>
  <w:style w:type="character" w:customStyle="1" w:styleId="BoxListNumberChar">
    <w:name w:val="Box List Number Char"/>
    <w:link w:val="BoxListNumber"/>
    <w:rsid w:val="00666ECE"/>
    <w:rPr>
      <w:rFonts w:ascii="Arial" w:hAnsi="Arial"/>
    </w:rPr>
  </w:style>
  <w:style w:type="character" w:customStyle="1" w:styleId="BoxListNumber2Char">
    <w:name w:val="Box List Number 2 Char"/>
    <w:basedOn w:val="BoxListNumberChar"/>
    <w:link w:val="BoxListNumber2"/>
    <w:rsid w:val="00666ECE"/>
    <w:rPr>
      <w:rFonts w:ascii="Arial" w:hAnsi="Arial"/>
    </w:rPr>
  </w:style>
  <w:style w:type="character" w:styleId="FollowedHyperlink">
    <w:name w:val="FollowedHyperlink"/>
    <w:rsid w:val="00666ECE"/>
    <w:rPr>
      <w:color w:val="800080"/>
      <w:u w:val="single"/>
    </w:rPr>
  </w:style>
  <w:style w:type="character" w:customStyle="1" w:styleId="BoxQuoteChar">
    <w:name w:val="Box Quote Char"/>
    <w:link w:val="BoxQuote"/>
    <w:rsid w:val="00666ECE"/>
    <w:rPr>
      <w:rFonts w:ascii="Arial" w:hAnsi="Arial"/>
      <w:sz w:val="18"/>
    </w:rPr>
  </w:style>
  <w:style w:type="paragraph" w:customStyle="1" w:styleId="jurisdictioncommentsbodytext0">
    <w:name w:val="jurisdictioncommentsbodytext"/>
    <w:basedOn w:val="Normal"/>
    <w:rsid w:val="00666ECE"/>
    <w:pPr>
      <w:spacing w:after="140"/>
      <w:jc w:val="both"/>
    </w:pPr>
    <w:rPr>
      <w:rFonts w:ascii="Arial" w:eastAsia="SimSun" w:hAnsi="Arial" w:cs="Arial"/>
      <w:lang w:eastAsia="zh-CN"/>
    </w:rPr>
  </w:style>
  <w:style w:type="character" w:customStyle="1" w:styleId="BoxHeading1Char">
    <w:name w:val="Box Heading 1 Char"/>
    <w:link w:val="BoxHeading1"/>
    <w:rsid w:val="00666ECE"/>
    <w:rPr>
      <w:rFonts w:ascii="Arial" w:hAnsi="Arial"/>
      <w:b/>
      <w:sz w:val="22"/>
    </w:rPr>
  </w:style>
  <w:style w:type="character" w:customStyle="1" w:styleId="BoxHeading2Char">
    <w:name w:val="Box Heading 2 Char"/>
    <w:link w:val="BoxHeading2"/>
    <w:rsid w:val="00666ECE"/>
    <w:rPr>
      <w:rFonts w:ascii="Arial" w:hAnsi="Arial"/>
      <w:i/>
      <w:sz w:val="22"/>
    </w:rPr>
  </w:style>
  <w:style w:type="character" w:customStyle="1" w:styleId="ListBulletChar">
    <w:name w:val="List Bullet Char"/>
    <w:basedOn w:val="BodyTextChar"/>
    <w:link w:val="ListBullet"/>
    <w:rsid w:val="00666ECE"/>
    <w:rPr>
      <w:sz w:val="24"/>
    </w:rPr>
  </w:style>
  <w:style w:type="character" w:customStyle="1" w:styleId="CommentTextChar">
    <w:name w:val="Comment Text Char"/>
    <w:link w:val="CommentText"/>
    <w:semiHidden/>
    <w:rsid w:val="00666ECE"/>
    <w:rPr>
      <w:szCs w:val="24"/>
    </w:rPr>
  </w:style>
  <w:style w:type="paragraph" w:styleId="NormalWeb">
    <w:name w:val="Normal (Web)"/>
    <w:basedOn w:val="Normal"/>
    <w:uiPriority w:val="99"/>
    <w:unhideWhenUsed/>
    <w:rsid w:val="00B410A0"/>
    <w:pPr>
      <w:spacing w:before="100" w:beforeAutospacing="1" w:after="100" w:afterAutospacing="1"/>
    </w:pPr>
    <w:rPr>
      <w:rFonts w:eastAsiaTheme="minorHAnsi"/>
    </w:rPr>
  </w:style>
  <w:style w:type="paragraph" w:styleId="CommentSubject">
    <w:name w:val="annotation subject"/>
    <w:basedOn w:val="CommentText"/>
    <w:next w:val="CommentText"/>
    <w:link w:val="CommentSubjectChar"/>
    <w:rsid w:val="00DF3C6E"/>
    <w:pPr>
      <w:spacing w:before="0" w:line="240" w:lineRule="auto"/>
      <w:ind w:left="0" w:firstLine="0"/>
    </w:pPr>
    <w:rPr>
      <w:b/>
      <w:bCs/>
      <w:szCs w:val="20"/>
    </w:rPr>
  </w:style>
  <w:style w:type="character" w:customStyle="1" w:styleId="CommentSubjectChar">
    <w:name w:val="Comment Subject Char"/>
    <w:basedOn w:val="CommentTextChar"/>
    <w:link w:val="CommentSubject"/>
    <w:rsid w:val="00DF3C6E"/>
    <w:rPr>
      <w:b/>
      <w:bCs/>
      <w:szCs w:val="24"/>
    </w:rPr>
  </w:style>
  <w:style w:type="paragraph" w:customStyle="1" w:styleId="Default">
    <w:name w:val="Default"/>
    <w:basedOn w:val="Normal"/>
    <w:rsid w:val="00976D0E"/>
    <w:pPr>
      <w:autoSpaceDE w:val="0"/>
      <w:autoSpaceDN w:val="0"/>
    </w:pPr>
    <w:rPr>
      <w:rFonts w:ascii="Arial" w:eastAsiaTheme="minorHAnsi" w:hAnsi="Arial" w:cs="Arial"/>
      <w:color w:val="000000"/>
    </w:rPr>
  </w:style>
  <w:style w:type="character" w:customStyle="1" w:styleId="FootnoteTextChar">
    <w:name w:val="Footnote Text Char"/>
    <w:basedOn w:val="DefaultParagraphFont"/>
    <w:link w:val="FootnoteText"/>
    <w:rsid w:val="0041139D"/>
  </w:style>
  <w:style w:type="paragraph" w:styleId="ListParagraph">
    <w:name w:val="List Paragraph"/>
    <w:basedOn w:val="Normal"/>
    <w:uiPriority w:val="34"/>
    <w:rsid w:val="009B6671"/>
    <w:pPr>
      <w:ind w:left="720"/>
      <w:contextualSpacing/>
    </w:pPr>
  </w:style>
  <w:style w:type="paragraph" w:customStyle="1" w:styleId="BoxSpaceAbove">
    <w:name w:val="Box Space Above"/>
    <w:basedOn w:val="BodyText"/>
    <w:rsid w:val="00DC1E1C"/>
    <w:pPr>
      <w:keepNext/>
      <w:spacing w:before="360" w:line="80" w:lineRule="exact"/>
      <w:jc w:val="left"/>
    </w:pPr>
  </w:style>
  <w:style w:type="paragraph" w:customStyle="1" w:styleId="BoxSpaceBelow">
    <w:name w:val="Box Space Below"/>
    <w:basedOn w:val="Box"/>
    <w:rsid w:val="00DC1E1C"/>
    <w:pPr>
      <w:keepNext w:val="0"/>
      <w:spacing w:before="60" w:after="60" w:line="80" w:lineRule="exact"/>
    </w:pPr>
    <w:rPr>
      <w:sz w:val="14"/>
    </w:rPr>
  </w:style>
  <w:style w:type="paragraph" w:customStyle="1" w:styleId="KeyPointsListBullet">
    <w:name w:val="Key Points List Bullet"/>
    <w:basedOn w:val="Normal"/>
    <w:qFormat/>
    <w:rsid w:val="00DC1E1C"/>
    <w:pPr>
      <w:keepNext/>
      <w:numPr>
        <w:numId w:val="2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DC1E1C"/>
    <w:pPr>
      <w:numPr>
        <w:numId w:val="29"/>
      </w:numPr>
      <w:ind w:left="568" w:hanging="284"/>
    </w:pPr>
  </w:style>
  <w:style w:type="paragraph" w:customStyle="1" w:styleId="InformationRequestTitle">
    <w:name w:val="Information Request Title"/>
    <w:basedOn w:val="FindingTitle"/>
    <w:next w:val="InformationRequest"/>
    <w:rsid w:val="00DC1E1C"/>
    <w:rPr>
      <w:i/>
    </w:rPr>
  </w:style>
  <w:style w:type="paragraph" w:customStyle="1" w:styleId="Space">
    <w:name w:val="Space"/>
    <w:basedOn w:val="Normal"/>
    <w:rsid w:val="00DC1E1C"/>
    <w:pPr>
      <w:keepNext/>
      <w:spacing w:line="120" w:lineRule="exact"/>
      <w:jc w:val="both"/>
    </w:pPr>
    <w:rPr>
      <w:rFonts w:ascii="Arial" w:hAnsi="Arial"/>
      <w:sz w:val="20"/>
      <w:szCs w:val="20"/>
    </w:rPr>
  </w:style>
  <w:style w:type="paragraph" w:customStyle="1" w:styleId="Heading1nochapterno">
    <w:name w:val="Heading 1 (no chapter no.)"/>
    <w:basedOn w:val="Heading1"/>
    <w:rsid w:val="00DC1E1C"/>
    <w:pPr>
      <w:spacing w:before="0"/>
      <w:ind w:left="0" w:firstLine="0"/>
    </w:pPr>
  </w:style>
  <w:style w:type="paragraph" w:customStyle="1" w:styleId="Heading2nosectionno">
    <w:name w:val="Heading 2 (no section no.)"/>
    <w:basedOn w:val="Heading2"/>
    <w:rsid w:val="00DC1E1C"/>
    <w:pPr>
      <w:ind w:left="0" w:firstLine="0"/>
    </w:pPr>
  </w:style>
  <w:style w:type="paragraph" w:customStyle="1" w:styleId="Figurespace">
    <w:name w:val="Figure space"/>
    <w:basedOn w:val="Box"/>
    <w:rsid w:val="00DC1E1C"/>
    <w:pPr>
      <w:spacing w:before="0" w:line="120" w:lineRule="exact"/>
    </w:pPr>
  </w:style>
  <w:style w:type="paragraph" w:customStyle="1" w:styleId="FooterDraftReport">
    <w:name w:val="FooterDraftReport"/>
    <w:basedOn w:val="Footer"/>
    <w:link w:val="FooterDraftReportChar"/>
    <w:rsid w:val="00DC1E1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DC1E1C"/>
    <w:rPr>
      <w:rFonts w:ascii="Arial" w:hAnsi="Arial"/>
      <w:caps/>
      <w:spacing w:val="-4"/>
      <w:sz w:val="16"/>
    </w:rPr>
  </w:style>
  <w:style w:type="character" w:customStyle="1" w:styleId="FooterDraftReportChar">
    <w:name w:val="FooterDraftReport Char"/>
    <w:basedOn w:val="FooterChar"/>
    <w:link w:val="FooterDraftReport"/>
    <w:rsid w:val="00DC1E1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DC1E1C"/>
    <w:rPr>
      <w:rFonts w:ascii="Arial" w:hAnsi="Arial"/>
      <w:b/>
      <w:sz w:val="26"/>
      <w:szCs w:val="26"/>
      <w:lang w:eastAsia="en-US"/>
    </w:rPr>
  </w:style>
  <w:style w:type="paragraph" w:styleId="Revision">
    <w:name w:val="Revision"/>
    <w:hidden/>
    <w:uiPriority w:val="99"/>
    <w:semiHidden/>
    <w:rsid w:val="00B04EA8"/>
    <w:rPr>
      <w:sz w:val="24"/>
      <w:szCs w:val="24"/>
    </w:rPr>
  </w:style>
  <w:style w:type="character" w:customStyle="1" w:styleId="ContinuedChar">
    <w:name w:val="Continued Char"/>
    <w:basedOn w:val="BoxContinuedChar"/>
    <w:link w:val="Continued"/>
    <w:rsid w:val="008217B8"/>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8982">
      <w:bodyDiv w:val="1"/>
      <w:marLeft w:val="0"/>
      <w:marRight w:val="0"/>
      <w:marTop w:val="0"/>
      <w:marBottom w:val="0"/>
      <w:divBdr>
        <w:top w:val="none" w:sz="0" w:space="0" w:color="auto"/>
        <w:left w:val="none" w:sz="0" w:space="0" w:color="auto"/>
        <w:bottom w:val="none" w:sz="0" w:space="0" w:color="auto"/>
        <w:right w:val="none" w:sz="0" w:space="0" w:color="auto"/>
      </w:divBdr>
    </w:div>
    <w:div w:id="48578010">
      <w:bodyDiv w:val="1"/>
      <w:marLeft w:val="0"/>
      <w:marRight w:val="0"/>
      <w:marTop w:val="0"/>
      <w:marBottom w:val="0"/>
      <w:divBdr>
        <w:top w:val="none" w:sz="0" w:space="0" w:color="auto"/>
        <w:left w:val="none" w:sz="0" w:space="0" w:color="auto"/>
        <w:bottom w:val="none" w:sz="0" w:space="0" w:color="auto"/>
        <w:right w:val="none" w:sz="0" w:space="0" w:color="auto"/>
      </w:divBdr>
    </w:div>
    <w:div w:id="140345097">
      <w:bodyDiv w:val="1"/>
      <w:marLeft w:val="0"/>
      <w:marRight w:val="0"/>
      <w:marTop w:val="0"/>
      <w:marBottom w:val="0"/>
      <w:divBdr>
        <w:top w:val="none" w:sz="0" w:space="0" w:color="auto"/>
        <w:left w:val="none" w:sz="0" w:space="0" w:color="auto"/>
        <w:bottom w:val="none" w:sz="0" w:space="0" w:color="auto"/>
        <w:right w:val="none" w:sz="0" w:space="0" w:color="auto"/>
      </w:divBdr>
    </w:div>
    <w:div w:id="202593682">
      <w:bodyDiv w:val="1"/>
      <w:marLeft w:val="0"/>
      <w:marRight w:val="0"/>
      <w:marTop w:val="0"/>
      <w:marBottom w:val="0"/>
      <w:divBdr>
        <w:top w:val="none" w:sz="0" w:space="0" w:color="auto"/>
        <w:left w:val="none" w:sz="0" w:space="0" w:color="auto"/>
        <w:bottom w:val="none" w:sz="0" w:space="0" w:color="auto"/>
        <w:right w:val="none" w:sz="0" w:space="0" w:color="auto"/>
      </w:divBdr>
    </w:div>
    <w:div w:id="289476269">
      <w:bodyDiv w:val="1"/>
      <w:marLeft w:val="0"/>
      <w:marRight w:val="0"/>
      <w:marTop w:val="0"/>
      <w:marBottom w:val="0"/>
      <w:divBdr>
        <w:top w:val="none" w:sz="0" w:space="0" w:color="auto"/>
        <w:left w:val="none" w:sz="0" w:space="0" w:color="auto"/>
        <w:bottom w:val="none" w:sz="0" w:space="0" w:color="auto"/>
        <w:right w:val="none" w:sz="0" w:space="0" w:color="auto"/>
      </w:divBdr>
    </w:div>
    <w:div w:id="308947440">
      <w:bodyDiv w:val="1"/>
      <w:marLeft w:val="0"/>
      <w:marRight w:val="0"/>
      <w:marTop w:val="0"/>
      <w:marBottom w:val="0"/>
      <w:divBdr>
        <w:top w:val="none" w:sz="0" w:space="0" w:color="auto"/>
        <w:left w:val="none" w:sz="0" w:space="0" w:color="auto"/>
        <w:bottom w:val="none" w:sz="0" w:space="0" w:color="auto"/>
        <w:right w:val="none" w:sz="0" w:space="0" w:color="auto"/>
      </w:divBdr>
    </w:div>
    <w:div w:id="321930236">
      <w:bodyDiv w:val="1"/>
      <w:marLeft w:val="0"/>
      <w:marRight w:val="0"/>
      <w:marTop w:val="0"/>
      <w:marBottom w:val="0"/>
      <w:divBdr>
        <w:top w:val="none" w:sz="0" w:space="0" w:color="auto"/>
        <w:left w:val="none" w:sz="0" w:space="0" w:color="auto"/>
        <w:bottom w:val="none" w:sz="0" w:space="0" w:color="auto"/>
        <w:right w:val="none" w:sz="0" w:space="0" w:color="auto"/>
      </w:divBdr>
      <w:divsChild>
        <w:div w:id="936402691">
          <w:marLeft w:val="0"/>
          <w:marRight w:val="0"/>
          <w:marTop w:val="0"/>
          <w:marBottom w:val="0"/>
          <w:divBdr>
            <w:top w:val="none" w:sz="0" w:space="0" w:color="auto"/>
            <w:left w:val="none" w:sz="0" w:space="0" w:color="auto"/>
            <w:bottom w:val="none" w:sz="0" w:space="0" w:color="auto"/>
            <w:right w:val="none" w:sz="0" w:space="0" w:color="auto"/>
          </w:divBdr>
          <w:divsChild>
            <w:div w:id="1412040302">
              <w:marLeft w:val="0"/>
              <w:marRight w:val="0"/>
              <w:marTop w:val="0"/>
              <w:marBottom w:val="0"/>
              <w:divBdr>
                <w:top w:val="none" w:sz="0" w:space="0" w:color="auto"/>
                <w:left w:val="none" w:sz="0" w:space="0" w:color="auto"/>
                <w:bottom w:val="none" w:sz="0" w:space="0" w:color="auto"/>
                <w:right w:val="none" w:sz="0" w:space="0" w:color="auto"/>
              </w:divBdr>
              <w:divsChild>
                <w:div w:id="30227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340876">
      <w:bodyDiv w:val="1"/>
      <w:marLeft w:val="0"/>
      <w:marRight w:val="0"/>
      <w:marTop w:val="0"/>
      <w:marBottom w:val="0"/>
      <w:divBdr>
        <w:top w:val="none" w:sz="0" w:space="0" w:color="auto"/>
        <w:left w:val="none" w:sz="0" w:space="0" w:color="auto"/>
        <w:bottom w:val="none" w:sz="0" w:space="0" w:color="auto"/>
        <w:right w:val="none" w:sz="0" w:space="0" w:color="auto"/>
      </w:divBdr>
    </w:div>
    <w:div w:id="383215548">
      <w:bodyDiv w:val="1"/>
      <w:marLeft w:val="0"/>
      <w:marRight w:val="0"/>
      <w:marTop w:val="0"/>
      <w:marBottom w:val="0"/>
      <w:divBdr>
        <w:top w:val="none" w:sz="0" w:space="0" w:color="auto"/>
        <w:left w:val="none" w:sz="0" w:space="0" w:color="auto"/>
        <w:bottom w:val="none" w:sz="0" w:space="0" w:color="auto"/>
        <w:right w:val="none" w:sz="0" w:space="0" w:color="auto"/>
      </w:divBdr>
    </w:div>
    <w:div w:id="489370254">
      <w:bodyDiv w:val="1"/>
      <w:marLeft w:val="0"/>
      <w:marRight w:val="0"/>
      <w:marTop w:val="0"/>
      <w:marBottom w:val="0"/>
      <w:divBdr>
        <w:top w:val="none" w:sz="0" w:space="0" w:color="auto"/>
        <w:left w:val="none" w:sz="0" w:space="0" w:color="auto"/>
        <w:bottom w:val="none" w:sz="0" w:space="0" w:color="auto"/>
        <w:right w:val="none" w:sz="0" w:space="0" w:color="auto"/>
      </w:divBdr>
    </w:div>
    <w:div w:id="513883359">
      <w:bodyDiv w:val="1"/>
      <w:marLeft w:val="0"/>
      <w:marRight w:val="0"/>
      <w:marTop w:val="0"/>
      <w:marBottom w:val="0"/>
      <w:divBdr>
        <w:top w:val="none" w:sz="0" w:space="0" w:color="auto"/>
        <w:left w:val="none" w:sz="0" w:space="0" w:color="auto"/>
        <w:bottom w:val="none" w:sz="0" w:space="0" w:color="auto"/>
        <w:right w:val="none" w:sz="0" w:space="0" w:color="auto"/>
      </w:divBdr>
    </w:div>
    <w:div w:id="539362584">
      <w:bodyDiv w:val="1"/>
      <w:marLeft w:val="0"/>
      <w:marRight w:val="0"/>
      <w:marTop w:val="0"/>
      <w:marBottom w:val="0"/>
      <w:divBdr>
        <w:top w:val="none" w:sz="0" w:space="0" w:color="auto"/>
        <w:left w:val="none" w:sz="0" w:space="0" w:color="auto"/>
        <w:bottom w:val="none" w:sz="0" w:space="0" w:color="auto"/>
        <w:right w:val="none" w:sz="0" w:space="0" w:color="auto"/>
      </w:divBdr>
    </w:div>
    <w:div w:id="582029670">
      <w:bodyDiv w:val="1"/>
      <w:marLeft w:val="0"/>
      <w:marRight w:val="0"/>
      <w:marTop w:val="0"/>
      <w:marBottom w:val="0"/>
      <w:divBdr>
        <w:top w:val="none" w:sz="0" w:space="0" w:color="auto"/>
        <w:left w:val="none" w:sz="0" w:space="0" w:color="auto"/>
        <w:bottom w:val="none" w:sz="0" w:space="0" w:color="auto"/>
        <w:right w:val="none" w:sz="0" w:space="0" w:color="auto"/>
      </w:divBdr>
    </w:div>
    <w:div w:id="599067387">
      <w:bodyDiv w:val="1"/>
      <w:marLeft w:val="0"/>
      <w:marRight w:val="0"/>
      <w:marTop w:val="0"/>
      <w:marBottom w:val="0"/>
      <w:divBdr>
        <w:top w:val="none" w:sz="0" w:space="0" w:color="auto"/>
        <w:left w:val="none" w:sz="0" w:space="0" w:color="auto"/>
        <w:bottom w:val="none" w:sz="0" w:space="0" w:color="auto"/>
        <w:right w:val="none" w:sz="0" w:space="0" w:color="auto"/>
      </w:divBdr>
    </w:div>
    <w:div w:id="623118212">
      <w:bodyDiv w:val="1"/>
      <w:marLeft w:val="0"/>
      <w:marRight w:val="0"/>
      <w:marTop w:val="0"/>
      <w:marBottom w:val="0"/>
      <w:divBdr>
        <w:top w:val="none" w:sz="0" w:space="0" w:color="auto"/>
        <w:left w:val="none" w:sz="0" w:space="0" w:color="auto"/>
        <w:bottom w:val="none" w:sz="0" w:space="0" w:color="auto"/>
        <w:right w:val="none" w:sz="0" w:space="0" w:color="auto"/>
      </w:divBdr>
    </w:div>
    <w:div w:id="628512741">
      <w:bodyDiv w:val="1"/>
      <w:marLeft w:val="0"/>
      <w:marRight w:val="0"/>
      <w:marTop w:val="0"/>
      <w:marBottom w:val="0"/>
      <w:divBdr>
        <w:top w:val="none" w:sz="0" w:space="0" w:color="auto"/>
        <w:left w:val="none" w:sz="0" w:space="0" w:color="auto"/>
        <w:bottom w:val="none" w:sz="0" w:space="0" w:color="auto"/>
        <w:right w:val="none" w:sz="0" w:space="0" w:color="auto"/>
      </w:divBdr>
    </w:div>
    <w:div w:id="679547479">
      <w:bodyDiv w:val="1"/>
      <w:marLeft w:val="0"/>
      <w:marRight w:val="0"/>
      <w:marTop w:val="0"/>
      <w:marBottom w:val="0"/>
      <w:divBdr>
        <w:top w:val="none" w:sz="0" w:space="0" w:color="auto"/>
        <w:left w:val="none" w:sz="0" w:space="0" w:color="auto"/>
        <w:bottom w:val="none" w:sz="0" w:space="0" w:color="auto"/>
        <w:right w:val="none" w:sz="0" w:space="0" w:color="auto"/>
      </w:divBdr>
    </w:div>
    <w:div w:id="751126342">
      <w:bodyDiv w:val="1"/>
      <w:marLeft w:val="0"/>
      <w:marRight w:val="0"/>
      <w:marTop w:val="0"/>
      <w:marBottom w:val="0"/>
      <w:divBdr>
        <w:top w:val="none" w:sz="0" w:space="0" w:color="auto"/>
        <w:left w:val="none" w:sz="0" w:space="0" w:color="auto"/>
        <w:bottom w:val="none" w:sz="0" w:space="0" w:color="auto"/>
        <w:right w:val="none" w:sz="0" w:space="0" w:color="auto"/>
      </w:divBdr>
    </w:div>
    <w:div w:id="772626035">
      <w:bodyDiv w:val="1"/>
      <w:marLeft w:val="0"/>
      <w:marRight w:val="0"/>
      <w:marTop w:val="0"/>
      <w:marBottom w:val="0"/>
      <w:divBdr>
        <w:top w:val="none" w:sz="0" w:space="0" w:color="auto"/>
        <w:left w:val="none" w:sz="0" w:space="0" w:color="auto"/>
        <w:bottom w:val="none" w:sz="0" w:space="0" w:color="auto"/>
        <w:right w:val="none" w:sz="0" w:space="0" w:color="auto"/>
      </w:divBdr>
    </w:div>
    <w:div w:id="780759897">
      <w:bodyDiv w:val="1"/>
      <w:marLeft w:val="0"/>
      <w:marRight w:val="0"/>
      <w:marTop w:val="0"/>
      <w:marBottom w:val="0"/>
      <w:divBdr>
        <w:top w:val="none" w:sz="0" w:space="0" w:color="auto"/>
        <w:left w:val="none" w:sz="0" w:space="0" w:color="auto"/>
        <w:bottom w:val="none" w:sz="0" w:space="0" w:color="auto"/>
        <w:right w:val="none" w:sz="0" w:space="0" w:color="auto"/>
      </w:divBdr>
    </w:div>
    <w:div w:id="875970278">
      <w:bodyDiv w:val="1"/>
      <w:marLeft w:val="0"/>
      <w:marRight w:val="0"/>
      <w:marTop w:val="0"/>
      <w:marBottom w:val="0"/>
      <w:divBdr>
        <w:top w:val="none" w:sz="0" w:space="0" w:color="auto"/>
        <w:left w:val="none" w:sz="0" w:space="0" w:color="auto"/>
        <w:bottom w:val="none" w:sz="0" w:space="0" w:color="auto"/>
        <w:right w:val="none" w:sz="0" w:space="0" w:color="auto"/>
      </w:divBdr>
    </w:div>
    <w:div w:id="886985765">
      <w:bodyDiv w:val="1"/>
      <w:marLeft w:val="0"/>
      <w:marRight w:val="0"/>
      <w:marTop w:val="0"/>
      <w:marBottom w:val="0"/>
      <w:divBdr>
        <w:top w:val="none" w:sz="0" w:space="0" w:color="auto"/>
        <w:left w:val="none" w:sz="0" w:space="0" w:color="auto"/>
        <w:bottom w:val="none" w:sz="0" w:space="0" w:color="auto"/>
        <w:right w:val="none" w:sz="0" w:space="0" w:color="auto"/>
      </w:divBdr>
    </w:div>
    <w:div w:id="909845487">
      <w:bodyDiv w:val="1"/>
      <w:marLeft w:val="0"/>
      <w:marRight w:val="0"/>
      <w:marTop w:val="0"/>
      <w:marBottom w:val="0"/>
      <w:divBdr>
        <w:top w:val="none" w:sz="0" w:space="0" w:color="auto"/>
        <w:left w:val="none" w:sz="0" w:space="0" w:color="auto"/>
        <w:bottom w:val="none" w:sz="0" w:space="0" w:color="auto"/>
        <w:right w:val="none" w:sz="0" w:space="0" w:color="auto"/>
      </w:divBdr>
    </w:div>
    <w:div w:id="986975300">
      <w:bodyDiv w:val="1"/>
      <w:marLeft w:val="0"/>
      <w:marRight w:val="0"/>
      <w:marTop w:val="0"/>
      <w:marBottom w:val="0"/>
      <w:divBdr>
        <w:top w:val="none" w:sz="0" w:space="0" w:color="auto"/>
        <w:left w:val="none" w:sz="0" w:space="0" w:color="auto"/>
        <w:bottom w:val="none" w:sz="0" w:space="0" w:color="auto"/>
        <w:right w:val="none" w:sz="0" w:space="0" w:color="auto"/>
      </w:divBdr>
    </w:div>
    <w:div w:id="990446169">
      <w:bodyDiv w:val="1"/>
      <w:marLeft w:val="0"/>
      <w:marRight w:val="0"/>
      <w:marTop w:val="0"/>
      <w:marBottom w:val="0"/>
      <w:divBdr>
        <w:top w:val="none" w:sz="0" w:space="0" w:color="auto"/>
        <w:left w:val="none" w:sz="0" w:space="0" w:color="auto"/>
        <w:bottom w:val="none" w:sz="0" w:space="0" w:color="auto"/>
        <w:right w:val="none" w:sz="0" w:space="0" w:color="auto"/>
      </w:divBdr>
    </w:div>
    <w:div w:id="1006522040">
      <w:bodyDiv w:val="1"/>
      <w:marLeft w:val="0"/>
      <w:marRight w:val="0"/>
      <w:marTop w:val="0"/>
      <w:marBottom w:val="0"/>
      <w:divBdr>
        <w:top w:val="none" w:sz="0" w:space="0" w:color="auto"/>
        <w:left w:val="none" w:sz="0" w:space="0" w:color="auto"/>
        <w:bottom w:val="none" w:sz="0" w:space="0" w:color="auto"/>
        <w:right w:val="none" w:sz="0" w:space="0" w:color="auto"/>
      </w:divBdr>
    </w:div>
    <w:div w:id="1065226333">
      <w:bodyDiv w:val="1"/>
      <w:marLeft w:val="0"/>
      <w:marRight w:val="0"/>
      <w:marTop w:val="0"/>
      <w:marBottom w:val="0"/>
      <w:divBdr>
        <w:top w:val="none" w:sz="0" w:space="0" w:color="auto"/>
        <w:left w:val="none" w:sz="0" w:space="0" w:color="auto"/>
        <w:bottom w:val="none" w:sz="0" w:space="0" w:color="auto"/>
        <w:right w:val="none" w:sz="0" w:space="0" w:color="auto"/>
      </w:divBdr>
    </w:div>
    <w:div w:id="1086609578">
      <w:bodyDiv w:val="1"/>
      <w:marLeft w:val="0"/>
      <w:marRight w:val="0"/>
      <w:marTop w:val="0"/>
      <w:marBottom w:val="0"/>
      <w:divBdr>
        <w:top w:val="none" w:sz="0" w:space="0" w:color="auto"/>
        <w:left w:val="none" w:sz="0" w:space="0" w:color="auto"/>
        <w:bottom w:val="none" w:sz="0" w:space="0" w:color="auto"/>
        <w:right w:val="none" w:sz="0" w:space="0" w:color="auto"/>
      </w:divBdr>
    </w:div>
    <w:div w:id="1130900208">
      <w:bodyDiv w:val="1"/>
      <w:marLeft w:val="0"/>
      <w:marRight w:val="0"/>
      <w:marTop w:val="0"/>
      <w:marBottom w:val="0"/>
      <w:divBdr>
        <w:top w:val="none" w:sz="0" w:space="0" w:color="auto"/>
        <w:left w:val="none" w:sz="0" w:space="0" w:color="auto"/>
        <w:bottom w:val="none" w:sz="0" w:space="0" w:color="auto"/>
        <w:right w:val="none" w:sz="0" w:space="0" w:color="auto"/>
      </w:divBdr>
    </w:div>
    <w:div w:id="1248076305">
      <w:bodyDiv w:val="1"/>
      <w:marLeft w:val="0"/>
      <w:marRight w:val="0"/>
      <w:marTop w:val="0"/>
      <w:marBottom w:val="0"/>
      <w:divBdr>
        <w:top w:val="none" w:sz="0" w:space="0" w:color="auto"/>
        <w:left w:val="none" w:sz="0" w:space="0" w:color="auto"/>
        <w:bottom w:val="none" w:sz="0" w:space="0" w:color="auto"/>
        <w:right w:val="none" w:sz="0" w:space="0" w:color="auto"/>
      </w:divBdr>
    </w:div>
    <w:div w:id="1256552323">
      <w:bodyDiv w:val="1"/>
      <w:marLeft w:val="0"/>
      <w:marRight w:val="0"/>
      <w:marTop w:val="0"/>
      <w:marBottom w:val="0"/>
      <w:divBdr>
        <w:top w:val="none" w:sz="0" w:space="0" w:color="auto"/>
        <w:left w:val="none" w:sz="0" w:space="0" w:color="auto"/>
        <w:bottom w:val="none" w:sz="0" w:space="0" w:color="auto"/>
        <w:right w:val="none" w:sz="0" w:space="0" w:color="auto"/>
      </w:divBdr>
    </w:div>
    <w:div w:id="1286424686">
      <w:bodyDiv w:val="1"/>
      <w:marLeft w:val="0"/>
      <w:marRight w:val="0"/>
      <w:marTop w:val="0"/>
      <w:marBottom w:val="0"/>
      <w:divBdr>
        <w:top w:val="none" w:sz="0" w:space="0" w:color="auto"/>
        <w:left w:val="none" w:sz="0" w:space="0" w:color="auto"/>
        <w:bottom w:val="none" w:sz="0" w:space="0" w:color="auto"/>
        <w:right w:val="none" w:sz="0" w:space="0" w:color="auto"/>
      </w:divBdr>
    </w:div>
    <w:div w:id="1347058642">
      <w:bodyDiv w:val="1"/>
      <w:marLeft w:val="0"/>
      <w:marRight w:val="0"/>
      <w:marTop w:val="0"/>
      <w:marBottom w:val="0"/>
      <w:divBdr>
        <w:top w:val="none" w:sz="0" w:space="0" w:color="auto"/>
        <w:left w:val="none" w:sz="0" w:space="0" w:color="auto"/>
        <w:bottom w:val="none" w:sz="0" w:space="0" w:color="auto"/>
        <w:right w:val="none" w:sz="0" w:space="0" w:color="auto"/>
      </w:divBdr>
    </w:div>
    <w:div w:id="1422096194">
      <w:bodyDiv w:val="1"/>
      <w:marLeft w:val="0"/>
      <w:marRight w:val="0"/>
      <w:marTop w:val="0"/>
      <w:marBottom w:val="0"/>
      <w:divBdr>
        <w:top w:val="none" w:sz="0" w:space="0" w:color="auto"/>
        <w:left w:val="none" w:sz="0" w:space="0" w:color="auto"/>
        <w:bottom w:val="none" w:sz="0" w:space="0" w:color="auto"/>
        <w:right w:val="none" w:sz="0" w:space="0" w:color="auto"/>
      </w:divBdr>
    </w:div>
    <w:div w:id="1427920664">
      <w:bodyDiv w:val="1"/>
      <w:marLeft w:val="0"/>
      <w:marRight w:val="0"/>
      <w:marTop w:val="0"/>
      <w:marBottom w:val="0"/>
      <w:divBdr>
        <w:top w:val="none" w:sz="0" w:space="0" w:color="auto"/>
        <w:left w:val="none" w:sz="0" w:space="0" w:color="auto"/>
        <w:bottom w:val="none" w:sz="0" w:space="0" w:color="auto"/>
        <w:right w:val="none" w:sz="0" w:space="0" w:color="auto"/>
      </w:divBdr>
    </w:div>
    <w:div w:id="1529567643">
      <w:bodyDiv w:val="1"/>
      <w:marLeft w:val="0"/>
      <w:marRight w:val="0"/>
      <w:marTop w:val="0"/>
      <w:marBottom w:val="0"/>
      <w:divBdr>
        <w:top w:val="none" w:sz="0" w:space="0" w:color="auto"/>
        <w:left w:val="none" w:sz="0" w:space="0" w:color="auto"/>
        <w:bottom w:val="none" w:sz="0" w:space="0" w:color="auto"/>
        <w:right w:val="none" w:sz="0" w:space="0" w:color="auto"/>
      </w:divBdr>
    </w:div>
    <w:div w:id="1546719676">
      <w:bodyDiv w:val="1"/>
      <w:marLeft w:val="0"/>
      <w:marRight w:val="0"/>
      <w:marTop w:val="0"/>
      <w:marBottom w:val="0"/>
      <w:divBdr>
        <w:top w:val="none" w:sz="0" w:space="0" w:color="auto"/>
        <w:left w:val="none" w:sz="0" w:space="0" w:color="auto"/>
        <w:bottom w:val="none" w:sz="0" w:space="0" w:color="auto"/>
        <w:right w:val="none" w:sz="0" w:space="0" w:color="auto"/>
      </w:divBdr>
    </w:div>
    <w:div w:id="1590577187">
      <w:bodyDiv w:val="1"/>
      <w:marLeft w:val="0"/>
      <w:marRight w:val="0"/>
      <w:marTop w:val="0"/>
      <w:marBottom w:val="0"/>
      <w:divBdr>
        <w:top w:val="none" w:sz="0" w:space="0" w:color="auto"/>
        <w:left w:val="none" w:sz="0" w:space="0" w:color="auto"/>
        <w:bottom w:val="none" w:sz="0" w:space="0" w:color="auto"/>
        <w:right w:val="none" w:sz="0" w:space="0" w:color="auto"/>
      </w:divBdr>
    </w:div>
    <w:div w:id="1596788569">
      <w:bodyDiv w:val="1"/>
      <w:marLeft w:val="0"/>
      <w:marRight w:val="0"/>
      <w:marTop w:val="0"/>
      <w:marBottom w:val="0"/>
      <w:divBdr>
        <w:top w:val="none" w:sz="0" w:space="0" w:color="auto"/>
        <w:left w:val="none" w:sz="0" w:space="0" w:color="auto"/>
        <w:bottom w:val="none" w:sz="0" w:space="0" w:color="auto"/>
        <w:right w:val="none" w:sz="0" w:space="0" w:color="auto"/>
      </w:divBdr>
    </w:div>
    <w:div w:id="1606882661">
      <w:bodyDiv w:val="1"/>
      <w:marLeft w:val="0"/>
      <w:marRight w:val="0"/>
      <w:marTop w:val="0"/>
      <w:marBottom w:val="0"/>
      <w:divBdr>
        <w:top w:val="none" w:sz="0" w:space="0" w:color="auto"/>
        <w:left w:val="none" w:sz="0" w:space="0" w:color="auto"/>
        <w:bottom w:val="none" w:sz="0" w:space="0" w:color="auto"/>
        <w:right w:val="none" w:sz="0" w:space="0" w:color="auto"/>
      </w:divBdr>
    </w:div>
    <w:div w:id="1609043983">
      <w:bodyDiv w:val="1"/>
      <w:marLeft w:val="0"/>
      <w:marRight w:val="0"/>
      <w:marTop w:val="0"/>
      <w:marBottom w:val="0"/>
      <w:divBdr>
        <w:top w:val="none" w:sz="0" w:space="0" w:color="auto"/>
        <w:left w:val="none" w:sz="0" w:space="0" w:color="auto"/>
        <w:bottom w:val="none" w:sz="0" w:space="0" w:color="auto"/>
        <w:right w:val="none" w:sz="0" w:space="0" w:color="auto"/>
      </w:divBdr>
    </w:div>
    <w:div w:id="1650212528">
      <w:bodyDiv w:val="1"/>
      <w:marLeft w:val="0"/>
      <w:marRight w:val="0"/>
      <w:marTop w:val="0"/>
      <w:marBottom w:val="0"/>
      <w:divBdr>
        <w:top w:val="none" w:sz="0" w:space="0" w:color="auto"/>
        <w:left w:val="none" w:sz="0" w:space="0" w:color="auto"/>
        <w:bottom w:val="none" w:sz="0" w:space="0" w:color="auto"/>
        <w:right w:val="none" w:sz="0" w:space="0" w:color="auto"/>
      </w:divBdr>
    </w:div>
    <w:div w:id="1657538015">
      <w:bodyDiv w:val="1"/>
      <w:marLeft w:val="0"/>
      <w:marRight w:val="0"/>
      <w:marTop w:val="0"/>
      <w:marBottom w:val="0"/>
      <w:divBdr>
        <w:top w:val="none" w:sz="0" w:space="0" w:color="auto"/>
        <w:left w:val="none" w:sz="0" w:space="0" w:color="auto"/>
        <w:bottom w:val="none" w:sz="0" w:space="0" w:color="auto"/>
        <w:right w:val="none" w:sz="0" w:space="0" w:color="auto"/>
      </w:divBdr>
    </w:div>
    <w:div w:id="187099136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10339584">
      <w:bodyDiv w:val="1"/>
      <w:marLeft w:val="0"/>
      <w:marRight w:val="0"/>
      <w:marTop w:val="0"/>
      <w:marBottom w:val="0"/>
      <w:divBdr>
        <w:top w:val="none" w:sz="0" w:space="0" w:color="auto"/>
        <w:left w:val="none" w:sz="0" w:space="0" w:color="auto"/>
        <w:bottom w:val="none" w:sz="0" w:space="0" w:color="auto"/>
        <w:right w:val="none" w:sz="0" w:space="0" w:color="auto"/>
      </w:divBdr>
    </w:div>
    <w:div w:id="1949385956">
      <w:bodyDiv w:val="1"/>
      <w:marLeft w:val="0"/>
      <w:marRight w:val="0"/>
      <w:marTop w:val="0"/>
      <w:marBottom w:val="0"/>
      <w:divBdr>
        <w:top w:val="none" w:sz="0" w:space="0" w:color="auto"/>
        <w:left w:val="none" w:sz="0" w:space="0" w:color="auto"/>
        <w:bottom w:val="none" w:sz="0" w:space="0" w:color="auto"/>
        <w:right w:val="none" w:sz="0" w:space="0" w:color="auto"/>
      </w:divBdr>
    </w:div>
    <w:div w:id="1951164039">
      <w:bodyDiv w:val="1"/>
      <w:marLeft w:val="0"/>
      <w:marRight w:val="0"/>
      <w:marTop w:val="0"/>
      <w:marBottom w:val="0"/>
      <w:divBdr>
        <w:top w:val="none" w:sz="0" w:space="0" w:color="auto"/>
        <w:left w:val="none" w:sz="0" w:space="0" w:color="auto"/>
        <w:bottom w:val="none" w:sz="0" w:space="0" w:color="auto"/>
        <w:right w:val="none" w:sz="0" w:space="0" w:color="auto"/>
      </w:divBdr>
    </w:div>
    <w:div w:id="1972048992">
      <w:bodyDiv w:val="1"/>
      <w:marLeft w:val="0"/>
      <w:marRight w:val="0"/>
      <w:marTop w:val="0"/>
      <w:marBottom w:val="0"/>
      <w:divBdr>
        <w:top w:val="none" w:sz="0" w:space="0" w:color="auto"/>
        <w:left w:val="none" w:sz="0" w:space="0" w:color="auto"/>
        <w:bottom w:val="none" w:sz="0" w:space="0" w:color="auto"/>
        <w:right w:val="none" w:sz="0" w:space="0" w:color="auto"/>
      </w:divBdr>
    </w:div>
    <w:div w:id="1982883361">
      <w:bodyDiv w:val="1"/>
      <w:marLeft w:val="0"/>
      <w:marRight w:val="0"/>
      <w:marTop w:val="0"/>
      <w:marBottom w:val="0"/>
      <w:divBdr>
        <w:top w:val="none" w:sz="0" w:space="0" w:color="auto"/>
        <w:left w:val="none" w:sz="0" w:space="0" w:color="auto"/>
        <w:bottom w:val="none" w:sz="0" w:space="0" w:color="auto"/>
        <w:right w:val="none" w:sz="0" w:space="0" w:color="auto"/>
      </w:divBdr>
    </w:div>
    <w:div w:id="2003657088">
      <w:bodyDiv w:val="1"/>
      <w:marLeft w:val="0"/>
      <w:marRight w:val="0"/>
      <w:marTop w:val="0"/>
      <w:marBottom w:val="0"/>
      <w:divBdr>
        <w:top w:val="none" w:sz="0" w:space="0" w:color="auto"/>
        <w:left w:val="none" w:sz="0" w:space="0" w:color="auto"/>
        <w:bottom w:val="none" w:sz="0" w:space="0" w:color="auto"/>
        <w:right w:val="none" w:sz="0" w:space="0" w:color="auto"/>
      </w:divBdr>
    </w:div>
    <w:div w:id="2047901659">
      <w:bodyDiv w:val="1"/>
      <w:marLeft w:val="0"/>
      <w:marRight w:val="0"/>
      <w:marTop w:val="0"/>
      <w:marBottom w:val="0"/>
      <w:divBdr>
        <w:top w:val="none" w:sz="0" w:space="0" w:color="auto"/>
        <w:left w:val="none" w:sz="0" w:space="0" w:color="auto"/>
        <w:bottom w:val="none" w:sz="0" w:space="0" w:color="auto"/>
        <w:right w:val="none" w:sz="0" w:space="0" w:color="auto"/>
      </w:divBdr>
    </w:div>
    <w:div w:id="2081321975">
      <w:bodyDiv w:val="1"/>
      <w:marLeft w:val="0"/>
      <w:marRight w:val="0"/>
      <w:marTop w:val="0"/>
      <w:marBottom w:val="0"/>
      <w:divBdr>
        <w:top w:val="none" w:sz="0" w:space="0" w:color="auto"/>
        <w:left w:val="none" w:sz="0" w:space="0" w:color="auto"/>
        <w:bottom w:val="none" w:sz="0" w:space="0" w:color="auto"/>
        <w:right w:val="none" w:sz="0" w:space="0" w:color="auto"/>
      </w:divBdr>
    </w:div>
    <w:div w:id="2084911575">
      <w:bodyDiv w:val="1"/>
      <w:marLeft w:val="0"/>
      <w:marRight w:val="0"/>
      <w:marTop w:val="0"/>
      <w:marBottom w:val="0"/>
      <w:divBdr>
        <w:top w:val="none" w:sz="0" w:space="0" w:color="auto"/>
        <w:left w:val="none" w:sz="0" w:space="0" w:color="auto"/>
        <w:bottom w:val="none" w:sz="0" w:space="0" w:color="auto"/>
        <w:right w:val="none" w:sz="0" w:space="0" w:color="auto"/>
      </w:divBdr>
    </w:div>
    <w:div w:id="2097822626">
      <w:bodyDiv w:val="1"/>
      <w:marLeft w:val="0"/>
      <w:marRight w:val="0"/>
      <w:marTop w:val="0"/>
      <w:marBottom w:val="0"/>
      <w:divBdr>
        <w:top w:val="none" w:sz="0" w:space="0" w:color="auto"/>
        <w:left w:val="none" w:sz="0" w:space="0" w:color="auto"/>
        <w:bottom w:val="none" w:sz="0" w:space="0" w:color="auto"/>
        <w:right w:val="none" w:sz="0" w:space="0" w:color="auto"/>
      </w:divBdr>
    </w:div>
    <w:div w:id="214060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image" Target="media/image42.emf"/><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image" Target="media/image41.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9EBB9-5BD3-4BD3-91D3-187A0B7D0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924</TotalTime>
  <Pages>86</Pages>
  <Words>25910</Words>
  <Characters>145517</Characters>
  <Application>Microsoft Office Word</Application>
  <DocSecurity>0</DocSecurity>
  <Lines>1212</Lines>
  <Paragraphs>342</Paragraphs>
  <ScaleCrop>false</ScaleCrop>
  <HeadingPairs>
    <vt:vector size="2" baseType="variant">
      <vt:variant>
        <vt:lpstr>Title</vt:lpstr>
      </vt:variant>
      <vt:variant>
        <vt:i4>1</vt:i4>
      </vt:variant>
    </vt:vector>
  </HeadingPairs>
  <TitlesOfParts>
    <vt:vector size="1" baseType="lpstr">
      <vt:lpstr>Chapter 4 School education - Report on Government Services 2016</vt:lpstr>
    </vt:vector>
  </TitlesOfParts>
  <Company>Productivity Commission</Company>
  <LinksUpToDate>false</LinksUpToDate>
  <CharactersWithSpaces>171085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School education - Report on Government Services 2016</dc:title>
  <dc:creator>Steering Committee for the Review of Government Service Provision</dc:creator>
  <cp:lastModifiedBy>Frech, Tanya</cp:lastModifiedBy>
  <cp:revision>85</cp:revision>
  <cp:lastPrinted>2016-01-14T01:35:00Z</cp:lastPrinted>
  <dcterms:created xsi:type="dcterms:W3CDTF">2015-12-03T06:27:00Z</dcterms:created>
  <dcterms:modified xsi:type="dcterms:W3CDTF">2016-01-14T01:36:00Z</dcterms:modified>
</cp:coreProperties>
</file>