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CD33DD" w:rsidRDefault="00891AAF" w:rsidP="00372AF0">
      <w:pPr>
        <w:pStyle w:val="Heading1"/>
      </w:pPr>
      <w:bookmarkStart w:id="0" w:name="ChapterNumber"/>
      <w:r>
        <w:t>B</w:t>
      </w:r>
      <w:bookmarkEnd w:id="0"/>
      <w:r>
        <w:tab/>
      </w:r>
      <w:bookmarkStart w:id="1" w:name="_Appendix"/>
      <w:bookmarkStart w:id="2" w:name="ChapterTitle"/>
      <w:bookmarkEnd w:id="1"/>
      <w:r>
        <w:t xml:space="preserve">Child care, education and training </w:t>
      </w:r>
      <w:bookmarkEnd w:id="2"/>
      <w:r w:rsidR="002C7751">
        <w:t xml:space="preserve">sector </w:t>
      </w:r>
      <w:r w:rsidR="001F572D">
        <w:t>overview</w:t>
      </w:r>
    </w:p>
    <w:p w:rsidR="00B32791" w:rsidRPr="00F75F2A" w:rsidRDefault="001F733F" w:rsidP="001F733F">
      <w:pPr>
        <w:pStyle w:val="Heading4"/>
      </w:pPr>
      <w:bookmarkStart w:id="3" w:name="begin"/>
      <w:bookmarkEnd w:id="3"/>
      <w:r>
        <w:t>CONTENTS</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B.1</w:t>
      </w:r>
      <w:r>
        <w:rPr>
          <w:rFonts w:asciiTheme="minorHAnsi" w:eastAsiaTheme="minorEastAsia" w:hAnsiTheme="minorHAnsi" w:cstheme="minorBidi"/>
          <w:noProof/>
          <w:sz w:val="22"/>
          <w:szCs w:val="22"/>
          <w:lang w:eastAsia="en-AU"/>
        </w:rPr>
        <w:tab/>
      </w:r>
      <w:r w:rsidRPr="00F545D4">
        <w:rPr>
          <w:noProof/>
        </w:rPr>
        <w:t>Introduction</w:t>
      </w:r>
      <w:r>
        <w:rPr>
          <w:noProof/>
          <w:webHidden/>
        </w:rPr>
        <w:tab/>
        <w:t>B.</w:t>
      </w:r>
      <w:r w:rsidR="00501FB3">
        <w:rPr>
          <w:noProof/>
          <w:webHidden/>
        </w:rPr>
        <w:t>1</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B.2</w:t>
      </w:r>
      <w:r>
        <w:rPr>
          <w:rFonts w:asciiTheme="minorHAnsi" w:eastAsiaTheme="minorEastAsia" w:hAnsiTheme="minorHAnsi" w:cstheme="minorBidi"/>
          <w:noProof/>
          <w:sz w:val="22"/>
          <w:szCs w:val="22"/>
          <w:lang w:eastAsia="en-AU"/>
        </w:rPr>
        <w:tab/>
      </w:r>
      <w:r w:rsidRPr="00F545D4">
        <w:rPr>
          <w:noProof/>
        </w:rPr>
        <w:t>Sector performance indicator framework</w:t>
      </w:r>
      <w:r>
        <w:rPr>
          <w:noProof/>
          <w:webHidden/>
        </w:rPr>
        <w:tab/>
        <w:t>B.</w:t>
      </w:r>
      <w:r w:rsidR="00501FB3">
        <w:rPr>
          <w:noProof/>
          <w:webHidden/>
        </w:rPr>
        <w:t>11</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B.3</w:t>
      </w:r>
      <w:r>
        <w:rPr>
          <w:rFonts w:asciiTheme="minorHAnsi" w:eastAsiaTheme="minorEastAsia" w:hAnsiTheme="minorHAnsi" w:cstheme="minorBidi"/>
          <w:noProof/>
          <w:sz w:val="22"/>
          <w:szCs w:val="22"/>
          <w:lang w:eastAsia="en-AU"/>
        </w:rPr>
        <w:tab/>
      </w:r>
      <w:r w:rsidRPr="00F545D4">
        <w:rPr>
          <w:noProof/>
        </w:rPr>
        <w:t>Cross-cutting and interface issues</w:t>
      </w:r>
      <w:r>
        <w:rPr>
          <w:noProof/>
          <w:webHidden/>
        </w:rPr>
        <w:tab/>
        <w:t>B.</w:t>
      </w:r>
      <w:r w:rsidR="00501FB3">
        <w:rPr>
          <w:noProof/>
          <w:webHidden/>
        </w:rPr>
        <w:t>46</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B.4</w:t>
      </w:r>
      <w:r>
        <w:rPr>
          <w:rFonts w:asciiTheme="minorHAnsi" w:eastAsiaTheme="minorEastAsia" w:hAnsiTheme="minorHAnsi" w:cstheme="minorBidi"/>
          <w:noProof/>
          <w:sz w:val="22"/>
          <w:szCs w:val="22"/>
          <w:lang w:eastAsia="en-AU"/>
        </w:rPr>
        <w:tab/>
      </w:r>
      <w:r w:rsidRPr="00F545D4">
        <w:rPr>
          <w:noProof/>
        </w:rPr>
        <w:t>Future directions</w:t>
      </w:r>
      <w:r>
        <w:rPr>
          <w:noProof/>
          <w:webHidden/>
        </w:rPr>
        <w:tab/>
        <w:t>B.</w:t>
      </w:r>
      <w:r w:rsidR="00501FB3">
        <w:rPr>
          <w:noProof/>
          <w:webHidden/>
        </w:rPr>
        <w:t>47</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B.5</w:t>
      </w:r>
      <w:r>
        <w:rPr>
          <w:rFonts w:asciiTheme="minorHAnsi" w:eastAsiaTheme="minorEastAsia" w:hAnsiTheme="minorHAnsi" w:cstheme="minorBidi"/>
          <w:noProof/>
          <w:sz w:val="22"/>
          <w:szCs w:val="22"/>
          <w:lang w:eastAsia="en-AU"/>
        </w:rPr>
        <w:tab/>
      </w:r>
      <w:r w:rsidRPr="00F545D4">
        <w:rPr>
          <w:noProof/>
        </w:rPr>
        <w:t>List of attachment tables</w:t>
      </w:r>
      <w:r>
        <w:rPr>
          <w:noProof/>
          <w:webHidden/>
        </w:rPr>
        <w:tab/>
        <w:t>B.</w:t>
      </w:r>
      <w:r w:rsidR="00501FB3">
        <w:rPr>
          <w:noProof/>
          <w:webHidden/>
        </w:rPr>
        <w:t>47</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F545D4">
        <w:rPr>
          <w:noProof/>
        </w:rPr>
        <w:t>B.6</w:t>
      </w:r>
      <w:r>
        <w:rPr>
          <w:rFonts w:asciiTheme="minorHAnsi" w:eastAsiaTheme="minorEastAsia" w:hAnsiTheme="minorHAnsi" w:cstheme="minorBidi"/>
          <w:noProof/>
          <w:sz w:val="22"/>
          <w:szCs w:val="22"/>
          <w:lang w:eastAsia="en-AU"/>
        </w:rPr>
        <w:tab/>
      </w:r>
      <w:r w:rsidRPr="00F545D4">
        <w:rPr>
          <w:noProof/>
        </w:rPr>
        <w:t>References</w:t>
      </w:r>
      <w:r>
        <w:rPr>
          <w:noProof/>
          <w:webHidden/>
        </w:rPr>
        <w:tab/>
      </w:r>
      <w:r w:rsidR="00557A79">
        <w:rPr>
          <w:noProof/>
        </w:rPr>
        <w:t>B.49</w:t>
      </w:r>
    </w:p>
    <w:p w:rsidR="007D6AF9" w:rsidRDefault="007D6AF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6AF9" w:rsidTr="00E6276D">
        <w:tc>
          <w:tcPr>
            <w:tcW w:w="8771" w:type="dxa"/>
            <w:tcBorders>
              <w:top w:val="single" w:sz="6" w:space="0" w:color="78A22F"/>
              <w:left w:val="nil"/>
              <w:bottom w:val="nil"/>
              <w:right w:val="nil"/>
            </w:tcBorders>
            <w:shd w:val="clear" w:color="auto" w:fill="F2F2F2"/>
          </w:tcPr>
          <w:p w:rsidR="007D6AF9" w:rsidRDefault="007D6AF9" w:rsidP="007D6AF9">
            <w:pPr>
              <w:pStyle w:val="BoxTitle"/>
            </w:pPr>
            <w:r w:rsidRPr="00CD33DD">
              <w:t>Attachment tables</w:t>
            </w:r>
            <w:r>
              <w:rPr>
                <w:b w:val="0"/>
              </w:rPr>
              <w:t xml:space="preserve"> </w:t>
            </w:r>
          </w:p>
        </w:tc>
      </w:tr>
      <w:tr w:rsidR="007D6AF9" w:rsidTr="00E6276D">
        <w:trPr>
          <w:cantSplit/>
        </w:trPr>
        <w:tc>
          <w:tcPr>
            <w:tcW w:w="8771" w:type="dxa"/>
            <w:tcBorders>
              <w:top w:val="nil"/>
              <w:left w:val="nil"/>
              <w:bottom w:val="nil"/>
              <w:right w:val="nil"/>
            </w:tcBorders>
            <w:shd w:val="clear" w:color="auto" w:fill="F2F2F2"/>
          </w:tcPr>
          <w:p w:rsidR="007D6AF9" w:rsidRDefault="007D6AF9" w:rsidP="00E6276D">
            <w:pPr>
              <w:pStyle w:val="Box"/>
            </w:pPr>
            <w:r w:rsidRPr="00E175F0">
              <w:t>Attachment tables are identified in references throug</w:t>
            </w:r>
            <w:r>
              <w:t xml:space="preserve">hout this sector overview by a ‘BA’ prefix (for example, table </w:t>
            </w:r>
            <w:proofErr w:type="spellStart"/>
            <w:r>
              <w:t>B</w:t>
            </w:r>
            <w:r w:rsidRPr="00E175F0">
              <w:t>A.1</w:t>
            </w:r>
            <w:proofErr w:type="spellEnd"/>
            <w:r w:rsidRPr="00E175F0">
              <w:t xml:space="preserve">). A full list of attachment tables is provided at the end of this sector </w:t>
            </w:r>
            <w:r>
              <w:t>overview</w:t>
            </w:r>
            <w:r w:rsidRPr="00E175F0">
              <w:t>, and the attachment table</w:t>
            </w:r>
            <w:r w:rsidR="007A31EC">
              <w:t>s are</w:t>
            </w:r>
            <w:r w:rsidR="00B53CCA">
              <w:t xml:space="preserve"> available on the website</w:t>
            </w:r>
            <w:r w:rsidR="007A31EC">
              <w:t xml:space="preserve"> </w:t>
            </w:r>
            <w:proofErr w:type="spellStart"/>
            <w:r w:rsidR="007A31EC">
              <w:t>www.pc.gov.au</w:t>
            </w:r>
            <w:proofErr w:type="spellEnd"/>
            <w:r w:rsidR="007A31EC">
              <w:t>/</w:t>
            </w:r>
            <w:proofErr w:type="spellStart"/>
            <w:r w:rsidR="007A31EC">
              <w:t>rogs</w:t>
            </w:r>
            <w:proofErr w:type="spellEnd"/>
            <w:r w:rsidR="007A31EC">
              <w:t>/2016</w:t>
            </w:r>
            <w:r w:rsidRPr="00E175F0">
              <w:t>.</w:t>
            </w:r>
          </w:p>
        </w:tc>
      </w:tr>
      <w:tr w:rsidR="007D6AF9" w:rsidTr="00E6276D">
        <w:trPr>
          <w:cantSplit/>
        </w:trPr>
        <w:tc>
          <w:tcPr>
            <w:tcW w:w="8771" w:type="dxa"/>
            <w:tcBorders>
              <w:top w:val="nil"/>
              <w:left w:val="nil"/>
              <w:bottom w:val="single" w:sz="6" w:space="0" w:color="78A22F"/>
              <w:right w:val="nil"/>
            </w:tcBorders>
            <w:shd w:val="clear" w:color="auto" w:fill="F2F2F2"/>
          </w:tcPr>
          <w:p w:rsidR="007D6AF9" w:rsidRDefault="007D6AF9">
            <w:pPr>
              <w:pStyle w:val="Box"/>
              <w:spacing w:before="0" w:line="120" w:lineRule="exact"/>
            </w:pPr>
          </w:p>
        </w:tc>
      </w:tr>
      <w:tr w:rsidR="007D6AF9" w:rsidRPr="000863A5" w:rsidTr="00E6276D">
        <w:tc>
          <w:tcPr>
            <w:tcW w:w="8771" w:type="dxa"/>
            <w:tcBorders>
              <w:top w:val="single" w:sz="6" w:space="0" w:color="78A22F"/>
              <w:left w:val="nil"/>
              <w:bottom w:val="nil"/>
              <w:right w:val="nil"/>
            </w:tcBorders>
          </w:tcPr>
          <w:p w:rsidR="007D6AF9" w:rsidRPr="00626D32" w:rsidRDefault="007D6AF9" w:rsidP="00E6276D">
            <w:pPr>
              <w:pStyle w:val="BoxSpaceBelow"/>
            </w:pPr>
          </w:p>
        </w:tc>
      </w:tr>
    </w:tbl>
    <w:p w:rsidR="00C32684" w:rsidRDefault="00891AAF" w:rsidP="00C32684">
      <w:pPr>
        <w:pStyle w:val="Heading2"/>
      </w:pPr>
      <w:bookmarkStart w:id="4" w:name="_Toc404865398"/>
      <w:proofErr w:type="spellStart"/>
      <w:r>
        <w:t>B.</w:t>
      </w:r>
      <w:r w:rsidR="00501FB3">
        <w:rPr>
          <w:noProof/>
        </w:rPr>
        <w:t>1</w:t>
      </w:r>
      <w:proofErr w:type="spellEnd"/>
      <w:r w:rsidR="00AE67DB">
        <w:tab/>
      </w:r>
      <w:r w:rsidR="00C32684">
        <w:t>Introduction</w:t>
      </w:r>
      <w:bookmarkEnd w:id="4"/>
    </w:p>
    <w:p w:rsidR="00A0590B" w:rsidRDefault="003867DF" w:rsidP="003867DF">
      <w:pPr>
        <w:pStyle w:val="BodyText"/>
      </w:pPr>
      <w:r>
        <w:t>Th</w:t>
      </w:r>
      <w:r w:rsidR="008E28C6">
        <w:t>is</w:t>
      </w:r>
      <w:r>
        <w:t xml:space="preserve"> sector </w:t>
      </w:r>
      <w:r w:rsidR="00A77F79">
        <w:t>overview</w:t>
      </w:r>
      <w:r>
        <w:t xml:space="preserve"> provides an introduction to the </w:t>
      </w:r>
      <w:r w:rsidR="00F048B0">
        <w:t>Child care, education and training</w:t>
      </w:r>
      <w:r>
        <w:t xml:space="preserve"> (</w:t>
      </w:r>
      <w:proofErr w:type="spellStart"/>
      <w:r w:rsidR="00F048B0">
        <w:t>CCET</w:t>
      </w:r>
      <w:proofErr w:type="spellEnd"/>
      <w:r>
        <w:t xml:space="preserve">) </w:t>
      </w:r>
      <w:r w:rsidR="00A0590B">
        <w:t>chapters of this Report</w:t>
      </w:r>
      <w:r w:rsidR="00142AFA">
        <w:t>:</w:t>
      </w:r>
      <w:r w:rsidR="00A0590B">
        <w:t xml:space="preserve"> </w:t>
      </w:r>
      <w:r w:rsidR="00A77F79">
        <w:t>Early childhood education and care</w:t>
      </w:r>
      <w:r w:rsidR="00A0590B">
        <w:t xml:space="preserve"> </w:t>
      </w:r>
      <w:r w:rsidR="0076776A">
        <w:t>(</w:t>
      </w:r>
      <w:proofErr w:type="spellStart"/>
      <w:r w:rsidR="0076776A">
        <w:t>ECEC</w:t>
      </w:r>
      <w:proofErr w:type="spellEnd"/>
      <w:r w:rsidR="0076776A">
        <w:t xml:space="preserve">) </w:t>
      </w:r>
      <w:r w:rsidR="00142AFA">
        <w:t>(</w:t>
      </w:r>
      <w:r w:rsidR="0033546B">
        <w:t>c</w:t>
      </w:r>
      <w:r w:rsidR="00A0590B">
        <w:t>hapter 3</w:t>
      </w:r>
      <w:r w:rsidR="00142AFA">
        <w:t>)</w:t>
      </w:r>
      <w:r w:rsidR="00A0590B">
        <w:t xml:space="preserve">, School education </w:t>
      </w:r>
      <w:r w:rsidR="00142AFA">
        <w:t>(</w:t>
      </w:r>
      <w:r w:rsidR="0033546B">
        <w:t>c</w:t>
      </w:r>
      <w:r w:rsidR="00A0590B">
        <w:t>hapter 4</w:t>
      </w:r>
      <w:r w:rsidR="00142AFA">
        <w:t>)</w:t>
      </w:r>
      <w:r w:rsidR="00A0590B">
        <w:t xml:space="preserve"> and Vo</w:t>
      </w:r>
      <w:r w:rsidR="00142AFA">
        <w:t>cational education and training</w:t>
      </w:r>
      <w:r w:rsidR="00F011F7">
        <w:t xml:space="preserve"> (VET)</w:t>
      </w:r>
      <w:r w:rsidR="00A0590B">
        <w:t xml:space="preserve"> </w:t>
      </w:r>
      <w:r w:rsidR="00142AFA">
        <w:t>(</w:t>
      </w:r>
      <w:r w:rsidR="0033546B">
        <w:t>c</w:t>
      </w:r>
      <w:r w:rsidR="00A0590B">
        <w:t>hapter 5)</w:t>
      </w:r>
      <w:r w:rsidR="00740602">
        <w:t xml:space="preserve">. </w:t>
      </w:r>
      <w:r w:rsidR="00A0590B">
        <w:t xml:space="preserve">It provides an overview of the </w:t>
      </w:r>
      <w:proofErr w:type="spellStart"/>
      <w:r w:rsidR="00F048B0">
        <w:t>CCET</w:t>
      </w:r>
      <w:proofErr w:type="spellEnd"/>
      <w:r w:rsidR="00A0590B">
        <w:t xml:space="preserve"> </w:t>
      </w:r>
      <w:r>
        <w:t>sector</w:t>
      </w:r>
      <w:r w:rsidR="008E28C6">
        <w:t>,</w:t>
      </w:r>
      <w:r>
        <w:t xml:space="preserve"> </w:t>
      </w:r>
      <w:r w:rsidR="00A0590B">
        <w:t>presenting both contextual information and high</w:t>
      </w:r>
      <w:r w:rsidR="008A6CE2">
        <w:t xml:space="preserve"> level performance information.</w:t>
      </w:r>
    </w:p>
    <w:p w:rsidR="00325888" w:rsidRPr="008D5CE5" w:rsidRDefault="00325888" w:rsidP="00325888">
      <w:pPr>
        <w:pStyle w:val="BodyText"/>
      </w:pPr>
      <w:r w:rsidRPr="008D5CE5">
        <w:t>All abbreviations used in this Report are available in a complete list in volume A</w:t>
      </w:r>
      <w:r>
        <w:t>: Approach to performance reporting.</w:t>
      </w:r>
    </w:p>
    <w:p w:rsidR="000D3385" w:rsidRDefault="000D3385" w:rsidP="000D3385">
      <w:pPr>
        <w:pStyle w:val="Heading3"/>
      </w:pPr>
      <w:r>
        <w:t>Policy context</w:t>
      </w:r>
    </w:p>
    <w:p w:rsidR="000D3385" w:rsidRPr="007416EA" w:rsidRDefault="000D3385" w:rsidP="000D3385">
      <w:pPr>
        <w:pStyle w:val="BodyText"/>
        <w:rPr>
          <w:rFonts w:ascii="TimesNewRomanPSMT" w:hAnsi="TimesNewRomanPSMT" w:cs="TimesNewRomanPSMT"/>
          <w:szCs w:val="26"/>
        </w:rPr>
      </w:pPr>
      <w:r>
        <w:t xml:space="preserve">The Australian, State and Territory governments are working cooperatively to undertake national reforms in the </w:t>
      </w:r>
      <w:proofErr w:type="spellStart"/>
      <w:r w:rsidR="00955503">
        <w:t>CCET</w:t>
      </w:r>
      <w:proofErr w:type="spellEnd"/>
      <w:r w:rsidR="00A84E7A">
        <w:t xml:space="preserve"> sector.</w:t>
      </w:r>
      <w:r w:rsidR="007416EA">
        <w:t xml:space="preserve"> Details on the aspirations of</w:t>
      </w:r>
      <w:r w:rsidR="00F53FC4" w:rsidRPr="00F53FC4">
        <w:t xml:space="preserve"> </w:t>
      </w:r>
      <w:r w:rsidR="00F53FC4">
        <w:t>the Council of Australian Governments</w:t>
      </w:r>
      <w:r w:rsidR="007416EA">
        <w:t xml:space="preserve"> </w:t>
      </w:r>
      <w:r w:rsidR="00F53FC4">
        <w:t>(</w:t>
      </w:r>
      <w:proofErr w:type="spellStart"/>
      <w:r w:rsidR="007416EA">
        <w:t>COAG</w:t>
      </w:r>
      <w:proofErr w:type="spellEnd"/>
      <w:r w:rsidR="00F53FC4">
        <w:t>)</w:t>
      </w:r>
      <w:r w:rsidR="007416EA">
        <w:t xml:space="preserve"> and current initiatives are outlined in box </w:t>
      </w:r>
      <w:proofErr w:type="spellStart"/>
      <w:r w:rsidR="007416EA">
        <w:t>B.1</w:t>
      </w:r>
      <w:proofErr w:type="spellEnd"/>
      <w:r w:rsidR="007416EA">
        <w:t xml:space="preserve">. </w:t>
      </w:r>
      <w:r>
        <w:t xml:space="preserve">There </w:t>
      </w:r>
      <w:r w:rsidR="00217164">
        <w:t>are</w:t>
      </w:r>
      <w:r w:rsidR="00446480">
        <w:t xml:space="preserve"> </w:t>
      </w:r>
      <w:r w:rsidR="00CD4888">
        <w:lastRenderedPageBreak/>
        <w:t>also a range of state and t</w:t>
      </w:r>
      <w:r>
        <w:t xml:space="preserve">erritory based policy initiatives across the </w:t>
      </w:r>
      <w:proofErr w:type="spellStart"/>
      <w:r w:rsidR="00955503">
        <w:t>CCET</w:t>
      </w:r>
      <w:proofErr w:type="spellEnd"/>
      <w:r>
        <w:t xml:space="preserve"> sector t</w:t>
      </w:r>
      <w:r w:rsidR="008E28C6">
        <w:t>hat</w:t>
      </w:r>
      <w:r>
        <w:t xml:space="preserve"> support these broader </w:t>
      </w:r>
      <w:proofErr w:type="spellStart"/>
      <w:r>
        <w:t>COAG</w:t>
      </w:r>
      <w:proofErr w:type="spellEnd"/>
      <w:r>
        <w:t xml:space="preserve"> initiatives.</w:t>
      </w:r>
    </w:p>
    <w:p w:rsidR="00B832BC" w:rsidRDefault="00B832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2BC" w:rsidTr="00E6276D">
        <w:tc>
          <w:tcPr>
            <w:tcW w:w="8771" w:type="dxa"/>
            <w:tcBorders>
              <w:top w:val="single" w:sz="6" w:space="0" w:color="78A22F"/>
              <w:left w:val="nil"/>
              <w:bottom w:val="nil"/>
              <w:right w:val="nil"/>
            </w:tcBorders>
            <w:shd w:val="clear" w:color="auto" w:fill="F2F2F2"/>
          </w:tcPr>
          <w:p w:rsidR="00B832BC" w:rsidRDefault="00B832BC">
            <w:pPr>
              <w:pStyle w:val="BoxTitle"/>
            </w:pPr>
            <w:r>
              <w:rPr>
                <w:b w:val="0"/>
              </w:rPr>
              <w:t xml:space="preserve">Box </w:t>
            </w:r>
            <w:proofErr w:type="spellStart"/>
            <w:r>
              <w:rPr>
                <w:b w:val="0"/>
              </w:rPr>
              <w:t>B.</w:t>
            </w:r>
            <w:r w:rsidR="00501FB3">
              <w:rPr>
                <w:b w:val="0"/>
                <w:noProof/>
              </w:rPr>
              <w:t>1</w:t>
            </w:r>
            <w:proofErr w:type="spellEnd"/>
            <w:r>
              <w:tab/>
            </w:r>
            <w:proofErr w:type="spellStart"/>
            <w:r>
              <w:t>COAG</w:t>
            </w:r>
            <w:proofErr w:type="spellEnd"/>
            <w:r>
              <w:t xml:space="preserve"> </w:t>
            </w:r>
            <w:r w:rsidR="00A84E7A">
              <w:t xml:space="preserve">aspirations and </w:t>
            </w:r>
            <w:r>
              <w:t xml:space="preserve">initiatives in the </w:t>
            </w:r>
            <w:proofErr w:type="spellStart"/>
            <w:r>
              <w:t>CCET</w:t>
            </w:r>
            <w:proofErr w:type="spellEnd"/>
            <w:r>
              <w:t xml:space="preserve"> sector</w:t>
            </w:r>
          </w:p>
        </w:tc>
      </w:tr>
      <w:tr w:rsidR="00B832BC" w:rsidTr="00E6276D">
        <w:trPr>
          <w:cantSplit/>
        </w:trPr>
        <w:tc>
          <w:tcPr>
            <w:tcW w:w="8771" w:type="dxa"/>
            <w:tcBorders>
              <w:top w:val="nil"/>
              <w:left w:val="nil"/>
              <w:bottom w:val="nil"/>
              <w:right w:val="nil"/>
            </w:tcBorders>
            <w:shd w:val="clear" w:color="auto" w:fill="F2F2F2"/>
          </w:tcPr>
          <w:p w:rsidR="0046255F" w:rsidRDefault="0046255F" w:rsidP="0046255F">
            <w:pPr>
              <w:pStyle w:val="Box"/>
            </w:pPr>
            <w:proofErr w:type="spellStart"/>
            <w:r>
              <w:t>COAG</w:t>
            </w:r>
            <w:proofErr w:type="spellEnd"/>
            <w:r>
              <w:t xml:space="preserve"> </w:t>
            </w:r>
            <w:r w:rsidR="00E0264E">
              <w:t xml:space="preserve">aspirations and </w:t>
            </w:r>
            <w:r>
              <w:t xml:space="preserve">initiatives in the </w:t>
            </w:r>
            <w:proofErr w:type="spellStart"/>
            <w:r>
              <w:t>CCET</w:t>
            </w:r>
            <w:proofErr w:type="spellEnd"/>
            <w:r>
              <w:t xml:space="preserve"> sector include:</w:t>
            </w:r>
          </w:p>
          <w:p w:rsidR="00B832BC" w:rsidRDefault="0058707F" w:rsidP="00B832BC">
            <w:pPr>
              <w:pStyle w:val="BoxListBullet"/>
            </w:pPr>
            <w:r>
              <w:t>t</w:t>
            </w:r>
            <w:r w:rsidR="00B832BC">
              <w:t xml:space="preserve">he </w:t>
            </w:r>
            <w:r w:rsidR="00B832BC" w:rsidRPr="00E85C14">
              <w:rPr>
                <w:i/>
              </w:rPr>
              <w:t>National Early Childhood Development Strategy</w:t>
            </w:r>
            <w:r w:rsidR="00B832BC">
              <w:t xml:space="preserve"> </w:t>
            </w:r>
            <w:r w:rsidR="0046255F" w:rsidRPr="00742024">
              <w:rPr>
                <w:i/>
              </w:rPr>
              <w:t>— Investing in the Early Years</w:t>
            </w:r>
            <w:r w:rsidR="0046255F">
              <w:t xml:space="preserve"> since 2009 </w:t>
            </w:r>
            <w:r w:rsidR="00B832BC">
              <w:t>aims to improve outcomes for a</w:t>
            </w:r>
            <w:r w:rsidR="0046255F">
              <w:t>ll children and their families</w:t>
            </w:r>
          </w:p>
          <w:p w:rsidR="00B832BC" w:rsidRPr="001F2D7B" w:rsidRDefault="00BD455E" w:rsidP="00BD455E">
            <w:pPr>
              <w:pStyle w:val="BoxListBullet"/>
            </w:pPr>
            <w:r w:rsidRPr="008E5D1C">
              <w:t xml:space="preserve">the </w:t>
            </w:r>
            <w:r w:rsidRPr="00BD455E">
              <w:rPr>
                <w:i/>
              </w:rPr>
              <w:t>National Partnership Agreement on Universal Access to Early Childhood Education</w:t>
            </w:r>
            <w:r w:rsidR="0023286A">
              <w:t xml:space="preserve"> (NP </w:t>
            </w:r>
            <w:proofErr w:type="spellStart"/>
            <w:r>
              <w:t>UAECE</w:t>
            </w:r>
            <w:proofErr w:type="spellEnd"/>
            <w:r>
              <w:t>)</w:t>
            </w:r>
            <w:r w:rsidRPr="008E5D1C">
              <w:t xml:space="preserve"> covering service delivery in 2015 (replacing the</w:t>
            </w:r>
            <w:r w:rsidR="004B49BC">
              <w:t xml:space="preserve"> NP </w:t>
            </w:r>
            <w:proofErr w:type="spellStart"/>
            <w:r w:rsidR="004B49BC">
              <w:t>UAECE</w:t>
            </w:r>
            <w:proofErr w:type="spellEnd"/>
            <w:r w:rsidR="004B49BC">
              <w:t xml:space="preserve"> 2013-14 and the </w:t>
            </w:r>
            <w:r w:rsidR="004B49BC" w:rsidRPr="00F97655">
              <w:rPr>
                <w:i/>
              </w:rPr>
              <w:t>National Partnership Agreement on Early Childhood Education</w:t>
            </w:r>
            <w:r w:rsidRPr="008E5D1C">
              <w:t xml:space="preserve"> 2008-2013). The NP </w:t>
            </w:r>
            <w:proofErr w:type="spellStart"/>
            <w:r w:rsidRPr="008E5D1C">
              <w:t>UAECE</w:t>
            </w:r>
            <w:proofErr w:type="spellEnd"/>
            <w:r w:rsidRPr="008E5D1C">
              <w:t xml:space="preserve"> supports access to a preschool program in the 12 months</w:t>
            </w:r>
            <w:r w:rsidR="007325BB">
              <w:t xml:space="preserve"> prior to full time schooling</w:t>
            </w:r>
          </w:p>
          <w:p w:rsidR="0046255F" w:rsidRDefault="0046255F" w:rsidP="0046255F">
            <w:pPr>
              <w:pStyle w:val="BoxListBullet"/>
            </w:pPr>
            <w:r w:rsidRPr="00B77CA0">
              <w:t xml:space="preserve">the </w:t>
            </w:r>
            <w:r w:rsidRPr="00BE1ABC">
              <w:rPr>
                <w:i/>
              </w:rPr>
              <w:t>National Partnership Agreement on the National Quality Agenda for Early Childhood Education and Care</w:t>
            </w:r>
            <w:r w:rsidRPr="009150E2">
              <w:t>.</w:t>
            </w:r>
            <w:r>
              <w:t xml:space="preserve"> This incorporates </w:t>
            </w:r>
            <w:r w:rsidRPr="00B77CA0">
              <w:t>a</w:t>
            </w:r>
            <w:r w:rsidR="000C11EA">
              <w:t xml:space="preserve"> National Quality Framework</w:t>
            </w:r>
            <w:r w:rsidRPr="00B77CA0">
              <w:t xml:space="preserve"> </w:t>
            </w:r>
            <w:r w:rsidR="000C11EA">
              <w:t>(</w:t>
            </w:r>
            <w:proofErr w:type="spellStart"/>
            <w:r>
              <w:t>NQF</w:t>
            </w:r>
            <w:proofErr w:type="spellEnd"/>
            <w:r w:rsidR="000C11EA">
              <w:t>)</w:t>
            </w:r>
            <w:r w:rsidRPr="000922E4">
              <w:t xml:space="preserve"> for </w:t>
            </w:r>
            <w:proofErr w:type="spellStart"/>
            <w:r w:rsidR="000C11EA">
              <w:t>ECEC</w:t>
            </w:r>
            <w:proofErr w:type="spellEnd"/>
            <w:r>
              <w:t xml:space="preserve"> and </w:t>
            </w:r>
            <w:r w:rsidRPr="00B77CA0">
              <w:t xml:space="preserve">a </w:t>
            </w:r>
            <w:r w:rsidRPr="000922E4">
              <w:t>National Quality Standard</w:t>
            </w:r>
            <w:r>
              <w:t xml:space="preserve"> </w:t>
            </w:r>
            <w:r w:rsidRPr="00B77CA0">
              <w:t xml:space="preserve">to ensure high quality and consistent </w:t>
            </w:r>
            <w:proofErr w:type="spellStart"/>
            <w:r>
              <w:t>ECEC</w:t>
            </w:r>
            <w:proofErr w:type="spellEnd"/>
            <w:r w:rsidRPr="00B77CA0">
              <w:t xml:space="preserve"> across Australia</w:t>
            </w:r>
            <w:r>
              <w:t>, including</w:t>
            </w:r>
            <w:r w:rsidRPr="00B77CA0">
              <w:t xml:space="preserve"> streamlined regulatory approaches, a</w:t>
            </w:r>
            <w:r>
              <w:t xml:space="preserve">n assessment and </w:t>
            </w:r>
            <w:r w:rsidRPr="00B77CA0">
              <w:t xml:space="preserve">rating system and an </w:t>
            </w:r>
            <w:r w:rsidRPr="003E3AC1">
              <w:rPr>
                <w:i/>
              </w:rPr>
              <w:t>Early Years Learning Framework</w:t>
            </w:r>
            <w:r>
              <w:t xml:space="preserve"> and a </w:t>
            </w:r>
            <w:r w:rsidRPr="003E3AC1">
              <w:rPr>
                <w:i/>
              </w:rPr>
              <w:t>Framewo</w:t>
            </w:r>
            <w:r w:rsidR="00D2598E">
              <w:rPr>
                <w:i/>
              </w:rPr>
              <w:t>rk for School Age Care</w:t>
            </w:r>
          </w:p>
          <w:p w:rsidR="00A82317" w:rsidRPr="00BE1ABC" w:rsidRDefault="00A82317" w:rsidP="0046255F">
            <w:pPr>
              <w:pStyle w:val="BoxListBullet"/>
            </w:pPr>
            <w:r>
              <w:t xml:space="preserve">the </w:t>
            </w:r>
            <w:r w:rsidRPr="00A82317">
              <w:rPr>
                <w:i/>
              </w:rPr>
              <w:t>Students First — National Education Reform Agreement</w:t>
            </w:r>
            <w:r>
              <w:t xml:space="preserve"> sets out the shared objective that Australian schooling should provide high quality and equitable education for all students</w:t>
            </w:r>
          </w:p>
          <w:p w:rsidR="00B832BC" w:rsidRDefault="0058707F" w:rsidP="00B832BC">
            <w:pPr>
              <w:pStyle w:val="BoxListBullet"/>
            </w:pPr>
            <w:r>
              <w:t>t</w:t>
            </w:r>
            <w:r w:rsidR="00B832BC">
              <w:t xml:space="preserve">he </w:t>
            </w:r>
            <w:r w:rsidR="00B832BC" w:rsidRPr="00933151">
              <w:rPr>
                <w:i/>
              </w:rPr>
              <w:t>National Education Agreement</w:t>
            </w:r>
            <w:r w:rsidR="00B832BC">
              <w:t xml:space="preserve"> (NEA) </w:t>
            </w:r>
            <w:r w:rsidR="00684F8B">
              <w:t xml:space="preserve">aspires for </w:t>
            </w:r>
            <w:r w:rsidR="00E0264E" w:rsidRPr="00192163">
              <w:t xml:space="preserve">all Australian school students </w:t>
            </w:r>
            <w:r w:rsidR="00684F8B">
              <w:t xml:space="preserve">to </w:t>
            </w:r>
            <w:r w:rsidR="00E0264E" w:rsidRPr="00192163">
              <w:t>acquire the knowledge and skills to participate effectively in society and employment in a globalised economy</w:t>
            </w:r>
          </w:p>
          <w:p w:rsidR="00B832BC" w:rsidRDefault="0058707F" w:rsidP="00B832BC">
            <w:pPr>
              <w:pStyle w:val="BoxListBullet"/>
            </w:pPr>
            <w:r>
              <w:t>t</w:t>
            </w:r>
            <w:r w:rsidR="00B832BC" w:rsidRPr="006C5C24">
              <w:t xml:space="preserve">he </w:t>
            </w:r>
            <w:r w:rsidR="00B832BC" w:rsidRPr="00E85C14">
              <w:rPr>
                <w:i/>
              </w:rPr>
              <w:t>National Agreement for Skills and Workforce Development</w:t>
            </w:r>
            <w:r w:rsidR="00B832BC" w:rsidRPr="006C5C24">
              <w:t xml:space="preserve"> (</w:t>
            </w:r>
            <w:proofErr w:type="spellStart"/>
            <w:r w:rsidR="00B832BC" w:rsidRPr="006C5C24">
              <w:t>NASWD</w:t>
            </w:r>
            <w:proofErr w:type="spellEnd"/>
            <w:r w:rsidR="00B832BC" w:rsidRPr="006C5C24">
              <w:t xml:space="preserve">) </w:t>
            </w:r>
            <w:r w:rsidR="00E0264E">
              <w:t xml:space="preserve">aspires to </w:t>
            </w:r>
            <w:r w:rsidR="00E0264E" w:rsidRPr="00E0264E">
              <w:t xml:space="preserve">achieve a VET system that delivers a more productive and highly skilled workforce, enabling all working age Australians to participate effectively in the labour market and contribute to Australia’s economic future </w:t>
            </w:r>
          </w:p>
          <w:p w:rsidR="00B832BC" w:rsidRDefault="0058707F" w:rsidP="00372AF0">
            <w:pPr>
              <w:pStyle w:val="BoxListBullet"/>
              <w:rPr>
                <w:szCs w:val="24"/>
              </w:rPr>
            </w:pPr>
            <w:r>
              <w:t>t</w:t>
            </w:r>
            <w:r w:rsidR="00B832BC">
              <w:t xml:space="preserve">he Australian Government and State and Territory governments have also agreed to a number of </w:t>
            </w:r>
            <w:r w:rsidR="00E0264E">
              <w:t xml:space="preserve">other </w:t>
            </w:r>
            <w:r w:rsidR="00B832BC">
              <w:t>National Partnerships and agreements related to education and training</w:t>
            </w:r>
            <w:r w:rsidR="000C11EA">
              <w:t xml:space="preserve">. Further </w:t>
            </w:r>
            <w:r w:rsidR="00364272" w:rsidRPr="002245D9">
              <w:t xml:space="preserve">information is available at </w:t>
            </w:r>
            <w:proofErr w:type="spellStart"/>
            <w:r w:rsidR="00364272" w:rsidRPr="002245D9">
              <w:t>www.federalfinancialrelations.gov.au</w:t>
            </w:r>
            <w:proofErr w:type="spellEnd"/>
            <w:r w:rsidR="00364272" w:rsidRPr="002245D9">
              <w:t>.</w:t>
            </w:r>
          </w:p>
        </w:tc>
      </w:tr>
      <w:tr w:rsidR="00B832BC" w:rsidTr="00E6276D">
        <w:trPr>
          <w:cantSplit/>
        </w:trPr>
        <w:tc>
          <w:tcPr>
            <w:tcW w:w="8771" w:type="dxa"/>
            <w:tcBorders>
              <w:top w:val="nil"/>
              <w:left w:val="nil"/>
              <w:bottom w:val="single" w:sz="6" w:space="0" w:color="78A22F"/>
              <w:right w:val="nil"/>
            </w:tcBorders>
            <w:shd w:val="clear" w:color="auto" w:fill="F2F2F2"/>
          </w:tcPr>
          <w:p w:rsidR="00B832BC" w:rsidRDefault="00B832BC">
            <w:pPr>
              <w:pStyle w:val="Box"/>
              <w:spacing w:before="0" w:line="120" w:lineRule="exact"/>
            </w:pPr>
          </w:p>
        </w:tc>
      </w:tr>
      <w:tr w:rsidR="00B832BC" w:rsidRPr="000863A5" w:rsidTr="00E6276D">
        <w:tc>
          <w:tcPr>
            <w:tcW w:w="8771" w:type="dxa"/>
            <w:tcBorders>
              <w:top w:val="single" w:sz="6" w:space="0" w:color="78A22F"/>
              <w:left w:val="nil"/>
              <w:bottom w:val="nil"/>
              <w:right w:val="nil"/>
            </w:tcBorders>
          </w:tcPr>
          <w:p w:rsidR="00B832BC" w:rsidRPr="00626D32" w:rsidRDefault="00B832BC" w:rsidP="00E6276D">
            <w:pPr>
              <w:pStyle w:val="BoxSpaceBelow"/>
            </w:pPr>
          </w:p>
        </w:tc>
      </w:tr>
    </w:tbl>
    <w:p w:rsidR="00A0590B" w:rsidRDefault="000D3385" w:rsidP="000D3385">
      <w:pPr>
        <w:pStyle w:val="Heading3"/>
      </w:pPr>
      <w:r>
        <w:t>Sector scope</w:t>
      </w:r>
    </w:p>
    <w:p w:rsidR="000C11EA" w:rsidRDefault="00FE7252" w:rsidP="00FE7252">
      <w:pPr>
        <w:pStyle w:val="BodyText"/>
      </w:pPr>
      <w:r>
        <w:t>The child care, education and training sector</w:t>
      </w:r>
      <w:r w:rsidRPr="00EC5F9D">
        <w:t xml:space="preserve"> services covered in this Report</w:t>
      </w:r>
      <w:r>
        <w:t xml:space="preserve"> comprise</w:t>
      </w:r>
      <w:r w:rsidR="000C11EA">
        <w:t>:</w:t>
      </w:r>
    </w:p>
    <w:p w:rsidR="000C11EA" w:rsidRDefault="00FE7252" w:rsidP="00372AF0">
      <w:pPr>
        <w:pStyle w:val="ListBullet"/>
      </w:pPr>
      <w:proofErr w:type="spellStart"/>
      <w:r w:rsidRPr="00FD0BE0">
        <w:t>ECEC</w:t>
      </w:r>
      <w:proofErr w:type="spellEnd"/>
      <w:r w:rsidR="000C11EA">
        <w:t xml:space="preserve"> (chapter 3)</w:t>
      </w:r>
      <w:r>
        <w:t xml:space="preserve"> </w:t>
      </w:r>
      <w:r w:rsidR="00FD0BE0">
        <w:t xml:space="preserve"> - reports on services related to early childhood, comprising </w:t>
      </w:r>
      <w:r>
        <w:t>child care and preschool</w:t>
      </w:r>
      <w:r w:rsidR="00FD0BE0">
        <w:t xml:space="preserve"> services. </w:t>
      </w:r>
    </w:p>
    <w:p w:rsidR="000C11EA" w:rsidRDefault="00FE7252" w:rsidP="00372AF0">
      <w:pPr>
        <w:pStyle w:val="ListBullet"/>
      </w:pPr>
      <w:r>
        <w:t>school education</w:t>
      </w:r>
      <w:r w:rsidR="000C11EA">
        <w:t xml:space="preserve"> (chapter 4)</w:t>
      </w:r>
      <w:r w:rsidR="00FD0BE0">
        <w:t xml:space="preserve"> – reports on formal schooling, consisting of </w:t>
      </w:r>
      <w:r w:rsidR="00FD0BE0" w:rsidRPr="0016191F">
        <w:t>six to eight years of primary school education followed by five to six years of secondary schooling</w:t>
      </w:r>
    </w:p>
    <w:p w:rsidR="00EE7C51" w:rsidRPr="00F14060" w:rsidRDefault="00FE7252" w:rsidP="00EE7C51">
      <w:pPr>
        <w:pStyle w:val="ListBullet"/>
      </w:pPr>
      <w:r w:rsidRPr="00F14060">
        <w:t>VET</w:t>
      </w:r>
      <w:r w:rsidR="000C11EA" w:rsidRPr="00F14060">
        <w:t xml:space="preserve"> (chapter 5)</w:t>
      </w:r>
      <w:r w:rsidR="00FD0BE0" w:rsidRPr="00F14060">
        <w:t xml:space="preserve"> – </w:t>
      </w:r>
      <w:r w:rsidR="00EE7C51" w:rsidRPr="00F14060">
        <w:t xml:space="preserve">reports on government funded </w:t>
      </w:r>
      <w:r w:rsidR="00D2598E" w:rsidRPr="00F14060">
        <w:t xml:space="preserve">VET </w:t>
      </w:r>
      <w:r w:rsidR="00EE7C51" w:rsidRPr="00F14060">
        <w:t xml:space="preserve">activity </w:t>
      </w:r>
      <w:r w:rsidR="00D2598E" w:rsidRPr="00F14060">
        <w:t xml:space="preserve">delivered by </w:t>
      </w:r>
      <w:r w:rsidR="00EE7C51" w:rsidRPr="00F14060">
        <w:t xml:space="preserve">technical and further education (TAFE) institutes and </w:t>
      </w:r>
      <w:r w:rsidR="00D2598E" w:rsidRPr="00F14060">
        <w:t>other government VET providers (including multi-sector higher education institutions), community education providers and other registered providers.</w:t>
      </w:r>
    </w:p>
    <w:p w:rsidR="00FE7252" w:rsidRPr="00773D8B" w:rsidRDefault="00773D8B" w:rsidP="00FE7252">
      <w:pPr>
        <w:pStyle w:val="BodyText"/>
        <w:rPr>
          <w:color w:val="800080"/>
        </w:rPr>
      </w:pPr>
      <w:r>
        <w:lastRenderedPageBreak/>
        <w:t xml:space="preserve">The inclusion of higher education in the sector overview results in a broader scope than the three service-specific chapters in this section. </w:t>
      </w:r>
    </w:p>
    <w:p w:rsidR="00FC4675" w:rsidRDefault="00FC4675" w:rsidP="000D3385">
      <w:pPr>
        <w:pStyle w:val="Heading3"/>
      </w:pPr>
      <w:r>
        <w:t>Profile</w:t>
      </w:r>
      <w:r w:rsidR="00FD0BE0">
        <w:t xml:space="preserve"> of the </w:t>
      </w:r>
      <w:proofErr w:type="spellStart"/>
      <w:r w:rsidR="00FD0BE0">
        <w:t>CCET</w:t>
      </w:r>
      <w:proofErr w:type="spellEnd"/>
      <w:r w:rsidR="00FD0BE0">
        <w:t xml:space="preserve"> sector</w:t>
      </w:r>
    </w:p>
    <w:p w:rsidR="00FC3F6C" w:rsidRPr="00AC617B" w:rsidRDefault="00FC3F6C" w:rsidP="00684F8B">
      <w:pPr>
        <w:pStyle w:val="BodyText"/>
      </w:pPr>
      <w:r w:rsidRPr="00AC617B">
        <w:t xml:space="preserve">This section examines the size and scope of the </w:t>
      </w:r>
      <w:proofErr w:type="spellStart"/>
      <w:r w:rsidR="00F048B0">
        <w:t>CCET</w:t>
      </w:r>
      <w:proofErr w:type="spellEnd"/>
      <w:r w:rsidRPr="00AC617B">
        <w:t xml:space="preserve"> sector and the role of government in providing </w:t>
      </w:r>
      <w:proofErr w:type="spellStart"/>
      <w:r w:rsidR="00F048B0">
        <w:t>CCET</w:t>
      </w:r>
      <w:proofErr w:type="spellEnd"/>
      <w:r>
        <w:t xml:space="preserve"> </w:t>
      </w:r>
      <w:r w:rsidRPr="00AC617B">
        <w:t>services.</w:t>
      </w:r>
      <w:r>
        <w:t xml:space="preserve"> Detailed profiles for</w:t>
      </w:r>
      <w:r w:rsidRPr="00AC617B">
        <w:t xml:space="preserve"> the </w:t>
      </w:r>
      <w:r>
        <w:t>services within</w:t>
      </w:r>
      <w:r w:rsidRPr="00AC617B">
        <w:t xml:space="preserve"> the </w:t>
      </w:r>
      <w:proofErr w:type="spellStart"/>
      <w:r w:rsidR="00F048B0">
        <w:t>CCET</w:t>
      </w:r>
      <w:proofErr w:type="spellEnd"/>
      <w:r w:rsidRPr="00AC617B">
        <w:t xml:space="preserve"> sector </w:t>
      </w:r>
      <w:r>
        <w:t>are reported in</w:t>
      </w:r>
      <w:r w:rsidDel="00D9267F">
        <w:t xml:space="preserve"> </w:t>
      </w:r>
      <w:r w:rsidR="00684F8B">
        <w:t xml:space="preserve">chapters 3, 4 and 5, and cover the </w:t>
      </w:r>
      <w:r>
        <w:t>size and scope of the individual service types</w:t>
      </w:r>
      <w:r w:rsidR="00684F8B">
        <w:t xml:space="preserve"> and </w:t>
      </w:r>
      <w:r w:rsidR="000954F8">
        <w:t>funding</w:t>
      </w:r>
      <w:r>
        <w:t>.</w:t>
      </w:r>
    </w:p>
    <w:p w:rsidR="008163F4" w:rsidRDefault="000D3385" w:rsidP="000D3385">
      <w:pPr>
        <w:pStyle w:val="Heading4"/>
      </w:pPr>
      <w:r>
        <w:t>Sector outline</w:t>
      </w:r>
    </w:p>
    <w:p w:rsidR="00570816" w:rsidRDefault="0057274D" w:rsidP="00570816">
      <w:pPr>
        <w:pStyle w:val="BodyText"/>
      </w:pPr>
      <w:r>
        <w:t>Figure</w:t>
      </w:r>
      <w:r w:rsidR="0072496E">
        <w:t xml:space="preserve"> </w:t>
      </w:r>
      <w:proofErr w:type="spellStart"/>
      <w:r w:rsidR="0072496E">
        <w:t>B.1</w:t>
      </w:r>
      <w:proofErr w:type="spellEnd"/>
      <w:r w:rsidR="00570816" w:rsidRPr="00CD33DD">
        <w:t xml:space="preserve"> </w:t>
      </w:r>
      <w:r w:rsidR="00570816">
        <w:t xml:space="preserve">provides an outline of the </w:t>
      </w:r>
      <w:r w:rsidR="00FD0BE0">
        <w:t xml:space="preserve">formal </w:t>
      </w:r>
      <w:r w:rsidR="00F048B0">
        <w:t>education and training</w:t>
      </w:r>
      <w:r w:rsidR="00570816">
        <w:t xml:space="preserve"> system, from </w:t>
      </w:r>
      <w:r w:rsidR="00570816" w:rsidRPr="00437223">
        <w:t xml:space="preserve">preschool through the years of compulsory schooling and </w:t>
      </w:r>
      <w:r w:rsidR="00570816">
        <w:t>to post school education</w:t>
      </w:r>
      <w:r w:rsidR="00570816" w:rsidRPr="00437223">
        <w:t>.</w:t>
      </w:r>
    </w:p>
    <w:p w:rsidR="008163F4" w:rsidRDefault="001538B4" w:rsidP="005B1170">
      <w:pPr>
        <w:pStyle w:val="BodyText"/>
      </w:pPr>
      <w:r>
        <w:t xml:space="preserve">Child care services refer to formal services provided to children aged 0–12 years. Preschool services deliver </w:t>
      </w:r>
      <w:r w:rsidR="00BD455E">
        <w:t xml:space="preserve">a preschool program by a </w:t>
      </w:r>
      <w:r>
        <w:t xml:space="preserve">qualified teacher to children, mainly in the year or two before they begin full time schooling. </w:t>
      </w:r>
      <w:r w:rsidR="008163F4" w:rsidRPr="00CD33DD">
        <w:t xml:space="preserve">Depending on the </w:t>
      </w:r>
      <w:r w:rsidR="00CD4888">
        <w:t>s</w:t>
      </w:r>
      <w:r w:rsidR="008163F4" w:rsidRPr="00CD33DD">
        <w:t xml:space="preserve">tate or </w:t>
      </w:r>
      <w:r w:rsidR="00CD4888">
        <w:t>t</w:t>
      </w:r>
      <w:r w:rsidR="008163F4" w:rsidRPr="00CD33DD">
        <w:t xml:space="preserve">erritory, the compulsory years of </w:t>
      </w:r>
      <w:r w:rsidR="00446480">
        <w:t>full time</w:t>
      </w:r>
      <w:r w:rsidR="008163F4" w:rsidRPr="00CD33DD">
        <w:t xml:space="preserve"> schooling </w:t>
      </w:r>
      <w:r w:rsidR="00574598">
        <w:t>commence</w:t>
      </w:r>
      <w:r w:rsidR="008D51E3">
        <w:t xml:space="preserve"> </w:t>
      </w:r>
      <w:r w:rsidR="008163F4" w:rsidRPr="00DE49AD">
        <w:t>from 5 or 6 years</w:t>
      </w:r>
      <w:r w:rsidR="004D164B">
        <w:t xml:space="preserve"> of age</w:t>
      </w:r>
      <w:r w:rsidR="008D51E3">
        <w:t>.</w:t>
      </w:r>
      <w:r w:rsidR="008163F4" w:rsidRPr="00DE49AD">
        <w:t xml:space="preserve"> </w:t>
      </w:r>
      <w:r w:rsidR="008D51E3">
        <w:t xml:space="preserve">The National Youth Participation Requirement includes a mandatory requirement for young people to participate in schooling (in school or an approved equivalent) until they complete year 10 </w:t>
      </w:r>
      <w:r w:rsidR="008163F4" w:rsidRPr="00DE49AD">
        <w:t xml:space="preserve">(see section 4.1 </w:t>
      </w:r>
      <w:r w:rsidR="00494AEA">
        <w:t xml:space="preserve">of the School education chapter </w:t>
      </w:r>
      <w:r w:rsidR="008163F4" w:rsidRPr="00DE49AD">
        <w:t>for</w:t>
      </w:r>
      <w:r w:rsidR="008D51E3">
        <w:t xml:space="preserve"> more details).</w:t>
      </w:r>
    </w:p>
    <w:p w:rsidR="00665D92" w:rsidRDefault="00665D92" w:rsidP="00723EBD">
      <w:pPr>
        <w:pStyle w:val="BodyText"/>
      </w:pPr>
      <w:r w:rsidRPr="00C457E9">
        <w:t xml:space="preserve">The traditional view that formal learning progresses in a linear fashion from secondary school to either VET or university has shifted over the </w:t>
      </w:r>
      <w:r w:rsidR="002D2924">
        <w:t>p</w:t>
      </w:r>
      <w:r w:rsidRPr="00C457E9">
        <w:t xml:space="preserve">ast decade. </w:t>
      </w:r>
      <w:r>
        <w:t>Research indicates that t</w:t>
      </w:r>
      <w:r w:rsidRPr="00C457E9">
        <w:t>oday there are many learning pathways that an individual m</w:t>
      </w:r>
      <w:r w:rsidR="002D2924">
        <w:t>ight</w:t>
      </w:r>
      <w:r w:rsidRPr="00C457E9">
        <w:t xml:space="preserve"> take</w:t>
      </w:r>
      <w:r w:rsidR="00312553">
        <w:t xml:space="preserve"> </w:t>
      </w:r>
      <w:r w:rsidR="00142AFA">
        <w:t xml:space="preserve">over their lifetime </w:t>
      </w:r>
      <w:r w:rsidR="00312553">
        <w:t xml:space="preserve">between </w:t>
      </w:r>
      <w:r w:rsidR="00142AFA">
        <w:t xml:space="preserve">the </w:t>
      </w:r>
      <w:r w:rsidR="00312553">
        <w:t>school, VET and university</w:t>
      </w:r>
      <w:r w:rsidR="00142AFA">
        <w:t xml:space="preserve"> sectors</w:t>
      </w:r>
      <w:r w:rsidR="008E0C1D">
        <w:t>.</w:t>
      </w:r>
      <w:r w:rsidRPr="00C457E9">
        <w:t xml:space="preserve"> </w:t>
      </w:r>
      <w:r w:rsidR="00312553">
        <w:t>In addition</w:t>
      </w:r>
      <w:r w:rsidR="00570816">
        <w:t>,</w:t>
      </w:r>
      <w:r w:rsidR="00312553">
        <w:t xml:space="preserve"> p</w:t>
      </w:r>
      <w:r w:rsidRPr="00C457E9">
        <w:t xml:space="preserve">eople may </w:t>
      </w:r>
      <w:r w:rsidR="00142AFA">
        <w:t xml:space="preserve">work in </w:t>
      </w:r>
      <w:r w:rsidRPr="00C457E9">
        <w:t xml:space="preserve">a range of </w:t>
      </w:r>
      <w:r w:rsidR="00142AFA">
        <w:t xml:space="preserve">roles and industries </w:t>
      </w:r>
      <w:r w:rsidRPr="00C457E9">
        <w:t xml:space="preserve">and continue to learn throughout </w:t>
      </w:r>
      <w:r w:rsidR="00A20477">
        <w:t>their lives</w:t>
      </w:r>
      <w:r>
        <w:t xml:space="preserve"> </w:t>
      </w:r>
      <w:r w:rsidR="00312553">
        <w:t>including</w:t>
      </w:r>
      <w:r w:rsidR="00142AFA">
        <w:t>,</w:t>
      </w:r>
      <w:r w:rsidR="00312553">
        <w:t xml:space="preserve"> for example</w:t>
      </w:r>
      <w:r w:rsidR="00142AFA">
        <w:t>,</w:t>
      </w:r>
      <w:r w:rsidR="00312553">
        <w:t xml:space="preserve"> mature age students return</w:t>
      </w:r>
      <w:r w:rsidR="00C22C6A">
        <w:t>ing</w:t>
      </w:r>
      <w:r w:rsidR="00312553">
        <w:t xml:space="preserve"> to complete senior schooling qualifications</w:t>
      </w:r>
      <w:r w:rsidR="00C24C75">
        <w:t>.</w:t>
      </w:r>
      <w:r w:rsidR="00C22C6A">
        <w:t xml:space="preserve"> </w:t>
      </w:r>
      <w:r w:rsidR="00C24C75">
        <w:t>This shift reflects the changing needs of individuals and the workplace and the recognition that education and training is a dynamic process, which has been facilitated by gover</w:t>
      </w:r>
      <w:r w:rsidR="00633474">
        <w:t>nment funded policy initiatives</w:t>
      </w:r>
      <w:r w:rsidRPr="00631782">
        <w:t>.</w:t>
      </w:r>
      <w:r w:rsidR="00FD0BE0">
        <w:t xml:space="preserve"> </w:t>
      </w:r>
      <w:r w:rsidR="00356525">
        <w:t>R</w:t>
      </w:r>
      <w:r>
        <w:t xml:space="preserve">esearch also shows that most disadvantaged students are more likely to follow </w:t>
      </w:r>
      <w:proofErr w:type="spellStart"/>
      <w:r>
        <w:t>non</w:t>
      </w:r>
      <w:r w:rsidR="000117A0">
        <w:noBreakHyphen/>
      </w:r>
      <w:r>
        <w:t>linear</w:t>
      </w:r>
      <w:proofErr w:type="spellEnd"/>
      <w:r>
        <w:t xml:space="preserve"> or fragmented pathways of education (Abbott</w:t>
      </w:r>
      <w:r w:rsidR="000117A0">
        <w:noBreakHyphen/>
      </w:r>
      <w:r w:rsidR="000959B3">
        <w:t>Chapman</w:t>
      </w:r>
      <w:r>
        <w:t xml:space="preserve"> 2011).</w:t>
      </w:r>
    </w:p>
    <w:p w:rsidR="00C8417E" w:rsidRDefault="00C8417E" w:rsidP="005B3E3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17E" w:rsidRPr="00F14060" w:rsidTr="005B3E30">
        <w:tc>
          <w:tcPr>
            <w:tcW w:w="8771" w:type="dxa"/>
            <w:tcBorders>
              <w:top w:val="single" w:sz="6" w:space="0" w:color="78A22F"/>
              <w:left w:val="nil"/>
              <w:bottom w:val="nil"/>
              <w:right w:val="nil"/>
            </w:tcBorders>
            <w:shd w:val="clear" w:color="auto" w:fill="auto"/>
          </w:tcPr>
          <w:p w:rsidR="00C8417E" w:rsidRPr="00F14060" w:rsidRDefault="00C8417E" w:rsidP="00C8417E">
            <w:pPr>
              <w:pStyle w:val="FigureTitle"/>
            </w:pPr>
            <w:r w:rsidRPr="00F14060">
              <w:rPr>
                <w:b w:val="0"/>
              </w:rPr>
              <w:t xml:space="preserve">Figure </w:t>
            </w:r>
            <w:proofErr w:type="spellStart"/>
            <w:r w:rsidRPr="00F14060">
              <w:rPr>
                <w:b w:val="0"/>
              </w:rPr>
              <w:t>B.</w:t>
            </w:r>
            <w:r w:rsidR="00501FB3">
              <w:rPr>
                <w:b w:val="0"/>
                <w:noProof/>
              </w:rPr>
              <w:t>1</w:t>
            </w:r>
            <w:proofErr w:type="spellEnd"/>
            <w:r w:rsidRPr="00F14060">
              <w:tab/>
              <w:t>Outline of the Australian education and training system</w:t>
            </w:r>
            <w:r w:rsidRPr="00F14060">
              <w:rPr>
                <w:rStyle w:val="NoteLabel"/>
                <w:b/>
              </w:rPr>
              <w:t>a, b</w:t>
            </w:r>
            <w:r w:rsidR="006C5B9B" w:rsidRPr="00F14060">
              <w:rPr>
                <w:rStyle w:val="NoteLabel"/>
                <w:b/>
              </w:rPr>
              <w:t>, c</w:t>
            </w:r>
          </w:p>
        </w:tc>
      </w:tr>
      <w:tr w:rsidR="00C8417E" w:rsidRPr="00F14060" w:rsidTr="005B3E3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8417E" w:rsidRPr="00F14060" w:rsidTr="005B3E30">
              <w:trPr>
                <w:jc w:val="center"/>
              </w:trPr>
              <w:tc>
                <w:tcPr>
                  <w:tcW w:w="5000" w:type="pct"/>
                  <w:tcBorders>
                    <w:top w:val="nil"/>
                    <w:bottom w:val="nil"/>
                  </w:tcBorders>
                </w:tcPr>
                <w:p w:rsidR="00C8417E" w:rsidRPr="00F14060" w:rsidRDefault="00F72BFA" w:rsidP="005B3E30">
                  <w:pPr>
                    <w:pStyle w:val="Figure"/>
                    <w:spacing w:before="60" w:after="60"/>
                  </w:pPr>
                  <w:r w:rsidRPr="00F14060">
                    <w:rPr>
                      <w:noProof/>
                    </w:rPr>
                    <w:drawing>
                      <wp:inline distT="0" distB="0" distL="0" distR="0" wp14:anchorId="6DCF2F6B" wp14:editId="405B1DCC">
                        <wp:extent cx="5391150" cy="6305550"/>
                        <wp:effectExtent l="0" t="0" r="0" b="0"/>
                        <wp:docPr id="6" name="Picture 6" descr="Figure B.1 Outline of the Australian education and training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6305550"/>
                                </a:xfrm>
                                <a:prstGeom prst="rect">
                                  <a:avLst/>
                                </a:prstGeom>
                                <a:noFill/>
                                <a:ln>
                                  <a:noFill/>
                                </a:ln>
                              </pic:spPr>
                            </pic:pic>
                          </a:graphicData>
                        </a:graphic>
                      </wp:inline>
                    </w:drawing>
                  </w:r>
                </w:p>
              </w:tc>
            </w:tr>
          </w:tbl>
          <w:p w:rsidR="00C8417E" w:rsidRPr="00F14060" w:rsidRDefault="00C8417E" w:rsidP="005B3E30">
            <w:pPr>
              <w:pStyle w:val="Figure"/>
            </w:pPr>
          </w:p>
        </w:tc>
      </w:tr>
      <w:tr w:rsidR="00C8417E" w:rsidRPr="00F14060" w:rsidTr="005B3E30">
        <w:tc>
          <w:tcPr>
            <w:tcW w:w="8771" w:type="dxa"/>
            <w:tcBorders>
              <w:top w:val="nil"/>
              <w:left w:val="nil"/>
              <w:bottom w:val="nil"/>
              <w:right w:val="nil"/>
            </w:tcBorders>
            <w:shd w:val="clear" w:color="auto" w:fill="auto"/>
          </w:tcPr>
          <w:p w:rsidR="00C8417E" w:rsidRPr="00F14060" w:rsidRDefault="00C8417E" w:rsidP="00FD0BE0">
            <w:pPr>
              <w:pStyle w:val="Note"/>
            </w:pPr>
            <w:proofErr w:type="spellStart"/>
            <w:r w:rsidRPr="00F14060">
              <w:rPr>
                <w:rStyle w:val="NoteLabel"/>
              </w:rPr>
              <w:t>a</w:t>
            </w:r>
            <w:proofErr w:type="spellEnd"/>
            <w:r w:rsidRPr="00F14060">
              <w:t xml:space="preserve"> There are different starting ages for preschool (see table </w:t>
            </w:r>
            <w:proofErr w:type="spellStart"/>
            <w:r w:rsidRPr="00F14060">
              <w:t>3A.1</w:t>
            </w:r>
            <w:proofErr w:type="spellEnd"/>
            <w:r w:rsidRPr="00F14060">
              <w:t>) and school education (see section 4.1) across jurisdictions. The name of the first year of primary education (Pre</w:t>
            </w:r>
            <w:r w:rsidRPr="00F14060">
              <w:noBreakHyphen/>
              <w:t xml:space="preserve">Year 1) also varies across jurisdictions. </w:t>
            </w:r>
            <w:r w:rsidRPr="00F14060">
              <w:rPr>
                <w:rStyle w:val="NoteLabel"/>
              </w:rPr>
              <w:t xml:space="preserve">b </w:t>
            </w:r>
            <w:r w:rsidRPr="00F14060">
              <w:t>Providers deliver qualifications in more than one sector, all subject to meeting the relevant quality assurance requirements.</w:t>
            </w:r>
            <w:r w:rsidR="00364695" w:rsidRPr="00F14060">
              <w:rPr>
                <w:rStyle w:val="NoteLabel"/>
              </w:rPr>
              <w:t>c</w:t>
            </w:r>
            <w:r w:rsidR="00364695" w:rsidRPr="00F14060">
              <w:rPr>
                <w:rStyle w:val="NoteLabel"/>
                <w:b w:val="0"/>
              </w:rPr>
              <w:t xml:space="preserve"> </w:t>
            </w:r>
            <w:r w:rsidR="00364695" w:rsidRPr="00F14060">
              <w:t>The Australian Qualifications Framework (</w:t>
            </w:r>
            <w:proofErr w:type="spellStart"/>
            <w:r w:rsidR="00364695" w:rsidRPr="00F14060">
              <w:t>AQF</w:t>
            </w:r>
            <w:proofErr w:type="spellEnd"/>
            <w:r w:rsidR="00364695" w:rsidRPr="00F14060">
              <w:t xml:space="preserve">) is the national policy for regulated qualifications in Australian education and training. It incorporates the qualifications from each education and training sector into a single comprehensive national system of qualifications, encompassing higher education, VET and schools. The </w:t>
            </w:r>
            <w:proofErr w:type="spellStart"/>
            <w:r w:rsidR="00364695" w:rsidRPr="00F14060">
              <w:t>AQF</w:t>
            </w:r>
            <w:proofErr w:type="spellEnd"/>
            <w:r w:rsidR="00364695" w:rsidRPr="00F14060">
              <w:t xml:space="preserve"> has 10 levels.</w:t>
            </w:r>
          </w:p>
        </w:tc>
      </w:tr>
      <w:tr w:rsidR="00C8417E" w:rsidRPr="00176D3F" w:rsidTr="005B3E30">
        <w:tc>
          <w:tcPr>
            <w:tcW w:w="8771" w:type="dxa"/>
            <w:tcBorders>
              <w:top w:val="nil"/>
              <w:left w:val="nil"/>
              <w:bottom w:val="nil"/>
              <w:right w:val="nil"/>
            </w:tcBorders>
            <w:shd w:val="clear" w:color="auto" w:fill="auto"/>
          </w:tcPr>
          <w:p w:rsidR="00C8417E" w:rsidRPr="00F14060" w:rsidRDefault="00C8417E" w:rsidP="005B3E30">
            <w:pPr>
              <w:pStyle w:val="Source"/>
            </w:pPr>
            <w:r w:rsidRPr="00F14060">
              <w:rPr>
                <w:i/>
              </w:rPr>
              <w:t>Source</w:t>
            </w:r>
            <w:r w:rsidRPr="00F14060">
              <w:t>: Australian, State and Territory governments (unpublished).</w:t>
            </w:r>
          </w:p>
        </w:tc>
      </w:tr>
      <w:tr w:rsidR="00C8417E" w:rsidTr="005B3E30">
        <w:tc>
          <w:tcPr>
            <w:tcW w:w="8771" w:type="dxa"/>
            <w:tcBorders>
              <w:top w:val="nil"/>
              <w:left w:val="nil"/>
              <w:bottom w:val="single" w:sz="6" w:space="0" w:color="78A22F"/>
              <w:right w:val="nil"/>
            </w:tcBorders>
            <w:shd w:val="clear" w:color="auto" w:fill="auto"/>
          </w:tcPr>
          <w:p w:rsidR="00C8417E" w:rsidRDefault="00C8417E" w:rsidP="005B3E30">
            <w:pPr>
              <w:pStyle w:val="Figurespace"/>
            </w:pPr>
          </w:p>
        </w:tc>
      </w:tr>
      <w:tr w:rsidR="00C8417E" w:rsidRPr="000863A5" w:rsidTr="005B3E30">
        <w:tc>
          <w:tcPr>
            <w:tcW w:w="8771" w:type="dxa"/>
            <w:tcBorders>
              <w:top w:val="single" w:sz="6" w:space="0" w:color="78A22F"/>
              <w:left w:val="nil"/>
              <w:bottom w:val="nil"/>
              <w:right w:val="nil"/>
            </w:tcBorders>
          </w:tcPr>
          <w:p w:rsidR="00C8417E" w:rsidRPr="00626D32" w:rsidRDefault="00C8417E" w:rsidP="005B3E30">
            <w:pPr>
              <w:pStyle w:val="BoxSpaceBelow"/>
            </w:pPr>
          </w:p>
        </w:tc>
      </w:tr>
    </w:tbl>
    <w:p w:rsidR="00B21445" w:rsidRDefault="00FD0BE0" w:rsidP="000D3385">
      <w:pPr>
        <w:pStyle w:val="Heading4"/>
      </w:pPr>
      <w:r>
        <w:lastRenderedPageBreak/>
        <w:t>R</w:t>
      </w:r>
      <w:r w:rsidR="00B21445">
        <w:t>oles and responsibilit</w:t>
      </w:r>
      <w:r w:rsidR="0093541B">
        <w:t>ies</w:t>
      </w:r>
    </w:p>
    <w:p w:rsidR="00647520" w:rsidRDefault="00B21445" w:rsidP="004E3B4D">
      <w:pPr>
        <w:pStyle w:val="BodyText"/>
      </w:pPr>
      <w:r w:rsidRPr="00CD33DD">
        <w:t xml:space="preserve">Different levels of government </w:t>
      </w:r>
      <w:r w:rsidRPr="00B40417">
        <w:t>fulfil</w:t>
      </w:r>
      <w:r>
        <w:t xml:space="preserve"> different </w:t>
      </w:r>
      <w:r w:rsidRPr="00CD33DD">
        <w:t xml:space="preserve">roles </w:t>
      </w:r>
      <w:r>
        <w:t xml:space="preserve">with regard to </w:t>
      </w:r>
      <w:proofErr w:type="spellStart"/>
      <w:r w:rsidR="00F048B0">
        <w:t>CCET</w:t>
      </w:r>
      <w:proofErr w:type="spellEnd"/>
      <w:r>
        <w:t xml:space="preserve"> services</w:t>
      </w:r>
      <w:r w:rsidRPr="00CD33DD">
        <w:t>.</w:t>
      </w:r>
      <w:r>
        <w:t xml:space="preserve"> </w:t>
      </w:r>
      <w:r w:rsidR="007F1FA3">
        <w:t>A broad overview of the Australian</w:t>
      </w:r>
      <w:r w:rsidR="00356525">
        <w:t>,</w:t>
      </w:r>
      <w:r w:rsidR="007F1FA3">
        <w:t xml:space="preserve"> and State and Territory </w:t>
      </w:r>
      <w:r w:rsidR="00570816">
        <w:t>g</w:t>
      </w:r>
      <w:r w:rsidR="007F1FA3">
        <w:t xml:space="preserve">overnment involvement in the </w:t>
      </w:r>
      <w:proofErr w:type="spellStart"/>
      <w:r w:rsidR="00F048B0">
        <w:t>CCET</w:t>
      </w:r>
      <w:proofErr w:type="spellEnd"/>
      <w:r w:rsidR="007F1FA3">
        <w:t xml:space="preserve"> sector is provided in box </w:t>
      </w:r>
      <w:proofErr w:type="spellStart"/>
      <w:r w:rsidR="00FE10AC">
        <w:t>B.2</w:t>
      </w:r>
      <w:proofErr w:type="spellEnd"/>
      <w:r w:rsidR="007F1FA3">
        <w:t>.</w:t>
      </w:r>
      <w:r w:rsidR="00FB131B">
        <w:t xml:space="preserve"> </w:t>
      </w:r>
      <w:r w:rsidR="00356525">
        <w:t>A</w:t>
      </w:r>
      <w:r w:rsidR="007F1FA3">
        <w:t>dditional</w:t>
      </w:r>
      <w:r w:rsidR="00356525">
        <w:t>,</w:t>
      </w:r>
      <w:r w:rsidR="007F1FA3">
        <w:t xml:space="preserve"> detailed information on the </w:t>
      </w:r>
      <w:r>
        <w:t xml:space="preserve">roles and responsibilities </w:t>
      </w:r>
      <w:r w:rsidR="00AE36D2">
        <w:t xml:space="preserve">of </w:t>
      </w:r>
      <w:r>
        <w:t xml:space="preserve">governments </w:t>
      </w:r>
      <w:r w:rsidR="00635818">
        <w:t xml:space="preserve">is </w:t>
      </w:r>
      <w:r>
        <w:t>outl</w:t>
      </w:r>
      <w:r w:rsidR="004E3B4D">
        <w:t>ined in individual chapters.</w:t>
      </w:r>
    </w:p>
    <w:p w:rsidR="002F69A4" w:rsidRDefault="002F6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69A4" w:rsidTr="00E6276D">
        <w:tc>
          <w:tcPr>
            <w:tcW w:w="8771" w:type="dxa"/>
            <w:tcBorders>
              <w:top w:val="single" w:sz="6" w:space="0" w:color="78A22F"/>
              <w:left w:val="nil"/>
              <w:bottom w:val="nil"/>
              <w:right w:val="nil"/>
            </w:tcBorders>
            <w:shd w:val="clear" w:color="auto" w:fill="F2F2F2"/>
          </w:tcPr>
          <w:p w:rsidR="002F69A4" w:rsidRDefault="002F69A4">
            <w:pPr>
              <w:pStyle w:val="BoxTitle"/>
            </w:pPr>
            <w:r>
              <w:rPr>
                <w:b w:val="0"/>
              </w:rPr>
              <w:t xml:space="preserve">Box </w:t>
            </w:r>
            <w:proofErr w:type="spellStart"/>
            <w:r>
              <w:rPr>
                <w:b w:val="0"/>
              </w:rPr>
              <w:t>B.</w:t>
            </w:r>
            <w:r w:rsidR="00501FB3">
              <w:rPr>
                <w:b w:val="0"/>
                <w:noProof/>
              </w:rPr>
              <w:t>2</w:t>
            </w:r>
            <w:proofErr w:type="spellEnd"/>
            <w:r>
              <w:tab/>
              <w:t xml:space="preserve">Government roles and responsibilities in the </w:t>
            </w:r>
            <w:proofErr w:type="spellStart"/>
            <w:r>
              <w:t>CCET</w:t>
            </w:r>
            <w:proofErr w:type="spellEnd"/>
            <w:r>
              <w:t xml:space="preserve"> sector</w:t>
            </w:r>
          </w:p>
        </w:tc>
      </w:tr>
      <w:tr w:rsidR="002F69A4" w:rsidTr="00E6276D">
        <w:trPr>
          <w:cantSplit/>
        </w:trPr>
        <w:tc>
          <w:tcPr>
            <w:tcW w:w="8771" w:type="dxa"/>
            <w:tcBorders>
              <w:top w:val="nil"/>
              <w:left w:val="nil"/>
              <w:bottom w:val="nil"/>
              <w:right w:val="nil"/>
            </w:tcBorders>
            <w:shd w:val="clear" w:color="auto" w:fill="F2F2F2"/>
          </w:tcPr>
          <w:p w:rsidR="002F69A4" w:rsidRPr="004419C7" w:rsidRDefault="002F69A4" w:rsidP="002F69A4">
            <w:pPr>
              <w:pStyle w:val="Box"/>
              <w:rPr>
                <w:b/>
              </w:rPr>
            </w:pPr>
            <w:proofErr w:type="spellStart"/>
            <w:r>
              <w:rPr>
                <w:b/>
              </w:rPr>
              <w:t>ECEC</w:t>
            </w:r>
            <w:proofErr w:type="spellEnd"/>
          </w:p>
          <w:p w:rsidR="00E62581" w:rsidRDefault="002F69A4" w:rsidP="002F69A4">
            <w:pPr>
              <w:pStyle w:val="Box"/>
            </w:pPr>
            <w:r w:rsidRPr="004419C7">
              <w:t xml:space="preserve">Responsibility for child care and preschool is shared between the Australian </w:t>
            </w:r>
            <w:r>
              <w:t xml:space="preserve">Government </w:t>
            </w:r>
            <w:r w:rsidRPr="004419C7">
              <w:t xml:space="preserve">and </w:t>
            </w:r>
            <w:r>
              <w:t xml:space="preserve">State and Territory governments. </w:t>
            </w:r>
            <w:r w:rsidRPr="004419C7">
              <w:t xml:space="preserve">The Australian </w:t>
            </w:r>
            <w:r>
              <w:t>G</w:t>
            </w:r>
            <w:r w:rsidRPr="004419C7">
              <w:t>overnment has p</w:t>
            </w:r>
            <w:r>
              <w:t xml:space="preserve">olicy responsibility for child </w:t>
            </w:r>
            <w:r w:rsidRPr="004419C7">
              <w:t>care. It administers a fee subsidy (Child Care Benefit</w:t>
            </w:r>
            <w:r>
              <w:t xml:space="preserve"> [</w:t>
            </w:r>
            <w:proofErr w:type="spellStart"/>
            <w:r>
              <w:t>CCB</w:t>
            </w:r>
            <w:proofErr w:type="spellEnd"/>
            <w:r>
              <w:t>]</w:t>
            </w:r>
            <w:r w:rsidRPr="004419C7">
              <w:t>), an out</w:t>
            </w:r>
            <w:r w:rsidR="000117A0">
              <w:noBreakHyphen/>
            </w:r>
            <w:r w:rsidRPr="004419C7">
              <w:t>of</w:t>
            </w:r>
            <w:r w:rsidR="000117A0">
              <w:noBreakHyphen/>
            </w:r>
            <w:r w:rsidRPr="004419C7">
              <w:t xml:space="preserve">pocket subsidy (Child Care Rebate) and provides some funding to </w:t>
            </w:r>
            <w:proofErr w:type="spellStart"/>
            <w:r>
              <w:t>CCB</w:t>
            </w:r>
            <w:proofErr w:type="spellEnd"/>
            <w:r>
              <w:t xml:space="preserve"> approved services and Budget Based Funded services</w:t>
            </w:r>
            <w:r w:rsidRPr="004419C7">
              <w:t xml:space="preserve">. </w:t>
            </w:r>
            <w:r w:rsidR="00E62581">
              <w:t xml:space="preserve">State and Territory governments may solely </w:t>
            </w:r>
            <w:r w:rsidR="00E62581" w:rsidRPr="004343F4">
              <w:t xml:space="preserve">fund </w:t>
            </w:r>
            <w:r w:rsidR="00E62581">
              <w:t>some child care services or contribute to services in receipt of Australian Government funding.</w:t>
            </w:r>
          </w:p>
          <w:p w:rsidR="002F69A4" w:rsidRDefault="002F69A4" w:rsidP="00377BA6">
            <w:pPr>
              <w:pStyle w:val="Box"/>
            </w:pPr>
            <w:r w:rsidRPr="004419C7">
              <w:t xml:space="preserve">State and Territory governments are responsible for the </w:t>
            </w:r>
            <w:r w:rsidR="00E62581">
              <w:t xml:space="preserve">funding and the </w:t>
            </w:r>
            <w:r w:rsidR="00FF6B73">
              <w:t>provision of preschool services</w:t>
            </w:r>
            <w:r w:rsidR="00E62581">
              <w:t xml:space="preserve">. </w:t>
            </w:r>
            <w:r w:rsidR="00BF5F32" w:rsidRPr="00684B0B">
              <w:t xml:space="preserve">State and Territory governments are responsible for regulating services under the </w:t>
            </w:r>
            <w:proofErr w:type="spellStart"/>
            <w:r w:rsidR="009E5624" w:rsidRPr="00684B0B">
              <w:t>N</w:t>
            </w:r>
            <w:r w:rsidR="00D2598E">
              <w:t>QF</w:t>
            </w:r>
            <w:proofErr w:type="spellEnd"/>
            <w:r w:rsidR="00D2598E">
              <w:t xml:space="preserve"> and licensing or registering </w:t>
            </w:r>
            <w:proofErr w:type="spellStart"/>
            <w:r w:rsidR="00BF5F32" w:rsidRPr="00684B0B">
              <w:t>ECEC</w:t>
            </w:r>
            <w:proofErr w:type="spellEnd"/>
            <w:r w:rsidR="00BF5F32" w:rsidRPr="00684B0B">
              <w:t xml:space="preserve"> services not approved under the </w:t>
            </w:r>
            <w:proofErr w:type="spellStart"/>
            <w:r w:rsidR="00BF5F32" w:rsidRPr="00684B0B">
              <w:t>NQF</w:t>
            </w:r>
            <w:proofErr w:type="spellEnd"/>
            <w:r w:rsidR="00625D7B" w:rsidRPr="00684B0B">
              <w:t>.</w:t>
            </w:r>
            <w:r w:rsidR="00D2598E">
              <w:t xml:space="preserve"> The Australian Government also provides funding to States and Territories for preschool via the NP </w:t>
            </w:r>
            <w:proofErr w:type="spellStart"/>
            <w:r w:rsidR="00D2598E">
              <w:t>UAECE</w:t>
            </w:r>
            <w:proofErr w:type="spellEnd"/>
            <w:r w:rsidR="00D2598E">
              <w:t>.</w:t>
            </w:r>
          </w:p>
          <w:p w:rsidR="00046A9D" w:rsidRPr="00BF5F32" w:rsidRDefault="002F69A4" w:rsidP="00BF5F32">
            <w:pPr>
              <w:pStyle w:val="Box"/>
            </w:pPr>
            <w:r>
              <w:t xml:space="preserve">Strategic direction for </w:t>
            </w:r>
            <w:proofErr w:type="spellStart"/>
            <w:r>
              <w:t>ECEC</w:t>
            </w:r>
            <w:proofErr w:type="spellEnd"/>
            <w:r>
              <w:t xml:space="preserve"> is provided through the </w:t>
            </w:r>
            <w:r w:rsidR="00BC5633">
              <w:t>Education Council</w:t>
            </w:r>
            <w:r>
              <w:t>.</w:t>
            </w:r>
          </w:p>
          <w:p w:rsidR="002F69A4" w:rsidRPr="004419C7" w:rsidRDefault="002F69A4" w:rsidP="002F69A4">
            <w:pPr>
              <w:pStyle w:val="Box"/>
              <w:rPr>
                <w:b/>
              </w:rPr>
            </w:pPr>
            <w:r w:rsidRPr="004419C7">
              <w:rPr>
                <w:b/>
              </w:rPr>
              <w:t>School education</w:t>
            </w:r>
          </w:p>
          <w:p w:rsidR="002F69A4" w:rsidRDefault="002F69A4" w:rsidP="002F69A4">
            <w:pPr>
              <w:pStyle w:val="Box"/>
            </w:pPr>
            <w:r w:rsidRPr="00494AEA">
              <w:t>The Australian Government and State and Territory governments are jointly responsible for school education and share responsibility for developing, progressing and reviewing national objectives and outcomes for schooling and the national curriculum.</w:t>
            </w:r>
            <w:r>
              <w:t xml:space="preserve"> </w:t>
            </w:r>
            <w:r w:rsidRPr="004419C7">
              <w:t xml:space="preserve">Under constitutional arrangements, State and Territory governments are responsible for ensuring all school aged children have the opportunity to enrol in a safe and supportive school that provides a </w:t>
            </w:r>
            <w:r>
              <w:t xml:space="preserve">high </w:t>
            </w:r>
            <w:r w:rsidRPr="004419C7">
              <w:t xml:space="preserve">quality education, including where students have particular needs. States and </w:t>
            </w:r>
            <w:r>
              <w:t>t</w:t>
            </w:r>
            <w:r w:rsidRPr="004419C7">
              <w:t xml:space="preserve">erritories are also responsible for ensuring </w:t>
            </w:r>
            <w:r>
              <w:t xml:space="preserve">that </w:t>
            </w:r>
            <w:r w:rsidRPr="004419C7">
              <w:t>children of compulsory school</w:t>
            </w:r>
            <w:r w:rsidR="000117A0">
              <w:noBreakHyphen/>
            </w:r>
            <w:r w:rsidRPr="004419C7">
              <w:t>age attend school</w:t>
            </w:r>
            <w:r>
              <w:t xml:space="preserve"> and for: developing policy, delivering services</w:t>
            </w:r>
            <w:r w:rsidRPr="004419C7">
              <w:t xml:space="preserve">, monitoring and reviewing performance of individual schools, regulating schools, and implementing the </w:t>
            </w:r>
            <w:r>
              <w:t>n</w:t>
            </w:r>
            <w:r w:rsidRPr="004419C7">
              <w:t xml:space="preserve">ational </w:t>
            </w:r>
            <w:r>
              <w:t>c</w:t>
            </w:r>
            <w:r w:rsidRPr="004419C7">
              <w:t>urriculum.</w:t>
            </w:r>
            <w:r>
              <w:t xml:space="preserve"> State and Territory governments</w:t>
            </w:r>
            <w:r w:rsidRPr="004419C7">
              <w:t xml:space="preserve"> are responsible for the administration of government schools, for which they provide the majority</w:t>
            </w:r>
            <w:r>
              <w:t xml:space="preserve"> of government funding. Non</w:t>
            </w:r>
            <w:r>
              <w:noBreakHyphen/>
            </w:r>
            <w:r w:rsidRPr="004419C7">
              <w:t xml:space="preserve">government schools operate under conditions determined by State and Territory government registration authorities and receive </w:t>
            </w:r>
            <w:r>
              <w:t xml:space="preserve">Australian, </w:t>
            </w:r>
            <w:r w:rsidRPr="004419C7">
              <w:t>State an</w:t>
            </w:r>
            <w:r>
              <w:t>d Territory government funding.</w:t>
            </w:r>
          </w:p>
          <w:p w:rsidR="00377BA6" w:rsidRDefault="009E5624" w:rsidP="00377BA6">
            <w:pPr>
              <w:pStyle w:val="Box"/>
            </w:pPr>
            <w:r w:rsidRPr="004419C7">
              <w:t xml:space="preserve">The Australian </w:t>
            </w:r>
            <w:r>
              <w:t>Government</w:t>
            </w:r>
            <w:r w:rsidRPr="004419C7">
              <w:t xml:space="preserve"> </w:t>
            </w:r>
            <w:r>
              <w:t xml:space="preserve">is </w:t>
            </w:r>
            <w:r w:rsidRPr="004419C7">
              <w:t xml:space="preserve">responsible for allocating funding to </w:t>
            </w:r>
            <w:r>
              <w:t>s</w:t>
            </w:r>
            <w:r w:rsidRPr="004419C7">
              <w:t xml:space="preserve">tates and </w:t>
            </w:r>
            <w:r>
              <w:t>t</w:t>
            </w:r>
            <w:r w:rsidRPr="004419C7">
              <w:t xml:space="preserve">erritories to support improved service delivery and reform to meet nationally agreed outcomes, including for </w:t>
            </w:r>
            <w:r>
              <w:t xml:space="preserve">students with particular needs. It </w:t>
            </w:r>
            <w:r w:rsidRPr="004419C7">
              <w:t>is also responsible for ensuring that the funding arrangements</w:t>
            </w:r>
            <w:r>
              <w:t xml:space="preserve"> </w:t>
            </w:r>
            <w:r w:rsidRPr="004419C7">
              <w:t xml:space="preserve">for </w:t>
            </w:r>
            <w:r>
              <w:t xml:space="preserve">the </w:t>
            </w:r>
            <w:r w:rsidRPr="004419C7">
              <w:t>non</w:t>
            </w:r>
            <w:r w:rsidR="000117A0">
              <w:noBreakHyphen/>
            </w:r>
            <w:r w:rsidRPr="004419C7">
              <w:t>government school system and schools are consistent with, and support</w:t>
            </w:r>
            <w:r>
              <w:t>,</w:t>
            </w:r>
            <w:r w:rsidRPr="004419C7">
              <w:t xml:space="preserve"> the responsibilities of the </w:t>
            </w:r>
            <w:r>
              <w:t>s</w:t>
            </w:r>
            <w:r w:rsidRPr="004419C7">
              <w:t xml:space="preserve">tates and </w:t>
            </w:r>
            <w:r>
              <w:t>t</w:t>
            </w:r>
            <w:r w:rsidRPr="004419C7">
              <w:t>erritories in regulation, educational quality, performance and</w:t>
            </w:r>
            <w:r w:rsidR="00377BA6">
              <w:t xml:space="preserve"> </w:t>
            </w:r>
            <w:r w:rsidR="00377BA6" w:rsidRPr="004419C7">
              <w:t>reporting on educational outcomes.</w:t>
            </w:r>
          </w:p>
          <w:p w:rsidR="00453501" w:rsidRDefault="00377BA6" w:rsidP="00377BA6">
            <w:pPr>
              <w:pStyle w:val="Box"/>
            </w:pPr>
            <w:r>
              <w:t>Strategic direction for school education is also provided through the Education Council.</w:t>
            </w:r>
            <w:r w:rsidR="009E5624" w:rsidRPr="004419C7">
              <w:t xml:space="preserve"> </w:t>
            </w:r>
          </w:p>
        </w:tc>
      </w:tr>
      <w:tr w:rsidR="002F69A4" w:rsidTr="00E6276D">
        <w:trPr>
          <w:cantSplit/>
        </w:trPr>
        <w:tc>
          <w:tcPr>
            <w:tcW w:w="8771" w:type="dxa"/>
            <w:tcBorders>
              <w:top w:val="nil"/>
              <w:left w:val="nil"/>
              <w:bottom w:val="nil"/>
              <w:right w:val="nil"/>
            </w:tcBorders>
            <w:shd w:val="clear" w:color="auto" w:fill="F2F2F2"/>
          </w:tcPr>
          <w:p w:rsidR="002F69A4" w:rsidRDefault="00D931E9" w:rsidP="002F69A4">
            <w:pPr>
              <w:pStyle w:val="BoxSource"/>
              <w:jc w:val="right"/>
            </w:pPr>
            <w:r>
              <w:t xml:space="preserve"> (c</w:t>
            </w:r>
            <w:r w:rsidR="002F69A4">
              <w:t>ontinued next page)</w:t>
            </w:r>
          </w:p>
        </w:tc>
      </w:tr>
      <w:tr w:rsidR="002F69A4" w:rsidTr="00E6276D">
        <w:trPr>
          <w:cantSplit/>
        </w:trPr>
        <w:tc>
          <w:tcPr>
            <w:tcW w:w="8771" w:type="dxa"/>
            <w:tcBorders>
              <w:top w:val="nil"/>
              <w:left w:val="nil"/>
              <w:bottom w:val="single" w:sz="6" w:space="0" w:color="78A22F"/>
              <w:right w:val="nil"/>
            </w:tcBorders>
            <w:shd w:val="clear" w:color="auto" w:fill="F2F2F2"/>
          </w:tcPr>
          <w:p w:rsidR="002F69A4" w:rsidRDefault="002F69A4">
            <w:pPr>
              <w:pStyle w:val="Box"/>
              <w:spacing w:before="0" w:line="120" w:lineRule="exact"/>
            </w:pPr>
          </w:p>
        </w:tc>
      </w:tr>
      <w:tr w:rsidR="002F69A4" w:rsidRPr="000863A5" w:rsidTr="00E6276D">
        <w:tc>
          <w:tcPr>
            <w:tcW w:w="8771" w:type="dxa"/>
            <w:tcBorders>
              <w:top w:val="single" w:sz="6" w:space="0" w:color="78A22F"/>
              <w:left w:val="nil"/>
              <w:bottom w:val="nil"/>
              <w:right w:val="nil"/>
            </w:tcBorders>
          </w:tcPr>
          <w:p w:rsidR="002F69A4" w:rsidRPr="00626D32" w:rsidRDefault="002F69A4" w:rsidP="00E6276D">
            <w:pPr>
              <w:pStyle w:val="BoxSpaceBelow"/>
            </w:pPr>
          </w:p>
        </w:tc>
      </w:tr>
    </w:tbl>
    <w:p w:rsidR="002F69A4" w:rsidRDefault="002F6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69A4" w:rsidTr="00E6276D">
        <w:tc>
          <w:tcPr>
            <w:tcW w:w="8771" w:type="dxa"/>
            <w:tcBorders>
              <w:top w:val="single" w:sz="6" w:space="0" w:color="78A22F"/>
              <w:left w:val="nil"/>
              <w:bottom w:val="nil"/>
              <w:right w:val="nil"/>
            </w:tcBorders>
            <w:shd w:val="clear" w:color="auto" w:fill="F2F2F2"/>
          </w:tcPr>
          <w:p w:rsidR="002F69A4" w:rsidRDefault="002F69A4" w:rsidP="002F69A4">
            <w:pPr>
              <w:pStyle w:val="BoxTitle"/>
            </w:pPr>
            <w:r>
              <w:rPr>
                <w:b w:val="0"/>
              </w:rPr>
              <w:t xml:space="preserve">Box </w:t>
            </w:r>
            <w:proofErr w:type="spellStart"/>
            <w:r>
              <w:rPr>
                <w:b w:val="0"/>
              </w:rPr>
              <w:t>B.</w:t>
            </w:r>
            <w:r w:rsidR="00FE10AC">
              <w:rPr>
                <w:b w:val="0"/>
              </w:rPr>
              <w:t>2</w:t>
            </w:r>
            <w:proofErr w:type="spellEnd"/>
            <w:r>
              <w:tab/>
            </w:r>
            <w:r w:rsidRPr="000E6D56">
              <w:rPr>
                <w:rStyle w:val="ContinuedChar"/>
                <w:b w:val="0"/>
              </w:rPr>
              <w:t>(continued)</w:t>
            </w:r>
          </w:p>
        </w:tc>
      </w:tr>
      <w:tr w:rsidR="002F69A4" w:rsidTr="00E6276D">
        <w:trPr>
          <w:cantSplit/>
        </w:trPr>
        <w:tc>
          <w:tcPr>
            <w:tcW w:w="8771" w:type="dxa"/>
            <w:tcBorders>
              <w:top w:val="nil"/>
              <w:left w:val="nil"/>
              <w:bottom w:val="nil"/>
              <w:right w:val="nil"/>
            </w:tcBorders>
            <w:shd w:val="clear" w:color="auto" w:fill="F2F2F2"/>
          </w:tcPr>
          <w:p w:rsidR="002F69A4" w:rsidRPr="004419C7" w:rsidRDefault="002F69A4" w:rsidP="002F69A4">
            <w:pPr>
              <w:pStyle w:val="Box"/>
              <w:rPr>
                <w:b/>
              </w:rPr>
            </w:pPr>
            <w:r w:rsidRPr="004419C7">
              <w:rPr>
                <w:b/>
              </w:rPr>
              <w:t>V</w:t>
            </w:r>
            <w:r w:rsidR="00F011F7">
              <w:rPr>
                <w:b/>
              </w:rPr>
              <w:t>ET</w:t>
            </w:r>
          </w:p>
          <w:p w:rsidR="002F69A4" w:rsidRPr="004419C7" w:rsidRDefault="00831C20" w:rsidP="002F69A4">
            <w:pPr>
              <w:pStyle w:val="Box"/>
            </w:pPr>
            <w:r w:rsidRPr="00F14060">
              <w:t xml:space="preserve">The </w:t>
            </w:r>
            <w:proofErr w:type="spellStart"/>
            <w:r w:rsidRPr="00F14060">
              <w:t>COAG</w:t>
            </w:r>
            <w:proofErr w:type="spellEnd"/>
            <w:r w:rsidRPr="00F14060">
              <w:t xml:space="preserve"> Industry and Skills Council (</w:t>
            </w:r>
            <w:proofErr w:type="spellStart"/>
            <w:r w:rsidRPr="00F14060">
              <w:t>CISC</w:t>
            </w:r>
            <w:proofErr w:type="spellEnd"/>
            <w:r w:rsidRPr="00F14060">
              <w:t xml:space="preserve">) develops policy reforms for the national training system for consideration by </w:t>
            </w:r>
            <w:proofErr w:type="spellStart"/>
            <w:r w:rsidRPr="00F14060">
              <w:t>COAG</w:t>
            </w:r>
            <w:proofErr w:type="spellEnd"/>
            <w:r w:rsidRPr="00F14060">
              <w:t xml:space="preserve"> and oversees the implementation of policy reforms agreed by </w:t>
            </w:r>
            <w:proofErr w:type="spellStart"/>
            <w:r w:rsidRPr="00F14060">
              <w:t>COAG</w:t>
            </w:r>
            <w:proofErr w:type="spellEnd"/>
            <w:r w:rsidRPr="00F14060">
              <w:t xml:space="preserve">. </w:t>
            </w:r>
            <w:proofErr w:type="spellStart"/>
            <w:r w:rsidRPr="00F14060">
              <w:t>CISC</w:t>
            </w:r>
            <w:proofErr w:type="spellEnd"/>
            <w:r w:rsidRPr="00F14060">
              <w:t xml:space="preserve"> has responsibility to pursue and monitor priority issues of national significance in relation to industry and skills policy and to take action to resolve issues that arise between governments.</w:t>
            </w:r>
            <w:r w:rsidRPr="0058707F">
              <w:t xml:space="preserve"> </w:t>
            </w:r>
            <w:r w:rsidR="002F69A4" w:rsidRPr="0058707F">
              <w:t xml:space="preserve">Outcomes are monitored through the </w:t>
            </w:r>
            <w:proofErr w:type="spellStart"/>
            <w:r w:rsidR="00453501" w:rsidRPr="0058707F">
              <w:t>NASWD</w:t>
            </w:r>
            <w:proofErr w:type="spellEnd"/>
            <w:r w:rsidR="00453501" w:rsidRPr="0058707F">
              <w:t>.</w:t>
            </w:r>
          </w:p>
          <w:p w:rsidR="002F69A4" w:rsidRDefault="002F69A4" w:rsidP="002F69A4">
            <w:pPr>
              <w:pStyle w:val="Box"/>
            </w:pPr>
            <w:r>
              <w:t xml:space="preserve">Australian and </w:t>
            </w:r>
            <w:r w:rsidRPr="004419C7">
              <w:t>State and Territory governments allocate funding for VET services and to support the maintenance of public training infrastructure. They oversee the delivery of publicly funded training and facilitate the development and training of the public VET workforce. State and Territory governments ensure the effective op</w:t>
            </w:r>
            <w:r>
              <w:t xml:space="preserve">eration of the training market. </w:t>
            </w:r>
          </w:p>
          <w:p w:rsidR="002F69A4" w:rsidRPr="004419C7" w:rsidRDefault="002F69A4" w:rsidP="002F69A4">
            <w:pPr>
              <w:pStyle w:val="Box"/>
            </w:pPr>
            <w:r w:rsidRPr="004419C7">
              <w:t xml:space="preserve">The Australian Government provides funding to </w:t>
            </w:r>
            <w:r>
              <w:t>State</w:t>
            </w:r>
            <w:r w:rsidRPr="004419C7">
              <w:t xml:space="preserve"> and </w:t>
            </w:r>
            <w:r>
              <w:t>Territory governments</w:t>
            </w:r>
            <w:r w:rsidRPr="004419C7">
              <w:t xml:space="preserve"> to support training systems and </w:t>
            </w:r>
            <w:r>
              <w:t>provide</w:t>
            </w:r>
            <w:r w:rsidRPr="004419C7">
              <w:t xml:space="preserve"> specific incentives, interventions and assistance for national priority areas.</w:t>
            </w:r>
          </w:p>
          <w:p w:rsidR="002F69A4" w:rsidRDefault="002F69A4" w:rsidP="002F69A4">
            <w:pPr>
              <w:pStyle w:val="Box"/>
              <w:rPr>
                <w:b/>
              </w:rPr>
            </w:pPr>
            <w:r>
              <w:rPr>
                <w:b/>
              </w:rPr>
              <w:t>Higher education</w:t>
            </w:r>
          </w:p>
          <w:p w:rsidR="002F69A4" w:rsidRDefault="002F69A4" w:rsidP="00111558">
            <w:pPr>
              <w:pStyle w:val="Box"/>
            </w:pPr>
            <w:r>
              <w:t>R</w:t>
            </w:r>
            <w:r w:rsidRPr="005C22FF">
              <w:t xml:space="preserve">egulation and governance for higher education are shared </w:t>
            </w:r>
            <w:r>
              <w:t xml:space="preserve">between </w:t>
            </w:r>
            <w:r w:rsidRPr="005C22FF">
              <w:t>the Australian</w:t>
            </w:r>
            <w:r>
              <w:t xml:space="preserve"> and</w:t>
            </w:r>
            <w:r w:rsidRPr="005C22FF">
              <w:t xml:space="preserve"> State and Territory </w:t>
            </w:r>
            <w:r>
              <w:t>g</w:t>
            </w:r>
            <w:r w:rsidRPr="005C22FF">
              <w:t xml:space="preserve">overnments and the </w:t>
            </w:r>
            <w:r>
              <w:t xml:space="preserve">higher education </w:t>
            </w:r>
            <w:r w:rsidRPr="005C22FF">
              <w:t xml:space="preserve">institutions. </w:t>
            </w:r>
            <w:r>
              <w:t>U</w:t>
            </w:r>
            <w:r w:rsidRPr="004E3B4D">
              <w:t>niversities a</w:t>
            </w:r>
            <w:r w:rsidR="00CD4888">
              <w:t>re generally established under state or t</w:t>
            </w:r>
            <w:r w:rsidRPr="004E3B4D">
              <w:t>erritory legislation and</w:t>
            </w:r>
            <w:r>
              <w:t>,</w:t>
            </w:r>
            <w:r w:rsidRPr="004E3B4D">
              <w:t xml:space="preserve"> once established</w:t>
            </w:r>
            <w:r>
              <w:t>,</w:t>
            </w:r>
            <w:r w:rsidRPr="004E3B4D">
              <w:t xml:space="preserve"> become self</w:t>
            </w:r>
            <w:r w:rsidR="000117A0">
              <w:noBreakHyphen/>
            </w:r>
            <w:r w:rsidRPr="004E3B4D">
              <w:t>accrediting and responsible for their own standards.</w:t>
            </w:r>
            <w:r>
              <w:t xml:space="preserve"> </w:t>
            </w:r>
            <w:r w:rsidR="00111558">
              <w:t xml:space="preserve">The majority of funding by the Australian Government in higher education is administered under </w:t>
            </w:r>
            <w:r>
              <w:t xml:space="preserve">the </w:t>
            </w:r>
            <w:r w:rsidRPr="005C22FF">
              <w:rPr>
                <w:i/>
              </w:rPr>
              <w:t>Higher Education Support Act 2003</w:t>
            </w:r>
            <w:r>
              <w:t>.</w:t>
            </w:r>
          </w:p>
        </w:tc>
      </w:tr>
      <w:tr w:rsidR="002F69A4" w:rsidTr="00E6276D">
        <w:trPr>
          <w:cantSplit/>
        </w:trPr>
        <w:tc>
          <w:tcPr>
            <w:tcW w:w="8771" w:type="dxa"/>
            <w:tcBorders>
              <w:top w:val="nil"/>
              <w:left w:val="nil"/>
              <w:bottom w:val="single" w:sz="6" w:space="0" w:color="78A22F"/>
              <w:right w:val="nil"/>
            </w:tcBorders>
            <w:shd w:val="clear" w:color="auto" w:fill="F2F2F2"/>
          </w:tcPr>
          <w:p w:rsidR="002F69A4" w:rsidRDefault="002F69A4">
            <w:pPr>
              <w:pStyle w:val="Box"/>
              <w:spacing w:before="0" w:line="120" w:lineRule="exact"/>
            </w:pPr>
          </w:p>
        </w:tc>
      </w:tr>
      <w:tr w:rsidR="002F69A4" w:rsidRPr="000863A5" w:rsidTr="00E6276D">
        <w:tc>
          <w:tcPr>
            <w:tcW w:w="8771" w:type="dxa"/>
            <w:tcBorders>
              <w:top w:val="single" w:sz="6" w:space="0" w:color="78A22F"/>
              <w:left w:val="nil"/>
              <w:bottom w:val="nil"/>
              <w:right w:val="nil"/>
            </w:tcBorders>
          </w:tcPr>
          <w:p w:rsidR="002F69A4" w:rsidRPr="00626D32" w:rsidRDefault="002F69A4" w:rsidP="00E6276D">
            <w:pPr>
              <w:pStyle w:val="BoxSpaceBelow"/>
            </w:pPr>
          </w:p>
        </w:tc>
      </w:tr>
    </w:tbl>
    <w:p w:rsidR="009B1E0C" w:rsidRDefault="001F5419" w:rsidP="002D3B47">
      <w:pPr>
        <w:pStyle w:val="Heading4"/>
      </w:pPr>
      <w:r>
        <w:t xml:space="preserve">Engagement </w:t>
      </w:r>
      <w:r w:rsidR="009B1E0C">
        <w:t xml:space="preserve">in </w:t>
      </w:r>
      <w:proofErr w:type="spellStart"/>
      <w:r w:rsidR="00955503">
        <w:t>CCET</w:t>
      </w:r>
      <w:proofErr w:type="spellEnd"/>
    </w:p>
    <w:p w:rsidR="00840634" w:rsidRDefault="00A05C8C" w:rsidP="00840634">
      <w:pPr>
        <w:pStyle w:val="BodyText"/>
      </w:pPr>
      <w:r w:rsidRPr="00E433C4">
        <w:rPr>
          <w:shd w:val="clear" w:color="auto" w:fill="FFFFFF" w:themeFill="background1"/>
        </w:rPr>
        <w:t xml:space="preserve">In </w:t>
      </w:r>
      <w:r w:rsidR="001A33A1">
        <w:rPr>
          <w:shd w:val="clear" w:color="auto" w:fill="FFFFFF" w:themeFill="background1"/>
        </w:rPr>
        <w:t xml:space="preserve">the March quarter </w:t>
      </w:r>
      <w:r w:rsidR="00771B21" w:rsidRPr="00E433C4">
        <w:rPr>
          <w:shd w:val="clear" w:color="auto" w:fill="FFFFFF" w:themeFill="background1"/>
        </w:rPr>
        <w:t>201</w:t>
      </w:r>
      <w:r w:rsidR="00840634">
        <w:rPr>
          <w:shd w:val="clear" w:color="auto" w:fill="FFFFFF" w:themeFill="background1"/>
        </w:rPr>
        <w:t>5</w:t>
      </w:r>
      <w:r w:rsidR="001F36ED" w:rsidRPr="001A33A1">
        <w:rPr>
          <w:shd w:val="clear" w:color="auto" w:fill="FFFFFF" w:themeFill="background1"/>
        </w:rPr>
        <w:t xml:space="preserve">, </w:t>
      </w:r>
      <w:r w:rsidR="00771B21" w:rsidRPr="001A33A1">
        <w:rPr>
          <w:shd w:val="clear" w:color="auto" w:fill="FFFFFF" w:themeFill="background1"/>
        </w:rPr>
        <w:t>1.</w:t>
      </w:r>
      <w:r w:rsidR="00840634">
        <w:rPr>
          <w:shd w:val="clear" w:color="auto" w:fill="FFFFFF" w:themeFill="background1"/>
        </w:rPr>
        <w:t>2</w:t>
      </w:r>
      <w:r w:rsidR="00771B21" w:rsidRPr="001A33A1">
        <w:rPr>
          <w:shd w:val="clear" w:color="auto" w:fill="FFFFFF" w:themeFill="background1"/>
        </w:rPr>
        <w:t xml:space="preserve"> </w:t>
      </w:r>
      <w:r w:rsidR="00771B21" w:rsidRPr="00E433C4">
        <w:rPr>
          <w:shd w:val="clear" w:color="auto" w:fill="FFFFFF" w:themeFill="background1"/>
        </w:rPr>
        <w:t>million</w:t>
      </w:r>
      <w:r w:rsidRPr="00E433C4">
        <w:rPr>
          <w:shd w:val="clear" w:color="auto" w:fill="FFFFFF" w:themeFill="background1"/>
        </w:rPr>
        <w:t xml:space="preserve"> children aged 12 years or younger attended </w:t>
      </w:r>
      <w:r w:rsidR="00840634">
        <w:rPr>
          <w:shd w:val="clear" w:color="auto" w:fill="FFFFFF" w:themeFill="background1"/>
        </w:rPr>
        <w:t xml:space="preserve">an </w:t>
      </w:r>
      <w:r w:rsidRPr="00E433C4">
        <w:rPr>
          <w:shd w:val="clear" w:color="auto" w:fill="FFFFFF" w:themeFill="background1"/>
        </w:rPr>
        <w:t xml:space="preserve">Australian Government </w:t>
      </w:r>
      <w:proofErr w:type="spellStart"/>
      <w:r w:rsidR="00887F69">
        <w:rPr>
          <w:shd w:val="clear" w:color="auto" w:fill="FFFFFF" w:themeFill="background1"/>
        </w:rPr>
        <w:t>CCB</w:t>
      </w:r>
      <w:proofErr w:type="spellEnd"/>
      <w:r w:rsidR="00887F69">
        <w:rPr>
          <w:shd w:val="clear" w:color="auto" w:fill="FFFFFF" w:themeFill="background1"/>
        </w:rPr>
        <w:t xml:space="preserve"> </w:t>
      </w:r>
      <w:r w:rsidR="00840634">
        <w:rPr>
          <w:shd w:val="clear" w:color="auto" w:fill="FFFFFF" w:themeFill="background1"/>
        </w:rPr>
        <w:t>app</w:t>
      </w:r>
      <w:r w:rsidR="00684F8B">
        <w:rPr>
          <w:shd w:val="clear" w:color="auto" w:fill="FFFFFF" w:themeFill="background1"/>
        </w:rPr>
        <w:t>roved child care service (table </w:t>
      </w:r>
      <w:proofErr w:type="spellStart"/>
      <w:r w:rsidR="00840634">
        <w:rPr>
          <w:shd w:val="clear" w:color="auto" w:fill="FFFFFF" w:themeFill="background1"/>
        </w:rPr>
        <w:t>3A.18</w:t>
      </w:r>
      <w:proofErr w:type="spellEnd"/>
      <w:r w:rsidR="00840634">
        <w:rPr>
          <w:shd w:val="clear" w:color="auto" w:fill="FFFFFF" w:themeFill="background1"/>
        </w:rPr>
        <w:t>). Some of these children used more than one type of care</w:t>
      </w:r>
      <w:r w:rsidRPr="001F2D7B">
        <w:rPr>
          <w:shd w:val="clear" w:color="auto" w:fill="FFFFFF" w:themeFill="background1"/>
        </w:rPr>
        <w:t>.</w:t>
      </w:r>
      <w:r w:rsidRPr="001F2D7B">
        <w:t xml:space="preserve"> </w:t>
      </w:r>
      <w:r w:rsidR="00840634">
        <w:t>In 2014, 289 730</w:t>
      </w:r>
      <w:r w:rsidR="00840634" w:rsidRPr="00F95491">
        <w:t xml:space="preserve"> </w:t>
      </w:r>
      <w:r w:rsidR="00840634" w:rsidRPr="008F7094">
        <w:t xml:space="preserve">children </w:t>
      </w:r>
      <w:r w:rsidR="00840634">
        <w:t xml:space="preserve">aged 4 and 5 years </w:t>
      </w:r>
      <w:r w:rsidR="00840634" w:rsidRPr="008F7094">
        <w:t>were enrolle</w:t>
      </w:r>
      <w:r w:rsidR="00F95A1F">
        <w:t>d in a preschool program in the year before full time schooling</w:t>
      </w:r>
      <w:r w:rsidR="00840634" w:rsidRPr="008F7094">
        <w:t xml:space="preserve"> </w:t>
      </w:r>
      <w:r w:rsidR="00840634">
        <w:t>(table </w:t>
      </w:r>
      <w:proofErr w:type="spellStart"/>
      <w:r w:rsidR="00840634">
        <w:t>3A.25</w:t>
      </w:r>
      <w:proofErr w:type="spellEnd"/>
      <w:r w:rsidR="00840634" w:rsidRPr="008F7094">
        <w:t xml:space="preserve">). </w:t>
      </w:r>
      <w:r w:rsidR="00CC174A">
        <w:t xml:space="preserve">Further details on </w:t>
      </w:r>
      <w:proofErr w:type="spellStart"/>
      <w:r w:rsidR="00CC174A">
        <w:t>ECEC</w:t>
      </w:r>
      <w:proofErr w:type="spellEnd"/>
      <w:r w:rsidR="00CC174A">
        <w:t xml:space="preserve"> activity are available in chapter 3.</w:t>
      </w:r>
    </w:p>
    <w:p w:rsidR="00A05C8C" w:rsidRPr="001F2D7B" w:rsidRDefault="00390B6F" w:rsidP="00E433C4">
      <w:pPr>
        <w:pStyle w:val="BodyText"/>
        <w:shd w:val="clear" w:color="auto" w:fill="FFFFFF" w:themeFill="background1"/>
        <w:rPr>
          <w:b/>
        </w:rPr>
      </w:pPr>
      <w:r w:rsidRPr="001F2D7B">
        <w:t>In 20</w:t>
      </w:r>
      <w:r w:rsidR="005B2F22" w:rsidRPr="001F2D7B">
        <w:t>1</w:t>
      </w:r>
      <w:r w:rsidR="00631BC6">
        <w:t>4</w:t>
      </w:r>
      <w:r w:rsidR="00A05C8C" w:rsidRPr="001F2D7B">
        <w:t xml:space="preserve">, there </w:t>
      </w:r>
      <w:r w:rsidR="00A05C8C" w:rsidRPr="004C6B85">
        <w:t>were 3.</w:t>
      </w:r>
      <w:r w:rsidR="00631BC6">
        <w:t>7</w:t>
      </w:r>
      <w:r w:rsidR="00A05C8C" w:rsidRPr="004C6B85">
        <w:t xml:space="preserve"> million </w:t>
      </w:r>
      <w:r w:rsidR="00A05C8C" w:rsidRPr="001F2D7B">
        <w:t xml:space="preserve">full time </w:t>
      </w:r>
      <w:r w:rsidR="00A05C8C" w:rsidRPr="00EF704B">
        <w:t xml:space="preserve">school students and </w:t>
      </w:r>
      <w:r w:rsidR="00EF704B" w:rsidRPr="00EF704B">
        <w:t>20</w:t>
      </w:r>
      <w:r w:rsidR="00A05C8C" w:rsidRPr="00EF704B">
        <w:t> </w:t>
      </w:r>
      <w:r w:rsidR="00631BC6">
        <w:t>336</w:t>
      </w:r>
      <w:r w:rsidR="00A05C8C" w:rsidRPr="00EF704B">
        <w:t xml:space="preserve"> part </w:t>
      </w:r>
      <w:r w:rsidR="00A05C8C" w:rsidRPr="001F2D7B">
        <w:t xml:space="preserve">time students attending </w:t>
      </w:r>
      <w:r w:rsidR="00A05C8C" w:rsidRPr="004C6B85">
        <w:t>9</w:t>
      </w:r>
      <w:r w:rsidR="00631BC6">
        <w:t>389</w:t>
      </w:r>
      <w:r w:rsidR="00A05C8C" w:rsidRPr="004C6B85">
        <w:t xml:space="preserve"> schools </w:t>
      </w:r>
      <w:r w:rsidR="00A05C8C" w:rsidRPr="001F2D7B">
        <w:t xml:space="preserve">in Australia, </w:t>
      </w:r>
      <w:r w:rsidR="0027412E" w:rsidRPr="004C6B85">
        <w:t>compris</w:t>
      </w:r>
      <w:r w:rsidR="00A05C8C" w:rsidRPr="004C6B85">
        <w:t xml:space="preserve">ing </w:t>
      </w:r>
      <w:r w:rsidR="004C6B85" w:rsidRPr="004C6B85">
        <w:t>2.4</w:t>
      </w:r>
      <w:r w:rsidR="00A05C8C" w:rsidRPr="004C6B85">
        <w:t xml:space="preserve"> </w:t>
      </w:r>
      <w:r w:rsidR="00A05C8C" w:rsidRPr="001F2D7B">
        <w:t xml:space="preserve">million students </w:t>
      </w:r>
      <w:r w:rsidR="00A05C8C" w:rsidRPr="004C6B85">
        <w:t>attending 6</w:t>
      </w:r>
      <w:r w:rsidR="00631BC6">
        <w:t>65</w:t>
      </w:r>
      <w:r w:rsidR="004C6B85" w:rsidRPr="004C6B85">
        <w:t>1</w:t>
      </w:r>
      <w:r w:rsidR="00A05C8C" w:rsidRPr="004C6B85">
        <w:t xml:space="preserve"> </w:t>
      </w:r>
      <w:r w:rsidR="00A05C8C" w:rsidRPr="001F2D7B">
        <w:t>government schools</w:t>
      </w:r>
      <w:r w:rsidR="00EF1C05" w:rsidRPr="001F2D7B">
        <w:t xml:space="preserve"> </w:t>
      </w:r>
      <w:r w:rsidR="00EF1C05" w:rsidRPr="00631BC6">
        <w:t>and 1.</w:t>
      </w:r>
      <w:r w:rsidR="004C6B85" w:rsidRPr="00631BC6">
        <w:t>3</w:t>
      </w:r>
      <w:r w:rsidR="008D13AC" w:rsidRPr="00631BC6">
        <w:t xml:space="preserve"> million </w:t>
      </w:r>
      <w:r w:rsidR="00863E5C" w:rsidRPr="00631BC6">
        <w:t xml:space="preserve">students </w:t>
      </w:r>
      <w:r w:rsidR="008D13AC" w:rsidRPr="00631BC6">
        <w:t>attending 27</w:t>
      </w:r>
      <w:r w:rsidR="00631BC6" w:rsidRPr="00631BC6">
        <w:t>38</w:t>
      </w:r>
      <w:r w:rsidR="00A05C8C" w:rsidRPr="00631BC6">
        <w:t xml:space="preserve"> </w:t>
      </w:r>
      <w:r w:rsidR="00EF1C05" w:rsidRPr="00631BC6">
        <w:t>non</w:t>
      </w:r>
      <w:r w:rsidR="000117A0" w:rsidRPr="00631BC6">
        <w:noBreakHyphen/>
      </w:r>
      <w:r w:rsidR="00BD4EDA" w:rsidRPr="00631BC6">
        <w:t>government schools (tables </w:t>
      </w:r>
      <w:proofErr w:type="spellStart"/>
      <w:r w:rsidR="00ED4024" w:rsidRPr="00631BC6">
        <w:t>4A.1</w:t>
      </w:r>
      <w:proofErr w:type="spellEnd"/>
      <w:r w:rsidR="00ED4024" w:rsidRPr="00631BC6">
        <w:t>–</w:t>
      </w:r>
      <w:r w:rsidR="00A05C8C" w:rsidRPr="00631BC6">
        <w:t>3).</w:t>
      </w:r>
      <w:r w:rsidR="00CC174A">
        <w:t xml:space="preserve"> Further details on school education activity are available in chapter 4.</w:t>
      </w:r>
    </w:p>
    <w:p w:rsidR="00636BE0" w:rsidRDefault="00636BE0" w:rsidP="00636BE0">
      <w:pPr>
        <w:pStyle w:val="BodyText"/>
      </w:pPr>
      <w:r w:rsidRPr="00636BE0">
        <w:t xml:space="preserve">In 2014, there were 1.4 million government funded VET students in Australia (table </w:t>
      </w:r>
      <w:proofErr w:type="spellStart"/>
      <w:r w:rsidRPr="00636BE0">
        <w:t>5A.4</w:t>
      </w:r>
      <w:proofErr w:type="spellEnd"/>
      <w:r w:rsidRPr="00636BE0">
        <w:t xml:space="preserve">). </w:t>
      </w:r>
      <w:r>
        <w:t>I</w:t>
      </w:r>
      <w:r w:rsidRPr="00120335">
        <w:t>n 201</w:t>
      </w:r>
      <w:r>
        <w:t>4</w:t>
      </w:r>
      <w:r w:rsidRPr="00120335">
        <w:t>, government funded programs were delivered by</w:t>
      </w:r>
      <w:r>
        <w:t xml:space="preserve"> 2071 </w:t>
      </w:r>
      <w:r w:rsidR="00CB3F63">
        <w:t>registered training organisations</w:t>
      </w:r>
      <w:r w:rsidRPr="00120335">
        <w:t xml:space="preserve"> at </w:t>
      </w:r>
      <w:r>
        <w:t xml:space="preserve">31 031 </w:t>
      </w:r>
      <w:r w:rsidRPr="00EF5A5F">
        <w:t xml:space="preserve">locations </w:t>
      </w:r>
      <w:r>
        <w:t xml:space="preserve">in Australia </w:t>
      </w:r>
      <w:r w:rsidRPr="00EF5A5F">
        <w:t xml:space="preserve">(table </w:t>
      </w:r>
      <w:proofErr w:type="spellStart"/>
      <w:r w:rsidRPr="00EF5A5F">
        <w:t>5A.3</w:t>
      </w:r>
      <w:proofErr w:type="spellEnd"/>
      <w:r w:rsidRPr="00EF5A5F">
        <w:t>).</w:t>
      </w:r>
      <w:r>
        <w:t xml:space="preserve"> </w:t>
      </w:r>
      <w:r w:rsidR="00CC174A">
        <w:t>Further details on VET activity are available in chapter 5.</w:t>
      </w:r>
    </w:p>
    <w:p w:rsidR="00DF537E" w:rsidRDefault="009B2F99" w:rsidP="00EF1C05">
      <w:pPr>
        <w:pStyle w:val="BodyText"/>
      </w:pPr>
      <w:r w:rsidRPr="00CB3F63">
        <w:t>There were 1.</w:t>
      </w:r>
      <w:r w:rsidR="00CB3F63" w:rsidRPr="00CB3F63">
        <w:t>4</w:t>
      </w:r>
      <w:r w:rsidRPr="00CB3F63">
        <w:t xml:space="preserve"> million students enrolled at all higher education providers in 20</w:t>
      </w:r>
      <w:r w:rsidR="005F112B" w:rsidRPr="00CB3F63">
        <w:t>1</w:t>
      </w:r>
      <w:r w:rsidR="00CB3F63" w:rsidRPr="00CB3F63">
        <w:t>4</w:t>
      </w:r>
      <w:r w:rsidRPr="00CB3F63">
        <w:t>.</w:t>
      </w:r>
      <w:r w:rsidR="005F112B" w:rsidRPr="00CB3F63">
        <w:t xml:space="preserve"> </w:t>
      </w:r>
      <w:r w:rsidR="005F112B" w:rsidRPr="00CF1E37">
        <w:t xml:space="preserve">This comprised </w:t>
      </w:r>
      <w:r w:rsidR="00CC174A" w:rsidRPr="00CF1E37">
        <w:t>1 025 391 </w:t>
      </w:r>
      <w:r w:rsidRPr="00CF1E37">
        <w:t>domestic studen</w:t>
      </w:r>
      <w:r w:rsidR="005F112B" w:rsidRPr="00CF1E37">
        <w:t xml:space="preserve">ts and </w:t>
      </w:r>
      <w:r w:rsidR="00CC174A" w:rsidRPr="00CF1E37">
        <w:t>347 839</w:t>
      </w:r>
      <w:r w:rsidRPr="00CF1E37">
        <w:t xml:space="preserve"> </w:t>
      </w:r>
      <w:r w:rsidR="00C739A9" w:rsidRPr="00CF1E37">
        <w:t xml:space="preserve">international </w:t>
      </w:r>
      <w:r w:rsidRPr="00CF1E37">
        <w:t xml:space="preserve">student enrolments. </w:t>
      </w:r>
      <w:r w:rsidR="00A05C8C" w:rsidRPr="006A35D1">
        <w:t xml:space="preserve">The most common course </w:t>
      </w:r>
      <w:r w:rsidR="006A35D1" w:rsidRPr="006A35D1">
        <w:t xml:space="preserve">level </w:t>
      </w:r>
      <w:r w:rsidR="00A05C8C" w:rsidRPr="006A35D1">
        <w:t>was a bachelor degree, which accounted for a</w:t>
      </w:r>
      <w:r w:rsidR="006A35D1" w:rsidRPr="006A35D1">
        <w:t>round two thirds of all students</w:t>
      </w:r>
      <w:r w:rsidR="00A05C8C" w:rsidRPr="006A35D1">
        <w:t xml:space="preserve">. The majority of students undertook their course on campus on a full time </w:t>
      </w:r>
      <w:r w:rsidR="00A05C8C" w:rsidRPr="006A35D1">
        <w:lastRenderedPageBreak/>
        <w:t xml:space="preserve">basis </w:t>
      </w:r>
      <w:r w:rsidR="00954DC3" w:rsidRPr="00CB3F63">
        <w:t>(</w:t>
      </w:r>
      <w:r w:rsidR="003D086F" w:rsidRPr="00CB3F63">
        <w:t>Australian Governm</w:t>
      </w:r>
      <w:r w:rsidR="00CB3F63" w:rsidRPr="00CB3F63">
        <w:t xml:space="preserve">ent Department of Education </w:t>
      </w:r>
      <w:r w:rsidR="00CC174A">
        <w:t xml:space="preserve">and Training </w:t>
      </w:r>
      <w:proofErr w:type="spellStart"/>
      <w:r w:rsidR="00CB3F63" w:rsidRPr="00CB3F63">
        <w:t>2015</w:t>
      </w:r>
      <w:r w:rsidR="00363167" w:rsidRPr="00CB3F63">
        <w:t>a</w:t>
      </w:r>
      <w:proofErr w:type="spellEnd"/>
      <w:r w:rsidR="00A05C8C" w:rsidRPr="00CB3F63">
        <w:t>).</w:t>
      </w:r>
      <w:r w:rsidR="00541C8D">
        <w:t xml:space="preserve"> </w:t>
      </w:r>
      <w:r w:rsidR="00EA72E2">
        <w:t xml:space="preserve">The performance indicator ‘participation’ </w:t>
      </w:r>
      <w:r w:rsidR="0027412E">
        <w:t xml:space="preserve">in this sector overview </w:t>
      </w:r>
      <w:r w:rsidR="00EA72E2">
        <w:t xml:space="preserve">provides </w:t>
      </w:r>
      <w:r w:rsidR="0027412E">
        <w:t>further information</w:t>
      </w:r>
      <w:r w:rsidR="005B3E30">
        <w:t>.</w:t>
      </w:r>
    </w:p>
    <w:p w:rsidR="008B55A6" w:rsidRDefault="00541C8D" w:rsidP="00F204CA">
      <w:pPr>
        <w:pStyle w:val="Heading4"/>
      </w:pPr>
      <w:r>
        <w:t>E</w:t>
      </w:r>
      <w:r w:rsidR="008B55A6">
        <w:t xml:space="preserve">xpenditure </w:t>
      </w:r>
    </w:p>
    <w:p w:rsidR="00A05C8C" w:rsidRPr="00C012B2" w:rsidRDefault="00A05C8C" w:rsidP="00A05C8C">
      <w:pPr>
        <w:pStyle w:val="BodyText"/>
      </w:pPr>
      <w:r w:rsidRPr="00680D69">
        <w:t>Government Finance Statistics (</w:t>
      </w:r>
      <w:proofErr w:type="spellStart"/>
      <w:r w:rsidRPr="00680D69">
        <w:t>GFS</w:t>
      </w:r>
      <w:proofErr w:type="spellEnd"/>
      <w:r w:rsidRPr="00680D69">
        <w:t xml:space="preserve">) data from the Australian Bureau of Statistics (ABS) are used in this section for all </w:t>
      </w:r>
      <w:proofErr w:type="spellStart"/>
      <w:r w:rsidR="00F048B0">
        <w:t>CCET</w:t>
      </w:r>
      <w:proofErr w:type="spellEnd"/>
      <w:r w:rsidRPr="00680D69">
        <w:t xml:space="preserve"> services with the exception of child care services (</w:t>
      </w:r>
      <w:proofErr w:type="spellStart"/>
      <w:r w:rsidRPr="00680D69">
        <w:t>GFS</w:t>
      </w:r>
      <w:proofErr w:type="spellEnd"/>
      <w:r w:rsidRPr="00680D69">
        <w:t xml:space="preserve"> </w:t>
      </w:r>
      <w:r w:rsidRPr="00C012B2">
        <w:t xml:space="preserve">data are not separately available for child care). Child care expenditure data are sourced from the </w:t>
      </w:r>
      <w:proofErr w:type="spellStart"/>
      <w:r w:rsidR="0076776A">
        <w:t>ECEC</w:t>
      </w:r>
      <w:proofErr w:type="spellEnd"/>
      <w:r w:rsidRPr="00C012B2">
        <w:t xml:space="preserve"> chapter in this Report, and are not directly comparable with </w:t>
      </w:r>
      <w:proofErr w:type="spellStart"/>
      <w:r w:rsidRPr="00C012B2">
        <w:t>GFS</w:t>
      </w:r>
      <w:proofErr w:type="spellEnd"/>
      <w:r w:rsidRPr="00C012B2">
        <w:t xml:space="preserve"> data.</w:t>
      </w:r>
    </w:p>
    <w:p w:rsidR="00DF00D6" w:rsidRPr="0043623D" w:rsidRDefault="00A05C8C" w:rsidP="005B1170">
      <w:pPr>
        <w:pStyle w:val="BodyText"/>
        <w:rPr>
          <w:color w:val="FF0000"/>
        </w:rPr>
      </w:pPr>
      <w:r w:rsidRPr="006157CF">
        <w:t>In 20</w:t>
      </w:r>
      <w:r w:rsidR="00F53980" w:rsidRPr="006157CF">
        <w:t>1</w:t>
      </w:r>
      <w:r w:rsidR="006157CF">
        <w:t>3</w:t>
      </w:r>
      <w:r w:rsidR="000117A0" w:rsidRPr="006157CF">
        <w:noBreakHyphen/>
      </w:r>
      <w:r w:rsidR="00F53980" w:rsidRPr="006157CF">
        <w:t>1</w:t>
      </w:r>
      <w:r w:rsidR="006157CF">
        <w:t>4</w:t>
      </w:r>
      <w:r w:rsidRPr="006157CF">
        <w:t>, tot</w:t>
      </w:r>
      <w:r w:rsidR="008C1CDB" w:rsidRPr="006157CF">
        <w:t>al government operating expenditure</w:t>
      </w:r>
      <w:r w:rsidRPr="006157CF">
        <w:t xml:space="preserve"> net of transfers (</w:t>
      </w:r>
      <w:r w:rsidR="0027412E" w:rsidRPr="006157CF">
        <w:t>payments between</w:t>
      </w:r>
      <w:r w:rsidRPr="006157CF">
        <w:t xml:space="preserve"> different levels of government) for preschool, school education, VET and higher education was $</w:t>
      </w:r>
      <w:r w:rsidR="006157CF" w:rsidRPr="006157CF">
        <w:t>81.4</w:t>
      </w:r>
      <w:r w:rsidR="002B11EC" w:rsidRPr="006157CF">
        <w:t> billion for all governments</w:t>
      </w:r>
      <w:r w:rsidR="00A3537F">
        <w:t xml:space="preserve"> (</w:t>
      </w:r>
      <w:r w:rsidR="00DF00D6" w:rsidRPr="00AC712A">
        <w:t xml:space="preserve">equivalent to </w:t>
      </w:r>
      <w:r w:rsidR="004872E8" w:rsidRPr="00AC712A">
        <w:t>5</w:t>
      </w:r>
      <w:r w:rsidR="00E45D97" w:rsidRPr="00AC712A">
        <w:t>.</w:t>
      </w:r>
      <w:r w:rsidR="00AC712A" w:rsidRPr="00AC712A">
        <w:t>1</w:t>
      </w:r>
      <w:r w:rsidR="0079648A" w:rsidRPr="00AC712A">
        <w:t> </w:t>
      </w:r>
      <w:r w:rsidR="00DF00D6" w:rsidRPr="00AC712A">
        <w:t xml:space="preserve">per cent of </w:t>
      </w:r>
      <w:r w:rsidR="00F204CA">
        <w:t xml:space="preserve">gross domestic product </w:t>
      </w:r>
      <w:r w:rsidR="00DF00D6" w:rsidRPr="00AC712A">
        <w:t>in tha</w:t>
      </w:r>
      <w:r w:rsidR="00356B03" w:rsidRPr="00AC712A">
        <w:t>t year</w:t>
      </w:r>
      <w:r w:rsidR="00A3537F">
        <w:t>)</w:t>
      </w:r>
      <w:r w:rsidR="001D2ECF">
        <w:t xml:space="preserve"> (figure </w:t>
      </w:r>
      <w:proofErr w:type="spellStart"/>
      <w:r w:rsidR="001D2ECF">
        <w:t>B.2</w:t>
      </w:r>
      <w:proofErr w:type="spellEnd"/>
      <w:r w:rsidR="00356B03" w:rsidRPr="00AC712A">
        <w:t>; table</w:t>
      </w:r>
      <w:r w:rsidR="00BD4EDA" w:rsidRPr="00AC712A">
        <w:t xml:space="preserve"> </w:t>
      </w:r>
      <w:proofErr w:type="spellStart"/>
      <w:r w:rsidR="00BD4EDA" w:rsidRPr="00AC712A">
        <w:t>BA.</w:t>
      </w:r>
      <w:r w:rsidR="00DF00D6" w:rsidRPr="00AC712A">
        <w:t>2</w:t>
      </w:r>
      <w:proofErr w:type="spellEnd"/>
      <w:r w:rsidR="00746667">
        <w:t xml:space="preserve"> </w:t>
      </w:r>
      <w:r w:rsidR="00DF00D6" w:rsidRPr="00AC712A">
        <w:t xml:space="preserve">and </w:t>
      </w:r>
      <w:r w:rsidR="00356B03" w:rsidRPr="00AC712A">
        <w:t xml:space="preserve">ABS </w:t>
      </w:r>
      <w:proofErr w:type="spellStart"/>
      <w:r w:rsidR="00356B03" w:rsidRPr="00AC712A">
        <w:t>201</w:t>
      </w:r>
      <w:r w:rsidR="00EA48A7">
        <w:t>5</w:t>
      </w:r>
      <w:r w:rsidR="00B206D4">
        <w:t>a</w:t>
      </w:r>
      <w:proofErr w:type="spellEnd"/>
      <w:r w:rsidR="00DF00D6" w:rsidRPr="00AC712A">
        <w:t>)</w:t>
      </w:r>
      <w:r w:rsidR="004872E8" w:rsidRPr="00AC712A">
        <w:t>.</w:t>
      </w:r>
    </w:p>
    <w:p w:rsidR="00A05C8C" w:rsidRPr="007E746E" w:rsidRDefault="0079648A" w:rsidP="005B1170">
      <w:pPr>
        <w:pStyle w:val="BodyText"/>
        <w:rPr>
          <w:color w:val="FF0000"/>
        </w:rPr>
      </w:pPr>
      <w:r w:rsidRPr="00EB503D">
        <w:t>In 20</w:t>
      </w:r>
      <w:r w:rsidR="00F53980">
        <w:t>1</w:t>
      </w:r>
      <w:r w:rsidR="0043623D">
        <w:t>3</w:t>
      </w:r>
      <w:r w:rsidR="000117A0">
        <w:noBreakHyphen/>
      </w:r>
      <w:r w:rsidRPr="00EB503D">
        <w:t>1</w:t>
      </w:r>
      <w:r w:rsidR="0043623D">
        <w:t>4</w:t>
      </w:r>
      <w:r w:rsidR="00C17CED">
        <w:t>,</w:t>
      </w:r>
      <w:r w:rsidRPr="00EB503D">
        <w:t xml:space="preserve"> t</w:t>
      </w:r>
      <w:r w:rsidR="00A05C8C" w:rsidRPr="00EB503D">
        <w:t xml:space="preserve">otal recurrent expenditure for child care services was </w:t>
      </w:r>
      <w:r w:rsidR="000A593E">
        <w:t>$</w:t>
      </w:r>
      <w:r w:rsidR="0043623D">
        <w:t>6</w:t>
      </w:r>
      <w:r w:rsidR="00A75209" w:rsidRPr="005E208F">
        <w:t>.</w:t>
      </w:r>
      <w:r w:rsidR="0043623D">
        <w:t>4</w:t>
      </w:r>
      <w:r w:rsidR="005E208F">
        <w:t xml:space="preserve"> </w:t>
      </w:r>
      <w:r w:rsidR="00A05C8C" w:rsidRPr="005E208F">
        <w:t>billion</w:t>
      </w:r>
      <w:r w:rsidR="00DF00D6" w:rsidRPr="00EB503D">
        <w:t xml:space="preserve">. </w:t>
      </w:r>
      <w:r w:rsidR="00356B03" w:rsidRPr="00EB503D">
        <w:t xml:space="preserve">This </w:t>
      </w:r>
      <w:r w:rsidR="00356B03" w:rsidRPr="004872E8">
        <w:t xml:space="preserve">was </w:t>
      </w:r>
      <w:r w:rsidR="00356B03" w:rsidRPr="007E746E">
        <w:t xml:space="preserve">equivalent to </w:t>
      </w:r>
      <w:r w:rsidR="00B216EE" w:rsidRPr="007E746E">
        <w:t>0.4</w:t>
      </w:r>
      <w:r w:rsidR="00F53FC4">
        <w:t xml:space="preserve"> per cent of gross domestic product</w:t>
      </w:r>
      <w:r w:rsidR="00DF00D6" w:rsidRPr="007E746E">
        <w:t xml:space="preserve"> in that year</w:t>
      </w:r>
      <w:r w:rsidR="00A05C8C" w:rsidRPr="007E746E">
        <w:t xml:space="preserve"> (</w:t>
      </w:r>
      <w:r w:rsidR="004872E8" w:rsidRPr="007E746E">
        <w:t>t</w:t>
      </w:r>
      <w:r w:rsidR="002B11EC" w:rsidRPr="007E746E">
        <w:t xml:space="preserve">able </w:t>
      </w:r>
      <w:proofErr w:type="spellStart"/>
      <w:r w:rsidR="002B11EC" w:rsidRPr="007E746E">
        <w:t>BA.</w:t>
      </w:r>
      <w:r w:rsidR="00A05C8C" w:rsidRPr="007E746E">
        <w:t>1</w:t>
      </w:r>
      <w:proofErr w:type="spellEnd"/>
      <w:r w:rsidR="00DF00D6" w:rsidRPr="007E746E">
        <w:t xml:space="preserve"> and</w:t>
      </w:r>
      <w:r w:rsidR="00356B03" w:rsidRPr="007E746E">
        <w:t xml:space="preserve"> ABS </w:t>
      </w:r>
      <w:proofErr w:type="spellStart"/>
      <w:r w:rsidR="00356B03" w:rsidRPr="007E746E">
        <w:t>201</w:t>
      </w:r>
      <w:r w:rsidR="00EA48A7">
        <w:t>5</w:t>
      </w:r>
      <w:r w:rsidR="00B206D4">
        <w:t>a</w:t>
      </w:r>
      <w:proofErr w:type="spellEnd"/>
      <w:r w:rsidR="00A05C8C" w:rsidRPr="007E746E">
        <w:t>).</w:t>
      </w:r>
    </w:p>
    <w:p w:rsidR="007D4493" w:rsidRDefault="007D4493" w:rsidP="006E25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4493" w:rsidTr="006E25DA">
        <w:tc>
          <w:tcPr>
            <w:tcW w:w="8771" w:type="dxa"/>
            <w:tcBorders>
              <w:top w:val="single" w:sz="6" w:space="0" w:color="78A22F"/>
              <w:left w:val="nil"/>
              <w:bottom w:val="nil"/>
              <w:right w:val="nil"/>
            </w:tcBorders>
            <w:shd w:val="clear" w:color="auto" w:fill="auto"/>
          </w:tcPr>
          <w:p w:rsidR="007D4493" w:rsidRPr="00176D3F" w:rsidRDefault="007D4493" w:rsidP="00541C8D">
            <w:pPr>
              <w:pStyle w:val="FigureTitle"/>
            </w:pPr>
            <w:r w:rsidRPr="00784A05">
              <w:rPr>
                <w:b w:val="0"/>
              </w:rPr>
              <w:t xml:space="preserve">Figure </w:t>
            </w:r>
            <w:proofErr w:type="spellStart"/>
            <w:r>
              <w:rPr>
                <w:b w:val="0"/>
              </w:rPr>
              <w:t>B.</w:t>
            </w:r>
            <w:r w:rsidR="00501FB3">
              <w:rPr>
                <w:b w:val="0"/>
                <w:noProof/>
              </w:rPr>
              <w:t>2</w:t>
            </w:r>
            <w:proofErr w:type="spellEnd"/>
            <w:r>
              <w:tab/>
            </w:r>
            <w:r w:rsidR="00541C8D">
              <w:t>G</w:t>
            </w:r>
            <w:r w:rsidRPr="00BE52F6">
              <w:t xml:space="preserve">overnment real operating expenses, net of transfers </w:t>
            </w:r>
            <w:r w:rsidR="008A5DBA">
              <w:t>for education and training (2013</w:t>
            </w:r>
            <w:r w:rsidR="008A5DBA">
              <w:noBreakHyphen/>
              <w:t>14</w:t>
            </w:r>
            <w:r w:rsidRPr="00BE52F6">
              <w:t> dollars)</w:t>
            </w:r>
            <w:r w:rsidR="0004797A" w:rsidRPr="0004797A">
              <w:rPr>
                <w:rStyle w:val="NoteLabel"/>
                <w:b/>
              </w:rPr>
              <w:t>a</w:t>
            </w:r>
          </w:p>
        </w:tc>
      </w:tr>
      <w:tr w:rsidR="007D4493" w:rsidTr="006E25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D4493" w:rsidTr="006E25DA">
              <w:trPr>
                <w:jc w:val="center"/>
              </w:trPr>
              <w:tc>
                <w:tcPr>
                  <w:tcW w:w="5000" w:type="pct"/>
                  <w:tcBorders>
                    <w:top w:val="nil"/>
                    <w:bottom w:val="nil"/>
                  </w:tcBorders>
                </w:tcPr>
                <w:p w:rsidR="007D4493" w:rsidRDefault="00F545D4" w:rsidP="006E25DA">
                  <w:pPr>
                    <w:pStyle w:val="Figure"/>
                    <w:spacing w:before="60" w:after="60"/>
                  </w:pPr>
                  <w:r>
                    <w:rPr>
                      <w:noProof/>
                    </w:rPr>
                    <w:drawing>
                      <wp:inline distT="0" distB="0" distL="0" distR="0">
                        <wp:extent cx="5391150" cy="2683510"/>
                        <wp:effectExtent l="0" t="0" r="0" b="2540"/>
                        <wp:docPr id="3" name="Picture 3" descr="Figure B.2 Government real operating expenses, net of transfers for education and training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7D4493" w:rsidRDefault="007D4493" w:rsidP="006E25DA">
            <w:pPr>
              <w:pStyle w:val="Figure"/>
            </w:pPr>
          </w:p>
        </w:tc>
      </w:tr>
      <w:tr w:rsidR="007D4493" w:rsidRPr="00176D3F" w:rsidTr="006E25DA">
        <w:tc>
          <w:tcPr>
            <w:tcW w:w="8771" w:type="dxa"/>
            <w:tcBorders>
              <w:top w:val="nil"/>
              <w:left w:val="nil"/>
              <w:bottom w:val="nil"/>
              <w:right w:val="nil"/>
            </w:tcBorders>
            <w:shd w:val="clear" w:color="auto" w:fill="auto"/>
          </w:tcPr>
          <w:p w:rsidR="007D4493" w:rsidRPr="00176D3F" w:rsidRDefault="007D4493" w:rsidP="0004797A">
            <w:pPr>
              <w:pStyle w:val="Note"/>
            </w:pPr>
            <w:r>
              <w:rPr>
                <w:rStyle w:val="NoteLabel"/>
              </w:rPr>
              <w:t>a</w:t>
            </w:r>
            <w:r>
              <w:t xml:space="preserve"> </w:t>
            </w:r>
            <w:r w:rsidR="0004797A" w:rsidRPr="008526AB">
              <w:t xml:space="preserve">See </w:t>
            </w:r>
            <w:r w:rsidR="0004797A">
              <w:t xml:space="preserve">table </w:t>
            </w:r>
            <w:proofErr w:type="spellStart"/>
            <w:r w:rsidR="0004797A">
              <w:t>BA.2</w:t>
            </w:r>
            <w:proofErr w:type="spellEnd"/>
            <w:r w:rsidR="0004797A" w:rsidRPr="008526AB">
              <w:t xml:space="preserve"> for detailed footnotes</w:t>
            </w:r>
            <w:r w:rsidR="00A96B11">
              <w:t xml:space="preserve"> and caveats</w:t>
            </w:r>
            <w:r w:rsidR="0004797A" w:rsidRPr="008526AB">
              <w:t>.</w:t>
            </w:r>
          </w:p>
        </w:tc>
      </w:tr>
      <w:tr w:rsidR="007D4493" w:rsidRPr="00176D3F" w:rsidTr="006E25DA">
        <w:tc>
          <w:tcPr>
            <w:tcW w:w="8771" w:type="dxa"/>
            <w:tcBorders>
              <w:top w:val="nil"/>
              <w:left w:val="nil"/>
              <w:bottom w:val="nil"/>
              <w:right w:val="nil"/>
            </w:tcBorders>
            <w:shd w:val="clear" w:color="auto" w:fill="auto"/>
          </w:tcPr>
          <w:p w:rsidR="007D4493" w:rsidRPr="00176D3F" w:rsidRDefault="007D4493" w:rsidP="006E25DA">
            <w:pPr>
              <w:pStyle w:val="Source"/>
            </w:pPr>
            <w:r>
              <w:rPr>
                <w:i/>
              </w:rPr>
              <w:t>S</w:t>
            </w:r>
            <w:r w:rsidRPr="00784A05">
              <w:rPr>
                <w:i/>
              </w:rPr>
              <w:t>ource</w:t>
            </w:r>
            <w:r w:rsidRPr="00176D3F">
              <w:t xml:space="preserve">: </w:t>
            </w:r>
            <w:r w:rsidR="007E746E">
              <w:t>ABS (2015</w:t>
            </w:r>
            <w:r w:rsidRPr="00BE52F6">
              <w:t xml:space="preserve"> and unpublished) </w:t>
            </w:r>
            <w:r w:rsidRPr="00BE52F6">
              <w:rPr>
                <w:i/>
              </w:rPr>
              <w:t>Government Finance Statistics, Education</w:t>
            </w:r>
            <w:r w:rsidR="008A5DBA">
              <w:t xml:space="preserve">, </w:t>
            </w:r>
            <w:r w:rsidR="008A5DBA" w:rsidRPr="007E746E">
              <w:rPr>
                <w:i/>
              </w:rPr>
              <w:t>2013</w:t>
            </w:r>
            <w:r w:rsidR="000117A0" w:rsidRPr="007E746E">
              <w:rPr>
                <w:i/>
              </w:rPr>
              <w:noBreakHyphen/>
            </w:r>
            <w:r w:rsidR="008A5DBA" w:rsidRPr="007E746E">
              <w:rPr>
                <w:i/>
              </w:rPr>
              <w:t>14</w:t>
            </w:r>
            <w:r w:rsidRPr="007E746E">
              <w:rPr>
                <w:i/>
              </w:rPr>
              <w:t>,</w:t>
            </w:r>
            <w:r w:rsidRPr="00BE52F6">
              <w:t xml:space="preserve"> </w:t>
            </w:r>
            <w:r>
              <w:t>Cat. no. 5518.0.55.001</w:t>
            </w:r>
            <w:r w:rsidR="0004797A">
              <w:t xml:space="preserve">; table </w:t>
            </w:r>
            <w:proofErr w:type="spellStart"/>
            <w:r w:rsidR="0004797A">
              <w:t>BA.2</w:t>
            </w:r>
            <w:proofErr w:type="spellEnd"/>
            <w:r w:rsidR="0004797A">
              <w:t>.</w:t>
            </w:r>
          </w:p>
        </w:tc>
      </w:tr>
      <w:tr w:rsidR="007D4493" w:rsidTr="006E25DA">
        <w:tc>
          <w:tcPr>
            <w:tcW w:w="8771" w:type="dxa"/>
            <w:tcBorders>
              <w:top w:val="nil"/>
              <w:left w:val="nil"/>
              <w:bottom w:val="single" w:sz="6" w:space="0" w:color="78A22F"/>
              <w:right w:val="nil"/>
            </w:tcBorders>
            <w:shd w:val="clear" w:color="auto" w:fill="auto"/>
          </w:tcPr>
          <w:p w:rsidR="007D4493" w:rsidRDefault="007D4493" w:rsidP="006E25DA">
            <w:pPr>
              <w:pStyle w:val="Figurespace"/>
            </w:pPr>
          </w:p>
        </w:tc>
      </w:tr>
      <w:tr w:rsidR="007D4493" w:rsidRPr="000863A5" w:rsidTr="006E25DA">
        <w:tc>
          <w:tcPr>
            <w:tcW w:w="8771" w:type="dxa"/>
            <w:tcBorders>
              <w:top w:val="single" w:sz="6" w:space="0" w:color="78A22F"/>
              <w:left w:val="nil"/>
              <w:bottom w:val="nil"/>
              <w:right w:val="nil"/>
            </w:tcBorders>
          </w:tcPr>
          <w:p w:rsidR="007D4493" w:rsidRPr="00626D32" w:rsidRDefault="007D4493" w:rsidP="006E25DA">
            <w:pPr>
              <w:pStyle w:val="BoxSpaceBelow"/>
            </w:pPr>
          </w:p>
        </w:tc>
      </w:tr>
    </w:tbl>
    <w:p w:rsidR="00A05C8C" w:rsidRPr="000D36BA" w:rsidRDefault="008E66F3" w:rsidP="00F204CA">
      <w:pPr>
        <w:pStyle w:val="BodyText"/>
      </w:pPr>
      <w:r w:rsidRPr="000D36BA">
        <w:t xml:space="preserve">Of the combined </w:t>
      </w:r>
      <w:r w:rsidR="003E0B52" w:rsidRPr="000D36BA">
        <w:t>$</w:t>
      </w:r>
      <w:r w:rsidR="00AC712A" w:rsidRPr="000D36BA">
        <w:t>81.4</w:t>
      </w:r>
      <w:r w:rsidR="00A05C8C" w:rsidRPr="000D36BA">
        <w:t xml:space="preserve"> billion total government expenditure on </w:t>
      </w:r>
      <w:proofErr w:type="spellStart"/>
      <w:r w:rsidR="00F048B0" w:rsidRPr="000D36BA">
        <w:t>CCET</w:t>
      </w:r>
      <w:proofErr w:type="spellEnd"/>
      <w:r w:rsidR="00A05C8C" w:rsidRPr="000D36BA">
        <w:t xml:space="preserve"> in 20</w:t>
      </w:r>
      <w:r w:rsidR="009D09FD" w:rsidRPr="000D36BA">
        <w:t>1</w:t>
      </w:r>
      <w:r w:rsidR="008A5DBA" w:rsidRPr="000D36BA">
        <w:t>3</w:t>
      </w:r>
      <w:r w:rsidR="004355A8" w:rsidRPr="000D36BA">
        <w:noBreakHyphen/>
      </w:r>
      <w:r w:rsidR="007218FF" w:rsidRPr="000D36BA">
        <w:t>1</w:t>
      </w:r>
      <w:r w:rsidR="008A5DBA" w:rsidRPr="000D36BA">
        <w:t>4</w:t>
      </w:r>
      <w:r w:rsidR="00A05C8C" w:rsidRPr="000D36BA">
        <w:t xml:space="preserve"> </w:t>
      </w:r>
      <w:r w:rsidR="00831C20">
        <w:t xml:space="preserve">according to the </w:t>
      </w:r>
      <w:proofErr w:type="spellStart"/>
      <w:r w:rsidR="00831C20">
        <w:t>GFS</w:t>
      </w:r>
      <w:proofErr w:type="spellEnd"/>
      <w:r w:rsidR="00831C20">
        <w:t xml:space="preserve"> </w:t>
      </w:r>
      <w:r w:rsidR="00A05C8C" w:rsidRPr="000D36BA">
        <w:t xml:space="preserve">(excluding child </w:t>
      </w:r>
      <w:r w:rsidR="000D36BA" w:rsidRPr="000D36BA">
        <w:t xml:space="preserve">care), primary and secondary </w:t>
      </w:r>
      <w:r w:rsidR="000D36BA">
        <w:t>education</w:t>
      </w:r>
      <w:r w:rsidR="000D36BA" w:rsidRPr="000D36BA">
        <w:t xml:space="preserve"> </w:t>
      </w:r>
      <w:r w:rsidR="00A05C8C" w:rsidRPr="000D36BA">
        <w:t xml:space="preserve">accounted </w:t>
      </w:r>
      <w:r w:rsidR="00A05C8C" w:rsidRPr="000D36BA">
        <w:lastRenderedPageBreak/>
        <w:t>for the highest proportion (</w:t>
      </w:r>
      <w:r w:rsidR="003E0B52" w:rsidRPr="000D36BA">
        <w:t>5</w:t>
      </w:r>
      <w:r w:rsidR="00281CD8" w:rsidRPr="000D36BA">
        <w:t>1</w:t>
      </w:r>
      <w:r w:rsidR="000D36BA" w:rsidRPr="000D36BA">
        <w:t>.3</w:t>
      </w:r>
      <w:r w:rsidR="00A05C8C" w:rsidRPr="000D36BA">
        <w:t xml:space="preserve"> per cent), followed by </w:t>
      </w:r>
      <w:r w:rsidR="000D36BA">
        <w:t xml:space="preserve">university education </w:t>
      </w:r>
      <w:r w:rsidR="00A05C8C" w:rsidRPr="000D36BA">
        <w:t>(</w:t>
      </w:r>
      <w:r w:rsidR="0075292C" w:rsidRPr="000D36BA">
        <w:t>28</w:t>
      </w:r>
      <w:r w:rsidR="00281CD8" w:rsidRPr="000D36BA">
        <w:t>.</w:t>
      </w:r>
      <w:r w:rsidR="000D36BA" w:rsidRPr="000D36BA">
        <w:t>1</w:t>
      </w:r>
      <w:r w:rsidR="00A05C8C" w:rsidRPr="000D36BA">
        <w:t> per </w:t>
      </w:r>
      <w:r w:rsidR="000D36BA">
        <w:t>cent), TAFE</w:t>
      </w:r>
      <w:r w:rsidR="00A05C8C" w:rsidRPr="000D36BA">
        <w:t xml:space="preserve"> (</w:t>
      </w:r>
      <w:r w:rsidR="000D36BA" w:rsidRPr="000D36BA">
        <w:t>7.8</w:t>
      </w:r>
      <w:r w:rsidR="00A05C8C" w:rsidRPr="000D36BA">
        <w:t xml:space="preserve"> per cent) and preschool </w:t>
      </w:r>
      <w:r w:rsidR="000D36BA">
        <w:t>education</w:t>
      </w:r>
      <w:r w:rsidR="00A05C8C" w:rsidRPr="000D36BA">
        <w:t xml:space="preserve"> (</w:t>
      </w:r>
      <w:r w:rsidR="000D36BA" w:rsidRPr="000D36BA">
        <w:t>5.9</w:t>
      </w:r>
      <w:r w:rsidR="00A05C8C" w:rsidRPr="000D36BA">
        <w:t xml:space="preserve"> per cent). </w:t>
      </w:r>
      <w:r w:rsidR="00A3537F">
        <w:t>Proportions differed substantially between the Australian Government and the State and Territory governments</w:t>
      </w:r>
      <w:r w:rsidR="000D36BA" w:rsidRPr="000D36BA">
        <w:t xml:space="preserve"> </w:t>
      </w:r>
      <w:r w:rsidR="00A05C8C" w:rsidRPr="000D36BA">
        <w:t>(figure </w:t>
      </w:r>
      <w:proofErr w:type="spellStart"/>
      <w:r w:rsidR="0072496E">
        <w:t>B.3</w:t>
      </w:r>
      <w:proofErr w:type="spellEnd"/>
      <w:r w:rsidR="00A05C8C" w:rsidRPr="000D36BA">
        <w:t>).</w:t>
      </w:r>
    </w:p>
    <w:p w:rsidR="00A51A13" w:rsidRDefault="00A51A13" w:rsidP="006E25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1A13" w:rsidTr="006E25DA">
        <w:tc>
          <w:tcPr>
            <w:tcW w:w="8771" w:type="dxa"/>
            <w:tcBorders>
              <w:top w:val="single" w:sz="6" w:space="0" w:color="78A22F"/>
              <w:left w:val="nil"/>
              <w:bottom w:val="nil"/>
              <w:right w:val="nil"/>
            </w:tcBorders>
            <w:shd w:val="clear" w:color="auto" w:fill="auto"/>
          </w:tcPr>
          <w:p w:rsidR="00A51A13" w:rsidRPr="00176D3F" w:rsidRDefault="00A51A13" w:rsidP="00A51A13">
            <w:pPr>
              <w:pStyle w:val="FigureTitle"/>
            </w:pPr>
            <w:r w:rsidRPr="00784A05">
              <w:rPr>
                <w:b w:val="0"/>
              </w:rPr>
              <w:t xml:space="preserve">Figure </w:t>
            </w:r>
            <w:proofErr w:type="spellStart"/>
            <w:r>
              <w:rPr>
                <w:b w:val="0"/>
              </w:rPr>
              <w:t>B.</w:t>
            </w:r>
            <w:r w:rsidR="00501FB3">
              <w:rPr>
                <w:b w:val="0"/>
                <w:noProof/>
              </w:rPr>
              <w:t>3</w:t>
            </w:r>
            <w:proofErr w:type="spellEnd"/>
            <w:r>
              <w:tab/>
            </w:r>
            <w:r w:rsidRPr="00810E30">
              <w:t xml:space="preserve">Government </w:t>
            </w:r>
            <w:r w:rsidRPr="00CD33DD">
              <w:t xml:space="preserve">expenditure on </w:t>
            </w:r>
            <w:r>
              <w:t>education and training</w:t>
            </w:r>
            <w:r w:rsidRPr="00CD33DD">
              <w:t>,</w:t>
            </w:r>
            <w:r w:rsidR="008A5DBA">
              <w:t xml:space="preserve"> 2013</w:t>
            </w:r>
            <w:r w:rsidR="008A5DBA">
              <w:noBreakHyphen/>
              <w:t>1</w:t>
            </w:r>
            <w:r w:rsidR="00237323">
              <w:t>4</w:t>
            </w:r>
            <w:r w:rsidR="009A28E7">
              <w:rPr>
                <w:rStyle w:val="NoteLabel"/>
                <w:b/>
              </w:rPr>
              <w:t>a</w:t>
            </w:r>
          </w:p>
        </w:tc>
      </w:tr>
      <w:tr w:rsidR="00A51A13" w:rsidTr="006E25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51A13" w:rsidTr="006E25DA">
              <w:trPr>
                <w:jc w:val="center"/>
              </w:trPr>
              <w:tc>
                <w:tcPr>
                  <w:tcW w:w="5000" w:type="pct"/>
                  <w:tcBorders>
                    <w:top w:val="nil"/>
                    <w:bottom w:val="nil"/>
                  </w:tcBorders>
                </w:tcPr>
                <w:p w:rsidR="00A51A13" w:rsidRDefault="00F545D4" w:rsidP="006E25DA">
                  <w:pPr>
                    <w:pStyle w:val="Figure"/>
                    <w:spacing w:before="60" w:after="60"/>
                  </w:pPr>
                  <w:r>
                    <w:rPr>
                      <w:noProof/>
                    </w:rPr>
                    <w:drawing>
                      <wp:inline distT="0" distB="0" distL="0" distR="0">
                        <wp:extent cx="5391150" cy="2683510"/>
                        <wp:effectExtent l="0" t="0" r="0" b="2540"/>
                        <wp:docPr id="5" name="Picture 5" descr="Figure B.3 Government expenditure on education and training,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A51A13" w:rsidRDefault="00A51A13" w:rsidP="006E25DA">
            <w:pPr>
              <w:pStyle w:val="Figure"/>
            </w:pPr>
          </w:p>
        </w:tc>
      </w:tr>
      <w:tr w:rsidR="00A51A13" w:rsidRPr="00176D3F" w:rsidTr="006E25DA">
        <w:tc>
          <w:tcPr>
            <w:tcW w:w="8771" w:type="dxa"/>
            <w:tcBorders>
              <w:top w:val="nil"/>
              <w:left w:val="nil"/>
              <w:bottom w:val="nil"/>
              <w:right w:val="nil"/>
            </w:tcBorders>
            <w:shd w:val="clear" w:color="auto" w:fill="auto"/>
          </w:tcPr>
          <w:p w:rsidR="00A51A13" w:rsidRPr="00176D3F" w:rsidRDefault="00A51A13" w:rsidP="00B05BF3">
            <w:pPr>
              <w:pStyle w:val="Note"/>
            </w:pPr>
            <w:proofErr w:type="spellStart"/>
            <w:r w:rsidRPr="00E45E5D">
              <w:t>nec</w:t>
            </w:r>
            <w:proofErr w:type="spellEnd"/>
            <w:r>
              <w:rPr>
                <w:b/>
              </w:rPr>
              <w:t xml:space="preserve"> </w:t>
            </w:r>
            <w:r>
              <w:t xml:space="preserve">= </w:t>
            </w:r>
            <w:r w:rsidRPr="00213912">
              <w:t>Not elsewhere classified.</w:t>
            </w:r>
            <w:r w:rsidRPr="00213912">
              <w:rPr>
                <w:rStyle w:val="NoteLabel"/>
              </w:rPr>
              <w:t xml:space="preserve"> </w:t>
            </w:r>
            <w:r w:rsidRPr="00B05BF3">
              <w:rPr>
                <w:rStyle w:val="NoteLabel"/>
              </w:rPr>
              <w:t>a</w:t>
            </w:r>
            <w:r w:rsidRPr="00B05BF3">
              <w:t xml:space="preserve"> </w:t>
            </w:r>
            <w:r w:rsidR="0004797A" w:rsidRPr="00B05BF3">
              <w:t xml:space="preserve">See tables </w:t>
            </w:r>
            <w:proofErr w:type="spellStart"/>
            <w:r w:rsidR="0004797A" w:rsidRPr="00B05BF3">
              <w:t>BA.3</w:t>
            </w:r>
            <w:proofErr w:type="spellEnd"/>
            <w:r w:rsidR="0004797A" w:rsidRPr="00B05BF3">
              <w:t xml:space="preserve"> and </w:t>
            </w:r>
            <w:proofErr w:type="spellStart"/>
            <w:r w:rsidR="0004797A" w:rsidRPr="00B05BF3">
              <w:t>BA.4</w:t>
            </w:r>
            <w:proofErr w:type="spellEnd"/>
            <w:r w:rsidR="0004797A" w:rsidRPr="00B05BF3">
              <w:t xml:space="preserve"> for detailed footnotes</w:t>
            </w:r>
            <w:r w:rsidR="00A96B11">
              <w:t xml:space="preserve"> and caveats</w:t>
            </w:r>
            <w:r w:rsidR="0004797A" w:rsidRPr="00B05BF3">
              <w:t>.</w:t>
            </w:r>
          </w:p>
        </w:tc>
      </w:tr>
      <w:tr w:rsidR="00A51A13" w:rsidRPr="00176D3F" w:rsidTr="006E25DA">
        <w:tc>
          <w:tcPr>
            <w:tcW w:w="8771" w:type="dxa"/>
            <w:tcBorders>
              <w:top w:val="nil"/>
              <w:left w:val="nil"/>
              <w:bottom w:val="nil"/>
              <w:right w:val="nil"/>
            </w:tcBorders>
            <w:shd w:val="clear" w:color="auto" w:fill="auto"/>
          </w:tcPr>
          <w:p w:rsidR="00A51A13" w:rsidRPr="00176D3F" w:rsidRDefault="00A51A13" w:rsidP="006E25DA">
            <w:pPr>
              <w:pStyle w:val="Source"/>
            </w:pPr>
            <w:r>
              <w:rPr>
                <w:i/>
              </w:rPr>
              <w:t>S</w:t>
            </w:r>
            <w:r w:rsidRPr="00784A05">
              <w:rPr>
                <w:i/>
              </w:rPr>
              <w:t>ource</w:t>
            </w:r>
            <w:r w:rsidRPr="00176D3F">
              <w:t xml:space="preserve">: </w:t>
            </w:r>
            <w:r w:rsidRPr="001F2D7B">
              <w:t>ABS (201</w:t>
            </w:r>
            <w:r w:rsidR="004B51A8">
              <w:t>5</w:t>
            </w:r>
            <w:r w:rsidRPr="001F2D7B">
              <w:t xml:space="preserve">) </w:t>
            </w:r>
            <w:r w:rsidRPr="001F2D7B">
              <w:rPr>
                <w:i/>
              </w:rPr>
              <w:t>Government Finance Statistics, Education, 201</w:t>
            </w:r>
            <w:r w:rsidR="004B51A8">
              <w:rPr>
                <w:i/>
              </w:rPr>
              <w:t>3</w:t>
            </w:r>
            <w:r w:rsidR="000117A0">
              <w:rPr>
                <w:i/>
              </w:rPr>
              <w:noBreakHyphen/>
            </w:r>
            <w:r w:rsidRPr="001F2D7B">
              <w:rPr>
                <w:i/>
              </w:rPr>
              <w:t>1</w:t>
            </w:r>
            <w:r w:rsidR="004B51A8">
              <w:rPr>
                <w:i/>
              </w:rPr>
              <w:t>4</w:t>
            </w:r>
            <w:r w:rsidRPr="001F2D7B">
              <w:t xml:space="preserve">. Cat. no. 5518.0.55.001; </w:t>
            </w:r>
            <w:r w:rsidRPr="001F2D7B">
              <w:br/>
              <w:t xml:space="preserve">tables </w:t>
            </w:r>
            <w:proofErr w:type="spellStart"/>
            <w:r w:rsidRPr="001F2D7B">
              <w:t>BA.3</w:t>
            </w:r>
            <w:proofErr w:type="spellEnd"/>
            <w:r w:rsidRPr="001F2D7B">
              <w:t xml:space="preserve"> and </w:t>
            </w:r>
            <w:proofErr w:type="spellStart"/>
            <w:r w:rsidRPr="001F2D7B">
              <w:t>BA.4</w:t>
            </w:r>
            <w:proofErr w:type="spellEnd"/>
            <w:r w:rsidRPr="001F2D7B">
              <w:t>.</w:t>
            </w:r>
          </w:p>
        </w:tc>
      </w:tr>
      <w:tr w:rsidR="00A51A13" w:rsidTr="006E25DA">
        <w:tc>
          <w:tcPr>
            <w:tcW w:w="8771" w:type="dxa"/>
            <w:tcBorders>
              <w:top w:val="nil"/>
              <w:left w:val="nil"/>
              <w:bottom w:val="single" w:sz="6" w:space="0" w:color="78A22F"/>
              <w:right w:val="nil"/>
            </w:tcBorders>
            <w:shd w:val="clear" w:color="auto" w:fill="auto"/>
          </w:tcPr>
          <w:p w:rsidR="00A51A13" w:rsidRDefault="00A51A13" w:rsidP="006E25DA">
            <w:pPr>
              <w:pStyle w:val="Figurespace"/>
            </w:pPr>
          </w:p>
        </w:tc>
      </w:tr>
      <w:tr w:rsidR="00A51A13" w:rsidRPr="000863A5" w:rsidTr="006E25DA">
        <w:tc>
          <w:tcPr>
            <w:tcW w:w="8771" w:type="dxa"/>
            <w:tcBorders>
              <w:top w:val="single" w:sz="6" w:space="0" w:color="78A22F"/>
              <w:left w:val="nil"/>
              <w:bottom w:val="nil"/>
              <w:right w:val="nil"/>
            </w:tcBorders>
          </w:tcPr>
          <w:p w:rsidR="00A51A13" w:rsidRPr="00626D32" w:rsidRDefault="00A51A13" w:rsidP="006E25DA">
            <w:pPr>
              <w:pStyle w:val="BoxSpaceBelow"/>
            </w:pPr>
          </w:p>
        </w:tc>
      </w:tr>
    </w:tbl>
    <w:p w:rsidR="009B1E0C" w:rsidRPr="001F2D7B" w:rsidRDefault="00A3537F" w:rsidP="0095291B">
      <w:pPr>
        <w:pStyle w:val="Heading4"/>
      </w:pPr>
      <w:r>
        <w:t>W</w:t>
      </w:r>
      <w:r w:rsidR="00973F89" w:rsidRPr="001F2D7B">
        <w:t>orkforce</w:t>
      </w:r>
    </w:p>
    <w:p w:rsidR="000700CF" w:rsidRPr="0011762B" w:rsidRDefault="000700CF" w:rsidP="009B1E0C">
      <w:pPr>
        <w:pStyle w:val="BodyText"/>
      </w:pPr>
      <w:r w:rsidRPr="0011762B">
        <w:t xml:space="preserve">The </w:t>
      </w:r>
      <w:proofErr w:type="spellStart"/>
      <w:r w:rsidRPr="0011762B">
        <w:t>CCET</w:t>
      </w:r>
      <w:proofErr w:type="spellEnd"/>
      <w:r w:rsidRPr="0011762B">
        <w:t xml:space="preserve"> workforce consists of early childhood educators (i.e. child care staff), preschool teachers, primary and secondary teachers, vocational education teachers and university teachers. No single source of data exists on the total number of </w:t>
      </w:r>
      <w:proofErr w:type="spellStart"/>
      <w:r w:rsidRPr="0011762B">
        <w:t>CCET</w:t>
      </w:r>
      <w:proofErr w:type="spellEnd"/>
      <w:r w:rsidRPr="0011762B">
        <w:t xml:space="preserve"> workers in Australia. Data are available by service area. </w:t>
      </w:r>
    </w:p>
    <w:p w:rsidR="009B1E0C" w:rsidRPr="00CD33DD" w:rsidRDefault="009B1E0C" w:rsidP="009B1E0C">
      <w:pPr>
        <w:pStyle w:val="BodyText"/>
      </w:pPr>
      <w:r w:rsidRPr="001F2D7B">
        <w:t>Nationally in 201</w:t>
      </w:r>
      <w:r w:rsidR="006D1622" w:rsidRPr="001F2D7B">
        <w:t>3</w:t>
      </w:r>
      <w:r w:rsidRPr="001F2D7B">
        <w:t xml:space="preserve">, there were </w:t>
      </w:r>
      <w:r w:rsidR="006D1622" w:rsidRPr="00887F69">
        <w:t>99 655</w:t>
      </w:r>
      <w:r w:rsidRPr="00887F69">
        <w:t xml:space="preserve"> </w:t>
      </w:r>
      <w:r w:rsidRPr="001F2D7B">
        <w:t xml:space="preserve">primary contact staff employed in Australian Government </w:t>
      </w:r>
      <w:proofErr w:type="spellStart"/>
      <w:r w:rsidR="0023340C">
        <w:t>CCB</w:t>
      </w:r>
      <w:proofErr w:type="spellEnd"/>
      <w:r w:rsidR="00887F69">
        <w:t xml:space="preserve"> </w:t>
      </w:r>
      <w:r w:rsidRPr="001F2D7B">
        <w:t xml:space="preserve">approved child care services (table </w:t>
      </w:r>
      <w:proofErr w:type="spellStart"/>
      <w:r w:rsidRPr="00723A59">
        <w:t>3A.</w:t>
      </w:r>
      <w:r w:rsidR="00723A59" w:rsidRPr="00723A59">
        <w:t>4</w:t>
      </w:r>
      <w:r w:rsidR="005E630C">
        <w:t>5</w:t>
      </w:r>
      <w:proofErr w:type="spellEnd"/>
      <w:r w:rsidRPr="00723A59">
        <w:t>).</w:t>
      </w:r>
      <w:r w:rsidR="005D58CC" w:rsidRPr="00723A59">
        <w:t xml:space="preserve"> </w:t>
      </w:r>
      <w:r w:rsidR="00723A59">
        <w:t>Nationally in 2014, there were 16 747 university qualified teachers delivering</w:t>
      </w:r>
      <w:r w:rsidR="005E630C">
        <w:t xml:space="preserve"> preschool programs (table </w:t>
      </w:r>
      <w:proofErr w:type="spellStart"/>
      <w:r w:rsidR="005E630C">
        <w:t>3A.52</w:t>
      </w:r>
      <w:proofErr w:type="spellEnd"/>
      <w:r w:rsidR="00723A59">
        <w:t>).</w:t>
      </w:r>
    </w:p>
    <w:p w:rsidR="003446C0" w:rsidRPr="0011762B" w:rsidRDefault="009B1E0C" w:rsidP="009B1E0C">
      <w:pPr>
        <w:pStyle w:val="BodyText"/>
      </w:pPr>
      <w:r w:rsidRPr="0011762B">
        <w:t>Nationally</w:t>
      </w:r>
      <w:r w:rsidR="0011762B" w:rsidRPr="0011762B">
        <w:t xml:space="preserve"> in 2014, primary schools employed 197 615 full time equivalent </w:t>
      </w:r>
      <w:r w:rsidR="00A3537F">
        <w:t xml:space="preserve">(FTE) </w:t>
      </w:r>
      <w:r w:rsidR="0011762B" w:rsidRPr="0011762B">
        <w:t xml:space="preserve">teachers and secondary schools employed 175 686 </w:t>
      </w:r>
      <w:r w:rsidR="00A3537F">
        <w:t>FTE</w:t>
      </w:r>
      <w:r w:rsidR="0011762B" w:rsidRPr="0011762B">
        <w:t xml:space="preserve"> teachers </w:t>
      </w:r>
      <w:r w:rsidR="00BD4EDA" w:rsidRPr="0011762B">
        <w:t xml:space="preserve">(table </w:t>
      </w:r>
      <w:proofErr w:type="spellStart"/>
      <w:r w:rsidR="0011762B" w:rsidRPr="0011762B">
        <w:t>4A.3</w:t>
      </w:r>
      <w:proofErr w:type="spellEnd"/>
      <w:r w:rsidR="00BD4EDA" w:rsidRPr="0011762B">
        <w:t>)</w:t>
      </w:r>
      <w:r w:rsidRPr="0011762B">
        <w:t>.</w:t>
      </w:r>
      <w:r w:rsidR="003446C0" w:rsidRPr="0011762B">
        <w:t xml:space="preserve"> </w:t>
      </w:r>
    </w:p>
    <w:p w:rsidR="009B1E0C" w:rsidRPr="006E56B1" w:rsidRDefault="004D164B" w:rsidP="005B1170">
      <w:pPr>
        <w:pStyle w:val="BodyText"/>
      </w:pPr>
      <w:r w:rsidRPr="006E56B1">
        <w:t>There is no single accepted measure</w:t>
      </w:r>
      <w:r w:rsidR="00E36A27" w:rsidRPr="006E56B1">
        <w:t xml:space="preserve"> of the VET workforce</w:t>
      </w:r>
      <w:r w:rsidR="00FF503C" w:rsidRPr="006E56B1">
        <w:t xml:space="preserve"> although t</w:t>
      </w:r>
      <w:r w:rsidR="006E56B1" w:rsidRPr="006E56B1">
        <w:t>here were an estimated 30 15</w:t>
      </w:r>
      <w:r w:rsidR="009B1E0C" w:rsidRPr="006E56B1">
        <w:t xml:space="preserve">0 </w:t>
      </w:r>
      <w:r w:rsidR="006E56B1" w:rsidRPr="006E56B1">
        <w:t xml:space="preserve">vocational education </w:t>
      </w:r>
      <w:r w:rsidR="009B1E0C" w:rsidRPr="006E56B1">
        <w:t xml:space="preserve">teachers </w:t>
      </w:r>
      <w:r w:rsidR="00FF503C" w:rsidRPr="006E56B1">
        <w:t>in</w:t>
      </w:r>
      <w:r w:rsidR="006E56B1" w:rsidRPr="006E56B1">
        <w:t xml:space="preserve"> 2014-15</w:t>
      </w:r>
      <w:r w:rsidR="00FF503C" w:rsidRPr="006E56B1">
        <w:t>,</w:t>
      </w:r>
      <w:r w:rsidR="006E56B1" w:rsidRPr="006E56B1">
        <w:t xml:space="preserve"> with 61.9</w:t>
      </w:r>
      <w:r w:rsidRPr="006E56B1">
        <w:t xml:space="preserve"> per </w:t>
      </w:r>
      <w:r w:rsidR="009B1E0C" w:rsidRPr="006E56B1">
        <w:t>ce</w:t>
      </w:r>
      <w:r w:rsidR="006E56B1" w:rsidRPr="006E56B1">
        <w:t xml:space="preserve">nt employed full time (ABS </w:t>
      </w:r>
      <w:proofErr w:type="spellStart"/>
      <w:r w:rsidR="006E56B1" w:rsidRPr="006E56B1">
        <w:t>2015</w:t>
      </w:r>
      <w:r w:rsidR="000C7FE9">
        <w:t>b</w:t>
      </w:r>
      <w:proofErr w:type="spellEnd"/>
      <w:r w:rsidR="009B1E0C" w:rsidRPr="006E56B1">
        <w:t>).</w:t>
      </w:r>
    </w:p>
    <w:p w:rsidR="00A76486" w:rsidRPr="000B043E" w:rsidRDefault="009B1E0C" w:rsidP="008A26AC">
      <w:pPr>
        <w:pStyle w:val="BodyText"/>
      </w:pPr>
      <w:r w:rsidRPr="000B043E">
        <w:lastRenderedPageBreak/>
        <w:t xml:space="preserve">There were </w:t>
      </w:r>
      <w:r w:rsidR="000B043E" w:rsidRPr="000B043E">
        <w:t>43</w:t>
      </w:r>
      <w:r w:rsidR="00A269D7" w:rsidRPr="000B043E">
        <w:t> </w:t>
      </w:r>
      <w:r w:rsidR="000B043E" w:rsidRPr="000B043E">
        <w:t>518</w:t>
      </w:r>
      <w:r w:rsidRPr="000B043E">
        <w:t xml:space="preserve"> </w:t>
      </w:r>
      <w:r w:rsidR="00DC4F09" w:rsidRPr="000B043E">
        <w:t xml:space="preserve">academic </w:t>
      </w:r>
      <w:r w:rsidRPr="000B043E">
        <w:t>staff employed at</w:t>
      </w:r>
      <w:r w:rsidR="0079648A" w:rsidRPr="000B043E">
        <w:t xml:space="preserve"> Australian universities in 201</w:t>
      </w:r>
      <w:r w:rsidR="000B043E" w:rsidRPr="000B043E">
        <w:t>4</w:t>
      </w:r>
      <w:r w:rsidR="003446C0" w:rsidRPr="000B043E">
        <w:t>. In addition</w:t>
      </w:r>
      <w:r w:rsidR="00DC4F09" w:rsidRPr="000B043E">
        <w:t>,</w:t>
      </w:r>
      <w:r w:rsidR="003446C0" w:rsidRPr="000B043E">
        <w:t xml:space="preserve"> there were </w:t>
      </w:r>
      <w:r w:rsidR="000B043E" w:rsidRPr="000B043E">
        <w:t>65 453</w:t>
      </w:r>
      <w:r w:rsidR="00DC4F09" w:rsidRPr="000B043E">
        <w:t xml:space="preserve"> non</w:t>
      </w:r>
      <w:r w:rsidR="000117A0" w:rsidRPr="000B043E">
        <w:noBreakHyphen/>
      </w:r>
      <w:r w:rsidR="00DC4F09" w:rsidRPr="000B043E">
        <w:t xml:space="preserve">academic </w:t>
      </w:r>
      <w:r w:rsidR="003446C0" w:rsidRPr="000B043E">
        <w:t xml:space="preserve">staff </w:t>
      </w:r>
      <w:r w:rsidR="003778D9" w:rsidRPr="000B043E">
        <w:t>(non</w:t>
      </w:r>
      <w:r w:rsidR="000117A0" w:rsidRPr="000B043E">
        <w:noBreakHyphen/>
      </w:r>
      <w:r w:rsidR="003778D9" w:rsidRPr="000B043E">
        <w:t>teaching or non</w:t>
      </w:r>
      <w:r w:rsidR="000117A0" w:rsidRPr="000B043E">
        <w:noBreakHyphen/>
      </w:r>
      <w:r w:rsidR="003778D9" w:rsidRPr="000B043E">
        <w:t xml:space="preserve">research) </w:t>
      </w:r>
      <w:r w:rsidR="003446C0" w:rsidRPr="000B043E">
        <w:t xml:space="preserve">employed by Australian universities in </w:t>
      </w:r>
      <w:r w:rsidR="000B043E" w:rsidRPr="000B043E">
        <w:t>2014</w:t>
      </w:r>
      <w:r w:rsidR="003778D9" w:rsidRPr="000B043E">
        <w:t xml:space="preserve"> </w:t>
      </w:r>
      <w:r w:rsidR="005F112B" w:rsidRPr="000B043E">
        <w:t>(</w:t>
      </w:r>
      <w:r w:rsidR="005C5A53" w:rsidRPr="000B043E">
        <w:t>Australian Governm</w:t>
      </w:r>
      <w:r w:rsidR="000B043E" w:rsidRPr="000B043E">
        <w:t xml:space="preserve">ent Department of Education and Training </w:t>
      </w:r>
      <w:proofErr w:type="spellStart"/>
      <w:r w:rsidR="000B043E" w:rsidRPr="000B043E">
        <w:t>2015</w:t>
      </w:r>
      <w:r w:rsidR="00363167" w:rsidRPr="000B043E">
        <w:t>b</w:t>
      </w:r>
      <w:proofErr w:type="spellEnd"/>
      <w:r w:rsidRPr="000B043E">
        <w:t>).</w:t>
      </w:r>
    </w:p>
    <w:p w:rsidR="008B55A6" w:rsidRDefault="00AD713F" w:rsidP="0038185D">
      <w:pPr>
        <w:pStyle w:val="Heading3"/>
      </w:pPr>
      <w:r w:rsidRPr="00192163">
        <w:t>Social and economic impacts of e</w:t>
      </w:r>
      <w:r w:rsidR="008B55A6" w:rsidRPr="00192163">
        <w:t>ducation</w:t>
      </w:r>
      <w:r w:rsidR="00420B15" w:rsidRPr="00192163">
        <w:t xml:space="preserve"> and training</w:t>
      </w:r>
    </w:p>
    <w:p w:rsidR="0038185D" w:rsidRPr="00E45E5D" w:rsidRDefault="0038185D" w:rsidP="00AD713F">
      <w:pPr>
        <w:pStyle w:val="Heading4"/>
      </w:pPr>
      <w:r>
        <w:t xml:space="preserve">Benefits of </w:t>
      </w:r>
      <w:proofErr w:type="spellStart"/>
      <w:r w:rsidR="00D948EB">
        <w:t>CCET</w:t>
      </w:r>
      <w:proofErr w:type="spellEnd"/>
    </w:p>
    <w:p w:rsidR="001A58A8" w:rsidRDefault="001A58A8" w:rsidP="001A58A8">
      <w:pPr>
        <w:pStyle w:val="ListBullet"/>
        <w:numPr>
          <w:ilvl w:val="0"/>
          <w:numId w:val="0"/>
        </w:numPr>
      </w:pPr>
      <w:r>
        <w:t xml:space="preserve">Education is a life-long activity, beginning with learning and development in the home through to formal settings. </w:t>
      </w:r>
      <w:r w:rsidR="00BB76EE">
        <w:t>It</w:t>
      </w:r>
      <w:r w:rsidRPr="001A58A8">
        <w:t xml:space="preserve"> aims to develop the capacities and talents of students, to ensure necessary knowledge, understanding, skills and values for a productive and rewarding life. </w:t>
      </w:r>
      <w:r w:rsidR="000C7FE9">
        <w:t xml:space="preserve">Across a lifetime, education </w:t>
      </w:r>
      <w:r w:rsidRPr="00D93174">
        <w:t xml:space="preserve">and training </w:t>
      </w:r>
      <w:r>
        <w:t>can provide</w:t>
      </w:r>
      <w:r w:rsidRPr="00D93174">
        <w:t xml:space="preserve"> </w:t>
      </w:r>
      <w:r>
        <w:t xml:space="preserve">significant economic and social benefits </w:t>
      </w:r>
      <w:r w:rsidRPr="00D93174">
        <w:t>to the individual</w:t>
      </w:r>
      <w:r w:rsidR="000C7FE9">
        <w:t>,</w:t>
      </w:r>
      <w:r w:rsidRPr="00D93174">
        <w:t xml:space="preserve"> </w:t>
      </w:r>
      <w:r>
        <w:t xml:space="preserve">in addition to wider benefits for </w:t>
      </w:r>
      <w:r w:rsidRPr="00D93174">
        <w:t>society.</w:t>
      </w:r>
      <w:r>
        <w:t xml:space="preserve"> </w:t>
      </w:r>
    </w:p>
    <w:p w:rsidR="00D93174" w:rsidRPr="00CD33DD" w:rsidRDefault="001F0910" w:rsidP="005B1170">
      <w:pPr>
        <w:pStyle w:val="BodyText"/>
      </w:pPr>
      <w:r>
        <w:t>A</w:t>
      </w:r>
      <w:r w:rsidR="002245E2">
        <w:t xml:space="preserve">n individual’s </w:t>
      </w:r>
      <w:r w:rsidR="00D93174" w:rsidRPr="00FF6A19">
        <w:t xml:space="preserve">level of educational attainment can </w:t>
      </w:r>
      <w:r w:rsidR="002245E2">
        <w:t>affect their</w:t>
      </w:r>
      <w:r w:rsidR="00D93174" w:rsidRPr="003E281F">
        <w:rPr>
          <w:color w:val="0070C0"/>
        </w:rPr>
        <w:t xml:space="preserve"> </w:t>
      </w:r>
      <w:r w:rsidR="00D93174" w:rsidRPr="00FF6A19">
        <w:t xml:space="preserve">employment </w:t>
      </w:r>
      <w:r w:rsidR="004E25BD" w:rsidRPr="00FF6A19">
        <w:t>s</w:t>
      </w:r>
      <w:r w:rsidR="002A6AEC">
        <w:t xml:space="preserve">tatus. </w:t>
      </w:r>
      <w:r w:rsidR="00D5264B">
        <w:t>Nationally i</w:t>
      </w:r>
      <w:r w:rsidR="002A6AEC" w:rsidRPr="001702AC">
        <w:t>n 201</w:t>
      </w:r>
      <w:r w:rsidR="00D5264B">
        <w:t>4</w:t>
      </w:r>
      <w:r w:rsidR="002245E2" w:rsidRPr="001702AC">
        <w:t xml:space="preserve">, </w:t>
      </w:r>
      <w:r w:rsidR="00996C81" w:rsidRPr="00996C81">
        <w:t>80.8</w:t>
      </w:r>
      <w:r w:rsidR="002245E2" w:rsidRPr="00996C81">
        <w:t xml:space="preserve"> </w:t>
      </w:r>
      <w:r w:rsidR="002245E2" w:rsidRPr="001702AC">
        <w:t xml:space="preserve">per </w:t>
      </w:r>
      <w:r w:rsidR="002245E2">
        <w:t>cent of</w:t>
      </w:r>
      <w:r w:rsidR="001702AC">
        <w:t xml:space="preserve"> 15–64 year olds </w:t>
      </w:r>
      <w:r w:rsidR="00C85731">
        <w:t>with a non</w:t>
      </w:r>
      <w:r w:rsidR="000117A0">
        <w:noBreakHyphen/>
      </w:r>
      <w:r w:rsidR="00C85731">
        <w:t xml:space="preserve">school </w:t>
      </w:r>
      <w:r w:rsidR="002245E2">
        <w:t>qualification were employed</w:t>
      </w:r>
      <w:r w:rsidR="00D93174" w:rsidRPr="00FF6A19">
        <w:t xml:space="preserve"> </w:t>
      </w:r>
      <w:r w:rsidR="00D5264B">
        <w:t xml:space="preserve">(table </w:t>
      </w:r>
      <w:proofErr w:type="spellStart"/>
      <w:r w:rsidR="00D5264B">
        <w:t>BA.</w:t>
      </w:r>
      <w:r w:rsidR="008A5DBA">
        <w:t>5</w:t>
      </w:r>
      <w:proofErr w:type="spellEnd"/>
      <w:r w:rsidR="00BD4EDA">
        <w:t>).</w:t>
      </w:r>
      <w:r w:rsidR="00D93174" w:rsidRPr="00FF6A19">
        <w:t xml:space="preserve"> </w:t>
      </w:r>
      <w:r w:rsidR="00BB76EE">
        <w:t>H</w:t>
      </w:r>
      <w:r w:rsidR="002245E2">
        <w:t xml:space="preserve">igher education levels are </w:t>
      </w:r>
      <w:r w:rsidR="00BB76EE">
        <w:t xml:space="preserve">also </w:t>
      </w:r>
      <w:r w:rsidR="002245E2">
        <w:t>associated with hi</w:t>
      </w:r>
      <w:r w:rsidR="00D5264B">
        <w:t>gher employment levels. Nationally i</w:t>
      </w:r>
      <w:r w:rsidR="002245E2">
        <w:t>n 201</w:t>
      </w:r>
      <w:r w:rsidR="00D5264B">
        <w:t>4</w:t>
      </w:r>
      <w:r w:rsidR="002245E2">
        <w:t>, p</w:t>
      </w:r>
      <w:r w:rsidR="00D93174" w:rsidRPr="00FF6A19">
        <w:t>eople whose highest non</w:t>
      </w:r>
      <w:r w:rsidR="00D13D36">
        <w:noBreakHyphen/>
      </w:r>
      <w:r w:rsidR="00D93174" w:rsidRPr="00FF6A19">
        <w:t>school qualification was a</w:t>
      </w:r>
      <w:r w:rsidR="00996C81">
        <w:t>t least a</w:t>
      </w:r>
      <w:r w:rsidR="00D93174" w:rsidRPr="00FF6A19">
        <w:t xml:space="preserve"> </w:t>
      </w:r>
      <w:r w:rsidR="00996C81">
        <w:t>bachelor degree</w:t>
      </w:r>
      <w:r w:rsidR="002A6AEC">
        <w:t xml:space="preserve"> </w:t>
      </w:r>
      <w:r w:rsidR="001A13A1">
        <w:t xml:space="preserve">(83.4 per cent) </w:t>
      </w:r>
      <w:r w:rsidR="001A13A1" w:rsidRPr="00F14060">
        <w:t>or a Certificate III or IV (81.5 per cent)</w:t>
      </w:r>
      <w:r w:rsidR="001A13A1">
        <w:t xml:space="preserve"> </w:t>
      </w:r>
      <w:r w:rsidR="00D93174" w:rsidRPr="00FF6A19">
        <w:t xml:space="preserve">were most likely to be </w:t>
      </w:r>
      <w:r w:rsidR="001A13A1">
        <w:t>employed</w:t>
      </w:r>
      <w:r w:rsidR="00C501C7">
        <w:t xml:space="preserve">, while people </w:t>
      </w:r>
      <w:r w:rsidR="00C85731">
        <w:t>who had</w:t>
      </w:r>
      <w:r w:rsidR="00C501C7">
        <w:t xml:space="preserve"> </w:t>
      </w:r>
      <w:r w:rsidR="00D93174" w:rsidRPr="0078535C">
        <w:t>not complete</w:t>
      </w:r>
      <w:r w:rsidR="00C501C7">
        <w:t>d</w:t>
      </w:r>
      <w:r w:rsidR="00D93174" w:rsidRPr="0078535C">
        <w:t xml:space="preserve"> secondary school </w:t>
      </w:r>
      <w:r w:rsidR="006F1B66">
        <w:t>(52.6 per </w:t>
      </w:r>
      <w:r w:rsidR="001A13A1">
        <w:t xml:space="preserve">cent) </w:t>
      </w:r>
      <w:r w:rsidR="00D93174" w:rsidRPr="0078535C">
        <w:t>were the le</w:t>
      </w:r>
      <w:r w:rsidR="00EC6EEF" w:rsidRPr="0078535C">
        <w:t>ast</w:t>
      </w:r>
      <w:r w:rsidR="00EC6EEF" w:rsidRPr="00FF6A19">
        <w:t xml:space="preserve"> likely to be </w:t>
      </w:r>
      <w:r w:rsidR="001A13A1">
        <w:t>employed</w:t>
      </w:r>
      <w:r w:rsidR="00D93174" w:rsidRPr="00FF6A19">
        <w:t xml:space="preserve"> (</w:t>
      </w:r>
      <w:r w:rsidR="00900633">
        <w:t xml:space="preserve">table </w:t>
      </w:r>
      <w:proofErr w:type="spellStart"/>
      <w:r w:rsidR="00900633">
        <w:t>BA.5</w:t>
      </w:r>
      <w:proofErr w:type="spellEnd"/>
      <w:r w:rsidR="00D93174" w:rsidRPr="00FF6A19">
        <w:t>).</w:t>
      </w:r>
    </w:p>
    <w:p w:rsidR="002245E2" w:rsidRDefault="002245E2" w:rsidP="0095291B">
      <w:pPr>
        <w:pStyle w:val="BodyText"/>
      </w:pPr>
      <w:r>
        <w:t>Levels of qualifications are also associated with types of occupation. In 201</w:t>
      </w:r>
      <w:r w:rsidR="00795F4D">
        <w:t>4</w:t>
      </w:r>
      <w:r w:rsidR="00900633">
        <w:t>, for those aged 15–64 years</w:t>
      </w:r>
      <w:r w:rsidR="00BB76EE">
        <w:t xml:space="preserve">, </w:t>
      </w:r>
      <w:r w:rsidR="00795F4D">
        <w:t>74.6</w:t>
      </w:r>
      <w:r w:rsidRPr="00845329">
        <w:t xml:space="preserve"> </w:t>
      </w:r>
      <w:r w:rsidR="00475F94" w:rsidRPr="00845329">
        <w:t xml:space="preserve">per </w:t>
      </w:r>
      <w:r w:rsidR="00475F94">
        <w:t xml:space="preserve">cent </w:t>
      </w:r>
      <w:r>
        <w:t xml:space="preserve">employed </w:t>
      </w:r>
      <w:r w:rsidR="00900633">
        <w:t xml:space="preserve">as </w:t>
      </w:r>
      <w:r w:rsidR="00795F4D">
        <w:t xml:space="preserve">professionals had at least a </w:t>
      </w:r>
      <w:r>
        <w:t xml:space="preserve">bachelor degree </w:t>
      </w:r>
      <w:r w:rsidR="00795F4D">
        <w:t xml:space="preserve">qualification </w:t>
      </w:r>
      <w:r w:rsidR="001A13A1">
        <w:t>and</w:t>
      </w:r>
      <w:r w:rsidR="00BB76EE">
        <w:t xml:space="preserve"> </w:t>
      </w:r>
      <w:r w:rsidR="00795F4D">
        <w:t>50</w:t>
      </w:r>
      <w:r w:rsidR="00845329" w:rsidRPr="00845329">
        <w:t>.9</w:t>
      </w:r>
      <w:r w:rsidRPr="00845329">
        <w:t xml:space="preserve"> per </w:t>
      </w:r>
      <w:r>
        <w:t xml:space="preserve">cent </w:t>
      </w:r>
      <w:r w:rsidR="00900633">
        <w:t xml:space="preserve">employed as </w:t>
      </w:r>
      <w:r>
        <w:t xml:space="preserve">technicians </w:t>
      </w:r>
      <w:r w:rsidR="00900633">
        <w:t>or</w:t>
      </w:r>
      <w:r>
        <w:t xml:space="preserve"> trade workers had a </w:t>
      </w:r>
      <w:r w:rsidR="008F4839">
        <w:t>C</w:t>
      </w:r>
      <w:r>
        <w:t>ertificate III or IV as their highest level of non</w:t>
      </w:r>
      <w:r w:rsidR="000117A0">
        <w:noBreakHyphen/>
      </w:r>
      <w:r>
        <w:t xml:space="preserve">school qualification </w:t>
      </w:r>
      <w:r w:rsidR="00BB76EE">
        <w:t xml:space="preserve">(table </w:t>
      </w:r>
      <w:proofErr w:type="spellStart"/>
      <w:r w:rsidR="00BB76EE">
        <w:t>BA.6</w:t>
      </w:r>
      <w:proofErr w:type="spellEnd"/>
      <w:r w:rsidR="00BB76EE">
        <w:t>).</w:t>
      </w:r>
    </w:p>
    <w:p w:rsidR="00FC69B0" w:rsidRPr="004B598F" w:rsidRDefault="006F7CAF" w:rsidP="00984B04">
      <w:pPr>
        <w:pStyle w:val="BodyText"/>
      </w:pPr>
      <w:r w:rsidRPr="00FF6A19">
        <w:t>Extensive research has investigate</w:t>
      </w:r>
      <w:r w:rsidR="003608FD" w:rsidRPr="00FF6A19">
        <w:t>d</w:t>
      </w:r>
      <w:r w:rsidRPr="00FF6A19">
        <w:t xml:space="preserve"> the </w:t>
      </w:r>
      <w:r w:rsidR="003608FD" w:rsidRPr="00FF6A19">
        <w:t>effect</w:t>
      </w:r>
      <w:r w:rsidRPr="00FF6A19">
        <w:t xml:space="preserve"> of education on the wage</w:t>
      </w:r>
      <w:r w:rsidRPr="003608FD">
        <w:t xml:space="preserve"> levels of individuals. </w:t>
      </w:r>
      <w:r w:rsidR="00FC69B0">
        <w:t>S</w:t>
      </w:r>
      <w:r w:rsidR="00BA59BA">
        <w:t>homos (2010)</w:t>
      </w:r>
      <w:r w:rsidR="00FC69B0" w:rsidRPr="004B598F">
        <w:t xml:space="preserve"> found that an improvement in literacy and numeracy skills is associated with an increase in hourly wage rates </w:t>
      </w:r>
      <w:r w:rsidR="00FC69B0">
        <w:t>for men and women.</w:t>
      </w:r>
      <w:r w:rsidR="00984B04">
        <w:t xml:space="preserve"> Other international reviews support this </w:t>
      </w:r>
      <w:r w:rsidR="00AE2EB8">
        <w:t xml:space="preserve">general </w:t>
      </w:r>
      <w:r w:rsidR="00984B04">
        <w:t xml:space="preserve">finding. </w:t>
      </w:r>
      <w:r w:rsidR="00FF3EC8">
        <w:t>In short, h</w:t>
      </w:r>
      <w:r w:rsidR="00984B04">
        <w:t xml:space="preserve">igher level skills typically improve a person’s chances of employment and his or her earnings (OECD 2013). </w:t>
      </w:r>
    </w:p>
    <w:p w:rsidR="00925347" w:rsidRDefault="002560BF" w:rsidP="00925347">
      <w:pPr>
        <w:pStyle w:val="BodyText"/>
      </w:pPr>
      <w:r w:rsidRPr="00B7659F">
        <w:t xml:space="preserve">In addition </w:t>
      </w:r>
      <w:r w:rsidR="00A76486">
        <w:t xml:space="preserve">to </w:t>
      </w:r>
      <w:r w:rsidR="00332652">
        <w:t>providing benefits to the individual</w:t>
      </w:r>
      <w:r w:rsidR="007F1104">
        <w:t>,</w:t>
      </w:r>
      <w:r w:rsidR="00332652">
        <w:t xml:space="preserve"> </w:t>
      </w:r>
      <w:r w:rsidRPr="00B7659F">
        <w:t>improvements in</w:t>
      </w:r>
      <w:r w:rsidR="00B7659F">
        <w:t xml:space="preserve"> </w:t>
      </w:r>
      <w:r w:rsidRPr="00B7659F">
        <w:t xml:space="preserve">educational attainment </w:t>
      </w:r>
      <w:r w:rsidR="00332652">
        <w:t xml:space="preserve">also </w:t>
      </w:r>
      <w:r w:rsidRPr="00332652">
        <w:t>yield long</w:t>
      </w:r>
      <w:r w:rsidR="000117A0">
        <w:noBreakHyphen/>
      </w:r>
      <w:r w:rsidRPr="00332652">
        <w:t>term</w:t>
      </w:r>
      <w:r w:rsidR="008C1CDB">
        <w:t>,</w:t>
      </w:r>
      <w:r w:rsidRPr="00332652">
        <w:t xml:space="preserve"> </w:t>
      </w:r>
      <w:r w:rsidR="00332652" w:rsidRPr="00332652">
        <w:t>public</w:t>
      </w:r>
      <w:r w:rsidR="008C1CDB">
        <w:t>,</w:t>
      </w:r>
      <w:r w:rsidR="00332652" w:rsidRPr="00332652">
        <w:t xml:space="preserve"> </w:t>
      </w:r>
      <w:r w:rsidRPr="00332652">
        <w:t xml:space="preserve">economic </w:t>
      </w:r>
      <w:r w:rsidR="00332652" w:rsidRPr="00332652">
        <w:t xml:space="preserve">and social benefits </w:t>
      </w:r>
      <w:r w:rsidR="005E011B">
        <w:t>(OECD </w:t>
      </w:r>
      <w:r w:rsidRPr="009A0352">
        <w:t>2008)</w:t>
      </w:r>
      <w:r w:rsidR="00332652" w:rsidRPr="009A0352">
        <w:t>.</w:t>
      </w:r>
      <w:r w:rsidR="00900633">
        <w:t xml:space="preserve"> </w:t>
      </w:r>
      <w:r w:rsidR="00332652" w:rsidRPr="00500E59">
        <w:t xml:space="preserve">Education and training </w:t>
      </w:r>
      <w:r w:rsidR="008C1CDB">
        <w:t>can</w:t>
      </w:r>
      <w:r w:rsidR="00332652" w:rsidRPr="00500E59">
        <w:t xml:space="preserve"> </w:t>
      </w:r>
      <w:r w:rsidR="00500E59">
        <w:t>result in improved productivity</w:t>
      </w:r>
      <w:r w:rsidR="00FC69B0">
        <w:t>,</w:t>
      </w:r>
      <w:r w:rsidR="00500E59">
        <w:t xml:space="preserve"> as higher educational attainment is positively associated with lower unemployment rates and higher labour force </w:t>
      </w:r>
      <w:r w:rsidR="00437EE5">
        <w:t xml:space="preserve">participation </w:t>
      </w:r>
      <w:r w:rsidR="00437EE5" w:rsidRPr="00063DF0">
        <w:t>rates (ABS</w:t>
      </w:r>
      <w:r w:rsidR="00500E59" w:rsidRPr="00063DF0">
        <w:t xml:space="preserve"> 2010). </w:t>
      </w:r>
      <w:r w:rsidR="00AB6E91" w:rsidRPr="00063DF0">
        <w:t>Increased</w:t>
      </w:r>
      <w:r w:rsidR="00AB6E91">
        <w:t xml:space="preserve"> </w:t>
      </w:r>
      <w:r w:rsidR="00500E59">
        <w:t xml:space="preserve">educational attainment also </w:t>
      </w:r>
      <w:r w:rsidR="007F1104">
        <w:t>results in improved</w:t>
      </w:r>
      <w:r w:rsidR="00500E59">
        <w:t xml:space="preserve"> productivity through </w:t>
      </w:r>
      <w:r w:rsidR="00332652">
        <w:t>accelerated rates of innovation</w:t>
      </w:r>
      <w:r w:rsidR="00500E59">
        <w:t>,</w:t>
      </w:r>
      <w:r w:rsidR="00332652">
        <w:t xml:space="preserve"> the development of basic knowledge capabilities and the dissemination of new ideas</w:t>
      </w:r>
      <w:r w:rsidR="007F1104">
        <w:t xml:space="preserve"> (</w:t>
      </w:r>
      <w:r w:rsidR="00437EE5" w:rsidRPr="00EC6EEF">
        <w:t>Murray</w:t>
      </w:r>
      <w:r w:rsidR="00437EE5">
        <w:t xml:space="preserve"> 2009; </w:t>
      </w:r>
      <w:r w:rsidR="007F1104">
        <w:t>PC 2011).</w:t>
      </w:r>
      <w:r w:rsidR="00FC69B0">
        <w:t xml:space="preserve"> </w:t>
      </w:r>
      <w:r w:rsidR="00925347" w:rsidRPr="00925347">
        <w:t xml:space="preserve">Further education and training </w:t>
      </w:r>
      <w:r w:rsidR="00925347">
        <w:t>are key driver</w:t>
      </w:r>
      <w:r w:rsidR="008C1CDB">
        <w:t>s</w:t>
      </w:r>
      <w:r w:rsidR="00925347">
        <w:t xml:space="preserve"> in improving competitiveness and </w:t>
      </w:r>
      <w:r w:rsidR="00925347" w:rsidRPr="00925347">
        <w:t>a</w:t>
      </w:r>
      <w:r w:rsidR="00925347">
        <w:t>re</w:t>
      </w:r>
      <w:r w:rsidR="00925347" w:rsidRPr="00925347">
        <w:t xml:space="preserve"> critical </w:t>
      </w:r>
      <w:r w:rsidR="00BD4EDA">
        <w:t xml:space="preserve">to </w:t>
      </w:r>
      <w:r w:rsidR="00925347" w:rsidRPr="00925347">
        <w:t xml:space="preserve">Australia’s future prosperity </w:t>
      </w:r>
      <w:r w:rsidR="00BD4EDA">
        <w:t xml:space="preserve">by </w:t>
      </w:r>
      <w:r w:rsidR="00925347" w:rsidRPr="00925347">
        <w:t xml:space="preserve">improving </w:t>
      </w:r>
      <w:r w:rsidR="002D2924">
        <w:t xml:space="preserve">the </w:t>
      </w:r>
      <w:r w:rsidR="00925347" w:rsidRPr="00925347">
        <w:t xml:space="preserve">productivity of the labour force. </w:t>
      </w:r>
    </w:p>
    <w:p w:rsidR="00A05C8C" w:rsidRDefault="008B55A6" w:rsidP="0095291B">
      <w:pPr>
        <w:pStyle w:val="Heading4"/>
      </w:pPr>
      <w:r>
        <w:lastRenderedPageBreak/>
        <w:t xml:space="preserve">Factors </w:t>
      </w:r>
      <w:r w:rsidR="00FC69B0">
        <w:t>affecting</w:t>
      </w:r>
      <w:r>
        <w:t xml:space="preserve"> </w:t>
      </w:r>
      <w:r w:rsidR="001A2622">
        <w:t xml:space="preserve">engagement </w:t>
      </w:r>
      <w:r w:rsidR="00CE21A6">
        <w:t xml:space="preserve">in </w:t>
      </w:r>
      <w:proofErr w:type="spellStart"/>
      <w:r w:rsidR="00F048B0">
        <w:t>CCET</w:t>
      </w:r>
      <w:proofErr w:type="spellEnd"/>
    </w:p>
    <w:p w:rsidR="0085753F" w:rsidRDefault="0085753F" w:rsidP="00C22C6A">
      <w:pPr>
        <w:pStyle w:val="BodyText"/>
        <w:rPr>
          <w:rFonts w:eastAsia="Lucida Sans Unicode"/>
        </w:rPr>
      </w:pPr>
      <w:r>
        <w:rPr>
          <w:rFonts w:eastAsia="Lucida Sans Unicode"/>
        </w:rPr>
        <w:t xml:space="preserve">Research </w:t>
      </w:r>
      <w:r w:rsidR="004D6DFA">
        <w:rPr>
          <w:rFonts w:eastAsia="Lucida Sans Unicode"/>
        </w:rPr>
        <w:t xml:space="preserve">by </w:t>
      </w:r>
      <w:proofErr w:type="spellStart"/>
      <w:r w:rsidR="004D6DFA">
        <w:rPr>
          <w:rFonts w:eastAsia="Lucida Sans Unicode"/>
        </w:rPr>
        <w:t>Jackiewicz</w:t>
      </w:r>
      <w:proofErr w:type="spellEnd"/>
      <w:r w:rsidR="004D6DFA">
        <w:rPr>
          <w:rFonts w:eastAsia="Lucida Sans Unicode"/>
        </w:rPr>
        <w:t xml:space="preserve"> et al. (2011) </w:t>
      </w:r>
      <w:r>
        <w:rPr>
          <w:rFonts w:eastAsia="Lucida Sans Unicode"/>
        </w:rPr>
        <w:t xml:space="preserve">regarding access of </w:t>
      </w:r>
      <w:r w:rsidR="00384B5D">
        <w:rPr>
          <w:rFonts w:eastAsia="Lucida Sans Unicode"/>
        </w:rPr>
        <w:t xml:space="preserve">Aboriginal and Torres Strait Islander </w:t>
      </w:r>
      <w:r w:rsidR="004E61B8">
        <w:rPr>
          <w:rFonts w:eastAsia="Lucida Sans Unicode"/>
        </w:rPr>
        <w:t>families</w:t>
      </w:r>
      <w:r>
        <w:rPr>
          <w:rFonts w:eastAsia="Lucida Sans Unicode"/>
        </w:rPr>
        <w:t xml:space="preserve"> to government</w:t>
      </w:r>
      <w:r w:rsidR="000117A0">
        <w:rPr>
          <w:rFonts w:eastAsia="Lucida Sans Unicode"/>
        </w:rPr>
        <w:noBreakHyphen/>
      </w:r>
      <w:r>
        <w:rPr>
          <w:rFonts w:eastAsia="Lucida Sans Unicode"/>
        </w:rPr>
        <w:t xml:space="preserve">approved </w:t>
      </w:r>
      <w:r w:rsidR="00E135D0">
        <w:rPr>
          <w:rFonts w:eastAsia="Lucida Sans Unicode"/>
        </w:rPr>
        <w:t>child care</w:t>
      </w:r>
      <w:r>
        <w:rPr>
          <w:rFonts w:eastAsia="Lucida Sans Unicode"/>
        </w:rPr>
        <w:t xml:space="preserve"> services in Australia </w:t>
      </w:r>
      <w:r w:rsidR="004D6DFA">
        <w:rPr>
          <w:rFonts w:eastAsia="Lucida Sans Unicode"/>
        </w:rPr>
        <w:t xml:space="preserve">identifies </w:t>
      </w:r>
      <w:r w:rsidR="000F23DB">
        <w:rPr>
          <w:rFonts w:eastAsia="Lucida Sans Unicode"/>
        </w:rPr>
        <w:t xml:space="preserve">the following key barriers to engagement with </w:t>
      </w:r>
      <w:r w:rsidR="00E135D0">
        <w:rPr>
          <w:rFonts w:eastAsia="Lucida Sans Unicode"/>
        </w:rPr>
        <w:t>child care</w:t>
      </w:r>
      <w:r w:rsidR="000F23DB">
        <w:rPr>
          <w:rFonts w:eastAsia="Lucida Sans Unicode"/>
        </w:rPr>
        <w:t xml:space="preserve"> services: lack of available </w:t>
      </w:r>
      <w:r w:rsidR="00E135D0">
        <w:rPr>
          <w:rFonts w:eastAsia="Lucida Sans Unicode"/>
        </w:rPr>
        <w:t>child care</w:t>
      </w:r>
      <w:r w:rsidR="000F23DB">
        <w:rPr>
          <w:rFonts w:eastAsia="Lucida Sans Unicode"/>
        </w:rPr>
        <w:t xml:space="preserve"> places (including what families consider to be </w:t>
      </w:r>
      <w:r w:rsidR="004E61B8">
        <w:rPr>
          <w:rFonts w:eastAsia="Lucida Sans Unicode"/>
        </w:rPr>
        <w:t>culturally appropriate services)</w:t>
      </w:r>
      <w:r w:rsidR="000F23DB">
        <w:rPr>
          <w:rFonts w:eastAsia="Lucida Sans Unicode"/>
        </w:rPr>
        <w:t xml:space="preserve">, lack of transport to </w:t>
      </w:r>
      <w:r w:rsidR="00E135D0">
        <w:rPr>
          <w:rFonts w:eastAsia="Lucida Sans Unicode"/>
        </w:rPr>
        <w:t>child care</w:t>
      </w:r>
      <w:r w:rsidR="000F23DB">
        <w:rPr>
          <w:rFonts w:eastAsia="Lucida Sans Unicode"/>
        </w:rPr>
        <w:t xml:space="preserve"> services, affordability of </w:t>
      </w:r>
      <w:r w:rsidR="00E135D0">
        <w:rPr>
          <w:rFonts w:eastAsia="Lucida Sans Unicode"/>
        </w:rPr>
        <w:t>child care</w:t>
      </w:r>
      <w:r w:rsidR="000F23DB">
        <w:rPr>
          <w:rFonts w:eastAsia="Lucida Sans Unicode"/>
        </w:rPr>
        <w:t xml:space="preserve"> (including uncertainty about government subsidies), and </w:t>
      </w:r>
      <w:r w:rsidR="004E61B8">
        <w:rPr>
          <w:rFonts w:eastAsia="Lucida Sans Unicode"/>
        </w:rPr>
        <w:t xml:space="preserve">at times, limited </w:t>
      </w:r>
      <w:r w:rsidR="001F60E5">
        <w:rPr>
          <w:rFonts w:eastAsia="Lucida Sans Unicode"/>
        </w:rPr>
        <w:t xml:space="preserve">understanding </w:t>
      </w:r>
      <w:r w:rsidR="004E61B8">
        <w:rPr>
          <w:rFonts w:eastAsia="Lucida Sans Unicode"/>
        </w:rPr>
        <w:t xml:space="preserve">of the potential benefits of </w:t>
      </w:r>
      <w:r w:rsidR="00E135D0">
        <w:rPr>
          <w:rFonts w:eastAsia="Lucida Sans Unicode"/>
        </w:rPr>
        <w:t>child care</w:t>
      </w:r>
      <w:r w:rsidR="004E61B8">
        <w:rPr>
          <w:rFonts w:eastAsia="Lucida Sans Unicode"/>
        </w:rPr>
        <w:t xml:space="preserve"> for development in the early years and </w:t>
      </w:r>
      <w:r w:rsidR="00E135D0">
        <w:rPr>
          <w:rFonts w:eastAsia="Lucida Sans Unicode"/>
        </w:rPr>
        <w:t xml:space="preserve">the role of child care </w:t>
      </w:r>
      <w:r w:rsidR="004E61B8">
        <w:rPr>
          <w:rFonts w:eastAsia="Lucida Sans Unicode"/>
        </w:rPr>
        <w:t xml:space="preserve">in providing support to families. </w:t>
      </w:r>
    </w:p>
    <w:p w:rsidR="00FC69B0" w:rsidRDefault="0067176A" w:rsidP="00C22C6A">
      <w:pPr>
        <w:pStyle w:val="BodyText"/>
        <w:rPr>
          <w:rFonts w:eastAsia="Lucida Sans Unicode"/>
        </w:rPr>
      </w:pPr>
      <w:r>
        <w:rPr>
          <w:rFonts w:eastAsia="Lucida Sans Unicode"/>
        </w:rPr>
        <w:t>S</w:t>
      </w:r>
      <w:r w:rsidR="00B6496C">
        <w:rPr>
          <w:rFonts w:eastAsia="Lucida Sans Unicode"/>
        </w:rPr>
        <w:t xml:space="preserve">ocioeconomic disadvantage can result in poor </w:t>
      </w:r>
      <w:r w:rsidR="00673D70">
        <w:rPr>
          <w:rFonts w:eastAsia="Lucida Sans Unicode"/>
        </w:rPr>
        <w:t xml:space="preserve">school </w:t>
      </w:r>
      <w:r w:rsidR="00B6496C">
        <w:rPr>
          <w:rFonts w:eastAsia="Lucida Sans Unicode"/>
        </w:rPr>
        <w:t>attendance</w:t>
      </w:r>
      <w:r w:rsidR="00CE7F5D">
        <w:rPr>
          <w:rFonts w:eastAsia="Lucida Sans Unicode"/>
        </w:rPr>
        <w:t xml:space="preserve">, </w:t>
      </w:r>
      <w:r w:rsidR="00673D70">
        <w:rPr>
          <w:rFonts w:eastAsia="Lucida Sans Unicode"/>
        </w:rPr>
        <w:t xml:space="preserve">lower </w:t>
      </w:r>
      <w:r w:rsidR="00B6496C">
        <w:rPr>
          <w:rFonts w:eastAsia="Lucida Sans Unicode"/>
        </w:rPr>
        <w:t>retention rates</w:t>
      </w:r>
      <w:r w:rsidR="00CE7F5D">
        <w:rPr>
          <w:rFonts w:eastAsia="Lucida Sans Unicode"/>
        </w:rPr>
        <w:t xml:space="preserve"> and lower completion rates, </w:t>
      </w:r>
      <w:r w:rsidR="00B6496C">
        <w:rPr>
          <w:rFonts w:eastAsia="Lucida Sans Unicode"/>
        </w:rPr>
        <w:t>less readiness for schooling and poo</w:t>
      </w:r>
      <w:r w:rsidR="00673D70">
        <w:rPr>
          <w:rFonts w:eastAsia="Lucida Sans Unicode"/>
        </w:rPr>
        <w:t>r</w:t>
      </w:r>
      <w:r w:rsidR="00B6496C">
        <w:rPr>
          <w:rFonts w:eastAsia="Lucida Sans Unicode"/>
        </w:rPr>
        <w:t>er average outcome</w:t>
      </w:r>
      <w:r w:rsidR="00673D70">
        <w:rPr>
          <w:rFonts w:eastAsia="Lucida Sans Unicode"/>
        </w:rPr>
        <w:t>s at school</w:t>
      </w:r>
      <w:r w:rsidR="00FC69B0">
        <w:rPr>
          <w:rFonts w:eastAsia="Lucida Sans Unicode"/>
        </w:rPr>
        <w:t>,</w:t>
      </w:r>
      <w:r w:rsidR="00673D70">
        <w:rPr>
          <w:rFonts w:eastAsia="Lucida Sans Unicode"/>
        </w:rPr>
        <w:t xml:space="preserve"> as </w:t>
      </w:r>
      <w:r w:rsidR="00C739A9">
        <w:rPr>
          <w:rFonts w:eastAsia="Lucida Sans Unicode"/>
        </w:rPr>
        <w:t xml:space="preserve">students </w:t>
      </w:r>
      <w:r w:rsidR="00673D70">
        <w:rPr>
          <w:rFonts w:eastAsia="Lucida Sans Unicode"/>
        </w:rPr>
        <w:t xml:space="preserve">are </w:t>
      </w:r>
      <w:r w:rsidR="005B6483" w:rsidRPr="005B6483">
        <w:rPr>
          <w:rFonts w:eastAsia="Lucida Sans Unicode"/>
        </w:rPr>
        <w:t xml:space="preserve">less likely to have </w:t>
      </w:r>
      <w:r w:rsidR="00FC69B0">
        <w:rPr>
          <w:rFonts w:eastAsia="Lucida Sans Unicode"/>
        </w:rPr>
        <w:t xml:space="preserve">parental academic support or </w:t>
      </w:r>
      <w:r w:rsidR="005B6483" w:rsidRPr="005B6483">
        <w:rPr>
          <w:rFonts w:eastAsia="Lucida Sans Unicode"/>
        </w:rPr>
        <w:t>resourc</w:t>
      </w:r>
      <w:r w:rsidR="00673D70">
        <w:rPr>
          <w:rFonts w:eastAsia="Lucida Sans Unicode"/>
        </w:rPr>
        <w:t>es that stimulate learning</w:t>
      </w:r>
      <w:r w:rsidR="00673D70" w:rsidRPr="00B6496C">
        <w:rPr>
          <w:rFonts w:eastAsia="Lucida Sans Unicode"/>
        </w:rPr>
        <w:t>.</w:t>
      </w:r>
      <w:r w:rsidR="00C22C6A">
        <w:rPr>
          <w:rFonts w:eastAsia="Lucida Sans Unicode"/>
        </w:rPr>
        <w:t xml:space="preserve"> </w:t>
      </w:r>
      <w:r w:rsidR="00007AB6">
        <w:rPr>
          <w:rFonts w:eastAsia="Lucida Sans Unicode"/>
        </w:rPr>
        <w:t>R</w:t>
      </w:r>
      <w:r w:rsidR="00FC69B0">
        <w:rPr>
          <w:rFonts w:eastAsia="Lucida Sans Unicode"/>
        </w:rPr>
        <w:t xml:space="preserve">esearch suggests that poor school </w:t>
      </w:r>
      <w:r w:rsidR="00C22C6A">
        <w:rPr>
          <w:rFonts w:eastAsia="Lucida Sans Unicode"/>
        </w:rPr>
        <w:t xml:space="preserve">attendance may </w:t>
      </w:r>
      <w:r w:rsidR="00FC69B0">
        <w:rPr>
          <w:rFonts w:eastAsia="Lucida Sans Unicode"/>
        </w:rPr>
        <w:t>be associated with</w:t>
      </w:r>
      <w:r w:rsidR="00C22C6A">
        <w:rPr>
          <w:rFonts w:eastAsia="Lucida Sans Unicode"/>
        </w:rPr>
        <w:t xml:space="preserve"> </w:t>
      </w:r>
      <w:r w:rsidR="00007AB6">
        <w:rPr>
          <w:rFonts w:eastAsia="Lucida Sans Unicode"/>
        </w:rPr>
        <w:t>poor parental attitudes towards schooling, society insufficiently valuing education</w:t>
      </w:r>
      <w:r w:rsidR="00F30EDF">
        <w:rPr>
          <w:rFonts w:eastAsia="Lucida Sans Unicode"/>
        </w:rPr>
        <w:t xml:space="preserve"> </w:t>
      </w:r>
      <w:r w:rsidR="00FC69B0">
        <w:rPr>
          <w:rFonts w:eastAsia="Lucida Sans Unicode"/>
        </w:rPr>
        <w:t>and</w:t>
      </w:r>
      <w:r w:rsidR="00F30EDF">
        <w:rPr>
          <w:rFonts w:eastAsia="Lucida Sans Unicode"/>
        </w:rPr>
        <w:t xml:space="preserve"> poor teacher quality </w:t>
      </w:r>
      <w:r w:rsidR="00545F88">
        <w:rPr>
          <w:rFonts w:eastAsia="Lucida Sans Unicode"/>
        </w:rPr>
        <w:t>(Purdie and Buckl</w:t>
      </w:r>
      <w:r w:rsidR="00BD01DC">
        <w:rPr>
          <w:rFonts w:eastAsia="Lucida Sans Unicode"/>
        </w:rPr>
        <w:t>e</w:t>
      </w:r>
      <w:r w:rsidR="00545F88">
        <w:rPr>
          <w:rFonts w:eastAsia="Lucida Sans Unicode"/>
        </w:rPr>
        <w:t>y 2010</w:t>
      </w:r>
      <w:r w:rsidR="00007AB6">
        <w:rPr>
          <w:rFonts w:eastAsia="Lucida Sans Unicode"/>
        </w:rPr>
        <w:t>).</w:t>
      </w:r>
      <w:r w:rsidR="00FC69B0">
        <w:rPr>
          <w:rFonts w:eastAsia="Lucida Sans Unicode"/>
        </w:rPr>
        <w:t xml:space="preserve"> </w:t>
      </w:r>
      <w:r w:rsidR="00DB04BE">
        <w:rPr>
          <w:rFonts w:eastAsia="Lucida Sans Unicode"/>
        </w:rPr>
        <w:t xml:space="preserve">Attendance at school influences academic achievement. </w:t>
      </w:r>
      <w:r w:rsidR="00F83990">
        <w:rPr>
          <w:rFonts w:eastAsia="Lucida Sans Unicode"/>
        </w:rPr>
        <w:t>Hancock et al</w:t>
      </w:r>
      <w:r w:rsidR="005C0D07">
        <w:rPr>
          <w:rFonts w:eastAsia="Lucida Sans Unicode"/>
        </w:rPr>
        <w:t>.</w:t>
      </w:r>
      <w:r w:rsidR="00F83990">
        <w:rPr>
          <w:rFonts w:eastAsia="Lucida Sans Unicode"/>
        </w:rPr>
        <w:t xml:space="preserve"> (2013) </w:t>
      </w:r>
      <w:r w:rsidR="00DB04BE" w:rsidRPr="00DB04BE">
        <w:rPr>
          <w:rFonts w:eastAsia="Lucida Sans Unicode"/>
        </w:rPr>
        <w:t xml:space="preserve">found that absence from school was related to </w:t>
      </w:r>
      <w:r w:rsidR="00F83990">
        <w:rPr>
          <w:rFonts w:eastAsia="Lucida Sans Unicode"/>
        </w:rPr>
        <w:t xml:space="preserve">poorer </w:t>
      </w:r>
      <w:r w:rsidR="00DB04BE" w:rsidRPr="00DB04BE">
        <w:rPr>
          <w:rFonts w:eastAsia="Lucida Sans Unicode"/>
        </w:rPr>
        <w:t>academic achievement in numeracy, reading and writing in the current year</w:t>
      </w:r>
      <w:r w:rsidR="00F83990">
        <w:rPr>
          <w:rFonts w:eastAsia="Lucida Sans Unicode"/>
        </w:rPr>
        <w:t xml:space="preserve"> and in </w:t>
      </w:r>
      <w:r w:rsidR="00DB04BE" w:rsidRPr="00DB04BE">
        <w:rPr>
          <w:rFonts w:eastAsia="Lucida Sans Unicode"/>
        </w:rPr>
        <w:t>future years.</w:t>
      </w:r>
    </w:p>
    <w:p w:rsidR="00146BD2" w:rsidRDefault="007646BA" w:rsidP="005B1170">
      <w:pPr>
        <w:pStyle w:val="BodyText"/>
        <w:rPr>
          <w:rFonts w:eastAsia="Lucida Sans Unicode"/>
        </w:rPr>
      </w:pPr>
      <w:r w:rsidRPr="00DA49CC">
        <w:rPr>
          <w:rFonts w:eastAsia="Lucida Sans Unicode"/>
        </w:rPr>
        <w:t xml:space="preserve">Geographical barriers to engagement in the </w:t>
      </w:r>
      <w:proofErr w:type="spellStart"/>
      <w:r w:rsidR="00F048B0">
        <w:rPr>
          <w:rFonts w:eastAsia="Lucida Sans Unicode"/>
        </w:rPr>
        <w:t>CCET</w:t>
      </w:r>
      <w:proofErr w:type="spellEnd"/>
      <w:r w:rsidRPr="00DA49CC">
        <w:rPr>
          <w:rFonts w:eastAsia="Lucida Sans Unicode"/>
        </w:rPr>
        <w:t xml:space="preserve"> sector </w:t>
      </w:r>
      <w:r w:rsidR="00626882">
        <w:rPr>
          <w:rFonts w:eastAsia="Lucida Sans Unicode"/>
        </w:rPr>
        <w:t xml:space="preserve">are faced mainly by </w:t>
      </w:r>
      <w:r w:rsidR="00BD4EDA">
        <w:rPr>
          <w:rFonts w:eastAsia="Lucida Sans Unicode"/>
        </w:rPr>
        <w:t xml:space="preserve">people </w:t>
      </w:r>
      <w:r w:rsidR="005437A5">
        <w:rPr>
          <w:rFonts w:eastAsia="Lucida Sans Unicode"/>
        </w:rPr>
        <w:t>living in rural and remote areas</w:t>
      </w:r>
      <w:r w:rsidR="00C739A9">
        <w:rPr>
          <w:rFonts w:eastAsia="Lucida Sans Unicode"/>
        </w:rPr>
        <w:t xml:space="preserve"> and </w:t>
      </w:r>
      <w:r w:rsidR="00673D70">
        <w:rPr>
          <w:rFonts w:eastAsia="Lucida Sans Unicode"/>
        </w:rPr>
        <w:t xml:space="preserve">relate </w:t>
      </w:r>
      <w:r w:rsidR="005437A5">
        <w:rPr>
          <w:rFonts w:eastAsia="Lucida Sans Unicode"/>
        </w:rPr>
        <w:t>to limited access to quality education and training resources</w:t>
      </w:r>
      <w:r w:rsidRPr="00DA49CC">
        <w:rPr>
          <w:rFonts w:eastAsia="Lucida Sans Unicode"/>
        </w:rPr>
        <w:t>.</w:t>
      </w:r>
      <w:r w:rsidR="00EB79B8">
        <w:rPr>
          <w:rFonts w:eastAsia="Lucida Sans Unicode"/>
        </w:rPr>
        <w:t xml:space="preserve"> </w:t>
      </w:r>
      <w:r w:rsidR="00C739A9">
        <w:rPr>
          <w:rFonts w:eastAsia="Lucida Sans Unicode"/>
        </w:rPr>
        <w:t>S</w:t>
      </w:r>
      <w:r w:rsidR="00EB79B8">
        <w:rPr>
          <w:rFonts w:eastAsia="Lucida Sans Unicode"/>
        </w:rPr>
        <w:t>chools in rural and remote areas tend to be smaller with more limited resourcing</w:t>
      </w:r>
      <w:r w:rsidR="00494AEA">
        <w:rPr>
          <w:rFonts w:eastAsia="Lucida Sans Unicode"/>
        </w:rPr>
        <w:t>,</w:t>
      </w:r>
      <w:r w:rsidR="00EB79B8">
        <w:rPr>
          <w:rFonts w:eastAsia="Lucida Sans Unicode"/>
        </w:rPr>
        <w:t xml:space="preserve"> resulting in more limited program offerings. </w:t>
      </w:r>
      <w:r w:rsidR="00D01EB6">
        <w:rPr>
          <w:rFonts w:eastAsia="Lucida Sans Unicode"/>
        </w:rPr>
        <w:t>However</w:t>
      </w:r>
      <w:r w:rsidR="008C1CDB">
        <w:rPr>
          <w:rFonts w:eastAsia="Lucida Sans Unicode"/>
        </w:rPr>
        <w:t>,</w:t>
      </w:r>
      <w:r w:rsidR="00D01EB6">
        <w:rPr>
          <w:rFonts w:eastAsia="Lucida Sans Unicode"/>
        </w:rPr>
        <w:t xml:space="preserve"> </w:t>
      </w:r>
      <w:r w:rsidR="00C739A9">
        <w:rPr>
          <w:rFonts w:eastAsia="Lucida Sans Unicode"/>
        </w:rPr>
        <w:t xml:space="preserve">VET sector </w:t>
      </w:r>
      <w:r w:rsidR="00D01EB6">
        <w:rPr>
          <w:rFonts w:eastAsia="Lucida Sans Unicode"/>
        </w:rPr>
        <w:t xml:space="preserve">participation in rural and remote areas is higher than in urban areas. This trend </w:t>
      </w:r>
      <w:r w:rsidR="008C1CDB">
        <w:rPr>
          <w:rFonts w:eastAsia="Lucida Sans Unicode"/>
        </w:rPr>
        <w:t xml:space="preserve">could </w:t>
      </w:r>
      <w:r w:rsidR="00D01EB6">
        <w:rPr>
          <w:rFonts w:eastAsia="Lucida Sans Unicode"/>
        </w:rPr>
        <w:t>be</w:t>
      </w:r>
      <w:r w:rsidR="00FC69B0">
        <w:rPr>
          <w:rFonts w:eastAsia="Lucida Sans Unicode"/>
        </w:rPr>
        <w:t xml:space="preserve"> at least partly </w:t>
      </w:r>
      <w:r w:rsidR="00D01EB6">
        <w:rPr>
          <w:rFonts w:eastAsia="Lucida Sans Unicode"/>
        </w:rPr>
        <w:t xml:space="preserve">due to the higher prevalence of early school leavers </w:t>
      </w:r>
      <w:r w:rsidR="00317B45">
        <w:rPr>
          <w:rFonts w:eastAsia="Lucida Sans Unicode"/>
        </w:rPr>
        <w:t xml:space="preserve">who may be </w:t>
      </w:r>
      <w:r w:rsidR="00D01EB6">
        <w:rPr>
          <w:rFonts w:eastAsia="Lucida Sans Unicode"/>
        </w:rPr>
        <w:t xml:space="preserve">seeking post school options to support entry into the </w:t>
      </w:r>
      <w:r w:rsidR="00D01EB6" w:rsidRPr="006E2A6B">
        <w:rPr>
          <w:rFonts w:eastAsia="Lucida Sans Unicode"/>
        </w:rPr>
        <w:t>workforce</w:t>
      </w:r>
      <w:r w:rsidR="00D01EB6">
        <w:rPr>
          <w:rFonts w:eastAsia="Lucida Sans Unicode"/>
        </w:rPr>
        <w:t>.</w:t>
      </w:r>
      <w:r w:rsidR="003D188A">
        <w:rPr>
          <w:rFonts w:eastAsia="Lucida Sans Unicode"/>
        </w:rPr>
        <w:t xml:space="preserve"> Post-school education </w:t>
      </w:r>
      <w:r w:rsidR="00F65395">
        <w:rPr>
          <w:rFonts w:eastAsia="Lucida Sans Unicode"/>
        </w:rPr>
        <w:t>and work aspir</w:t>
      </w:r>
      <w:r w:rsidR="003D188A">
        <w:rPr>
          <w:rFonts w:eastAsia="Lucida Sans Unicode"/>
        </w:rPr>
        <w:t xml:space="preserve">ations and participation </w:t>
      </w:r>
      <w:r w:rsidR="00F65395">
        <w:rPr>
          <w:rFonts w:eastAsia="Lucida Sans Unicode"/>
        </w:rPr>
        <w:t xml:space="preserve">may also be limited by a </w:t>
      </w:r>
      <w:r w:rsidR="005C1E59">
        <w:rPr>
          <w:rFonts w:eastAsia="Lucida Sans Unicode"/>
        </w:rPr>
        <w:t xml:space="preserve">range of physical and perceptual factors which kept people from engaging in </w:t>
      </w:r>
      <w:r w:rsidR="00F65395">
        <w:rPr>
          <w:rFonts w:eastAsia="Lucida Sans Unicode"/>
        </w:rPr>
        <w:t xml:space="preserve">opportunities outside </w:t>
      </w:r>
      <w:r w:rsidR="005C1E59">
        <w:rPr>
          <w:rFonts w:eastAsia="Lucida Sans Unicode"/>
        </w:rPr>
        <w:t>the</w:t>
      </w:r>
      <w:r w:rsidR="00F65395">
        <w:rPr>
          <w:rFonts w:eastAsia="Lucida Sans Unicode"/>
        </w:rPr>
        <w:t xml:space="preserve"> local and familiar neighbourhood (</w:t>
      </w:r>
      <w:r w:rsidR="00B519CB">
        <w:rPr>
          <w:rFonts w:eastAsia="Lucida Sans Unicode"/>
        </w:rPr>
        <w:t>Webb et al.</w:t>
      </w:r>
      <w:r w:rsidR="005C1E59">
        <w:rPr>
          <w:rFonts w:eastAsia="Lucida Sans Unicode"/>
        </w:rPr>
        <w:t xml:space="preserve"> 2015).</w:t>
      </w:r>
    </w:p>
    <w:p w:rsidR="00E826E5" w:rsidRDefault="00384B5D" w:rsidP="00A9771F">
      <w:pPr>
        <w:pStyle w:val="BodyText"/>
        <w:rPr>
          <w:rFonts w:eastAsia="Lucida Sans Unicode"/>
        </w:rPr>
      </w:pPr>
      <w:r>
        <w:rPr>
          <w:rFonts w:eastAsia="Lucida Sans Unicode"/>
        </w:rPr>
        <w:t xml:space="preserve">Aboriginal and Torres Strait Islander </w:t>
      </w:r>
      <w:r w:rsidR="00A21899" w:rsidRPr="00A21899">
        <w:rPr>
          <w:rFonts w:eastAsia="Lucida Sans Unicode"/>
        </w:rPr>
        <w:t>Australians overall have a lower level of participation in education</w:t>
      </w:r>
      <w:r w:rsidR="00626882">
        <w:rPr>
          <w:rFonts w:eastAsia="Lucida Sans Unicode"/>
        </w:rPr>
        <w:t xml:space="preserve"> and training</w:t>
      </w:r>
      <w:r w:rsidR="00A21899" w:rsidRPr="00A21899">
        <w:rPr>
          <w:rFonts w:eastAsia="Lucida Sans Unicode"/>
        </w:rPr>
        <w:t xml:space="preserve"> than non</w:t>
      </w:r>
      <w:r w:rsidR="000117A0">
        <w:rPr>
          <w:rFonts w:eastAsia="Lucida Sans Unicode"/>
        </w:rPr>
        <w:noBreakHyphen/>
      </w:r>
      <w:r w:rsidR="00A21899" w:rsidRPr="00A21899">
        <w:rPr>
          <w:rFonts w:eastAsia="Lucida Sans Unicode"/>
        </w:rPr>
        <w:t xml:space="preserve">Indigenous Australians. </w:t>
      </w:r>
      <w:r w:rsidR="00665E88">
        <w:rPr>
          <w:rFonts w:eastAsia="Lucida Sans Unicode"/>
        </w:rPr>
        <w:t xml:space="preserve">In addition to facing issues affecting the broader population, </w:t>
      </w:r>
      <w:r>
        <w:rPr>
          <w:rFonts w:eastAsia="Lucida Sans Unicode"/>
        </w:rPr>
        <w:t>Aborigi</w:t>
      </w:r>
      <w:r w:rsidR="00A96FE7">
        <w:rPr>
          <w:rFonts w:eastAsia="Lucida Sans Unicode"/>
        </w:rPr>
        <w:t>nal and Torres Strait Islander</w:t>
      </w:r>
      <w:r w:rsidR="00A96FE7">
        <w:rPr>
          <w:rFonts w:eastAsia="Lucida Sans Unicode"/>
        </w:rPr>
        <w:noBreakHyphen/>
      </w:r>
      <w:r w:rsidR="00A21899" w:rsidRPr="00A21899">
        <w:rPr>
          <w:rFonts w:eastAsia="Lucida Sans Unicode"/>
        </w:rPr>
        <w:t>specifi</w:t>
      </w:r>
      <w:r w:rsidR="00626882">
        <w:rPr>
          <w:rFonts w:eastAsia="Lucida Sans Unicode"/>
        </w:rPr>
        <w:t>c reasons for non</w:t>
      </w:r>
      <w:r w:rsidR="00626882">
        <w:rPr>
          <w:rFonts w:eastAsia="Lucida Sans Unicode"/>
        </w:rPr>
        <w:noBreakHyphen/>
      </w:r>
      <w:r w:rsidR="00A21899" w:rsidRPr="00A21899">
        <w:rPr>
          <w:rFonts w:eastAsia="Lucida Sans Unicode"/>
        </w:rPr>
        <w:t xml:space="preserve">attendance </w:t>
      </w:r>
      <w:r w:rsidR="003E2E4F">
        <w:rPr>
          <w:rFonts w:eastAsia="Lucida Sans Unicode"/>
        </w:rPr>
        <w:t xml:space="preserve">in </w:t>
      </w:r>
      <w:r w:rsidR="00A21899" w:rsidRPr="00A21899">
        <w:rPr>
          <w:rFonts w:eastAsia="Lucida Sans Unicode"/>
        </w:rPr>
        <w:t>school education have been proposed</w:t>
      </w:r>
      <w:r w:rsidR="00177239">
        <w:rPr>
          <w:rFonts w:eastAsia="Lucida Sans Unicode"/>
        </w:rPr>
        <w:t xml:space="preserve">. These </w:t>
      </w:r>
      <w:r w:rsidR="00665E88">
        <w:rPr>
          <w:rFonts w:eastAsia="Lucida Sans Unicode"/>
        </w:rPr>
        <w:t xml:space="preserve">relate to a </w:t>
      </w:r>
      <w:r w:rsidR="00A21899">
        <w:rPr>
          <w:rFonts w:eastAsia="Lucida Sans Unicode"/>
        </w:rPr>
        <w:t xml:space="preserve">lack of recognition by schools of </w:t>
      </w:r>
      <w:r>
        <w:rPr>
          <w:rFonts w:eastAsia="Lucida Sans Unicode"/>
        </w:rPr>
        <w:t>Aboriginal and Torres Strait Islander</w:t>
      </w:r>
      <w:r w:rsidR="0025369F">
        <w:rPr>
          <w:rFonts w:eastAsia="Lucida Sans Unicode"/>
        </w:rPr>
        <w:t xml:space="preserve"> </w:t>
      </w:r>
      <w:r w:rsidR="00A21899">
        <w:rPr>
          <w:rFonts w:eastAsia="Lucida Sans Unicode"/>
        </w:rPr>
        <w:t xml:space="preserve">culture and history, failure to engage </w:t>
      </w:r>
      <w:r w:rsidR="00D4299B">
        <w:rPr>
          <w:rFonts w:eastAsia="Lucida Sans Unicode"/>
        </w:rPr>
        <w:t xml:space="preserve">fully with </w:t>
      </w:r>
      <w:r w:rsidR="00A21899">
        <w:rPr>
          <w:rFonts w:eastAsia="Lucida Sans Unicode"/>
        </w:rPr>
        <w:t>parent</w:t>
      </w:r>
      <w:r w:rsidR="00A20477">
        <w:rPr>
          <w:rFonts w:eastAsia="Lucida Sans Unicode"/>
        </w:rPr>
        <w:t xml:space="preserve">s and </w:t>
      </w:r>
      <w:r w:rsidR="00A21899">
        <w:rPr>
          <w:rFonts w:eastAsia="Lucida Sans Unicode"/>
        </w:rPr>
        <w:t xml:space="preserve">carers </w:t>
      </w:r>
      <w:r w:rsidR="00EF379B">
        <w:rPr>
          <w:rFonts w:eastAsia="Lucida Sans Unicode"/>
        </w:rPr>
        <w:t xml:space="preserve">of </w:t>
      </w:r>
      <w:r>
        <w:rPr>
          <w:rFonts w:eastAsia="Lucida Sans Unicode"/>
        </w:rPr>
        <w:t xml:space="preserve">Aboriginal and Torres Strait Islander </w:t>
      </w:r>
      <w:r w:rsidR="00EF379B">
        <w:rPr>
          <w:rFonts w:eastAsia="Lucida Sans Unicode"/>
        </w:rPr>
        <w:t xml:space="preserve">children </w:t>
      </w:r>
      <w:r w:rsidR="00A21899">
        <w:rPr>
          <w:rFonts w:eastAsia="Lucida Sans Unicode"/>
        </w:rPr>
        <w:t xml:space="preserve">and the </w:t>
      </w:r>
      <w:r>
        <w:rPr>
          <w:rFonts w:eastAsia="Lucida Sans Unicode"/>
        </w:rPr>
        <w:t xml:space="preserve">Aboriginal and Torres Strait Islander </w:t>
      </w:r>
      <w:r w:rsidR="00A21899">
        <w:rPr>
          <w:rFonts w:eastAsia="Lucida Sans Unicode"/>
        </w:rPr>
        <w:t>community</w:t>
      </w:r>
      <w:r w:rsidR="00FC69B0">
        <w:rPr>
          <w:rFonts w:eastAsia="Lucida Sans Unicode"/>
        </w:rPr>
        <w:t>,</w:t>
      </w:r>
      <w:r w:rsidR="00A21899">
        <w:rPr>
          <w:rFonts w:eastAsia="Lucida Sans Unicode"/>
        </w:rPr>
        <w:t xml:space="preserve"> and ongoing disadvantage in many areas of the daily lives of </w:t>
      </w:r>
      <w:r>
        <w:rPr>
          <w:rFonts w:eastAsia="Lucida Sans Unicode"/>
        </w:rPr>
        <w:t>Aborig</w:t>
      </w:r>
      <w:r w:rsidR="00B90CCB">
        <w:rPr>
          <w:rFonts w:eastAsia="Lucida Sans Unicode"/>
        </w:rPr>
        <w:t>inal and Torres Strait Islander</w:t>
      </w:r>
      <w:r w:rsidR="00A21899">
        <w:rPr>
          <w:rFonts w:eastAsia="Lucida Sans Unicode"/>
        </w:rPr>
        <w:t xml:space="preserve"> Australi</w:t>
      </w:r>
      <w:r w:rsidR="00D251D2">
        <w:rPr>
          <w:rFonts w:eastAsia="Lucida Sans Unicode"/>
        </w:rPr>
        <w:t>ans</w:t>
      </w:r>
      <w:r w:rsidR="004C444C">
        <w:rPr>
          <w:rFonts w:eastAsia="Lucida Sans Unicode"/>
        </w:rPr>
        <w:t xml:space="preserve"> </w:t>
      </w:r>
      <w:r w:rsidR="00545F88">
        <w:rPr>
          <w:rFonts w:eastAsia="Lucida Sans Unicode"/>
        </w:rPr>
        <w:t>(Purdie and Buckley</w:t>
      </w:r>
      <w:r w:rsidR="00D251D2">
        <w:rPr>
          <w:rFonts w:eastAsia="Lucida Sans Unicode"/>
        </w:rPr>
        <w:t xml:space="preserve"> 2010).</w:t>
      </w:r>
    </w:p>
    <w:p w:rsidR="004A009E" w:rsidRDefault="00D136E7" w:rsidP="00A9771F">
      <w:pPr>
        <w:pStyle w:val="BodyText"/>
        <w:rPr>
          <w:rFonts w:eastAsia="Lucida Sans Unicode"/>
        </w:rPr>
      </w:pPr>
      <w:proofErr w:type="spellStart"/>
      <w:r>
        <w:rPr>
          <w:rFonts w:eastAsia="Lucida Sans Unicode"/>
        </w:rPr>
        <w:t>Homel</w:t>
      </w:r>
      <w:proofErr w:type="spellEnd"/>
      <w:r>
        <w:rPr>
          <w:rFonts w:eastAsia="Lucida Sans Unicode"/>
        </w:rPr>
        <w:t xml:space="preserve"> and Ryan (2014) </w:t>
      </w:r>
      <w:r w:rsidR="004A009E">
        <w:rPr>
          <w:rFonts w:eastAsia="Lucida Sans Unicode"/>
        </w:rPr>
        <w:t xml:space="preserve">found that educational aspirations have a substantial effect on educational outcomes and that aspirations </w:t>
      </w:r>
      <w:r w:rsidR="00853FE8">
        <w:rPr>
          <w:rFonts w:eastAsia="Lucida Sans Unicode"/>
        </w:rPr>
        <w:t xml:space="preserve">appear to </w:t>
      </w:r>
      <w:r w:rsidR="004A009E">
        <w:rPr>
          <w:rFonts w:eastAsia="Lucida Sans Unicode"/>
        </w:rPr>
        <w:t>have a similar effect on outcomes regard</w:t>
      </w:r>
      <w:r w:rsidR="000761D2">
        <w:rPr>
          <w:rFonts w:eastAsia="Lucida Sans Unicode"/>
        </w:rPr>
        <w:t xml:space="preserve">less of </w:t>
      </w:r>
      <w:r w:rsidR="007E1A54">
        <w:rPr>
          <w:rFonts w:eastAsia="Lucida Sans Unicode"/>
        </w:rPr>
        <w:t>socioeconomic status (</w:t>
      </w:r>
      <w:r w:rsidR="000761D2">
        <w:rPr>
          <w:rFonts w:eastAsia="Lucida Sans Unicode"/>
        </w:rPr>
        <w:t>SES</w:t>
      </w:r>
      <w:r w:rsidR="007E1A54">
        <w:rPr>
          <w:rFonts w:eastAsia="Lucida Sans Unicode"/>
        </w:rPr>
        <w:t>)</w:t>
      </w:r>
      <w:r w:rsidR="004A009E">
        <w:rPr>
          <w:rFonts w:eastAsia="Lucida Sans Unicode"/>
        </w:rPr>
        <w:t xml:space="preserve"> and </w:t>
      </w:r>
      <w:r w:rsidR="000761D2">
        <w:rPr>
          <w:rFonts w:eastAsia="Lucida Sans Unicode"/>
        </w:rPr>
        <w:t>Indigenous status.</w:t>
      </w:r>
      <w:r w:rsidR="00A971B2">
        <w:rPr>
          <w:rFonts w:eastAsia="Lucida Sans Unicode"/>
        </w:rPr>
        <w:t xml:space="preserve"> In addition, </w:t>
      </w:r>
      <w:proofErr w:type="spellStart"/>
      <w:r w:rsidR="00A971B2">
        <w:rPr>
          <w:rFonts w:eastAsia="Lucida Sans Unicode"/>
        </w:rPr>
        <w:t>Gemici</w:t>
      </w:r>
      <w:proofErr w:type="spellEnd"/>
      <w:r w:rsidR="00A971B2">
        <w:rPr>
          <w:rFonts w:eastAsia="Lucida Sans Unicode"/>
        </w:rPr>
        <w:t xml:space="preserve"> et al. (2014)</w:t>
      </w:r>
      <w:r w:rsidR="000A7F32">
        <w:rPr>
          <w:rFonts w:eastAsia="Lucida Sans Unicode"/>
        </w:rPr>
        <w:t xml:space="preserve"> </w:t>
      </w:r>
      <w:r w:rsidR="000761D2">
        <w:rPr>
          <w:rFonts w:eastAsia="Lucida Sans Unicode"/>
        </w:rPr>
        <w:t xml:space="preserve">found that parental influences and peer plans were particularly important drivers of </w:t>
      </w:r>
      <w:r w:rsidR="000761D2">
        <w:rPr>
          <w:rFonts w:eastAsia="Lucida Sans Unicode"/>
        </w:rPr>
        <w:lastRenderedPageBreak/>
        <w:t xml:space="preserve">young people’s educational aspirations and choices. </w:t>
      </w:r>
      <w:r w:rsidR="009D1D99" w:rsidRPr="00684B0B">
        <w:rPr>
          <w:rFonts w:eastAsia="Lucida Sans Unicode"/>
        </w:rPr>
        <w:t>Students whose parents wante</w:t>
      </w:r>
      <w:r w:rsidR="008C6808" w:rsidRPr="00684B0B">
        <w:rPr>
          <w:rFonts w:eastAsia="Lucida Sans Unicode"/>
        </w:rPr>
        <w:t>d them to attend university had</w:t>
      </w:r>
      <w:r w:rsidR="006032B4" w:rsidRPr="00684B0B">
        <w:rPr>
          <w:rFonts w:eastAsia="Lucida Sans Unicode"/>
        </w:rPr>
        <w:t xml:space="preserve"> occupational aspirations </w:t>
      </w:r>
      <w:r w:rsidR="009D1D99" w:rsidRPr="00684B0B">
        <w:rPr>
          <w:rFonts w:eastAsia="Lucida Sans Unicode"/>
        </w:rPr>
        <w:t xml:space="preserve">that were significantly higher than </w:t>
      </w:r>
      <w:r w:rsidR="00BD0337" w:rsidRPr="00684B0B">
        <w:rPr>
          <w:rFonts w:eastAsia="Lucida Sans Unicode"/>
        </w:rPr>
        <w:t xml:space="preserve">those </w:t>
      </w:r>
      <w:r w:rsidR="00C30B84" w:rsidRPr="00684B0B">
        <w:rPr>
          <w:rFonts w:eastAsia="Lucida Sans Unicode"/>
        </w:rPr>
        <w:t xml:space="preserve">students </w:t>
      </w:r>
      <w:r w:rsidR="009D1D99" w:rsidRPr="00684B0B">
        <w:rPr>
          <w:rFonts w:eastAsia="Lucida Sans Unicode"/>
        </w:rPr>
        <w:t>whose parents had no un</w:t>
      </w:r>
      <w:r w:rsidR="00501A6E" w:rsidRPr="00684B0B">
        <w:rPr>
          <w:rFonts w:eastAsia="Lucida Sans Unicode"/>
        </w:rPr>
        <w:t>iver</w:t>
      </w:r>
      <w:r w:rsidR="00A971B2">
        <w:rPr>
          <w:rFonts w:eastAsia="Lucida Sans Unicode"/>
        </w:rPr>
        <w:t>sity expectations for them</w:t>
      </w:r>
      <w:r w:rsidR="009D1D99" w:rsidRPr="00684B0B">
        <w:rPr>
          <w:rFonts w:eastAsia="Lucida Sans Unicode"/>
        </w:rPr>
        <w:t>.</w:t>
      </w:r>
      <w:r w:rsidR="009D1D99">
        <w:rPr>
          <w:rFonts w:eastAsia="Lucida Sans Unicode"/>
        </w:rPr>
        <w:t xml:space="preserve"> </w:t>
      </w:r>
    </w:p>
    <w:p w:rsidR="000D3385" w:rsidRDefault="000D3385" w:rsidP="000D3385">
      <w:pPr>
        <w:pStyle w:val="Heading3"/>
      </w:pPr>
      <w:r>
        <w:t>Service</w:t>
      </w:r>
      <w:r w:rsidR="000117A0">
        <w:noBreakHyphen/>
      </w:r>
      <w:r>
        <w:t>sector objectives</w:t>
      </w:r>
    </w:p>
    <w:p w:rsidR="000D3385" w:rsidRDefault="00D948EB" w:rsidP="000D3385">
      <w:pPr>
        <w:pStyle w:val="BodyText"/>
      </w:pPr>
      <w:r>
        <w:t>The</w:t>
      </w:r>
      <w:r w:rsidRPr="00CD33DD">
        <w:t xml:space="preserve"> </w:t>
      </w:r>
      <w:proofErr w:type="spellStart"/>
      <w:r w:rsidR="00F048B0">
        <w:t>CCET</w:t>
      </w:r>
      <w:proofErr w:type="spellEnd"/>
      <w:r w:rsidR="000D3385" w:rsidRPr="00CD33DD">
        <w:t xml:space="preserve"> sector has a range of objectives, some of which are common across all sector components</w:t>
      </w:r>
      <w:r w:rsidR="00FC69B0">
        <w:t>,</w:t>
      </w:r>
      <w:r w:rsidR="000D3385" w:rsidRPr="00CD33DD">
        <w:t xml:space="preserve"> while others are s</w:t>
      </w:r>
      <w:r w:rsidR="000D3385">
        <w:t>pecific to a particular sub</w:t>
      </w:r>
      <w:r w:rsidR="000D3385">
        <w:noBreakHyphen/>
        <w:t xml:space="preserve">sector. Specific objectives of </w:t>
      </w:r>
      <w:proofErr w:type="spellStart"/>
      <w:r w:rsidR="0076776A">
        <w:t>ECEC</w:t>
      </w:r>
      <w:proofErr w:type="spellEnd"/>
      <w:r w:rsidR="000D3385">
        <w:t>, school education, VET and higher education servi</w:t>
      </w:r>
      <w:r w:rsidR="008D04D3">
        <w:t>ce areas are detailed in box</w:t>
      </w:r>
      <w:r>
        <w:t> </w:t>
      </w:r>
      <w:proofErr w:type="spellStart"/>
      <w:r w:rsidR="00690B16">
        <w:t>B.3</w:t>
      </w:r>
      <w:proofErr w:type="spellEnd"/>
      <w:r w:rsidR="000D3385">
        <w:t>.</w:t>
      </w:r>
    </w:p>
    <w:p w:rsidR="00846DA6" w:rsidRDefault="00846D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6DA6" w:rsidTr="00E6276D">
        <w:tc>
          <w:tcPr>
            <w:tcW w:w="8771" w:type="dxa"/>
            <w:tcBorders>
              <w:top w:val="single" w:sz="6" w:space="0" w:color="78A22F"/>
              <w:left w:val="nil"/>
              <w:bottom w:val="nil"/>
              <w:right w:val="nil"/>
            </w:tcBorders>
            <w:shd w:val="clear" w:color="auto" w:fill="F2F2F2"/>
          </w:tcPr>
          <w:p w:rsidR="00846DA6" w:rsidRDefault="00846DA6">
            <w:pPr>
              <w:pStyle w:val="BoxTitle"/>
            </w:pPr>
            <w:r>
              <w:rPr>
                <w:b w:val="0"/>
              </w:rPr>
              <w:t xml:space="preserve">Box </w:t>
            </w:r>
            <w:proofErr w:type="spellStart"/>
            <w:r>
              <w:rPr>
                <w:b w:val="0"/>
              </w:rPr>
              <w:t>B.</w:t>
            </w:r>
            <w:r w:rsidR="00501FB3">
              <w:rPr>
                <w:b w:val="0"/>
                <w:noProof/>
              </w:rPr>
              <w:t>3</w:t>
            </w:r>
            <w:proofErr w:type="spellEnd"/>
            <w:r>
              <w:tab/>
              <w:t xml:space="preserve">Objectives of the </w:t>
            </w:r>
            <w:proofErr w:type="spellStart"/>
            <w:r>
              <w:t>CCET</w:t>
            </w:r>
            <w:proofErr w:type="spellEnd"/>
            <w:r>
              <w:t xml:space="preserve"> sector</w:t>
            </w:r>
          </w:p>
        </w:tc>
      </w:tr>
      <w:tr w:rsidR="00846DA6" w:rsidTr="00E6276D">
        <w:trPr>
          <w:cantSplit/>
        </w:trPr>
        <w:tc>
          <w:tcPr>
            <w:tcW w:w="8771" w:type="dxa"/>
            <w:tcBorders>
              <w:top w:val="nil"/>
              <w:left w:val="nil"/>
              <w:bottom w:val="nil"/>
              <w:right w:val="nil"/>
            </w:tcBorders>
            <w:shd w:val="clear" w:color="auto" w:fill="F2F2F2"/>
          </w:tcPr>
          <w:p w:rsidR="00846DA6" w:rsidRDefault="00F679BA" w:rsidP="00846DA6">
            <w:pPr>
              <w:pStyle w:val="Box"/>
            </w:pPr>
            <w:r>
              <w:t xml:space="preserve">The objectives for </w:t>
            </w:r>
            <w:proofErr w:type="spellStart"/>
            <w:r>
              <w:t>ECEC</w:t>
            </w:r>
            <w:proofErr w:type="spellEnd"/>
            <w:r>
              <w:t xml:space="preserve"> (box 3.4</w:t>
            </w:r>
            <w:r w:rsidR="00846DA6">
              <w:t>) are to:</w:t>
            </w:r>
          </w:p>
          <w:p w:rsidR="00846DA6" w:rsidRPr="00D46A48" w:rsidRDefault="00846DA6" w:rsidP="00846DA6">
            <w:pPr>
              <w:pStyle w:val="BoxListBullet"/>
            </w:pPr>
            <w:r w:rsidRPr="00D46A48">
              <w:t>meet the education and care needs of all children in developmentally appropriate ways, in a safe and nurturing environment</w:t>
            </w:r>
          </w:p>
          <w:p w:rsidR="00846DA6" w:rsidRDefault="00846DA6" w:rsidP="00846DA6">
            <w:pPr>
              <w:pStyle w:val="BoxListBullet"/>
            </w:pPr>
            <w:r w:rsidRPr="00D46A48">
              <w:t xml:space="preserve">provide quality services across a range of settings delivered in an equitable and efficient </w:t>
            </w:r>
            <w:r>
              <w:t>manner, meeting individual need.</w:t>
            </w:r>
          </w:p>
          <w:p w:rsidR="00846DA6" w:rsidRDefault="00846DA6" w:rsidP="00846DA6">
            <w:pPr>
              <w:pStyle w:val="Box"/>
            </w:pPr>
            <w:r w:rsidRPr="00324D39">
              <w:t xml:space="preserve">The </w:t>
            </w:r>
            <w:r w:rsidRPr="0014350B">
              <w:t>objectives of school education services</w:t>
            </w:r>
            <w:r w:rsidR="001453BC">
              <w:t xml:space="preserve"> (box 4.</w:t>
            </w:r>
            <w:r w:rsidR="004A294B">
              <w:t>1</w:t>
            </w:r>
            <w:r>
              <w:t>)</w:t>
            </w:r>
            <w:r w:rsidRPr="0014350B">
              <w:t xml:space="preserve">, as reflected in the national goals for schooling </w:t>
            </w:r>
            <w:r>
              <w:t xml:space="preserve">in the </w:t>
            </w:r>
            <w:r w:rsidRPr="001A4470">
              <w:rPr>
                <w:i/>
              </w:rPr>
              <w:t>Melbourne Declaration on Educational Goals for Young Australians</w:t>
            </w:r>
            <w:r w:rsidR="004A294B">
              <w:rPr>
                <w:i/>
              </w:rPr>
              <w:t>,</w:t>
            </w:r>
            <w:r w:rsidRPr="0014350B">
              <w:t xml:space="preserve"> </w:t>
            </w:r>
            <w:r>
              <w:t>are that (1) Australian schooling promotes equity and excellence and (2) All young Australians become: successful learners; confident and creative individuals and active and informed citizens.</w:t>
            </w:r>
          </w:p>
          <w:p w:rsidR="00C45C48" w:rsidRPr="00F14060" w:rsidRDefault="004B7071" w:rsidP="00846DA6">
            <w:pPr>
              <w:pStyle w:val="Box"/>
            </w:pPr>
            <w:r w:rsidRPr="00F14060">
              <w:t>The objective for the VET system</w:t>
            </w:r>
            <w:r w:rsidR="00846DA6" w:rsidRPr="00F14060">
              <w:t xml:space="preserve"> (box 5.</w:t>
            </w:r>
            <w:r w:rsidR="006F1B66" w:rsidRPr="00F14060">
              <w:t>5</w:t>
            </w:r>
            <w:r w:rsidR="00C45C48" w:rsidRPr="00F14060">
              <w:t>), as outlined</w:t>
            </w:r>
            <w:r w:rsidR="00846DA6" w:rsidRPr="00F14060">
              <w:t xml:space="preserve"> in the</w:t>
            </w:r>
            <w:r w:rsidR="004A294B" w:rsidRPr="00F14060">
              <w:t xml:space="preserve"> </w:t>
            </w:r>
            <w:proofErr w:type="spellStart"/>
            <w:r w:rsidR="004A294B" w:rsidRPr="00F14060">
              <w:t>NASWD</w:t>
            </w:r>
            <w:proofErr w:type="spellEnd"/>
            <w:r w:rsidR="004A294B" w:rsidRPr="00F14060">
              <w:t>,</w:t>
            </w:r>
            <w:r w:rsidR="00C45C48" w:rsidRPr="00F14060">
              <w:t xml:space="preserve"> is:</w:t>
            </w:r>
            <w:r w:rsidR="004A294B" w:rsidRPr="00F14060">
              <w:t xml:space="preserve"> </w:t>
            </w:r>
          </w:p>
          <w:p w:rsidR="00846DA6" w:rsidRPr="00F14060" w:rsidRDefault="004B7071" w:rsidP="00C45C48">
            <w:pPr>
              <w:pStyle w:val="BoxListBullet"/>
            </w:pPr>
            <w:r w:rsidRPr="00F14060">
              <w:t>a system</w:t>
            </w:r>
            <w:r w:rsidR="004A294B" w:rsidRPr="00F14060">
              <w:t xml:space="preserve"> </w:t>
            </w:r>
            <w:r w:rsidRPr="00F14060">
              <w:t xml:space="preserve">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workforce participation. </w:t>
            </w:r>
          </w:p>
          <w:p w:rsidR="00846DA6" w:rsidRDefault="00846DA6" w:rsidP="00846DA6">
            <w:pPr>
              <w:pStyle w:val="Box"/>
            </w:pPr>
            <w:r w:rsidRPr="0014350B">
              <w:t xml:space="preserve">The objectives of higher education services, as reflected in the </w:t>
            </w:r>
            <w:r w:rsidRPr="00441DF6">
              <w:rPr>
                <w:i/>
              </w:rPr>
              <w:t>Commonwealth Higher Education Support Act 2003</w:t>
            </w:r>
            <w:r w:rsidRPr="0014350B">
              <w:t>, include</w:t>
            </w:r>
            <w:r w:rsidRPr="00CD33DD">
              <w:t xml:space="preserve"> contributing to the development of cultural and intellectual life in Australia, and appropriately meeting Australia’s social and economic needs for a highly educated and skilled population.</w:t>
            </w:r>
          </w:p>
        </w:tc>
      </w:tr>
      <w:tr w:rsidR="00846DA6" w:rsidTr="00E6276D">
        <w:trPr>
          <w:cantSplit/>
        </w:trPr>
        <w:tc>
          <w:tcPr>
            <w:tcW w:w="8771" w:type="dxa"/>
            <w:tcBorders>
              <w:top w:val="nil"/>
              <w:left w:val="nil"/>
              <w:bottom w:val="single" w:sz="6" w:space="0" w:color="78A22F"/>
              <w:right w:val="nil"/>
            </w:tcBorders>
            <w:shd w:val="clear" w:color="auto" w:fill="F2F2F2"/>
          </w:tcPr>
          <w:p w:rsidR="00846DA6" w:rsidRDefault="00846DA6">
            <w:pPr>
              <w:pStyle w:val="Box"/>
              <w:spacing w:before="0" w:line="120" w:lineRule="exact"/>
            </w:pPr>
          </w:p>
        </w:tc>
      </w:tr>
      <w:tr w:rsidR="00846DA6" w:rsidRPr="000863A5" w:rsidTr="00E6276D">
        <w:tc>
          <w:tcPr>
            <w:tcW w:w="8771" w:type="dxa"/>
            <w:tcBorders>
              <w:top w:val="single" w:sz="6" w:space="0" w:color="78A22F"/>
              <w:left w:val="nil"/>
              <w:bottom w:val="nil"/>
              <w:right w:val="nil"/>
            </w:tcBorders>
          </w:tcPr>
          <w:p w:rsidR="00846DA6" w:rsidRPr="00626D32" w:rsidRDefault="00846DA6" w:rsidP="00E6276D">
            <w:pPr>
              <w:pStyle w:val="BoxSpaceBelow"/>
            </w:pPr>
          </w:p>
        </w:tc>
      </w:tr>
    </w:tbl>
    <w:p w:rsidR="008B55A6" w:rsidRDefault="00891AAF" w:rsidP="008B55A6">
      <w:pPr>
        <w:pStyle w:val="Heading2"/>
      </w:pPr>
      <w:bookmarkStart w:id="5" w:name="_Toc404865399"/>
      <w:proofErr w:type="spellStart"/>
      <w:r>
        <w:t>B.</w:t>
      </w:r>
      <w:r w:rsidR="00501FB3">
        <w:rPr>
          <w:noProof/>
        </w:rPr>
        <w:t>2</w:t>
      </w:r>
      <w:proofErr w:type="spellEnd"/>
      <w:r w:rsidR="00AE67DB">
        <w:tab/>
      </w:r>
      <w:r w:rsidR="008D04D3">
        <w:t>S</w:t>
      </w:r>
      <w:r w:rsidR="009E6DA0">
        <w:t>ector performance i</w:t>
      </w:r>
      <w:r w:rsidR="008B55A6">
        <w:t xml:space="preserve">ndicator </w:t>
      </w:r>
      <w:r w:rsidR="009E6DA0">
        <w:t>f</w:t>
      </w:r>
      <w:r w:rsidR="008B55A6">
        <w:t>ramework</w:t>
      </w:r>
      <w:bookmarkEnd w:id="5"/>
    </w:p>
    <w:p w:rsidR="00A05C8C" w:rsidRDefault="00A05C8C" w:rsidP="00A05C8C">
      <w:pPr>
        <w:pStyle w:val="BodyText"/>
      </w:pPr>
      <w:r>
        <w:t xml:space="preserve">This sector </w:t>
      </w:r>
      <w:r w:rsidR="00A77F79">
        <w:t>overview</w:t>
      </w:r>
      <w:r>
        <w:t xml:space="preserve"> </w:t>
      </w:r>
      <w:r w:rsidR="004C6115">
        <w:t xml:space="preserve">is based on a sector </w:t>
      </w:r>
      <w:r>
        <w:t xml:space="preserve">performance indicator framework </w:t>
      </w:r>
      <w:r w:rsidR="00EF379B">
        <w:t>(figure </w:t>
      </w:r>
      <w:proofErr w:type="spellStart"/>
      <w:r w:rsidR="0048456D">
        <w:t>B.4</w:t>
      </w:r>
      <w:proofErr w:type="spellEnd"/>
      <w:r>
        <w:t xml:space="preserve">). </w:t>
      </w:r>
      <w:r w:rsidR="009E6DA0">
        <w:t xml:space="preserve">This framework is made up of the following elements. </w:t>
      </w:r>
    </w:p>
    <w:p w:rsidR="00A05C8C" w:rsidRDefault="009E6DA0" w:rsidP="00A05C8C">
      <w:pPr>
        <w:pStyle w:val="ListBullet"/>
      </w:pPr>
      <w:r>
        <w:t xml:space="preserve">Sector </w:t>
      </w:r>
      <w:r w:rsidR="00ED791F">
        <w:t xml:space="preserve">objectives </w:t>
      </w:r>
      <w:r w:rsidR="00A05C8C">
        <w:t xml:space="preserve">— three </w:t>
      </w:r>
      <w:r>
        <w:t xml:space="preserve">sector </w:t>
      </w:r>
      <w:r w:rsidR="00ED791F">
        <w:t xml:space="preserve">objectives </w:t>
      </w:r>
      <w:r w:rsidR="001C14A8">
        <w:t xml:space="preserve">are </w:t>
      </w:r>
      <w:r w:rsidR="00ED791F">
        <w:t xml:space="preserve">a précis of </w:t>
      </w:r>
      <w:r w:rsidR="001C14A8">
        <w:t xml:space="preserve">key </w:t>
      </w:r>
      <w:proofErr w:type="spellStart"/>
      <w:r w:rsidR="00BB76EE">
        <w:t>COAG</w:t>
      </w:r>
      <w:proofErr w:type="spellEnd"/>
      <w:r w:rsidR="00BB76EE">
        <w:t xml:space="preserve"> </w:t>
      </w:r>
      <w:r w:rsidR="001A05DE">
        <w:t>commitments</w:t>
      </w:r>
      <w:r w:rsidR="00BB76EE">
        <w:t xml:space="preserve">. </w:t>
      </w:r>
      <w:r w:rsidR="001C14A8">
        <w:t xml:space="preserve">Although these goals are based on </w:t>
      </w:r>
      <w:r w:rsidR="001A05DE">
        <w:t>outcomes in these commitments</w:t>
      </w:r>
      <w:r w:rsidR="001308A6">
        <w:t>,</w:t>
      </w:r>
      <w:r w:rsidR="001A05DE">
        <w:t xml:space="preserve"> wording </w:t>
      </w:r>
      <w:r w:rsidR="001C14A8">
        <w:t xml:space="preserve">has been amended for relevance to the </w:t>
      </w:r>
      <w:proofErr w:type="spellStart"/>
      <w:r w:rsidR="00F048B0">
        <w:t>CCET</w:t>
      </w:r>
      <w:proofErr w:type="spellEnd"/>
      <w:r w:rsidR="001C14A8">
        <w:t xml:space="preserve"> sector </w:t>
      </w:r>
      <w:r w:rsidR="00A77F79">
        <w:t>overview</w:t>
      </w:r>
      <w:r w:rsidR="001C14A8">
        <w:t xml:space="preserve"> reporting</w:t>
      </w:r>
      <w:r w:rsidR="00ED791F">
        <w:t xml:space="preserve"> (</w:t>
      </w:r>
      <w:r w:rsidR="00BB76EE">
        <w:t>box </w:t>
      </w:r>
      <w:proofErr w:type="spellStart"/>
      <w:r w:rsidR="00ED791F">
        <w:t>B.</w:t>
      </w:r>
      <w:r w:rsidR="000C3EC5">
        <w:t>3</w:t>
      </w:r>
      <w:proofErr w:type="spellEnd"/>
      <w:r w:rsidR="00ED791F">
        <w:t>)</w:t>
      </w:r>
      <w:r w:rsidR="001C14A8">
        <w:t>.</w:t>
      </w:r>
    </w:p>
    <w:p w:rsidR="004C6115" w:rsidRDefault="00A05C8C" w:rsidP="004C6115">
      <w:pPr>
        <w:pStyle w:val="ListBullet"/>
      </w:pPr>
      <w:r>
        <w:t>Sector</w:t>
      </w:r>
      <w:r w:rsidR="000117A0">
        <w:noBreakHyphen/>
      </w:r>
      <w:r w:rsidR="009E6DA0">
        <w:t>w</w:t>
      </w:r>
      <w:r>
        <w:t>ide indicators — three sector</w:t>
      </w:r>
      <w:r w:rsidR="000117A0">
        <w:noBreakHyphen/>
      </w:r>
      <w:r>
        <w:t xml:space="preserve">wide headline indicators </w:t>
      </w:r>
      <w:r w:rsidR="00251E8A">
        <w:t xml:space="preserve">reflect activity </w:t>
      </w:r>
      <w:r w:rsidR="0055521B">
        <w:t>across the sector</w:t>
      </w:r>
      <w:r w:rsidR="001308A6">
        <w:t>. S</w:t>
      </w:r>
      <w:r w:rsidR="0055521B">
        <w:t xml:space="preserve">everal measures </w:t>
      </w:r>
      <w:r w:rsidR="00251E8A">
        <w:t xml:space="preserve">support </w:t>
      </w:r>
      <w:r w:rsidR="0055521B">
        <w:t xml:space="preserve">each indicator. </w:t>
      </w:r>
    </w:p>
    <w:p w:rsidR="007F7175" w:rsidRDefault="007F7175" w:rsidP="00A9771F">
      <w:pPr>
        <w:pStyle w:val="ListBullet"/>
      </w:pPr>
      <w:r>
        <w:lastRenderedPageBreak/>
        <w:t>Information from the service</w:t>
      </w:r>
      <w:r w:rsidR="000117A0">
        <w:noBreakHyphen/>
      </w:r>
      <w:r>
        <w:t xml:space="preserve">specific </w:t>
      </w:r>
      <w:r w:rsidRPr="004F7C55">
        <w:t>performance indicator framework</w:t>
      </w:r>
      <w:r>
        <w:t>s that relate t</w:t>
      </w:r>
      <w:r w:rsidR="00E826E5">
        <w:t xml:space="preserve">o </w:t>
      </w:r>
      <w:proofErr w:type="spellStart"/>
      <w:r w:rsidR="00955503">
        <w:t>CCET</w:t>
      </w:r>
      <w:proofErr w:type="spellEnd"/>
      <w:r>
        <w:t xml:space="preserve"> services. Discussed in more detail in chapters 3, 4 and 5, the service</w:t>
      </w:r>
      <w:r w:rsidR="000117A0">
        <w:noBreakHyphen/>
      </w:r>
      <w:r>
        <w:t xml:space="preserve">specific frameworks provide comprehensive information on </w:t>
      </w:r>
      <w:r w:rsidRPr="004F7C55">
        <w:t xml:space="preserve">the equity, effectiveness and efficiency </w:t>
      </w:r>
      <w:r>
        <w:t xml:space="preserve">of </w:t>
      </w:r>
      <w:r w:rsidR="00ED791F">
        <w:t>these</w:t>
      </w:r>
      <w:r>
        <w:t xml:space="preserve"> services.</w:t>
      </w:r>
    </w:p>
    <w:p w:rsidR="00C14CA6" w:rsidRDefault="00317B45" w:rsidP="001308A6">
      <w:pPr>
        <w:pStyle w:val="BodyText"/>
      </w:pPr>
      <w:r>
        <w:t>Th</w:t>
      </w:r>
      <w:r w:rsidR="004C6115">
        <w:t xml:space="preserve">is sector </w:t>
      </w:r>
      <w:r w:rsidR="00A77F79">
        <w:t>overview</w:t>
      </w:r>
      <w:r w:rsidR="004C6115">
        <w:t xml:space="preserve"> provides a</w:t>
      </w:r>
      <w:r>
        <w:t>n</w:t>
      </w:r>
      <w:r w:rsidR="004C6115">
        <w:t xml:space="preserve"> overview of relevant performance information. Chapters </w:t>
      </w:r>
      <w:r w:rsidR="00C14CA6">
        <w:t xml:space="preserve">3, 4 and 5 and their associated attachment tables provide </w:t>
      </w:r>
      <w:r w:rsidR="00053EFA">
        <w:t xml:space="preserve">more detailed </w:t>
      </w:r>
      <w:r w:rsidR="004C6115">
        <w:t>information</w:t>
      </w:r>
      <w:r w:rsidR="00053EFA">
        <w:t xml:space="preserve">. </w:t>
      </w:r>
    </w:p>
    <w:p w:rsidR="00966192" w:rsidRDefault="00966192" w:rsidP="000B7E6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66192" w:rsidTr="000B7E6E">
        <w:tc>
          <w:tcPr>
            <w:tcW w:w="8771" w:type="dxa"/>
            <w:tcBorders>
              <w:top w:val="single" w:sz="6" w:space="0" w:color="78A22F"/>
              <w:left w:val="nil"/>
              <w:bottom w:val="nil"/>
              <w:right w:val="nil"/>
            </w:tcBorders>
            <w:shd w:val="clear" w:color="auto" w:fill="auto"/>
          </w:tcPr>
          <w:p w:rsidR="00966192" w:rsidRPr="00176D3F" w:rsidRDefault="00966192" w:rsidP="001740A0">
            <w:pPr>
              <w:pStyle w:val="FigureTitle"/>
            </w:pPr>
            <w:r w:rsidRPr="00784A05">
              <w:rPr>
                <w:b w:val="0"/>
              </w:rPr>
              <w:t xml:space="preserve">Figure </w:t>
            </w:r>
            <w:proofErr w:type="spellStart"/>
            <w:r>
              <w:rPr>
                <w:b w:val="0"/>
              </w:rPr>
              <w:t>B.</w:t>
            </w:r>
            <w:r w:rsidR="00501FB3">
              <w:rPr>
                <w:b w:val="0"/>
                <w:noProof/>
              </w:rPr>
              <w:t>4</w:t>
            </w:r>
            <w:proofErr w:type="spellEnd"/>
            <w:r>
              <w:tab/>
            </w:r>
            <w:proofErr w:type="spellStart"/>
            <w:r>
              <w:t>CCET</w:t>
            </w:r>
            <w:proofErr w:type="spellEnd"/>
            <w:r w:rsidRPr="0025516F">
              <w:t xml:space="preserve"> sector performance indicator framework</w:t>
            </w:r>
          </w:p>
        </w:tc>
      </w:tr>
      <w:tr w:rsidR="00966192" w:rsidTr="000B7E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66192" w:rsidTr="000B7E6E">
              <w:trPr>
                <w:jc w:val="center"/>
              </w:trPr>
              <w:tc>
                <w:tcPr>
                  <w:tcW w:w="5000" w:type="pct"/>
                  <w:tcBorders>
                    <w:top w:val="nil"/>
                    <w:bottom w:val="nil"/>
                  </w:tcBorders>
                </w:tcPr>
                <w:p w:rsidR="00966192" w:rsidRDefault="00EB6E43" w:rsidP="000B7E6E">
                  <w:pPr>
                    <w:pStyle w:val="Figure"/>
                    <w:spacing w:before="60" w:after="60"/>
                  </w:pPr>
                  <w:r>
                    <w:rPr>
                      <w:noProof/>
                    </w:rPr>
                    <w:drawing>
                      <wp:inline distT="0" distB="0" distL="0" distR="0">
                        <wp:extent cx="5106390" cy="7790213"/>
                        <wp:effectExtent l="0" t="0" r="0" b="1270"/>
                        <wp:docPr id="28" name="Picture 28" descr="Figure B.4 CCE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Sector Overview B_Child care, education and trainin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5960" cy="7804813"/>
                                </a:xfrm>
                                <a:prstGeom prst="rect">
                                  <a:avLst/>
                                </a:prstGeom>
                                <a:noFill/>
                                <a:ln>
                                  <a:noFill/>
                                </a:ln>
                              </pic:spPr>
                            </pic:pic>
                          </a:graphicData>
                        </a:graphic>
                      </wp:inline>
                    </w:drawing>
                  </w:r>
                </w:p>
              </w:tc>
            </w:tr>
          </w:tbl>
          <w:p w:rsidR="00966192" w:rsidRDefault="00966192" w:rsidP="000B7E6E">
            <w:pPr>
              <w:pStyle w:val="Figure"/>
            </w:pPr>
          </w:p>
        </w:tc>
      </w:tr>
      <w:tr w:rsidR="00966192" w:rsidTr="000B7E6E">
        <w:tc>
          <w:tcPr>
            <w:tcW w:w="8771" w:type="dxa"/>
            <w:tcBorders>
              <w:top w:val="nil"/>
              <w:left w:val="nil"/>
              <w:bottom w:val="single" w:sz="6" w:space="0" w:color="78A22F"/>
              <w:right w:val="nil"/>
            </w:tcBorders>
            <w:shd w:val="clear" w:color="auto" w:fill="auto"/>
          </w:tcPr>
          <w:p w:rsidR="00966192" w:rsidRDefault="00966192" w:rsidP="000B7E6E">
            <w:pPr>
              <w:pStyle w:val="Figurespace"/>
            </w:pPr>
          </w:p>
        </w:tc>
      </w:tr>
      <w:tr w:rsidR="00966192" w:rsidRPr="000863A5" w:rsidTr="000B7E6E">
        <w:tc>
          <w:tcPr>
            <w:tcW w:w="8771" w:type="dxa"/>
            <w:tcBorders>
              <w:top w:val="single" w:sz="6" w:space="0" w:color="78A22F"/>
              <w:left w:val="nil"/>
              <w:bottom w:val="nil"/>
              <w:right w:val="nil"/>
            </w:tcBorders>
          </w:tcPr>
          <w:p w:rsidR="00966192" w:rsidRPr="00626D32" w:rsidRDefault="00966192" w:rsidP="000B7E6E">
            <w:pPr>
              <w:pStyle w:val="BoxSpaceBelow"/>
            </w:pPr>
          </w:p>
        </w:tc>
      </w:tr>
    </w:tbl>
    <w:p w:rsidR="008B55A6" w:rsidRDefault="008B55A6" w:rsidP="008B55A6">
      <w:pPr>
        <w:pStyle w:val="Heading3"/>
      </w:pPr>
      <w:r>
        <w:lastRenderedPageBreak/>
        <w:t>Sector</w:t>
      </w:r>
      <w:r w:rsidR="000117A0">
        <w:noBreakHyphen/>
      </w:r>
      <w:r>
        <w:t>wide indicators</w:t>
      </w:r>
    </w:p>
    <w:p w:rsidR="008B55A6" w:rsidRDefault="00C14CA6" w:rsidP="008B55A6">
      <w:pPr>
        <w:pStyle w:val="BodyText"/>
      </w:pPr>
      <w:r>
        <w:t xml:space="preserve">This section includes high level indicators of </w:t>
      </w:r>
      <w:proofErr w:type="spellStart"/>
      <w:r w:rsidR="00F048B0">
        <w:t>CCET</w:t>
      </w:r>
      <w:proofErr w:type="spellEnd"/>
      <w:r w:rsidR="00317B45">
        <w:t xml:space="preserve"> </w:t>
      </w:r>
      <w:r>
        <w:t xml:space="preserve">outcomes. Many factors are likely to influence outcomes — not </w:t>
      </w:r>
      <w:r w:rsidR="00EF379B">
        <w:t xml:space="preserve">solely </w:t>
      </w:r>
      <w:r>
        <w:t>the performance of government services. However, these outcomes inform development of appropriate policies and d</w:t>
      </w:r>
      <w:r w:rsidR="007C4908">
        <w:t>elivery of government services.</w:t>
      </w:r>
    </w:p>
    <w:p w:rsidR="00325888" w:rsidRPr="002911FD" w:rsidRDefault="00325888" w:rsidP="00325888">
      <w:pPr>
        <w:pStyle w:val="BodyText"/>
      </w:pPr>
      <w:r>
        <w:t>Data Quality Information (</w:t>
      </w:r>
      <w:proofErr w:type="spellStart"/>
      <w:r>
        <w:t>DQI</w:t>
      </w:r>
      <w:proofErr w:type="spellEnd"/>
      <w:r>
        <w:t xml:space="preserve">) is included where available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the chapter or sector overview and attachment tables. All </w:t>
      </w:r>
      <w:proofErr w:type="spellStart"/>
      <w:r>
        <w:t>DQI</w:t>
      </w:r>
      <w:proofErr w:type="spellEnd"/>
      <w:r>
        <w:t xml:space="preserve"> for the 2016 </w:t>
      </w:r>
      <w:r w:rsidRPr="00A944A1">
        <w:t xml:space="preserve">Report can be found at </w:t>
      </w:r>
      <w:proofErr w:type="spellStart"/>
      <w:r w:rsidRPr="00A944A1">
        <w:t>www</w:t>
      </w:r>
      <w:r>
        <w:t>.pc.gov.au</w:t>
      </w:r>
      <w:proofErr w:type="spellEnd"/>
      <w:r>
        <w:t>/</w:t>
      </w:r>
      <w:proofErr w:type="spellStart"/>
      <w:r>
        <w:t>rogs</w:t>
      </w:r>
      <w:proofErr w:type="spellEnd"/>
      <w:r>
        <w:t>/2016</w:t>
      </w:r>
      <w:r w:rsidRPr="00A944A1">
        <w:t>.</w:t>
      </w:r>
    </w:p>
    <w:p w:rsidR="00675025" w:rsidRDefault="00675025" w:rsidP="00675025">
      <w:pPr>
        <w:pStyle w:val="Heading4"/>
      </w:pPr>
      <w:r>
        <w:t>School readiness</w:t>
      </w:r>
    </w:p>
    <w:p w:rsidR="000A358B" w:rsidRDefault="00675025" w:rsidP="000A358B">
      <w:pPr>
        <w:pStyle w:val="BodyText"/>
      </w:pPr>
      <w:r w:rsidRPr="00C22F40">
        <w:t>‘School readiness’ is a</w:t>
      </w:r>
      <w:r w:rsidR="006E5971">
        <w:t>n</w:t>
      </w:r>
      <w:r w:rsidRPr="00C22F40">
        <w:t xml:space="preserve"> indicator of governments</w:t>
      </w:r>
      <w:r w:rsidR="00630DA1">
        <w:t>’</w:t>
      </w:r>
      <w:r w:rsidR="00C22F40" w:rsidRPr="00C22F40">
        <w:t xml:space="preserve"> broad</w:t>
      </w:r>
      <w:r w:rsidRPr="00C22F40">
        <w:t xml:space="preserve"> objectives</w:t>
      </w:r>
      <w:r w:rsidR="00080DF0" w:rsidRPr="00C22F40">
        <w:t xml:space="preserve"> that</w:t>
      </w:r>
      <w:r w:rsidRPr="00C22F40">
        <w:t xml:space="preserve"> </w:t>
      </w:r>
      <w:r w:rsidR="005B7E83" w:rsidRPr="00C22F40">
        <w:t xml:space="preserve">all children have access to the support, care and education throughout early childhood that equips them for life and learning, delivered in a way that actively engages parents, and meets the workforce participation needs of parents </w:t>
      </w:r>
      <w:r w:rsidR="00080DF0" w:rsidRPr="00C22F40">
        <w:t xml:space="preserve">(box </w:t>
      </w:r>
      <w:proofErr w:type="spellStart"/>
      <w:r w:rsidR="00FE10AC">
        <w:t>B.4</w:t>
      </w:r>
      <w:proofErr w:type="spellEnd"/>
      <w:r w:rsidRPr="00C22F40">
        <w:t>)</w:t>
      </w:r>
      <w:r w:rsidR="001273D6" w:rsidRPr="00C22F40">
        <w:t>.</w:t>
      </w:r>
    </w:p>
    <w:p w:rsidR="00091F37" w:rsidRDefault="00675025">
      <w:pPr>
        <w:pStyle w:val="BoxSpaceAbove"/>
      </w:pPr>
      <w:r>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1F37" w:rsidTr="002F544D">
        <w:tc>
          <w:tcPr>
            <w:tcW w:w="8771" w:type="dxa"/>
            <w:tcBorders>
              <w:top w:val="single" w:sz="6" w:space="0" w:color="78A22F"/>
              <w:left w:val="nil"/>
              <w:bottom w:val="nil"/>
              <w:right w:val="nil"/>
            </w:tcBorders>
            <w:shd w:val="clear" w:color="auto" w:fill="F2F2F2"/>
          </w:tcPr>
          <w:p w:rsidR="00091F37" w:rsidRDefault="00091F37" w:rsidP="00091F37">
            <w:pPr>
              <w:pStyle w:val="BoxTitle"/>
            </w:pPr>
            <w:r>
              <w:rPr>
                <w:b w:val="0"/>
              </w:rPr>
              <w:t xml:space="preserve">Box </w:t>
            </w:r>
            <w:proofErr w:type="spellStart"/>
            <w:r>
              <w:rPr>
                <w:b w:val="0"/>
              </w:rPr>
              <w:t>B.</w:t>
            </w:r>
            <w:r w:rsidR="00FE10AC">
              <w:rPr>
                <w:b w:val="0"/>
              </w:rPr>
              <w:t>4</w:t>
            </w:r>
            <w:proofErr w:type="spellEnd"/>
            <w:r>
              <w:tab/>
              <w:t>School readiness</w:t>
            </w:r>
          </w:p>
        </w:tc>
      </w:tr>
      <w:tr w:rsidR="00091F37" w:rsidTr="002F544D">
        <w:trPr>
          <w:cantSplit/>
        </w:trPr>
        <w:tc>
          <w:tcPr>
            <w:tcW w:w="8771" w:type="dxa"/>
            <w:tcBorders>
              <w:top w:val="nil"/>
              <w:left w:val="nil"/>
              <w:bottom w:val="nil"/>
              <w:right w:val="nil"/>
            </w:tcBorders>
            <w:shd w:val="clear" w:color="auto" w:fill="F2F2F2"/>
          </w:tcPr>
          <w:p w:rsidR="00091F37" w:rsidRDefault="004932F4" w:rsidP="00091F37">
            <w:pPr>
              <w:pStyle w:val="Box"/>
            </w:pPr>
            <w:r>
              <w:t>‘</w:t>
            </w:r>
            <w:r w:rsidR="00091F37">
              <w:t>School readiness</w:t>
            </w:r>
            <w:r w:rsidR="00840D8E">
              <w:t>’</w:t>
            </w:r>
            <w:r w:rsidR="00091F37">
              <w:t xml:space="preserve"> </w:t>
            </w:r>
            <w:r w:rsidR="00840D8E" w:rsidRPr="008223AF">
              <w:t>refers to the level of development at which a child can fulfil schooling requirements</w:t>
            </w:r>
            <w:r w:rsidR="00840D8E">
              <w:t>,</w:t>
            </w:r>
            <w:r w:rsidR="00840D8E" w:rsidRPr="008223AF">
              <w:t xml:space="preserve"> and can be described in terms o</w:t>
            </w:r>
            <w:r w:rsidR="00840D8E">
              <w:t>f a range of factors including</w:t>
            </w:r>
            <w:r w:rsidR="00840D8E" w:rsidRPr="008223AF">
              <w:t xml:space="preserve"> a child’s emotional and social competence, language and cognitive skills, and resilience</w:t>
            </w:r>
            <w:r w:rsidR="00840D8E">
              <w:t>. It is reported using</w:t>
            </w:r>
            <w:r w:rsidR="00091F37">
              <w:t xml:space="preserve"> two measures:</w:t>
            </w:r>
          </w:p>
          <w:p w:rsidR="00091F37" w:rsidRDefault="00840D8E" w:rsidP="00091F37">
            <w:pPr>
              <w:pStyle w:val="BoxListBullet"/>
            </w:pPr>
            <w:r>
              <w:t>T</w:t>
            </w:r>
            <w:r w:rsidR="00091F37">
              <w:t xml:space="preserve">ransition to primary school, defined as the proportion of children developmentally on track on four or more </w:t>
            </w:r>
            <w:r>
              <w:t xml:space="preserve">(of five) </w:t>
            </w:r>
            <w:r w:rsidR="00091F37">
              <w:t>domains of the Australian Early Development Census (</w:t>
            </w:r>
            <w:proofErr w:type="spellStart"/>
            <w:r w:rsidR="00091F37">
              <w:t>AEDC</w:t>
            </w:r>
            <w:proofErr w:type="spellEnd"/>
            <w:r w:rsidR="00091F37">
              <w:t>)</w:t>
            </w:r>
            <w:r w:rsidR="00C91E9D">
              <w:t xml:space="preserve"> by Indigenous status</w:t>
            </w:r>
            <w:r w:rsidR="00091F37">
              <w:t>.</w:t>
            </w:r>
          </w:p>
          <w:p w:rsidR="00840D8E" w:rsidRDefault="00840D8E" w:rsidP="004932F4">
            <w:pPr>
              <w:pStyle w:val="BoxListBullet2"/>
            </w:pPr>
            <w:r w:rsidRPr="009A36C1">
              <w:t xml:space="preserve">Children who are considered developmentally on track possess adequate skills for the domain </w:t>
            </w:r>
            <w:r>
              <w:t>— those who have results above the 25</w:t>
            </w:r>
            <w:r w:rsidRPr="00124178">
              <w:rPr>
                <w:vertAlign w:val="superscript"/>
              </w:rPr>
              <w:t>th</w:t>
            </w:r>
            <w:r>
              <w:t xml:space="preserve"> percentile.</w:t>
            </w:r>
          </w:p>
          <w:p w:rsidR="00840D8E" w:rsidRDefault="00840D8E" w:rsidP="004932F4">
            <w:pPr>
              <w:pStyle w:val="BoxListBullet2"/>
            </w:pPr>
            <w:r>
              <w:t xml:space="preserve">The five </w:t>
            </w:r>
            <w:proofErr w:type="spellStart"/>
            <w:r>
              <w:t>AEDC</w:t>
            </w:r>
            <w:proofErr w:type="spellEnd"/>
            <w:r>
              <w:t xml:space="preserve"> domains are: language and cognitive skills; physical health and wellbeing; social competence; emotional maturity and communication skills; and general knowledge.</w:t>
            </w:r>
          </w:p>
          <w:p w:rsidR="00A6309A" w:rsidRDefault="00A6309A" w:rsidP="004932F4">
            <w:pPr>
              <w:pStyle w:val="BoxListBullet2"/>
            </w:pPr>
            <w:r>
              <w:t>These domains are all inter</w:t>
            </w:r>
            <w:r>
              <w:noBreakHyphen/>
              <w:t xml:space="preserve">related aspects of school readiness (see box 3.28). </w:t>
            </w:r>
          </w:p>
          <w:p w:rsidR="00A6309A" w:rsidRPr="005673E1" w:rsidRDefault="00091F37" w:rsidP="00A6309A">
            <w:pPr>
              <w:pStyle w:val="BoxListBullet"/>
            </w:pPr>
            <w:r>
              <w:t xml:space="preserve">Early learning (home based), a proxy measure, </w:t>
            </w:r>
            <w:r w:rsidR="00FD46E4">
              <w:t xml:space="preserve">defined as the proportion of children aged </w:t>
            </w:r>
            <w:r w:rsidR="00177239">
              <w:t xml:space="preserve"> </w:t>
            </w:r>
            <w:r w:rsidR="00FD46E4">
              <w:t>3–8</w:t>
            </w:r>
            <w:r w:rsidR="00F60D04">
              <w:t xml:space="preserve"> years who are involved in home</w:t>
            </w:r>
            <w:r w:rsidR="00840D8E">
              <w:t>-</w:t>
            </w:r>
            <w:r w:rsidR="00FD46E4">
              <w:t>based reading activities (based on the number of days</w:t>
            </w:r>
            <w:r w:rsidR="00333B63">
              <w:t xml:space="preserve"> per week that a parent</w:t>
            </w:r>
            <w:r w:rsidR="00FD46E4">
              <w:t xml:space="preserve"> told stories, read to a child or listened to a child read).</w:t>
            </w:r>
          </w:p>
          <w:p w:rsidR="00A6309A" w:rsidRDefault="00A6309A" w:rsidP="00091F37">
            <w:pPr>
              <w:pStyle w:val="Box"/>
            </w:pPr>
            <w:r>
              <w:t>Higher proportions of children developmentally on track, and involved in home-based reading activities is desirable.</w:t>
            </w:r>
          </w:p>
          <w:p w:rsidR="00091F37" w:rsidRPr="00DE66E0" w:rsidRDefault="00091F37" w:rsidP="00091F37">
            <w:pPr>
              <w:pStyle w:val="Box"/>
            </w:pPr>
            <w:r w:rsidRPr="00DE66E0">
              <w:t>Data reported for these measures are:</w:t>
            </w:r>
          </w:p>
          <w:p w:rsidR="00091F37" w:rsidRPr="00DE66E0" w:rsidRDefault="00091F37" w:rsidP="00091F37">
            <w:pPr>
              <w:pStyle w:val="BoxListBullet"/>
            </w:pPr>
            <w:r>
              <w:t>c</w:t>
            </w:r>
            <w:r w:rsidRPr="00DE66E0">
              <w:t xml:space="preserve">omparable (subject to caveats) </w:t>
            </w:r>
            <w:r w:rsidRPr="00B2630C">
              <w:t>within jurisdictions over time an</w:t>
            </w:r>
            <w:r w:rsidRPr="00DE66E0">
              <w:t>d across jurisdictions</w:t>
            </w:r>
          </w:p>
          <w:p w:rsidR="00091F37" w:rsidRDefault="00091F37" w:rsidP="00091F37">
            <w:pPr>
              <w:pStyle w:val="BoxListBullet"/>
            </w:pPr>
            <w:r>
              <w:t>c</w:t>
            </w:r>
            <w:r w:rsidRPr="00DE66E0">
              <w:t>omplete (subject to caveats) for the current reporting period. All required data</w:t>
            </w:r>
            <w:r w:rsidR="00A6309A">
              <w:t xml:space="preserve"> </w:t>
            </w:r>
            <w:r w:rsidRPr="00DE66E0">
              <w:t>are available for all jurisdictions.</w:t>
            </w:r>
            <w:r>
              <w:t xml:space="preserve"> </w:t>
            </w:r>
          </w:p>
          <w:p w:rsidR="00091F37" w:rsidRDefault="00091F37" w:rsidP="00091F37">
            <w:pPr>
              <w:pStyle w:val="Box"/>
            </w:pPr>
            <w:r>
              <w:t xml:space="preserve">Data quality information for this indicator is </w:t>
            </w:r>
            <w:r w:rsidR="006D4BC2">
              <w:t xml:space="preserve">at </w:t>
            </w:r>
            <w:proofErr w:type="spellStart"/>
            <w:r w:rsidR="006D4BC2">
              <w:t>www.pc.gov.au</w:t>
            </w:r>
            <w:proofErr w:type="spellEnd"/>
            <w:r w:rsidRPr="00FC39AE">
              <w:t>/</w:t>
            </w:r>
            <w:proofErr w:type="spellStart"/>
            <w:r w:rsidRPr="00FC39AE">
              <w:t>rogs</w:t>
            </w:r>
            <w:proofErr w:type="spellEnd"/>
            <w:r w:rsidRPr="00FC39AE">
              <w:t>/201</w:t>
            </w:r>
            <w:r w:rsidR="00FD46E4">
              <w:t>6</w:t>
            </w:r>
            <w:r>
              <w:t>.</w:t>
            </w:r>
          </w:p>
        </w:tc>
      </w:tr>
      <w:tr w:rsidR="00091F37" w:rsidTr="002F544D">
        <w:trPr>
          <w:cantSplit/>
        </w:trPr>
        <w:tc>
          <w:tcPr>
            <w:tcW w:w="8771" w:type="dxa"/>
            <w:tcBorders>
              <w:top w:val="nil"/>
              <w:left w:val="nil"/>
              <w:bottom w:val="single" w:sz="6" w:space="0" w:color="78A22F"/>
              <w:right w:val="nil"/>
            </w:tcBorders>
            <w:shd w:val="clear" w:color="auto" w:fill="F2F2F2"/>
          </w:tcPr>
          <w:p w:rsidR="00091F37" w:rsidRDefault="00091F37">
            <w:pPr>
              <w:pStyle w:val="Box"/>
              <w:spacing w:before="0" w:line="120" w:lineRule="exact"/>
            </w:pPr>
          </w:p>
        </w:tc>
      </w:tr>
      <w:tr w:rsidR="00091F37" w:rsidRPr="000863A5" w:rsidTr="002F544D">
        <w:tc>
          <w:tcPr>
            <w:tcW w:w="8771" w:type="dxa"/>
            <w:tcBorders>
              <w:top w:val="single" w:sz="6" w:space="0" w:color="78A22F"/>
              <w:left w:val="nil"/>
              <w:bottom w:val="nil"/>
              <w:right w:val="nil"/>
            </w:tcBorders>
          </w:tcPr>
          <w:p w:rsidR="00091F37" w:rsidRPr="00626D32" w:rsidRDefault="00091F37" w:rsidP="002F544D">
            <w:pPr>
              <w:pStyle w:val="BoxSpaceBelow"/>
            </w:pPr>
          </w:p>
        </w:tc>
      </w:tr>
    </w:tbl>
    <w:p w:rsidR="002A4728" w:rsidRPr="008C6808" w:rsidRDefault="002A4728" w:rsidP="002A4728">
      <w:pPr>
        <w:pStyle w:val="Heading5"/>
      </w:pPr>
      <w:r>
        <w:lastRenderedPageBreak/>
        <w:t xml:space="preserve">Transition </w:t>
      </w:r>
      <w:r w:rsidR="000A358B">
        <w:t xml:space="preserve">to </w:t>
      </w:r>
      <w:r>
        <w:t>primary school</w:t>
      </w:r>
      <w:r w:rsidR="00E5687B">
        <w:t xml:space="preserve"> </w:t>
      </w:r>
    </w:p>
    <w:p w:rsidR="00A6309A" w:rsidRDefault="00A6309A" w:rsidP="00FC39AE">
      <w:pPr>
        <w:pStyle w:val="BodyText"/>
      </w:pPr>
      <w:r w:rsidRPr="00A6309A">
        <w:t>Even if the child appears to be ready for primary school, the actual transition to school represents a major change in the child’s life. Children displaying higher levels of development are more likely to make a successful transition to primary school and have higher levels of achievement compared with those who have difficulty making this transition (</w:t>
      </w:r>
      <w:proofErr w:type="spellStart"/>
      <w:r w:rsidRPr="00A6309A">
        <w:t>AIHW</w:t>
      </w:r>
      <w:proofErr w:type="spellEnd"/>
      <w:r w:rsidRPr="00A6309A">
        <w:t xml:space="preserve"> 2011).</w:t>
      </w:r>
    </w:p>
    <w:p w:rsidR="000A358B" w:rsidRDefault="005E51A7" w:rsidP="00FC39AE">
      <w:pPr>
        <w:pStyle w:val="BodyText"/>
      </w:pPr>
      <w:r>
        <w:t>Nationally</w:t>
      </w:r>
      <w:r w:rsidR="009C48F4">
        <w:t xml:space="preserve"> in </w:t>
      </w:r>
      <w:r w:rsidR="00E5687B">
        <w:t>20</w:t>
      </w:r>
      <w:r w:rsidR="00256365">
        <w:t>12</w:t>
      </w:r>
      <w:r w:rsidR="00CC476D">
        <w:t>,</w:t>
      </w:r>
      <w:r>
        <w:t xml:space="preserve"> </w:t>
      </w:r>
      <w:r w:rsidR="00EB6893">
        <w:t>69.1</w:t>
      </w:r>
      <w:r w:rsidR="006E45AE">
        <w:t xml:space="preserve"> per cent of children </w:t>
      </w:r>
      <w:r w:rsidR="009C48F4">
        <w:t>we</w:t>
      </w:r>
      <w:r w:rsidR="00C501C7">
        <w:t xml:space="preserve">re </w:t>
      </w:r>
      <w:r w:rsidR="006E45AE">
        <w:t xml:space="preserve">on track </w:t>
      </w:r>
      <w:r w:rsidR="00BE0EE3">
        <w:t xml:space="preserve">on four or more domains of the </w:t>
      </w:r>
      <w:proofErr w:type="spellStart"/>
      <w:r w:rsidR="00077346">
        <w:t>A</w:t>
      </w:r>
      <w:r w:rsidR="0019115E">
        <w:t>EDC</w:t>
      </w:r>
      <w:proofErr w:type="spellEnd"/>
      <w:r w:rsidR="00C501C7">
        <w:t>,</w:t>
      </w:r>
      <w:r w:rsidR="001E4FD1">
        <w:t xml:space="preserve"> </w:t>
      </w:r>
      <w:r w:rsidR="006E45AE">
        <w:t>as they enter</w:t>
      </w:r>
      <w:r w:rsidR="009C48F4">
        <w:t>ed</w:t>
      </w:r>
      <w:r w:rsidR="006E45AE">
        <w:t xml:space="preserve"> school</w:t>
      </w:r>
      <w:r w:rsidR="00A6309A">
        <w:t xml:space="preserve"> (</w:t>
      </w:r>
      <w:r w:rsidR="00DB110D">
        <w:t>compared w</w:t>
      </w:r>
      <w:r w:rsidR="0019115E">
        <w:t>ith 67.4 per cent in 2009</w:t>
      </w:r>
      <w:r w:rsidR="00A6309A">
        <w:t>)</w:t>
      </w:r>
      <w:r w:rsidR="0019115E">
        <w:t xml:space="preserve"> </w:t>
      </w:r>
      <w:r w:rsidR="006F32E7">
        <w:br/>
      </w:r>
      <w:r w:rsidR="00613457">
        <w:t xml:space="preserve">(figure </w:t>
      </w:r>
      <w:proofErr w:type="spellStart"/>
      <w:r w:rsidR="00613457">
        <w:t>B.5</w:t>
      </w:r>
      <w:proofErr w:type="spellEnd"/>
      <w:r w:rsidR="00251343">
        <w:t xml:space="preserve"> and table </w:t>
      </w:r>
      <w:proofErr w:type="spellStart"/>
      <w:r w:rsidR="00251343">
        <w:t>BA.</w:t>
      </w:r>
      <w:r w:rsidR="0094309F">
        <w:t>7</w:t>
      </w:r>
      <w:proofErr w:type="spellEnd"/>
      <w:r w:rsidR="00DB110D">
        <w:t>)</w:t>
      </w:r>
      <w:r w:rsidR="006E45AE">
        <w:t xml:space="preserve">. </w:t>
      </w:r>
      <w:r w:rsidR="00A6309A">
        <w:t xml:space="preserve">The proportion was higher for non-Indigenous children (70.3 per cent) compared to the proportion for </w:t>
      </w:r>
      <w:r w:rsidR="00384B5D">
        <w:t xml:space="preserve">Aboriginal and Torres Strait Islander </w:t>
      </w:r>
      <w:r w:rsidR="00DB110D">
        <w:t>ch</w:t>
      </w:r>
      <w:r w:rsidR="00C501C7">
        <w:t xml:space="preserve">ildren </w:t>
      </w:r>
      <w:r w:rsidR="00A6309A">
        <w:t>(</w:t>
      </w:r>
      <w:r w:rsidR="00EB6893">
        <w:t>47.7</w:t>
      </w:r>
      <w:r w:rsidR="004C3A97">
        <w:t xml:space="preserve"> per cent</w:t>
      </w:r>
      <w:r w:rsidR="00A6309A">
        <w:t>)</w:t>
      </w:r>
      <w:r w:rsidR="004C3A97">
        <w:t xml:space="preserve"> </w:t>
      </w:r>
      <w:r w:rsidR="003F4CFD">
        <w:t xml:space="preserve">(figure </w:t>
      </w:r>
      <w:proofErr w:type="spellStart"/>
      <w:r w:rsidR="003F4CFD">
        <w:t>B.5</w:t>
      </w:r>
      <w:proofErr w:type="spellEnd"/>
      <w:r w:rsidR="00DB110D">
        <w:t xml:space="preserve">). </w:t>
      </w:r>
      <w:r w:rsidR="00FC39AE">
        <w:t>T</w:t>
      </w:r>
      <w:r w:rsidR="00063DF0">
        <w:t xml:space="preserve">able </w:t>
      </w:r>
      <w:proofErr w:type="spellStart"/>
      <w:r w:rsidR="00FC39AE">
        <w:t>B</w:t>
      </w:r>
      <w:r w:rsidR="009C48F4">
        <w:t>A.</w:t>
      </w:r>
      <w:r w:rsidR="0094309F">
        <w:t>7</w:t>
      </w:r>
      <w:proofErr w:type="spellEnd"/>
      <w:r w:rsidR="00063DF0">
        <w:t xml:space="preserve"> includes proportions of students who were on track in </w:t>
      </w:r>
      <w:r w:rsidR="00FC39AE">
        <w:t>one or more</w:t>
      </w:r>
      <w:r w:rsidR="009C48F4">
        <w:t>,</w:t>
      </w:r>
      <w:r w:rsidR="00FC39AE">
        <w:t xml:space="preserve"> two or more, three or more, and all five domains</w:t>
      </w:r>
      <w:r w:rsidR="00EB6893">
        <w:t xml:space="preserve"> for 2012 and 2009</w:t>
      </w:r>
      <w:r w:rsidR="00FC39AE">
        <w:t>.</w:t>
      </w:r>
    </w:p>
    <w:p w:rsidR="00BA11BE" w:rsidRDefault="00BA11BE"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11BE" w:rsidTr="006209EA">
        <w:tc>
          <w:tcPr>
            <w:tcW w:w="8771" w:type="dxa"/>
            <w:tcBorders>
              <w:top w:val="single" w:sz="6" w:space="0" w:color="78A22F"/>
              <w:left w:val="nil"/>
              <w:bottom w:val="nil"/>
              <w:right w:val="nil"/>
            </w:tcBorders>
            <w:shd w:val="clear" w:color="auto" w:fill="auto"/>
          </w:tcPr>
          <w:p w:rsidR="00BA11BE" w:rsidRPr="00176D3F" w:rsidRDefault="00BA11BE" w:rsidP="00BA11BE">
            <w:pPr>
              <w:pStyle w:val="FigureTitle"/>
            </w:pPr>
            <w:r w:rsidRPr="00784A05">
              <w:rPr>
                <w:b w:val="0"/>
              </w:rPr>
              <w:t xml:space="preserve">Figure </w:t>
            </w:r>
            <w:proofErr w:type="spellStart"/>
            <w:r>
              <w:rPr>
                <w:b w:val="0"/>
              </w:rPr>
              <w:t>B.</w:t>
            </w:r>
            <w:r w:rsidR="00501FB3">
              <w:rPr>
                <w:b w:val="0"/>
                <w:noProof/>
              </w:rPr>
              <w:t>5</w:t>
            </w:r>
            <w:proofErr w:type="spellEnd"/>
            <w:r>
              <w:tab/>
            </w:r>
            <w:r w:rsidRPr="00BA11BE">
              <w:t xml:space="preserve">Proportion of children on track on four or more domains of the </w:t>
            </w:r>
            <w:proofErr w:type="spellStart"/>
            <w:r w:rsidRPr="00BA11BE">
              <w:t>AEDC</w:t>
            </w:r>
            <w:proofErr w:type="spellEnd"/>
            <w:r w:rsidRPr="00BA11BE">
              <w:t xml:space="preserve"> as they enter school, </w:t>
            </w:r>
            <w:r w:rsidR="008526AB">
              <w:t xml:space="preserve">by Indigenous status, </w:t>
            </w:r>
            <w:r w:rsidRPr="00BA11BE">
              <w:t>2012</w:t>
            </w:r>
            <w:r w:rsidR="008526AB">
              <w:rPr>
                <w:rStyle w:val="NoteLabel"/>
                <w:b/>
              </w:rPr>
              <w:t>a</w:t>
            </w:r>
          </w:p>
        </w:tc>
      </w:tr>
      <w:tr w:rsidR="00BA11BE" w:rsidTr="006209E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A11BE" w:rsidTr="006209EA">
              <w:trPr>
                <w:jc w:val="center"/>
              </w:trPr>
              <w:tc>
                <w:tcPr>
                  <w:tcW w:w="5000" w:type="pct"/>
                  <w:tcBorders>
                    <w:top w:val="nil"/>
                    <w:bottom w:val="nil"/>
                  </w:tcBorders>
                </w:tcPr>
                <w:p w:rsidR="00BA11BE" w:rsidRDefault="00F545D4" w:rsidP="006209EA">
                  <w:pPr>
                    <w:pStyle w:val="Figure"/>
                    <w:spacing w:before="60" w:after="60"/>
                  </w:pPr>
                  <w:r>
                    <w:rPr>
                      <w:noProof/>
                    </w:rPr>
                    <w:drawing>
                      <wp:inline distT="0" distB="0" distL="0" distR="0">
                        <wp:extent cx="5391150" cy="2683510"/>
                        <wp:effectExtent l="0" t="0" r="0" b="2540"/>
                        <wp:docPr id="8" name="Picture 8" descr="Figure B.5 Proportion of children on track on four or more domains of the AEDC as they enter school, by Indigenous status, 2012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BA11BE" w:rsidRDefault="00BA11BE" w:rsidP="006209EA">
            <w:pPr>
              <w:pStyle w:val="Figure"/>
            </w:pPr>
          </w:p>
        </w:tc>
      </w:tr>
      <w:tr w:rsidR="00BA11BE" w:rsidRPr="00176D3F" w:rsidTr="006209EA">
        <w:tc>
          <w:tcPr>
            <w:tcW w:w="8771" w:type="dxa"/>
            <w:tcBorders>
              <w:top w:val="nil"/>
              <w:left w:val="nil"/>
              <w:bottom w:val="nil"/>
              <w:right w:val="nil"/>
            </w:tcBorders>
            <w:shd w:val="clear" w:color="auto" w:fill="auto"/>
          </w:tcPr>
          <w:p w:rsidR="00BA11BE" w:rsidRPr="00176D3F" w:rsidRDefault="006A0AD9" w:rsidP="008526AB">
            <w:pPr>
              <w:pStyle w:val="Note"/>
            </w:pPr>
            <w:r w:rsidRPr="008526AB">
              <w:rPr>
                <w:rStyle w:val="NoteLabel"/>
              </w:rPr>
              <w:t>a</w:t>
            </w:r>
            <w:r w:rsidRPr="008526AB">
              <w:t> </w:t>
            </w:r>
            <w:r w:rsidR="008526AB" w:rsidRPr="008526AB">
              <w:t xml:space="preserve">See box </w:t>
            </w:r>
            <w:proofErr w:type="spellStart"/>
            <w:r w:rsidR="008526AB" w:rsidRPr="008526AB">
              <w:t>B.</w:t>
            </w:r>
            <w:r w:rsidR="00FE10AC">
              <w:t>4</w:t>
            </w:r>
            <w:proofErr w:type="spellEnd"/>
            <w:r w:rsidR="008526AB" w:rsidRPr="008526AB">
              <w:t xml:space="preserve"> and table </w:t>
            </w:r>
            <w:proofErr w:type="spellStart"/>
            <w:r w:rsidR="008526AB" w:rsidRPr="008526AB">
              <w:t>BA.7</w:t>
            </w:r>
            <w:proofErr w:type="spellEnd"/>
            <w:r w:rsidR="008526AB" w:rsidRPr="008526AB">
              <w:t xml:space="preserve"> for </w:t>
            </w:r>
            <w:r w:rsidR="00A96B11">
              <w:t>detailed definitions, footnotes and caveats.</w:t>
            </w:r>
          </w:p>
        </w:tc>
      </w:tr>
      <w:tr w:rsidR="00BA11BE" w:rsidRPr="00176D3F" w:rsidTr="006209EA">
        <w:tc>
          <w:tcPr>
            <w:tcW w:w="8771" w:type="dxa"/>
            <w:tcBorders>
              <w:top w:val="nil"/>
              <w:left w:val="nil"/>
              <w:bottom w:val="nil"/>
              <w:right w:val="nil"/>
            </w:tcBorders>
            <w:shd w:val="clear" w:color="auto" w:fill="auto"/>
          </w:tcPr>
          <w:p w:rsidR="00BA11BE" w:rsidRPr="00176D3F" w:rsidRDefault="00BA11BE" w:rsidP="006209EA">
            <w:pPr>
              <w:pStyle w:val="Source"/>
            </w:pPr>
            <w:r>
              <w:rPr>
                <w:i/>
              </w:rPr>
              <w:t>S</w:t>
            </w:r>
            <w:r w:rsidRPr="00784A05">
              <w:rPr>
                <w:i/>
              </w:rPr>
              <w:t>ource</w:t>
            </w:r>
            <w:r w:rsidRPr="00176D3F">
              <w:t xml:space="preserve">: </w:t>
            </w:r>
            <w:r w:rsidR="004426EE">
              <w:t xml:space="preserve">Australian Government </w:t>
            </w:r>
            <w:r>
              <w:t>Department of Education</w:t>
            </w:r>
            <w:r w:rsidR="004426EE">
              <w:t xml:space="preserve"> and Training</w:t>
            </w:r>
            <w:r>
              <w:t xml:space="preserve"> (unpublished) </w:t>
            </w:r>
            <w:r w:rsidRPr="00954DC3">
              <w:rPr>
                <w:i/>
              </w:rPr>
              <w:t>Australian Early</w:t>
            </w:r>
            <w:r>
              <w:rPr>
                <w:i/>
              </w:rPr>
              <w:t xml:space="preserve"> Development Census</w:t>
            </w:r>
            <w:r w:rsidR="00077346">
              <w:rPr>
                <w:i/>
              </w:rPr>
              <w:t xml:space="preserve"> 2012</w:t>
            </w:r>
            <w:r w:rsidR="004426EE">
              <w:t xml:space="preserve">; table </w:t>
            </w:r>
            <w:proofErr w:type="spellStart"/>
            <w:r w:rsidR="004426EE">
              <w:t>BA.</w:t>
            </w:r>
            <w:r w:rsidR="0094309F">
              <w:t>7</w:t>
            </w:r>
            <w:proofErr w:type="spellEnd"/>
            <w:r>
              <w:t>.</w:t>
            </w:r>
          </w:p>
        </w:tc>
      </w:tr>
      <w:tr w:rsidR="00BA11BE" w:rsidTr="006209EA">
        <w:tc>
          <w:tcPr>
            <w:tcW w:w="8771" w:type="dxa"/>
            <w:tcBorders>
              <w:top w:val="nil"/>
              <w:left w:val="nil"/>
              <w:bottom w:val="single" w:sz="6" w:space="0" w:color="78A22F"/>
              <w:right w:val="nil"/>
            </w:tcBorders>
            <w:shd w:val="clear" w:color="auto" w:fill="auto"/>
          </w:tcPr>
          <w:p w:rsidR="00BA11BE" w:rsidRDefault="00BA11BE" w:rsidP="006209EA">
            <w:pPr>
              <w:pStyle w:val="Figurespace"/>
            </w:pPr>
          </w:p>
        </w:tc>
      </w:tr>
      <w:tr w:rsidR="00BA11BE" w:rsidRPr="000863A5" w:rsidTr="006209EA">
        <w:tc>
          <w:tcPr>
            <w:tcW w:w="8771" w:type="dxa"/>
            <w:tcBorders>
              <w:top w:val="single" w:sz="6" w:space="0" w:color="78A22F"/>
              <w:left w:val="nil"/>
              <w:bottom w:val="nil"/>
              <w:right w:val="nil"/>
            </w:tcBorders>
          </w:tcPr>
          <w:p w:rsidR="00BA11BE" w:rsidRPr="00626D32" w:rsidRDefault="00BA11BE" w:rsidP="006209EA">
            <w:pPr>
              <w:pStyle w:val="BoxSpaceBelow"/>
            </w:pPr>
          </w:p>
        </w:tc>
      </w:tr>
    </w:tbl>
    <w:p w:rsidR="005A4273" w:rsidRDefault="00471C5D" w:rsidP="00471C5D">
      <w:pPr>
        <w:pStyle w:val="BodyText"/>
      </w:pPr>
      <w:r>
        <w:t>D</w:t>
      </w:r>
      <w:r w:rsidRPr="00086A24">
        <w:t>ata are also provided for this</w:t>
      </w:r>
      <w:r>
        <w:t xml:space="preserve"> measure </w:t>
      </w:r>
      <w:r w:rsidRPr="00086A24">
        <w:t xml:space="preserve">with a focus on the proportion of children who are developmentally </w:t>
      </w:r>
      <w:r>
        <w:t xml:space="preserve">at risk and developmentally </w:t>
      </w:r>
      <w:r w:rsidRPr="00086A24">
        <w:t xml:space="preserve">vulnerable. </w:t>
      </w:r>
      <w:r w:rsidR="0019115E">
        <w:t>Children classified as developmentally at risk scored between 10 per cent and 25 per cent</w:t>
      </w:r>
      <w:r w:rsidR="00A44FF8">
        <w:t xml:space="preserve"> of the national </w:t>
      </w:r>
      <w:proofErr w:type="spellStart"/>
      <w:r w:rsidR="00A44FF8">
        <w:t>AEDC</w:t>
      </w:r>
      <w:proofErr w:type="spellEnd"/>
      <w:r w:rsidR="00A44FF8">
        <w:t xml:space="preserve"> population for an </w:t>
      </w:r>
      <w:proofErr w:type="spellStart"/>
      <w:r w:rsidR="00A44FF8">
        <w:t>AEDC</w:t>
      </w:r>
      <w:proofErr w:type="spellEnd"/>
      <w:r w:rsidR="00A44FF8">
        <w:t xml:space="preserve"> domain.</w:t>
      </w:r>
      <w:r w:rsidR="0019115E">
        <w:t xml:space="preserve"> Children classified as developmentally vulnerable score</w:t>
      </w:r>
      <w:r w:rsidR="00B81822">
        <w:t>d</w:t>
      </w:r>
      <w:r w:rsidR="0019115E">
        <w:t xml:space="preserve"> </w:t>
      </w:r>
      <w:r w:rsidR="00A44FF8">
        <w:t>in the lowest 10 per cent</w:t>
      </w:r>
      <w:r w:rsidR="0019115E">
        <w:t xml:space="preserve"> of the national </w:t>
      </w:r>
      <w:proofErr w:type="spellStart"/>
      <w:r w:rsidR="0019115E">
        <w:t>AEDC</w:t>
      </w:r>
      <w:proofErr w:type="spellEnd"/>
      <w:r w:rsidR="0019115E">
        <w:t xml:space="preserve"> population for an </w:t>
      </w:r>
      <w:proofErr w:type="spellStart"/>
      <w:r w:rsidR="0019115E">
        <w:t>AEDC</w:t>
      </w:r>
      <w:proofErr w:type="spellEnd"/>
      <w:r w:rsidR="0019115E">
        <w:t xml:space="preserve"> domain. </w:t>
      </w:r>
    </w:p>
    <w:p w:rsidR="00471C5D" w:rsidRDefault="00471C5D" w:rsidP="00471C5D">
      <w:pPr>
        <w:pStyle w:val="BodyText"/>
      </w:pPr>
      <w:r w:rsidRPr="00086A24">
        <w:lastRenderedPageBreak/>
        <w:t xml:space="preserve">Nationally in 2012, </w:t>
      </w:r>
      <w:r w:rsidR="00077346" w:rsidRPr="00077346">
        <w:t>40.9</w:t>
      </w:r>
      <w:r w:rsidRPr="00077346">
        <w:t xml:space="preserve"> per cent of children were developmentally at risk on one or more </w:t>
      </w:r>
      <w:proofErr w:type="spellStart"/>
      <w:r w:rsidR="005A4273">
        <w:t>AEDC</w:t>
      </w:r>
      <w:proofErr w:type="spellEnd"/>
      <w:r w:rsidR="005A4273">
        <w:t xml:space="preserve"> </w:t>
      </w:r>
      <w:r w:rsidRPr="00077346">
        <w:t>domains</w:t>
      </w:r>
      <w:r w:rsidR="00251343">
        <w:t xml:space="preserve"> </w:t>
      </w:r>
      <w:r w:rsidR="005A4273">
        <w:t>— 56.8 per cent for</w:t>
      </w:r>
      <w:r>
        <w:t xml:space="preserve"> Aboriginal and Torres Strait Islander children</w:t>
      </w:r>
      <w:r w:rsidRPr="00086A24">
        <w:t xml:space="preserve"> and </w:t>
      </w:r>
      <w:r w:rsidR="005A4273">
        <w:t xml:space="preserve">40.0 per cent for </w:t>
      </w:r>
      <w:r w:rsidRPr="00086A24">
        <w:t>non</w:t>
      </w:r>
      <w:r w:rsidR="000117A0">
        <w:noBreakHyphen/>
      </w:r>
      <w:r w:rsidRPr="00086A24">
        <w:t xml:space="preserve">Indigenous children </w:t>
      </w:r>
      <w:r w:rsidR="00251343">
        <w:t xml:space="preserve">(table </w:t>
      </w:r>
      <w:proofErr w:type="spellStart"/>
      <w:r w:rsidR="00251343">
        <w:t>BA.</w:t>
      </w:r>
      <w:r w:rsidR="0094309F">
        <w:t>8</w:t>
      </w:r>
      <w:proofErr w:type="spellEnd"/>
      <w:r w:rsidR="00251343">
        <w:t xml:space="preserve">). Table </w:t>
      </w:r>
      <w:proofErr w:type="spellStart"/>
      <w:r w:rsidR="00251343">
        <w:t>BA.</w:t>
      </w:r>
      <w:r w:rsidR="0094309F">
        <w:t>8</w:t>
      </w:r>
      <w:proofErr w:type="spellEnd"/>
      <w:r w:rsidRPr="00086A24">
        <w:t xml:space="preserve"> also includes proportions of students who</w:t>
      </w:r>
      <w:r>
        <w:t xml:space="preserve"> were developmentally at risk</w:t>
      </w:r>
      <w:r w:rsidRPr="00086A24">
        <w:t xml:space="preserve"> on one or more, two or more, three or more, and all five domains for 2012 and 2009.</w:t>
      </w:r>
    </w:p>
    <w:p w:rsidR="00471C5D" w:rsidRPr="00086A24" w:rsidRDefault="00471C5D" w:rsidP="00471C5D">
      <w:pPr>
        <w:pStyle w:val="BodyText"/>
        <w:rPr>
          <w:color w:val="FF0000"/>
        </w:rPr>
      </w:pPr>
      <w:r w:rsidRPr="00086A24">
        <w:t xml:space="preserve">Nationally in 2012, 22.0 per cent of children were developmentally vulnerable on one or more domains of the </w:t>
      </w:r>
      <w:proofErr w:type="spellStart"/>
      <w:r w:rsidRPr="00086A24">
        <w:t>AEDC</w:t>
      </w:r>
      <w:proofErr w:type="spellEnd"/>
      <w:r w:rsidR="005A4273">
        <w:t xml:space="preserve"> — 43.2 per cent for</w:t>
      </w:r>
      <w:r w:rsidR="00A429DE">
        <w:t xml:space="preserve"> Aboriginal and Torres Strait Islander children</w:t>
      </w:r>
      <w:r w:rsidRPr="00086A24">
        <w:t xml:space="preserve"> and </w:t>
      </w:r>
      <w:r w:rsidR="005A4273">
        <w:t xml:space="preserve">20.9 per cent for </w:t>
      </w:r>
      <w:r w:rsidRPr="00086A24">
        <w:t>non</w:t>
      </w:r>
      <w:r w:rsidR="000117A0">
        <w:noBreakHyphen/>
      </w:r>
      <w:r w:rsidRPr="00086A24">
        <w:t>Indigenous children</w:t>
      </w:r>
      <w:r w:rsidR="00251343">
        <w:t xml:space="preserve"> (table </w:t>
      </w:r>
      <w:proofErr w:type="spellStart"/>
      <w:r w:rsidR="00251343">
        <w:t>BA.</w:t>
      </w:r>
      <w:r w:rsidR="0094309F">
        <w:t>9</w:t>
      </w:r>
      <w:proofErr w:type="spellEnd"/>
      <w:r w:rsidR="00251343">
        <w:t xml:space="preserve">). Table </w:t>
      </w:r>
      <w:proofErr w:type="spellStart"/>
      <w:r w:rsidR="00251343">
        <w:t>BA.</w:t>
      </w:r>
      <w:r w:rsidR="0094309F">
        <w:t>9</w:t>
      </w:r>
      <w:proofErr w:type="spellEnd"/>
      <w:r w:rsidRPr="00086A24">
        <w:t xml:space="preserve"> also includes proportions of students who were developmentally vulnerable on one or more, two or more, three or more, and all five domains for 2012 and 2009.</w:t>
      </w:r>
    </w:p>
    <w:p w:rsidR="002A4728" w:rsidRPr="002A4728" w:rsidRDefault="002A4728" w:rsidP="008A7A4F">
      <w:pPr>
        <w:pStyle w:val="Heading5"/>
      </w:pPr>
      <w:r w:rsidRPr="002A4728">
        <w:t>Early learning (home based)</w:t>
      </w:r>
    </w:p>
    <w:p w:rsidR="00A6309A" w:rsidRDefault="00A6309A" w:rsidP="00C943C2">
      <w:pPr>
        <w:pStyle w:val="BodyText"/>
        <w:widowControl w:val="0"/>
      </w:pPr>
      <w:r w:rsidRPr="00A6309A">
        <w:t xml:space="preserve">A supportive home learning environment through shared learning activities between the parent/carer and the young child, including reading to children on a regular basis, is </w:t>
      </w:r>
      <w:r w:rsidR="0079390D">
        <w:t>important</w:t>
      </w:r>
      <w:r w:rsidRPr="00A6309A">
        <w:t xml:space="preserve"> to assist young children to reach cognitive development milestones. Home literacy activities have been found to improve children’s reading, vocabulary, general information and letter recognition skills when entering school. Parent/carer education levels may also influence a supportive home learning environment (</w:t>
      </w:r>
      <w:proofErr w:type="spellStart"/>
      <w:r w:rsidRPr="00A6309A">
        <w:t>AIHW</w:t>
      </w:r>
      <w:proofErr w:type="spellEnd"/>
      <w:r w:rsidRPr="00A6309A">
        <w:t xml:space="preserve"> 2011; </w:t>
      </w:r>
      <w:proofErr w:type="spellStart"/>
      <w:r w:rsidRPr="00A6309A">
        <w:t>McTurk</w:t>
      </w:r>
      <w:proofErr w:type="spellEnd"/>
      <w:r w:rsidRPr="00A6309A">
        <w:t xml:space="preserve"> et al. 2011).</w:t>
      </w:r>
    </w:p>
    <w:p w:rsidR="00A462D4" w:rsidRPr="00A462D4" w:rsidRDefault="00A462D4" w:rsidP="00C943C2">
      <w:pPr>
        <w:pStyle w:val="BodyText"/>
        <w:widowControl w:val="0"/>
      </w:pPr>
      <w:r w:rsidRPr="00A462D4">
        <w:t>Nationally in 2014, 50</w:t>
      </w:r>
      <w:r w:rsidR="0079390D">
        <w:t>.0</w:t>
      </w:r>
      <w:r w:rsidR="00C91E9D">
        <w:t xml:space="preserve"> per cent of children aged 3–8</w:t>
      </w:r>
      <w:r w:rsidRPr="00A462D4">
        <w:t xml:space="preserve"> years were told stories, read to or listened to reading each day, compared to 48.5 per cent in 2011. For children aged </w:t>
      </w:r>
      <w:r w:rsidR="0079390D">
        <w:br/>
      </w:r>
      <w:r w:rsidRPr="00A462D4">
        <w:t>0–2</w:t>
      </w:r>
      <w:r w:rsidR="0079390D">
        <w:t> </w:t>
      </w:r>
      <w:r w:rsidRPr="00A462D4">
        <w:t>years, 56.1 per cent nationally in 2014 were read to or told stories each day by a parent, compared to 57</w:t>
      </w:r>
      <w:r w:rsidR="0094309F">
        <w:t xml:space="preserve">.1 per cent in 2011 (table </w:t>
      </w:r>
      <w:proofErr w:type="spellStart"/>
      <w:r w:rsidR="0094309F">
        <w:t>BA.10</w:t>
      </w:r>
      <w:proofErr w:type="spellEnd"/>
      <w:r w:rsidRPr="00A462D4">
        <w:t xml:space="preserve">). </w:t>
      </w:r>
    </w:p>
    <w:p w:rsidR="00675025" w:rsidRDefault="00675025" w:rsidP="00C943C2">
      <w:pPr>
        <w:pStyle w:val="Heading4"/>
        <w:keepNext w:val="0"/>
        <w:widowControl w:val="0"/>
      </w:pPr>
      <w:r>
        <w:t>Participation</w:t>
      </w:r>
    </w:p>
    <w:p w:rsidR="00FD3F86" w:rsidRDefault="00FD3F86" w:rsidP="00C943C2">
      <w:pPr>
        <w:pStyle w:val="BodyText"/>
        <w:widowControl w:val="0"/>
      </w:pPr>
      <w:r>
        <w:t>‘Participation’ is an indica</w:t>
      </w:r>
      <w:r w:rsidR="000A6F01">
        <w:t>tor</w:t>
      </w:r>
      <w:r w:rsidR="00F542C9">
        <w:t xml:space="preserve"> of governments</w:t>
      </w:r>
      <w:r w:rsidR="00C32F7D">
        <w:t>’</w:t>
      </w:r>
      <w:r w:rsidR="00F542C9">
        <w:t xml:space="preserve"> objectives to develop the talents and competencies of the population through the education and training system</w:t>
      </w:r>
      <w:r w:rsidR="00317B45">
        <w:t>,</w:t>
      </w:r>
      <w:r w:rsidR="00F542C9">
        <w:t xml:space="preserve"> to enable them to have the learning and skills required to participate in </w:t>
      </w:r>
      <w:r w:rsidR="00317B45">
        <w:t xml:space="preserve">the </w:t>
      </w:r>
      <w:r w:rsidR="00F542C9">
        <w:t xml:space="preserve">productive economy </w:t>
      </w:r>
      <w:r w:rsidR="005468DE">
        <w:t>(</w:t>
      </w:r>
      <w:r w:rsidR="001A05DE">
        <w:t>b</w:t>
      </w:r>
      <w:r w:rsidR="005468DE">
        <w:t xml:space="preserve">ox </w:t>
      </w:r>
      <w:proofErr w:type="spellStart"/>
      <w:r w:rsidR="00FE10AC">
        <w:t>B.5</w:t>
      </w:r>
      <w:proofErr w:type="spellEnd"/>
      <w:r>
        <w:t>)</w:t>
      </w:r>
      <w:r w:rsidR="00F542C9">
        <w:t>.</w:t>
      </w:r>
    </w:p>
    <w:p w:rsidR="00165FFC" w:rsidRDefault="00165FF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5FFC" w:rsidTr="006760A9">
        <w:tc>
          <w:tcPr>
            <w:tcW w:w="8771" w:type="dxa"/>
            <w:tcBorders>
              <w:top w:val="single" w:sz="6" w:space="0" w:color="78A22F"/>
              <w:left w:val="nil"/>
              <w:bottom w:val="nil"/>
              <w:right w:val="nil"/>
            </w:tcBorders>
            <w:shd w:val="clear" w:color="auto" w:fill="F2F2F2"/>
          </w:tcPr>
          <w:p w:rsidR="00165FFC" w:rsidRDefault="00165FFC" w:rsidP="00165FFC">
            <w:pPr>
              <w:pStyle w:val="BoxTitle"/>
            </w:pPr>
            <w:r>
              <w:rPr>
                <w:b w:val="0"/>
              </w:rPr>
              <w:t xml:space="preserve">Box </w:t>
            </w:r>
            <w:proofErr w:type="spellStart"/>
            <w:r>
              <w:rPr>
                <w:b w:val="0"/>
              </w:rPr>
              <w:t>B.</w:t>
            </w:r>
            <w:r w:rsidR="00FE10AC">
              <w:rPr>
                <w:b w:val="0"/>
              </w:rPr>
              <w:t>5</w:t>
            </w:r>
            <w:proofErr w:type="spellEnd"/>
            <w:r>
              <w:tab/>
              <w:t>Participation</w:t>
            </w:r>
          </w:p>
        </w:tc>
      </w:tr>
      <w:tr w:rsidR="00165FFC" w:rsidTr="006760A9">
        <w:trPr>
          <w:cantSplit/>
        </w:trPr>
        <w:tc>
          <w:tcPr>
            <w:tcW w:w="8771" w:type="dxa"/>
            <w:tcBorders>
              <w:top w:val="nil"/>
              <w:left w:val="nil"/>
              <w:bottom w:val="nil"/>
              <w:right w:val="nil"/>
            </w:tcBorders>
            <w:shd w:val="clear" w:color="auto" w:fill="F2F2F2"/>
          </w:tcPr>
          <w:p w:rsidR="00165FFC" w:rsidRDefault="00EE330E" w:rsidP="00165FFC">
            <w:pPr>
              <w:pStyle w:val="Box"/>
              <w:keepNext w:val="0"/>
              <w:widowControl w:val="0"/>
            </w:pPr>
            <w:r>
              <w:t>‘P</w:t>
            </w:r>
            <w:r w:rsidR="00165FFC">
              <w:t>articipation</w:t>
            </w:r>
            <w:r>
              <w:t>’</w:t>
            </w:r>
            <w:r w:rsidR="00165FFC">
              <w:t xml:space="preserve"> is defined by four measures:</w:t>
            </w:r>
          </w:p>
          <w:p w:rsidR="00165FFC" w:rsidRPr="00FD46E4" w:rsidRDefault="00165FFC" w:rsidP="00165FFC">
            <w:pPr>
              <w:pStyle w:val="BoxListBullet"/>
              <w:keepNext w:val="0"/>
              <w:widowControl w:val="0"/>
              <w:rPr>
                <w:b/>
              </w:rPr>
            </w:pPr>
            <w:r w:rsidRPr="00476834">
              <w:t xml:space="preserve">Participation in </w:t>
            </w:r>
            <w:r>
              <w:t>education and training by level of study</w:t>
            </w:r>
            <w:r w:rsidR="00EE330E">
              <w:t>,</w:t>
            </w:r>
            <w:r>
              <w:t xml:space="preserve"> is </w:t>
            </w:r>
            <w:r w:rsidRPr="00476834">
              <w:t>defined as the pr</w:t>
            </w:r>
            <w:r>
              <w:t xml:space="preserve">oportion of </w:t>
            </w:r>
            <w:r>
              <w:br/>
              <w:t>15–24 year olds</w:t>
            </w:r>
            <w:r w:rsidRPr="00476834">
              <w:t xml:space="preserve"> participating in </w:t>
            </w:r>
            <w:r>
              <w:t xml:space="preserve">education and training by level of study and age groups </w:t>
            </w:r>
            <w:r w:rsidR="00177239">
              <w:t xml:space="preserve">  </w:t>
            </w:r>
            <w:r>
              <w:t>15–19 and 20–24 year olds</w:t>
            </w:r>
          </w:p>
          <w:p w:rsidR="00165FFC" w:rsidRPr="00FD46E4" w:rsidRDefault="00165FFC" w:rsidP="00165FFC">
            <w:pPr>
              <w:pStyle w:val="BoxListBullet"/>
              <w:keepNext w:val="0"/>
              <w:widowControl w:val="0"/>
            </w:pPr>
            <w:r>
              <w:t>Full time participation in education and training and/or employment</w:t>
            </w:r>
            <w:r w:rsidR="00EE330E">
              <w:t>,</w:t>
            </w:r>
            <w:r>
              <w:t xml:space="preserve"> is defined as the proportion of 15–19, 20–24, 15–24, 17–24 and 15–64 year olds participating in full time education and training and/or employment</w:t>
            </w:r>
          </w:p>
          <w:p w:rsidR="00165FFC" w:rsidRDefault="00165FFC" w:rsidP="009E71B1">
            <w:pPr>
              <w:pStyle w:val="BoxListBullet"/>
              <w:keepNext w:val="0"/>
              <w:widowControl w:val="0"/>
            </w:pPr>
            <w:r w:rsidRPr="00476834">
              <w:t xml:space="preserve">School leaver </w:t>
            </w:r>
            <w:r>
              <w:t xml:space="preserve">full time </w:t>
            </w:r>
            <w:r w:rsidRPr="00476834">
              <w:t>participation</w:t>
            </w:r>
            <w:r>
              <w:t xml:space="preserve"> in education and training and/or employment</w:t>
            </w:r>
            <w:r w:rsidR="000D4BD5">
              <w:t>,</w:t>
            </w:r>
            <w:r>
              <w:t xml:space="preserve"> is defined as the proportion of 17–24 year old school leavers participating in full time education and training and/or employment</w:t>
            </w:r>
            <w:r w:rsidRPr="006D6646">
              <w:t xml:space="preserve">. This is also </w:t>
            </w:r>
            <w:r w:rsidR="00EE330E">
              <w:t>reported</w:t>
            </w:r>
            <w:r w:rsidR="00EE330E" w:rsidRPr="006D6646">
              <w:t xml:space="preserve"> </w:t>
            </w:r>
            <w:r w:rsidRPr="006D6646">
              <w:t>by Indigenous status.</w:t>
            </w:r>
            <w:r>
              <w:t xml:space="preserve"> [</w:t>
            </w:r>
            <w:r w:rsidRPr="000E0C6A">
              <w:rPr>
                <w:i/>
              </w:rPr>
              <w:t>This aligns with an indicator in the NEA</w:t>
            </w:r>
            <w:r>
              <w:t>]</w:t>
            </w:r>
            <w:r w:rsidR="00FC64A6">
              <w:t xml:space="preserve"> </w:t>
            </w:r>
          </w:p>
          <w:p w:rsidR="00165FFC" w:rsidRDefault="00165FFC" w:rsidP="00EE330E">
            <w:pPr>
              <w:pStyle w:val="BoxListBullet"/>
              <w:keepNext w:val="0"/>
              <w:widowControl w:val="0"/>
            </w:pPr>
            <w:r>
              <w:t>Participation in higher education by selected groups</w:t>
            </w:r>
            <w:r w:rsidR="000D4BD5">
              <w:t>,</w:t>
            </w:r>
            <w:r>
              <w:t xml:space="preserve"> is defined as the proportion of the population participating in higher education by selected disadvantaged groups</w:t>
            </w:r>
            <w:r w:rsidR="002D2501">
              <w:t>, compared with their representation in the community</w:t>
            </w:r>
            <w:r>
              <w:t>.</w:t>
            </w:r>
          </w:p>
          <w:p w:rsidR="00165FFC" w:rsidRDefault="00165FFC" w:rsidP="00165FFC">
            <w:pPr>
              <w:pStyle w:val="Box"/>
            </w:pPr>
            <w:r>
              <w:t>Holding other factors constant, higher or increasing participation in education, training and higher education suggests an improvement in educational outcomes through greater access.</w:t>
            </w:r>
          </w:p>
          <w:p w:rsidR="00165FFC" w:rsidRDefault="00165FFC" w:rsidP="00165FFC">
            <w:pPr>
              <w:pStyle w:val="Box"/>
            </w:pPr>
            <w:r>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w:t>
            </w:r>
            <w:r w:rsidR="007E1A54">
              <w:t>n and SES</w:t>
            </w:r>
            <w:r>
              <w:t xml:space="preserve">. </w:t>
            </w:r>
          </w:p>
          <w:p w:rsidR="00165FFC" w:rsidRDefault="00165FFC" w:rsidP="00165FFC">
            <w:pPr>
              <w:pStyle w:val="Box"/>
            </w:pPr>
            <w:r w:rsidRPr="009C4D5A">
              <w:t xml:space="preserve">The level of participation in education, training or work can indicate the proportion of the population at risk of marginal </w:t>
            </w:r>
            <w:r w:rsidR="00EE330E">
              <w:t xml:space="preserve">or non- </w:t>
            </w:r>
            <w:r w:rsidRPr="009C4D5A">
              <w:t>participation in the labour market. Young people who are not participating full time in education, training, work or some combination</w:t>
            </w:r>
            <w:r>
              <w:t xml:space="preserve"> of these activities may be</w:t>
            </w:r>
            <w:r w:rsidRPr="009C4D5A">
              <w:t xml:space="preserve"> more likely to have difficulty making a transition to full time employment </w:t>
            </w:r>
            <w:r>
              <w:t>in the future.</w:t>
            </w:r>
          </w:p>
          <w:p w:rsidR="006760A9" w:rsidRPr="009C4D5A" w:rsidRDefault="006760A9" w:rsidP="00165FFC">
            <w:pPr>
              <w:pStyle w:val="Box"/>
            </w:pPr>
            <w:r w:rsidRPr="00165FFC">
              <w:t>Data for these measures include 95 per cent confidence interval</w:t>
            </w:r>
            <w:r w:rsidR="00EE330E">
              <w:t>s presented as</w:t>
            </w:r>
            <w:r w:rsidRPr="00165FFC">
              <w:t xml:space="preserve"> error bars in figures</w:t>
            </w:r>
            <w:r>
              <w:t xml:space="preserve"> (except </w:t>
            </w:r>
            <w:r w:rsidR="00EE330E">
              <w:t xml:space="preserve">for </w:t>
            </w:r>
            <w:r>
              <w:t>data from th</w:t>
            </w:r>
            <w:r w:rsidR="00B223E2">
              <w:t>e Census</w:t>
            </w:r>
            <w:r w:rsidR="00FC64A6">
              <w:t xml:space="preserve"> and data for participation in higher education by selected groups</w:t>
            </w:r>
            <w:r w:rsidR="00EE330E">
              <w:t>, for which they are not applicable</w:t>
            </w:r>
            <w:r>
              <w:t>)</w:t>
            </w:r>
            <w:r w:rsidRPr="00165FFC">
              <w:t>.</w:t>
            </w:r>
          </w:p>
          <w:p w:rsidR="00165FFC" w:rsidRPr="00DE66E0" w:rsidRDefault="00165FFC" w:rsidP="00165FFC">
            <w:pPr>
              <w:pStyle w:val="Box"/>
            </w:pPr>
            <w:r w:rsidRPr="00DE66E0">
              <w:t>Data reported for these measures are:</w:t>
            </w:r>
          </w:p>
          <w:p w:rsidR="00165FFC" w:rsidRPr="00DE66E0" w:rsidRDefault="00165FFC" w:rsidP="00165FFC">
            <w:pPr>
              <w:pStyle w:val="BoxListBullet"/>
            </w:pPr>
            <w:r>
              <w:t>c</w:t>
            </w:r>
            <w:r w:rsidRPr="00DE66E0">
              <w:t xml:space="preserve">omparable (subject to caveats) </w:t>
            </w:r>
            <w:r w:rsidRPr="00B2630C">
              <w:t>within jurisdictions over time and a</w:t>
            </w:r>
            <w:r w:rsidRPr="00DE66E0">
              <w:t>cross jurisdictions</w:t>
            </w:r>
          </w:p>
          <w:p w:rsidR="00165FFC" w:rsidRDefault="00165FFC" w:rsidP="00165FFC">
            <w:pPr>
              <w:pStyle w:val="BoxListBullet"/>
            </w:pPr>
            <w:r>
              <w:t>c</w:t>
            </w:r>
            <w:r w:rsidRPr="00DE66E0">
              <w:t xml:space="preserve">omplete (subject to caveats) for the current reporting period. All required </w:t>
            </w:r>
            <w:r>
              <w:t xml:space="preserve">2014 </w:t>
            </w:r>
            <w:r w:rsidRPr="00DE66E0">
              <w:t>data are available for all jurisdictions.</w:t>
            </w:r>
            <w:r>
              <w:t xml:space="preserve"> </w:t>
            </w:r>
          </w:p>
          <w:p w:rsidR="00165FFC" w:rsidRDefault="00165FFC" w:rsidP="00165FFC">
            <w:pPr>
              <w:pStyle w:val="Box"/>
            </w:pPr>
            <w:r w:rsidRPr="009C4D5A">
              <w:t>Data quality information for this i</w:t>
            </w:r>
            <w:r>
              <w:t xml:space="preserve">ndicator is at </w:t>
            </w:r>
            <w:proofErr w:type="spellStart"/>
            <w:r>
              <w:t>www.pc.gov.au</w:t>
            </w:r>
            <w:proofErr w:type="spellEnd"/>
            <w:r>
              <w:t>/</w:t>
            </w:r>
            <w:proofErr w:type="spellStart"/>
            <w:r w:rsidRPr="009C4D5A">
              <w:t>rogs</w:t>
            </w:r>
            <w:proofErr w:type="spellEnd"/>
            <w:r w:rsidRPr="009C4D5A">
              <w:t>/201</w:t>
            </w:r>
            <w:r>
              <w:t>6.</w:t>
            </w:r>
          </w:p>
        </w:tc>
      </w:tr>
      <w:tr w:rsidR="00165FFC" w:rsidTr="006760A9">
        <w:trPr>
          <w:cantSplit/>
        </w:trPr>
        <w:tc>
          <w:tcPr>
            <w:tcW w:w="8771" w:type="dxa"/>
            <w:tcBorders>
              <w:top w:val="nil"/>
              <w:left w:val="nil"/>
              <w:bottom w:val="single" w:sz="6" w:space="0" w:color="78A22F"/>
              <w:right w:val="nil"/>
            </w:tcBorders>
            <w:shd w:val="clear" w:color="auto" w:fill="F2F2F2"/>
          </w:tcPr>
          <w:p w:rsidR="00165FFC" w:rsidRDefault="00165FFC">
            <w:pPr>
              <w:pStyle w:val="Box"/>
              <w:spacing w:before="0" w:line="120" w:lineRule="exact"/>
            </w:pPr>
          </w:p>
        </w:tc>
      </w:tr>
      <w:tr w:rsidR="00165FFC" w:rsidRPr="000863A5" w:rsidTr="006760A9">
        <w:tc>
          <w:tcPr>
            <w:tcW w:w="8771" w:type="dxa"/>
            <w:tcBorders>
              <w:top w:val="single" w:sz="6" w:space="0" w:color="78A22F"/>
              <w:left w:val="nil"/>
              <w:bottom w:val="nil"/>
              <w:right w:val="nil"/>
            </w:tcBorders>
          </w:tcPr>
          <w:p w:rsidR="00165FFC" w:rsidRPr="00626D32" w:rsidRDefault="00165FFC" w:rsidP="006760A9">
            <w:pPr>
              <w:pStyle w:val="BoxSpaceBelow"/>
            </w:pPr>
          </w:p>
        </w:tc>
      </w:tr>
    </w:tbl>
    <w:p w:rsidR="008A7A4F" w:rsidRDefault="008A7A4F" w:rsidP="008A7A4F">
      <w:pPr>
        <w:pStyle w:val="Heading5"/>
      </w:pPr>
      <w:r>
        <w:t xml:space="preserve">Participation in education </w:t>
      </w:r>
      <w:r w:rsidR="00853633">
        <w:t>and training by level of study</w:t>
      </w:r>
    </w:p>
    <w:p w:rsidR="00394C61" w:rsidRPr="00C944A4" w:rsidRDefault="00394C61" w:rsidP="000A358B">
      <w:pPr>
        <w:pStyle w:val="BodyText"/>
      </w:pPr>
      <w:r w:rsidRPr="00C944A4">
        <w:t>Nationally in 201</w:t>
      </w:r>
      <w:r w:rsidR="00DB04FB" w:rsidRPr="00C944A4">
        <w:t>4</w:t>
      </w:r>
      <w:r w:rsidRPr="00C944A4">
        <w:t xml:space="preserve">, </w:t>
      </w:r>
      <w:r w:rsidR="00DB04FB" w:rsidRPr="00C944A4">
        <w:t xml:space="preserve">81.7 per cent of </w:t>
      </w:r>
      <w:r w:rsidR="00256A8A" w:rsidRPr="00C944A4">
        <w:t>15</w:t>
      </w:r>
      <w:r w:rsidR="009C48F4" w:rsidRPr="00C944A4">
        <w:t>–</w:t>
      </w:r>
      <w:r w:rsidR="00256A8A" w:rsidRPr="00C944A4">
        <w:t>19 year olds</w:t>
      </w:r>
      <w:r w:rsidR="00910D77" w:rsidRPr="00C944A4">
        <w:t xml:space="preserve"> were enrolled in education and training</w:t>
      </w:r>
      <w:r w:rsidR="009C48F4" w:rsidRPr="00C944A4">
        <w:t>,</w:t>
      </w:r>
      <w:r w:rsidR="00256A8A" w:rsidRPr="00C944A4">
        <w:t xml:space="preserve"> compared </w:t>
      </w:r>
      <w:r w:rsidR="009C48F4" w:rsidRPr="00C944A4">
        <w:t>with</w:t>
      </w:r>
      <w:r w:rsidR="00256A8A" w:rsidRPr="00C944A4">
        <w:t xml:space="preserve"> </w:t>
      </w:r>
      <w:r w:rsidR="00DB04FB" w:rsidRPr="00C944A4">
        <w:t>42.2</w:t>
      </w:r>
      <w:r w:rsidR="00C03E77" w:rsidRPr="00C944A4">
        <w:t> </w:t>
      </w:r>
      <w:r w:rsidR="00256365" w:rsidRPr="00C944A4">
        <w:t>per </w:t>
      </w:r>
      <w:r w:rsidR="00105924" w:rsidRPr="00C944A4">
        <w:t>cent</w:t>
      </w:r>
      <w:r w:rsidR="00DB04FB" w:rsidRPr="00C944A4">
        <w:t xml:space="preserve"> of </w:t>
      </w:r>
      <w:r w:rsidR="00D5360E" w:rsidRPr="00C944A4">
        <w:t>20</w:t>
      </w:r>
      <w:r w:rsidR="005F4093" w:rsidRPr="00C944A4">
        <w:t>–</w:t>
      </w:r>
      <w:r w:rsidR="00D5360E" w:rsidRPr="00C944A4">
        <w:t>24 year olds</w:t>
      </w:r>
      <w:r w:rsidR="009E71B1">
        <w:t xml:space="preserve"> (overall, </w:t>
      </w:r>
      <w:r w:rsidR="00910D77" w:rsidRPr="00C944A4">
        <w:t>60.9 per cent of 15–24 year olds</w:t>
      </w:r>
      <w:r w:rsidR="009E71B1">
        <w:t>)</w:t>
      </w:r>
      <w:r w:rsidR="00853D18">
        <w:t xml:space="preserve"> </w:t>
      </w:r>
      <w:r w:rsidR="00C944A4" w:rsidRPr="00C944A4">
        <w:t>(table</w:t>
      </w:r>
      <w:r w:rsidR="00853D18">
        <w:t> </w:t>
      </w:r>
      <w:proofErr w:type="spellStart"/>
      <w:r w:rsidR="00CA426B" w:rsidRPr="00C944A4">
        <w:t>B</w:t>
      </w:r>
      <w:r w:rsidR="0094309F">
        <w:t>A.11</w:t>
      </w:r>
      <w:proofErr w:type="spellEnd"/>
      <w:r w:rsidR="00256A8A" w:rsidRPr="00C944A4">
        <w:t>).</w:t>
      </w:r>
      <w:r w:rsidR="00C944A4" w:rsidRPr="00C944A4">
        <w:t xml:space="preserve"> Among 15–19 year olds</w:t>
      </w:r>
      <w:r w:rsidR="00375E14">
        <w:t xml:space="preserve"> nationally in 2014</w:t>
      </w:r>
      <w:r w:rsidR="00C944A4" w:rsidRPr="00C944A4">
        <w:t>, 57.3 per cent were enrolled in school level study and among 20–24 year olds, 28.2 per cent were enrolled in a bachelor degree or</w:t>
      </w:r>
      <w:r w:rsidR="00F66A7D">
        <w:t xml:space="preserve"> above qualification (figure </w:t>
      </w:r>
      <w:proofErr w:type="spellStart"/>
      <w:r w:rsidR="00F66A7D">
        <w:t>B.6</w:t>
      </w:r>
      <w:proofErr w:type="spellEnd"/>
      <w:r w:rsidR="00C944A4" w:rsidRPr="00C944A4">
        <w:t>).</w:t>
      </w:r>
    </w:p>
    <w:p w:rsidR="00BC73D9" w:rsidRDefault="00BC73D9" w:rsidP="000B7E6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73D9" w:rsidTr="000B7E6E">
        <w:tc>
          <w:tcPr>
            <w:tcW w:w="8771" w:type="dxa"/>
            <w:tcBorders>
              <w:top w:val="single" w:sz="6" w:space="0" w:color="78A22F"/>
              <w:left w:val="nil"/>
              <w:bottom w:val="nil"/>
              <w:right w:val="nil"/>
            </w:tcBorders>
            <w:shd w:val="clear" w:color="auto" w:fill="auto"/>
          </w:tcPr>
          <w:p w:rsidR="00BC73D9" w:rsidRPr="00176D3F" w:rsidRDefault="00BC73D9" w:rsidP="00853633">
            <w:pPr>
              <w:pStyle w:val="FigureTitle"/>
            </w:pPr>
            <w:r w:rsidRPr="00784A05">
              <w:rPr>
                <w:b w:val="0"/>
              </w:rPr>
              <w:t xml:space="preserve">Figure </w:t>
            </w:r>
            <w:proofErr w:type="spellStart"/>
            <w:r>
              <w:rPr>
                <w:b w:val="0"/>
              </w:rPr>
              <w:t>B.</w:t>
            </w:r>
            <w:r w:rsidR="00501FB3">
              <w:rPr>
                <w:b w:val="0"/>
                <w:noProof/>
              </w:rPr>
              <w:t>6</w:t>
            </w:r>
            <w:proofErr w:type="spellEnd"/>
            <w:r>
              <w:tab/>
            </w:r>
            <w:r w:rsidRPr="006C1DBD">
              <w:t xml:space="preserve">Participation in </w:t>
            </w:r>
            <w:r>
              <w:t xml:space="preserve">education and training by </w:t>
            </w:r>
            <w:r w:rsidR="00853633">
              <w:t xml:space="preserve">level of study, </w:t>
            </w:r>
            <w:r w:rsidR="00BB440D">
              <w:t xml:space="preserve">by age groups, </w:t>
            </w:r>
            <w:r w:rsidRPr="006C1DBD">
              <w:t>201</w:t>
            </w:r>
            <w:r w:rsidR="00853633">
              <w:t>4</w:t>
            </w:r>
            <w:r w:rsidR="008526AB">
              <w:rPr>
                <w:rStyle w:val="NoteLabel"/>
                <w:b/>
              </w:rPr>
              <w:t>a</w:t>
            </w:r>
          </w:p>
        </w:tc>
      </w:tr>
      <w:tr w:rsidR="00BC73D9" w:rsidTr="000B7E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73D9" w:rsidTr="000B7E6E">
              <w:trPr>
                <w:jc w:val="center"/>
              </w:trPr>
              <w:tc>
                <w:tcPr>
                  <w:tcW w:w="5000" w:type="pct"/>
                  <w:tcBorders>
                    <w:top w:val="nil"/>
                    <w:bottom w:val="nil"/>
                  </w:tcBorders>
                </w:tcPr>
                <w:p w:rsidR="00BC73D9" w:rsidRDefault="00C71406" w:rsidP="000B7E6E">
                  <w:pPr>
                    <w:pStyle w:val="Figure"/>
                    <w:spacing w:before="60" w:after="60"/>
                    <w:rPr>
                      <w:rFonts w:ascii="Arial" w:hAnsi="Arial" w:cs="Arial"/>
                      <w:b/>
                      <w:sz w:val="20"/>
                    </w:rPr>
                  </w:pPr>
                  <w:r w:rsidRPr="00C71406">
                    <w:rPr>
                      <w:rFonts w:ascii="Arial" w:hAnsi="Arial" w:cs="Arial"/>
                      <w:b/>
                      <w:sz w:val="20"/>
                    </w:rPr>
                    <w:t>15–19 year olds</w:t>
                  </w:r>
                </w:p>
                <w:p w:rsidR="00C71406" w:rsidRDefault="00F545D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1995170"/>
                        <wp:effectExtent l="0" t="0" r="0" b="5080"/>
                        <wp:docPr id="9" name="Picture 9" descr="Figure B.6 Participation in education and training by level of study, by age groups, 2014&#10;&#10;15-19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1995170"/>
                                </a:xfrm>
                                <a:prstGeom prst="rect">
                                  <a:avLst/>
                                </a:prstGeom>
                                <a:noFill/>
                                <a:ln>
                                  <a:noFill/>
                                </a:ln>
                              </pic:spPr>
                            </pic:pic>
                          </a:graphicData>
                        </a:graphic>
                      </wp:inline>
                    </w:drawing>
                  </w:r>
                </w:p>
                <w:p w:rsidR="002A43D5" w:rsidRDefault="002A43D5" w:rsidP="000B7E6E">
                  <w:pPr>
                    <w:pStyle w:val="Figure"/>
                    <w:spacing w:before="60" w:after="60"/>
                    <w:rPr>
                      <w:rFonts w:ascii="Arial" w:hAnsi="Arial" w:cs="Arial"/>
                      <w:b/>
                      <w:sz w:val="20"/>
                    </w:rPr>
                  </w:pPr>
                  <w:r>
                    <w:rPr>
                      <w:rFonts w:ascii="Arial" w:hAnsi="Arial" w:cs="Arial"/>
                      <w:b/>
                      <w:sz w:val="20"/>
                    </w:rPr>
                    <w:t>20–24 year olds</w:t>
                  </w:r>
                </w:p>
                <w:p w:rsidR="002A43D5" w:rsidRDefault="00F545D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1983105"/>
                        <wp:effectExtent l="0" t="0" r="0" b="0"/>
                        <wp:docPr id="10" name="Picture 10" descr="Figure B.6 Participation in education and training by level of study, by age groups, 2014&#10;&#10;20-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1983105"/>
                                </a:xfrm>
                                <a:prstGeom prst="rect">
                                  <a:avLst/>
                                </a:prstGeom>
                                <a:noFill/>
                                <a:ln>
                                  <a:noFill/>
                                </a:ln>
                              </pic:spPr>
                            </pic:pic>
                          </a:graphicData>
                        </a:graphic>
                      </wp:inline>
                    </w:drawing>
                  </w:r>
                </w:p>
                <w:p w:rsidR="002A43D5" w:rsidRDefault="002A43D5" w:rsidP="000B7E6E">
                  <w:pPr>
                    <w:pStyle w:val="Figure"/>
                    <w:spacing w:before="60" w:after="60"/>
                    <w:rPr>
                      <w:rFonts w:ascii="Arial" w:hAnsi="Arial" w:cs="Arial"/>
                      <w:b/>
                      <w:sz w:val="20"/>
                    </w:rPr>
                  </w:pPr>
                  <w:r>
                    <w:rPr>
                      <w:rFonts w:ascii="Arial" w:hAnsi="Arial" w:cs="Arial"/>
                      <w:b/>
                      <w:sz w:val="20"/>
                    </w:rPr>
                    <w:t>15–24 year olds</w:t>
                  </w:r>
                </w:p>
                <w:p w:rsidR="002A43D5" w:rsidRPr="00C71406" w:rsidRDefault="00F545D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2553335"/>
                        <wp:effectExtent l="0" t="0" r="0" b="0"/>
                        <wp:docPr id="11" name="Picture 11" descr="Figure B.6 Participation in education and training by level of study, by age groups, 2014&#10;&#10;15-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553335"/>
                                </a:xfrm>
                                <a:prstGeom prst="rect">
                                  <a:avLst/>
                                </a:prstGeom>
                                <a:noFill/>
                                <a:ln>
                                  <a:noFill/>
                                </a:ln>
                              </pic:spPr>
                            </pic:pic>
                          </a:graphicData>
                        </a:graphic>
                      </wp:inline>
                    </w:drawing>
                  </w:r>
                </w:p>
              </w:tc>
            </w:tr>
          </w:tbl>
          <w:p w:rsidR="00BC73D9" w:rsidRDefault="00BC73D9" w:rsidP="000B7E6E">
            <w:pPr>
              <w:pStyle w:val="Figure"/>
            </w:pPr>
          </w:p>
        </w:tc>
      </w:tr>
      <w:tr w:rsidR="00BC73D9" w:rsidRPr="00176D3F" w:rsidTr="000B7E6E">
        <w:tc>
          <w:tcPr>
            <w:tcW w:w="8771" w:type="dxa"/>
            <w:tcBorders>
              <w:top w:val="nil"/>
              <w:left w:val="nil"/>
              <w:bottom w:val="nil"/>
              <w:right w:val="nil"/>
            </w:tcBorders>
            <w:shd w:val="clear" w:color="auto" w:fill="auto"/>
          </w:tcPr>
          <w:p w:rsidR="00BC73D9" w:rsidRPr="00176D3F" w:rsidRDefault="004E1218" w:rsidP="008526AB">
            <w:pPr>
              <w:pStyle w:val="Note"/>
            </w:pPr>
            <w:proofErr w:type="spellStart"/>
            <w:r w:rsidRPr="004E1218">
              <w:t>nfd</w:t>
            </w:r>
            <w:proofErr w:type="spellEnd"/>
            <w:r w:rsidRPr="004E1218">
              <w:t xml:space="preserve"> = not further defined.</w:t>
            </w:r>
            <w:r>
              <w:rPr>
                <w:rStyle w:val="NoteLabel"/>
              </w:rPr>
              <w:t xml:space="preserve"> </w:t>
            </w:r>
            <w:r w:rsidR="00BC73D9">
              <w:rPr>
                <w:rStyle w:val="NoteLabel"/>
              </w:rPr>
              <w:t>a</w:t>
            </w:r>
            <w:r w:rsidR="00BC73D9">
              <w:t xml:space="preserve"> </w:t>
            </w:r>
            <w:r w:rsidR="00FE10AC">
              <w:t xml:space="preserve">See box </w:t>
            </w:r>
            <w:proofErr w:type="spellStart"/>
            <w:r w:rsidR="00FE10AC">
              <w:t>B.5</w:t>
            </w:r>
            <w:proofErr w:type="spellEnd"/>
            <w:r w:rsidR="008526AB">
              <w:t xml:space="preserve"> and table </w:t>
            </w:r>
            <w:proofErr w:type="spellStart"/>
            <w:r w:rsidR="008526AB">
              <w:t>BA.11</w:t>
            </w:r>
            <w:proofErr w:type="spellEnd"/>
            <w:r w:rsidR="00112F76" w:rsidRPr="001B3DAD">
              <w:t xml:space="preserve"> for </w:t>
            </w:r>
            <w:r w:rsidR="00A96B11">
              <w:t>detailed definitions, footnotes and caveats.</w:t>
            </w:r>
          </w:p>
        </w:tc>
      </w:tr>
      <w:tr w:rsidR="00BC73D9" w:rsidRPr="00176D3F" w:rsidTr="000B7E6E">
        <w:tc>
          <w:tcPr>
            <w:tcW w:w="8771" w:type="dxa"/>
            <w:tcBorders>
              <w:top w:val="nil"/>
              <w:left w:val="nil"/>
              <w:bottom w:val="nil"/>
              <w:right w:val="nil"/>
            </w:tcBorders>
            <w:shd w:val="clear" w:color="auto" w:fill="auto"/>
          </w:tcPr>
          <w:p w:rsidR="00BC73D9" w:rsidRPr="00176D3F" w:rsidRDefault="00BC73D9" w:rsidP="000B7E6E">
            <w:pPr>
              <w:pStyle w:val="Source"/>
            </w:pPr>
            <w:r>
              <w:rPr>
                <w:i/>
              </w:rPr>
              <w:t>S</w:t>
            </w:r>
            <w:r w:rsidRPr="00784A05">
              <w:rPr>
                <w:i/>
              </w:rPr>
              <w:t>ource</w:t>
            </w:r>
            <w:r w:rsidRPr="00176D3F">
              <w:t xml:space="preserve">: </w:t>
            </w:r>
            <w:r w:rsidRPr="00FF6A19">
              <w:t xml:space="preserve">ABS (unpublished) </w:t>
            </w:r>
            <w:proofErr w:type="spellStart"/>
            <w:r w:rsidR="008A6092" w:rsidRPr="008A6092">
              <w:rPr>
                <w:i/>
              </w:rPr>
              <w:t>Microdata</w:t>
            </w:r>
            <w:proofErr w:type="spellEnd"/>
            <w:r w:rsidR="008A6092" w:rsidRPr="008A6092">
              <w:rPr>
                <w:i/>
              </w:rPr>
              <w:t>:</w:t>
            </w:r>
            <w:r w:rsidR="008A6092">
              <w:t xml:space="preserve"> </w:t>
            </w:r>
            <w:r w:rsidRPr="00E51A50">
              <w:rPr>
                <w:i/>
              </w:rPr>
              <w:t>Education and Work</w:t>
            </w:r>
            <w:r w:rsidR="00853633">
              <w:rPr>
                <w:i/>
              </w:rPr>
              <w:t>, Australia, May 2014</w:t>
            </w:r>
            <w:r>
              <w:rPr>
                <w:i/>
              </w:rPr>
              <w:t xml:space="preserve">, </w:t>
            </w:r>
            <w:r w:rsidRPr="00A919F8">
              <w:t>Cat. no. 6227.0</w:t>
            </w:r>
            <w:r w:rsidR="008A6092">
              <w:t>.30.001</w:t>
            </w:r>
            <w:r w:rsidRPr="00FF6A19">
              <w:t xml:space="preserve">; table </w:t>
            </w:r>
            <w:proofErr w:type="spellStart"/>
            <w:r w:rsidRPr="00FF6A19">
              <w:t>BA.</w:t>
            </w:r>
            <w:r w:rsidR="0094309F">
              <w:t>11</w:t>
            </w:r>
            <w:proofErr w:type="spellEnd"/>
            <w:r>
              <w:t>.</w:t>
            </w:r>
          </w:p>
        </w:tc>
      </w:tr>
      <w:tr w:rsidR="00BC73D9" w:rsidTr="000B7E6E">
        <w:tc>
          <w:tcPr>
            <w:tcW w:w="8771" w:type="dxa"/>
            <w:tcBorders>
              <w:top w:val="nil"/>
              <w:left w:val="nil"/>
              <w:bottom w:val="single" w:sz="6" w:space="0" w:color="78A22F"/>
              <w:right w:val="nil"/>
            </w:tcBorders>
            <w:shd w:val="clear" w:color="auto" w:fill="auto"/>
          </w:tcPr>
          <w:p w:rsidR="00BC73D9" w:rsidRDefault="00BC73D9" w:rsidP="000B7E6E">
            <w:pPr>
              <w:pStyle w:val="Figurespace"/>
            </w:pPr>
          </w:p>
        </w:tc>
      </w:tr>
      <w:tr w:rsidR="00BC73D9" w:rsidRPr="000863A5" w:rsidTr="000B7E6E">
        <w:tc>
          <w:tcPr>
            <w:tcW w:w="8771" w:type="dxa"/>
            <w:tcBorders>
              <w:top w:val="single" w:sz="6" w:space="0" w:color="78A22F"/>
              <w:left w:val="nil"/>
              <w:bottom w:val="nil"/>
              <w:right w:val="nil"/>
            </w:tcBorders>
          </w:tcPr>
          <w:p w:rsidR="00BC73D9" w:rsidRPr="00626D32" w:rsidRDefault="00BC73D9" w:rsidP="000B7E6E">
            <w:pPr>
              <w:pStyle w:val="BoxSpaceBelow"/>
            </w:pPr>
          </w:p>
        </w:tc>
      </w:tr>
    </w:tbl>
    <w:p w:rsidR="005C7B2D" w:rsidRPr="002D370D" w:rsidRDefault="00FA00F3" w:rsidP="00E95018">
      <w:pPr>
        <w:pStyle w:val="BodyText"/>
      </w:pPr>
      <w:r w:rsidRPr="0094309F">
        <w:lastRenderedPageBreak/>
        <w:t xml:space="preserve">Participation rates for the </w:t>
      </w:r>
      <w:r w:rsidR="00480D89" w:rsidRPr="0094309F">
        <w:t xml:space="preserve">17–24, </w:t>
      </w:r>
      <w:r w:rsidRPr="0094309F">
        <w:t>25</w:t>
      </w:r>
      <w:r w:rsidR="009C48F4" w:rsidRPr="0094309F">
        <w:t>–</w:t>
      </w:r>
      <w:r w:rsidRPr="0094309F">
        <w:t>29 and 15</w:t>
      </w:r>
      <w:r w:rsidR="009C48F4" w:rsidRPr="0094309F">
        <w:t>–</w:t>
      </w:r>
      <w:r w:rsidRPr="0094309F">
        <w:t xml:space="preserve">64 year age groups are </w:t>
      </w:r>
      <w:r w:rsidR="00480D89" w:rsidRPr="0094309F">
        <w:t xml:space="preserve">also </w:t>
      </w:r>
      <w:r w:rsidRPr="0094309F">
        <w:t>presented in table</w:t>
      </w:r>
      <w:r w:rsidR="00133751" w:rsidRPr="0094309F">
        <w:t> </w:t>
      </w:r>
      <w:proofErr w:type="spellStart"/>
      <w:r w:rsidR="0094309F" w:rsidRPr="0094309F">
        <w:t>BA.11</w:t>
      </w:r>
      <w:proofErr w:type="spellEnd"/>
      <w:r w:rsidR="003E4BDF" w:rsidRPr="0094309F">
        <w:t>.</w:t>
      </w:r>
      <w:r w:rsidRPr="0094309F">
        <w:t xml:space="preserve"> </w:t>
      </w:r>
      <w:r w:rsidR="00E95018" w:rsidRPr="0094309F">
        <w:t xml:space="preserve">National data on participation in </w:t>
      </w:r>
      <w:r w:rsidR="009D55D5" w:rsidRPr="0094309F">
        <w:t xml:space="preserve">education </w:t>
      </w:r>
      <w:r w:rsidR="00697DFD" w:rsidRPr="0094309F">
        <w:t>and training by level of study</w:t>
      </w:r>
      <w:r w:rsidR="00E95018" w:rsidRPr="0094309F">
        <w:t xml:space="preserve"> are presented for single year age</w:t>
      </w:r>
      <w:r w:rsidRPr="0094309F">
        <w:t>s</w:t>
      </w:r>
      <w:r w:rsidR="00E95018" w:rsidRPr="0094309F">
        <w:t xml:space="preserve"> </w:t>
      </w:r>
      <w:r w:rsidRPr="0094309F">
        <w:t xml:space="preserve">from </w:t>
      </w:r>
      <w:r w:rsidR="00E95018" w:rsidRPr="0094309F">
        <w:t>15</w:t>
      </w:r>
      <w:r w:rsidR="009D55D5" w:rsidRPr="0094309F">
        <w:t xml:space="preserve"> to </w:t>
      </w:r>
      <w:r w:rsidR="00E95018" w:rsidRPr="0094309F">
        <w:t xml:space="preserve">24 </w:t>
      </w:r>
      <w:r w:rsidR="00105924" w:rsidRPr="0094309F">
        <w:t xml:space="preserve">years </w:t>
      </w:r>
      <w:r w:rsidR="00DB28E9" w:rsidRPr="0094309F">
        <w:t>i</w:t>
      </w:r>
      <w:r w:rsidR="009D55D5" w:rsidRPr="0094309F">
        <w:t xml:space="preserve">n table </w:t>
      </w:r>
      <w:proofErr w:type="spellStart"/>
      <w:r w:rsidR="00697DFD" w:rsidRPr="0094309F">
        <w:t>BA.</w:t>
      </w:r>
      <w:r w:rsidR="0094309F" w:rsidRPr="0094309F">
        <w:t>12</w:t>
      </w:r>
      <w:proofErr w:type="spellEnd"/>
      <w:r w:rsidR="009D55D5" w:rsidRPr="0094309F">
        <w:t>. A five year t</w:t>
      </w:r>
      <w:r w:rsidRPr="0094309F">
        <w:t xml:space="preserve">ime series </w:t>
      </w:r>
      <w:r w:rsidR="009D55D5" w:rsidRPr="0094309F">
        <w:t xml:space="preserve">for various age groups is </w:t>
      </w:r>
      <w:r w:rsidRPr="0094309F">
        <w:t xml:space="preserve">presented in table </w:t>
      </w:r>
      <w:proofErr w:type="spellStart"/>
      <w:r w:rsidRPr="0094309F">
        <w:t>BA.1</w:t>
      </w:r>
      <w:r w:rsidR="0094309F" w:rsidRPr="0094309F">
        <w:t>3</w:t>
      </w:r>
      <w:proofErr w:type="spellEnd"/>
      <w:r w:rsidRPr="0094309F">
        <w:t>.</w:t>
      </w:r>
      <w:r w:rsidR="009E71B1">
        <w:t xml:space="preserve"> </w:t>
      </w:r>
      <w:r w:rsidR="005C7B2D" w:rsidRPr="002D370D">
        <w:t>Data on applications to enrol in an educational institut</w:t>
      </w:r>
      <w:r w:rsidR="0094309F">
        <w:t>ion are presented in table </w:t>
      </w:r>
      <w:proofErr w:type="spellStart"/>
      <w:r w:rsidR="0094309F">
        <w:t>BA.14</w:t>
      </w:r>
      <w:proofErr w:type="spellEnd"/>
      <w:r w:rsidR="002D370D" w:rsidRPr="002D370D">
        <w:t xml:space="preserve">. </w:t>
      </w:r>
    </w:p>
    <w:p w:rsidR="00853633" w:rsidRDefault="00853633" w:rsidP="00853633">
      <w:pPr>
        <w:pStyle w:val="Heading5"/>
      </w:pPr>
      <w:r>
        <w:t xml:space="preserve">Full time participation in education and training and/or employment </w:t>
      </w:r>
    </w:p>
    <w:p w:rsidR="001B3DAD" w:rsidRPr="001B3DAD" w:rsidRDefault="009E71B1" w:rsidP="00853633">
      <w:pPr>
        <w:pStyle w:val="BodyText"/>
      </w:pPr>
      <w:r>
        <w:t>Nationally in 2014, a</w:t>
      </w:r>
      <w:r w:rsidR="001B3DAD" w:rsidRPr="001B3DAD">
        <w:t xml:space="preserve">mong the age groups reported the rate of full time participation in education and training and/or employment </w:t>
      </w:r>
      <w:r>
        <w:t>was</w:t>
      </w:r>
      <w:r w:rsidRPr="001B3DAD">
        <w:t xml:space="preserve"> </w:t>
      </w:r>
      <w:r w:rsidR="001B3DAD" w:rsidRPr="001B3DAD">
        <w:t xml:space="preserve">highest for 15–19 year olds (87.4 per </w:t>
      </w:r>
      <w:r w:rsidR="00227880">
        <w:t>cent) (figure </w:t>
      </w:r>
      <w:proofErr w:type="spellStart"/>
      <w:r w:rsidR="003F4CFD">
        <w:t>B.7</w:t>
      </w:r>
      <w:proofErr w:type="spellEnd"/>
      <w:r w:rsidR="001B3DAD" w:rsidRPr="001B3DAD">
        <w:t>).</w:t>
      </w:r>
      <w:r>
        <w:t xml:space="preserve"> This is expected given the National Youth Participation</w:t>
      </w:r>
      <w:r w:rsidR="009D21A7">
        <w:t xml:space="preserve"> Requirement (see chapter 4, section</w:t>
      </w:r>
      <w:r>
        <w:t xml:space="preserve"> 4.1 for details).</w:t>
      </w:r>
    </w:p>
    <w:p w:rsidR="00853633" w:rsidRDefault="00853633" w:rsidP="0085363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3633" w:rsidTr="007F3216">
        <w:tc>
          <w:tcPr>
            <w:tcW w:w="8771" w:type="dxa"/>
            <w:tcBorders>
              <w:top w:val="single" w:sz="6" w:space="0" w:color="78A22F"/>
              <w:left w:val="nil"/>
              <w:bottom w:val="nil"/>
              <w:right w:val="nil"/>
            </w:tcBorders>
            <w:shd w:val="clear" w:color="auto" w:fill="auto"/>
          </w:tcPr>
          <w:p w:rsidR="00853633" w:rsidRPr="00176D3F" w:rsidRDefault="00853633" w:rsidP="007F3216">
            <w:pPr>
              <w:pStyle w:val="FigureTitle"/>
            </w:pPr>
            <w:r w:rsidRPr="00784A05">
              <w:rPr>
                <w:b w:val="0"/>
              </w:rPr>
              <w:t xml:space="preserve">Figure </w:t>
            </w:r>
            <w:proofErr w:type="spellStart"/>
            <w:r>
              <w:rPr>
                <w:b w:val="0"/>
              </w:rPr>
              <w:t>B.</w:t>
            </w:r>
            <w:r w:rsidR="00501FB3">
              <w:rPr>
                <w:b w:val="0"/>
                <w:noProof/>
              </w:rPr>
              <w:t>7</w:t>
            </w:r>
            <w:proofErr w:type="spellEnd"/>
            <w:r>
              <w:tab/>
            </w:r>
            <w:r w:rsidRPr="00DB441E">
              <w:t>Full time participation in e</w:t>
            </w:r>
            <w:r>
              <w:t>ducation and training and/or employment,</w:t>
            </w:r>
            <w:r w:rsidR="00D56262">
              <w:t xml:space="preserve"> by age groups,</w:t>
            </w:r>
            <w:r>
              <w:t xml:space="preserve"> 2014</w:t>
            </w:r>
            <w:r w:rsidR="008526AB">
              <w:rPr>
                <w:rStyle w:val="NoteLabel"/>
                <w:b/>
              </w:rPr>
              <w:t>a</w:t>
            </w:r>
          </w:p>
        </w:tc>
      </w:tr>
      <w:tr w:rsidR="00853633" w:rsidTr="007F32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3633" w:rsidTr="007F3216">
              <w:trPr>
                <w:jc w:val="center"/>
              </w:trPr>
              <w:tc>
                <w:tcPr>
                  <w:tcW w:w="5000" w:type="pct"/>
                  <w:tcBorders>
                    <w:top w:val="nil"/>
                    <w:bottom w:val="nil"/>
                  </w:tcBorders>
                </w:tcPr>
                <w:p w:rsidR="00853633" w:rsidRDefault="00F545D4" w:rsidP="007F3216">
                  <w:pPr>
                    <w:pStyle w:val="Figure"/>
                    <w:spacing w:before="60" w:after="60"/>
                  </w:pPr>
                  <w:r>
                    <w:rPr>
                      <w:noProof/>
                    </w:rPr>
                    <w:drawing>
                      <wp:inline distT="0" distB="0" distL="0" distR="0">
                        <wp:extent cx="5391150" cy="2707640"/>
                        <wp:effectExtent l="0" t="0" r="0" b="0"/>
                        <wp:docPr id="12" name="Picture 12" descr="Figure B.7 Full time participation in education and training and/or employment, by age group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853633" w:rsidRDefault="00853633" w:rsidP="007F3216">
            <w:pPr>
              <w:pStyle w:val="Figure"/>
            </w:pPr>
          </w:p>
        </w:tc>
      </w:tr>
      <w:tr w:rsidR="00853633" w:rsidRPr="00176D3F" w:rsidTr="007F3216">
        <w:tc>
          <w:tcPr>
            <w:tcW w:w="8771" w:type="dxa"/>
            <w:tcBorders>
              <w:top w:val="nil"/>
              <w:left w:val="nil"/>
              <w:bottom w:val="nil"/>
              <w:right w:val="nil"/>
            </w:tcBorders>
            <w:shd w:val="clear" w:color="auto" w:fill="auto"/>
          </w:tcPr>
          <w:p w:rsidR="00853633" w:rsidRPr="00176D3F" w:rsidRDefault="00853633" w:rsidP="008526AB">
            <w:pPr>
              <w:pStyle w:val="Note"/>
            </w:pPr>
            <w:r w:rsidRPr="001B3DAD">
              <w:rPr>
                <w:rStyle w:val="NoteLabel"/>
              </w:rPr>
              <w:t>a</w:t>
            </w:r>
            <w:r w:rsidRPr="001B3DAD">
              <w:t xml:space="preserve"> </w:t>
            </w:r>
            <w:r w:rsidR="00FE10AC">
              <w:t xml:space="preserve">See box </w:t>
            </w:r>
            <w:proofErr w:type="spellStart"/>
            <w:r w:rsidR="00FE10AC">
              <w:t>B.5</w:t>
            </w:r>
            <w:proofErr w:type="spellEnd"/>
            <w:r w:rsidR="008526AB">
              <w:t xml:space="preserve"> and table </w:t>
            </w:r>
            <w:proofErr w:type="spellStart"/>
            <w:r w:rsidR="008526AB">
              <w:t>BA.15</w:t>
            </w:r>
            <w:proofErr w:type="spellEnd"/>
            <w:r w:rsidR="008526AB" w:rsidRPr="001B3DAD">
              <w:t xml:space="preserve"> for </w:t>
            </w:r>
            <w:r w:rsidR="00A96B11">
              <w:t>detailed definitions, footnotes and caveats.</w:t>
            </w:r>
          </w:p>
        </w:tc>
      </w:tr>
      <w:tr w:rsidR="00853633" w:rsidRPr="00176D3F" w:rsidTr="007F3216">
        <w:tc>
          <w:tcPr>
            <w:tcW w:w="8771" w:type="dxa"/>
            <w:tcBorders>
              <w:top w:val="nil"/>
              <w:left w:val="nil"/>
              <w:bottom w:val="nil"/>
              <w:right w:val="nil"/>
            </w:tcBorders>
            <w:shd w:val="clear" w:color="auto" w:fill="auto"/>
          </w:tcPr>
          <w:p w:rsidR="00853633" w:rsidRPr="00176D3F" w:rsidRDefault="00853633" w:rsidP="007F3216">
            <w:pPr>
              <w:pStyle w:val="Source"/>
            </w:pPr>
            <w:r>
              <w:rPr>
                <w:i/>
              </w:rPr>
              <w:t>S</w:t>
            </w:r>
            <w:r w:rsidRPr="00784A05">
              <w:rPr>
                <w:i/>
              </w:rPr>
              <w:t>ource</w:t>
            </w:r>
            <w:r w:rsidRPr="00176D3F">
              <w:t xml:space="preserve">: </w:t>
            </w:r>
            <w:r>
              <w:t>ABS (unpublished)</w:t>
            </w:r>
            <w:r w:rsidRPr="00DB441E">
              <w:t xml:space="preserve"> </w:t>
            </w:r>
            <w:proofErr w:type="spellStart"/>
            <w:r w:rsidR="00E82B0F" w:rsidRPr="00E82B0F">
              <w:rPr>
                <w:i/>
              </w:rPr>
              <w:t>Microdata</w:t>
            </w:r>
            <w:proofErr w:type="spellEnd"/>
            <w:r w:rsidR="00E82B0F" w:rsidRPr="00E82B0F">
              <w:rPr>
                <w:i/>
              </w:rPr>
              <w:t>:</w:t>
            </w:r>
            <w:r w:rsidR="00E82B0F">
              <w:t xml:space="preserve"> </w:t>
            </w:r>
            <w:r w:rsidRPr="00895E07">
              <w:rPr>
                <w:i/>
              </w:rPr>
              <w:t xml:space="preserve">Education and Work, Australia, May </w:t>
            </w:r>
            <w:r>
              <w:rPr>
                <w:i/>
              </w:rPr>
              <w:t>2014</w:t>
            </w:r>
            <w:r w:rsidR="00E82B0F">
              <w:t xml:space="preserve">, </w:t>
            </w:r>
            <w:r>
              <w:t>Cat. no. 6227.0</w:t>
            </w:r>
            <w:r w:rsidR="0094309F">
              <w:t xml:space="preserve">.30.001; table </w:t>
            </w:r>
            <w:proofErr w:type="spellStart"/>
            <w:r w:rsidR="0094309F">
              <w:t>BA.15</w:t>
            </w:r>
            <w:proofErr w:type="spellEnd"/>
            <w:r>
              <w:t>.</w:t>
            </w:r>
          </w:p>
        </w:tc>
      </w:tr>
      <w:tr w:rsidR="00853633" w:rsidTr="007F3216">
        <w:tc>
          <w:tcPr>
            <w:tcW w:w="8771" w:type="dxa"/>
            <w:tcBorders>
              <w:top w:val="nil"/>
              <w:left w:val="nil"/>
              <w:bottom w:val="single" w:sz="6" w:space="0" w:color="78A22F"/>
              <w:right w:val="nil"/>
            </w:tcBorders>
            <w:shd w:val="clear" w:color="auto" w:fill="auto"/>
          </w:tcPr>
          <w:p w:rsidR="00853633" w:rsidRDefault="00853633" w:rsidP="007F3216">
            <w:pPr>
              <w:pStyle w:val="Figurespace"/>
            </w:pPr>
          </w:p>
        </w:tc>
      </w:tr>
      <w:tr w:rsidR="00853633" w:rsidRPr="000863A5" w:rsidTr="007F3216">
        <w:tc>
          <w:tcPr>
            <w:tcW w:w="8771" w:type="dxa"/>
            <w:tcBorders>
              <w:top w:val="single" w:sz="6" w:space="0" w:color="78A22F"/>
              <w:left w:val="nil"/>
              <w:bottom w:val="nil"/>
              <w:right w:val="nil"/>
            </w:tcBorders>
          </w:tcPr>
          <w:p w:rsidR="00853633" w:rsidRPr="00626D32" w:rsidRDefault="00853633" w:rsidP="007F3216">
            <w:pPr>
              <w:pStyle w:val="BoxSpaceBelow"/>
            </w:pPr>
          </w:p>
        </w:tc>
      </w:tr>
    </w:tbl>
    <w:p w:rsidR="00853633" w:rsidRPr="00D91E31" w:rsidRDefault="00072A62" w:rsidP="00853633">
      <w:pPr>
        <w:pStyle w:val="BodyText"/>
      </w:pPr>
      <w:r w:rsidRPr="00D91E31">
        <w:t>P</w:t>
      </w:r>
      <w:r w:rsidR="00853633" w:rsidRPr="00D91E31">
        <w:t xml:space="preserve">articipation rates in full time education and training </w:t>
      </w:r>
      <w:r w:rsidRPr="00D91E31">
        <w:t xml:space="preserve">at or above Certificate III level </w:t>
      </w:r>
      <w:r w:rsidR="00853633" w:rsidRPr="00D91E31">
        <w:t xml:space="preserve">and/or employment are </w:t>
      </w:r>
      <w:r w:rsidRPr="00D91E31">
        <w:t xml:space="preserve">presented </w:t>
      </w:r>
      <w:r w:rsidR="00853633" w:rsidRPr="00D91E31">
        <w:t xml:space="preserve">for various age </w:t>
      </w:r>
      <w:r w:rsidR="0094309F" w:rsidRPr="00D91E31">
        <w:t xml:space="preserve">groups in table </w:t>
      </w:r>
      <w:proofErr w:type="spellStart"/>
      <w:r w:rsidR="0094309F" w:rsidRPr="00D91E31">
        <w:t>BA.16</w:t>
      </w:r>
      <w:proofErr w:type="spellEnd"/>
      <w:r w:rsidR="009E71B1">
        <w:t>, with</w:t>
      </w:r>
      <w:r w:rsidRPr="00D91E31">
        <w:t xml:space="preserve"> data pre</w:t>
      </w:r>
      <w:r w:rsidR="0094309F" w:rsidRPr="00D91E31">
        <w:t xml:space="preserve">sented by SES in tables </w:t>
      </w:r>
      <w:proofErr w:type="spellStart"/>
      <w:r w:rsidR="0094309F" w:rsidRPr="00D91E31">
        <w:t>BA.17</w:t>
      </w:r>
      <w:proofErr w:type="spellEnd"/>
      <w:r w:rsidR="0094309F" w:rsidRPr="00D91E31">
        <w:t xml:space="preserve"> and </w:t>
      </w:r>
      <w:proofErr w:type="spellStart"/>
      <w:r w:rsidR="0094309F" w:rsidRPr="00D91E31">
        <w:t>BA.18</w:t>
      </w:r>
      <w:proofErr w:type="spellEnd"/>
      <w:r w:rsidRPr="00D91E31">
        <w:t>.</w:t>
      </w:r>
    </w:p>
    <w:p w:rsidR="006618F2" w:rsidRDefault="006618F2" w:rsidP="006618F2">
      <w:pPr>
        <w:pStyle w:val="Heading5"/>
      </w:pPr>
      <w:r>
        <w:t xml:space="preserve">School leaver </w:t>
      </w:r>
      <w:r w:rsidR="00221EA0">
        <w:t>full time participation in</w:t>
      </w:r>
      <w:r>
        <w:t xml:space="preserve"> education and training</w:t>
      </w:r>
      <w:r w:rsidR="00853633">
        <w:t xml:space="preserve"> and/or employment</w:t>
      </w:r>
    </w:p>
    <w:p w:rsidR="002A4728" w:rsidRPr="00883C22" w:rsidRDefault="002A4728" w:rsidP="002A4728">
      <w:pPr>
        <w:pStyle w:val="BodyText"/>
      </w:pPr>
      <w:r w:rsidRPr="00883C22">
        <w:t xml:space="preserve">Nationally </w:t>
      </w:r>
      <w:r w:rsidR="002F023C" w:rsidRPr="00883C22">
        <w:t>in 201</w:t>
      </w:r>
      <w:r w:rsidR="00853633" w:rsidRPr="00883C22">
        <w:t>4</w:t>
      </w:r>
      <w:r w:rsidR="00FD3F86" w:rsidRPr="00883C22">
        <w:t xml:space="preserve">, </w:t>
      </w:r>
      <w:r w:rsidR="00883C22" w:rsidRPr="00883C22">
        <w:t>73.2</w:t>
      </w:r>
      <w:r w:rsidR="009D55D5" w:rsidRPr="00883C22">
        <w:t xml:space="preserve"> per cent of </w:t>
      </w:r>
      <w:r w:rsidR="00256365" w:rsidRPr="00883C22">
        <w:t>17</w:t>
      </w:r>
      <w:r w:rsidR="005F4093" w:rsidRPr="00883C22">
        <w:t>–</w:t>
      </w:r>
      <w:r w:rsidR="00256365" w:rsidRPr="00883C22">
        <w:t>24</w:t>
      </w:r>
      <w:r w:rsidR="00FD3F86" w:rsidRPr="00883C22">
        <w:t xml:space="preserve"> year old school leavers were</w:t>
      </w:r>
      <w:r w:rsidR="00716D63" w:rsidRPr="00883C22">
        <w:t xml:space="preserve"> fully participating in </w:t>
      </w:r>
      <w:r w:rsidR="00FD3F86" w:rsidRPr="00883C22">
        <w:t>education and training</w:t>
      </w:r>
      <w:r w:rsidR="00883C22" w:rsidRPr="00883C22">
        <w:t xml:space="preserve"> and/or employment</w:t>
      </w:r>
      <w:r w:rsidR="00853633" w:rsidRPr="00883C22">
        <w:t xml:space="preserve"> </w:t>
      </w:r>
      <w:r w:rsidR="00FD3F86" w:rsidRPr="00883C22">
        <w:t xml:space="preserve">(figure </w:t>
      </w:r>
      <w:proofErr w:type="spellStart"/>
      <w:r w:rsidR="003814FF">
        <w:t>B.8</w:t>
      </w:r>
      <w:proofErr w:type="spellEnd"/>
      <w:r w:rsidR="00FD3F86" w:rsidRPr="00883C22">
        <w:t>).</w:t>
      </w:r>
      <w:r w:rsidR="00400C92" w:rsidRPr="00883C22">
        <w:t xml:space="preserve"> </w:t>
      </w:r>
    </w:p>
    <w:p w:rsidR="006209EA" w:rsidRDefault="006209EA"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09EA" w:rsidTr="006209EA">
        <w:tc>
          <w:tcPr>
            <w:tcW w:w="8771" w:type="dxa"/>
            <w:tcBorders>
              <w:top w:val="single" w:sz="6" w:space="0" w:color="78A22F"/>
              <w:left w:val="nil"/>
              <w:bottom w:val="nil"/>
              <w:right w:val="nil"/>
            </w:tcBorders>
            <w:shd w:val="clear" w:color="auto" w:fill="auto"/>
          </w:tcPr>
          <w:p w:rsidR="006209EA" w:rsidRPr="00B86F7C" w:rsidRDefault="006209EA" w:rsidP="00B86F7C">
            <w:pPr>
              <w:pStyle w:val="FigureTitle"/>
            </w:pPr>
            <w:r w:rsidRPr="00AD2F57">
              <w:rPr>
                <w:b w:val="0"/>
              </w:rPr>
              <w:t xml:space="preserve">Figure </w:t>
            </w:r>
            <w:proofErr w:type="spellStart"/>
            <w:r w:rsidRPr="00AD2F57">
              <w:rPr>
                <w:b w:val="0"/>
              </w:rPr>
              <w:t>B.</w:t>
            </w:r>
            <w:r w:rsidR="00501FB3">
              <w:rPr>
                <w:b w:val="0"/>
                <w:noProof/>
              </w:rPr>
              <w:t>8</w:t>
            </w:r>
            <w:proofErr w:type="spellEnd"/>
            <w:r w:rsidRPr="00B86F7C">
              <w:tab/>
            </w:r>
            <w:r w:rsidR="0002037B" w:rsidRPr="00B86F7C">
              <w:t>P</w:t>
            </w:r>
            <w:r w:rsidR="00EE4CD3">
              <w:t>roportion</w:t>
            </w:r>
            <w:r w:rsidRPr="00B86F7C">
              <w:t xml:space="preserve"> </w:t>
            </w:r>
            <w:r w:rsidR="009D55D5" w:rsidRPr="00B86F7C">
              <w:t>of 17–24 year old</w:t>
            </w:r>
            <w:r w:rsidR="0002037B" w:rsidRPr="00B86F7C">
              <w:t xml:space="preserve"> school leavers </w:t>
            </w:r>
            <w:r w:rsidR="00EE4CD3">
              <w:t xml:space="preserve">participating </w:t>
            </w:r>
            <w:r w:rsidR="00977339" w:rsidRPr="00B86F7C">
              <w:t>in</w:t>
            </w:r>
            <w:r w:rsidR="00716D63" w:rsidRPr="00B86F7C">
              <w:t xml:space="preserve"> full </w:t>
            </w:r>
            <w:r w:rsidR="009F5D9A" w:rsidRPr="00B86F7C">
              <w:t>time</w:t>
            </w:r>
            <w:r w:rsidR="00716D63" w:rsidRPr="00B86F7C">
              <w:t xml:space="preserve"> </w:t>
            </w:r>
            <w:r w:rsidRPr="00B86F7C">
              <w:t xml:space="preserve">education </w:t>
            </w:r>
            <w:r w:rsidR="00CA21C9" w:rsidRPr="00B86F7C">
              <w:t>and training</w:t>
            </w:r>
            <w:r w:rsidR="00853633">
              <w:t xml:space="preserve"> and/or employment</w:t>
            </w:r>
            <w:r w:rsidR="008526AB">
              <w:rPr>
                <w:rStyle w:val="NoteLabel"/>
                <w:b/>
              </w:rPr>
              <w:t>a</w:t>
            </w:r>
          </w:p>
        </w:tc>
      </w:tr>
      <w:tr w:rsidR="006209EA" w:rsidTr="006209E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209EA" w:rsidTr="006209EA">
              <w:trPr>
                <w:jc w:val="center"/>
              </w:trPr>
              <w:tc>
                <w:tcPr>
                  <w:tcW w:w="5000" w:type="pct"/>
                  <w:tcBorders>
                    <w:top w:val="nil"/>
                    <w:bottom w:val="nil"/>
                  </w:tcBorders>
                </w:tcPr>
                <w:p w:rsidR="006209EA" w:rsidRDefault="00F545D4" w:rsidP="006209EA">
                  <w:pPr>
                    <w:pStyle w:val="Figure"/>
                    <w:spacing w:before="60" w:after="60"/>
                  </w:pPr>
                  <w:r>
                    <w:rPr>
                      <w:noProof/>
                    </w:rPr>
                    <w:drawing>
                      <wp:inline distT="0" distB="0" distL="0" distR="0">
                        <wp:extent cx="5391150" cy="2588895"/>
                        <wp:effectExtent l="0" t="0" r="0" b="1905"/>
                        <wp:docPr id="13" name="Picture 13" descr="Figure B.8 Proportion of 17–24 year old school leavers participating in full time education and training and/or employ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588895"/>
                                </a:xfrm>
                                <a:prstGeom prst="rect">
                                  <a:avLst/>
                                </a:prstGeom>
                                <a:noFill/>
                                <a:ln>
                                  <a:noFill/>
                                </a:ln>
                              </pic:spPr>
                            </pic:pic>
                          </a:graphicData>
                        </a:graphic>
                      </wp:inline>
                    </w:drawing>
                  </w:r>
                </w:p>
              </w:tc>
            </w:tr>
          </w:tbl>
          <w:p w:rsidR="006209EA" w:rsidRDefault="006209EA" w:rsidP="006209EA">
            <w:pPr>
              <w:pStyle w:val="Figure"/>
            </w:pPr>
          </w:p>
        </w:tc>
      </w:tr>
      <w:tr w:rsidR="006209EA" w:rsidRPr="00176D3F" w:rsidTr="006209EA">
        <w:tc>
          <w:tcPr>
            <w:tcW w:w="8771" w:type="dxa"/>
            <w:tcBorders>
              <w:top w:val="nil"/>
              <w:left w:val="nil"/>
              <w:bottom w:val="nil"/>
              <w:right w:val="nil"/>
            </w:tcBorders>
            <w:shd w:val="clear" w:color="auto" w:fill="auto"/>
          </w:tcPr>
          <w:p w:rsidR="006209EA" w:rsidRPr="00176D3F" w:rsidRDefault="006209EA" w:rsidP="008526AB">
            <w:pPr>
              <w:pStyle w:val="Note"/>
            </w:pPr>
            <w:r w:rsidRPr="000C6CF7">
              <w:rPr>
                <w:rStyle w:val="NoteLabel"/>
              </w:rPr>
              <w:t>a</w:t>
            </w:r>
            <w:r w:rsidR="00941101">
              <w:t xml:space="preserve"> See </w:t>
            </w:r>
            <w:r w:rsidR="00FE10AC">
              <w:t xml:space="preserve">box </w:t>
            </w:r>
            <w:proofErr w:type="spellStart"/>
            <w:r w:rsidR="00FE10AC">
              <w:t>B.5</w:t>
            </w:r>
            <w:proofErr w:type="spellEnd"/>
            <w:r w:rsidR="008526AB">
              <w:t xml:space="preserve"> and table </w:t>
            </w:r>
            <w:proofErr w:type="spellStart"/>
            <w:r w:rsidR="008526AB">
              <w:t>BA.19</w:t>
            </w:r>
            <w:proofErr w:type="spellEnd"/>
            <w:r w:rsidR="008526AB" w:rsidRPr="001B3DAD">
              <w:t xml:space="preserve"> for </w:t>
            </w:r>
            <w:r w:rsidR="00A96B11">
              <w:t>detailed definitions, footnotes and caveats.</w:t>
            </w:r>
          </w:p>
        </w:tc>
      </w:tr>
      <w:tr w:rsidR="006209EA" w:rsidRPr="00176D3F" w:rsidTr="006209EA">
        <w:tc>
          <w:tcPr>
            <w:tcW w:w="8771" w:type="dxa"/>
            <w:tcBorders>
              <w:top w:val="nil"/>
              <w:left w:val="nil"/>
              <w:bottom w:val="nil"/>
              <w:right w:val="nil"/>
            </w:tcBorders>
            <w:shd w:val="clear" w:color="auto" w:fill="auto"/>
          </w:tcPr>
          <w:p w:rsidR="006209EA" w:rsidRPr="00176D3F" w:rsidRDefault="006209EA" w:rsidP="006209EA">
            <w:pPr>
              <w:pStyle w:val="Source"/>
            </w:pPr>
            <w:r>
              <w:rPr>
                <w:i/>
              </w:rPr>
              <w:t>S</w:t>
            </w:r>
            <w:r w:rsidRPr="00784A05">
              <w:rPr>
                <w:i/>
              </w:rPr>
              <w:t>ource</w:t>
            </w:r>
            <w:r w:rsidRPr="00176D3F">
              <w:t xml:space="preserve">: </w:t>
            </w:r>
            <w:r w:rsidR="00122D6F">
              <w:t>ABS (unpublished</w:t>
            </w:r>
            <w:r w:rsidRPr="006209EA">
              <w:t xml:space="preserve">) </w:t>
            </w:r>
            <w:proofErr w:type="spellStart"/>
            <w:r w:rsidR="00221EA0" w:rsidRPr="00221EA0">
              <w:rPr>
                <w:i/>
              </w:rPr>
              <w:t>Microdata</w:t>
            </w:r>
            <w:proofErr w:type="spellEnd"/>
            <w:r w:rsidR="00221EA0" w:rsidRPr="00221EA0">
              <w:rPr>
                <w:i/>
              </w:rPr>
              <w:t>:</w:t>
            </w:r>
            <w:r w:rsidR="00221EA0">
              <w:t xml:space="preserve"> </w:t>
            </w:r>
            <w:r w:rsidRPr="0002037B">
              <w:rPr>
                <w:i/>
              </w:rPr>
              <w:t xml:space="preserve">Education and Work, </w:t>
            </w:r>
            <w:r w:rsidR="00895E07">
              <w:rPr>
                <w:i/>
              </w:rPr>
              <w:t>Australia, May 2011, 2012</w:t>
            </w:r>
            <w:r w:rsidR="00122D6F">
              <w:rPr>
                <w:i/>
              </w:rPr>
              <w:t>, 2013</w:t>
            </w:r>
            <w:r w:rsidR="00895E07">
              <w:rPr>
                <w:i/>
              </w:rPr>
              <w:t xml:space="preserve"> and </w:t>
            </w:r>
            <w:r w:rsidR="00122D6F">
              <w:rPr>
                <w:i/>
              </w:rPr>
              <w:t>2014</w:t>
            </w:r>
            <w:r w:rsidRPr="0002037B">
              <w:rPr>
                <w:i/>
              </w:rPr>
              <w:t>,</w:t>
            </w:r>
            <w:r w:rsidR="00122D6F">
              <w:t xml:space="preserve"> </w:t>
            </w:r>
            <w:r w:rsidR="00E561E6">
              <w:t>Cat. no. 6227.0</w:t>
            </w:r>
            <w:r w:rsidR="0094309F">
              <w:t xml:space="preserve">.30.001; table </w:t>
            </w:r>
            <w:proofErr w:type="spellStart"/>
            <w:r w:rsidR="0094309F">
              <w:t>BA.19</w:t>
            </w:r>
            <w:proofErr w:type="spellEnd"/>
            <w:r w:rsidRPr="006209EA">
              <w:t>.</w:t>
            </w:r>
          </w:p>
        </w:tc>
      </w:tr>
      <w:tr w:rsidR="006209EA" w:rsidTr="006209EA">
        <w:tc>
          <w:tcPr>
            <w:tcW w:w="8771" w:type="dxa"/>
            <w:tcBorders>
              <w:top w:val="nil"/>
              <w:left w:val="nil"/>
              <w:bottom w:val="single" w:sz="6" w:space="0" w:color="78A22F"/>
              <w:right w:val="nil"/>
            </w:tcBorders>
            <w:shd w:val="clear" w:color="auto" w:fill="auto"/>
          </w:tcPr>
          <w:p w:rsidR="006209EA" w:rsidRDefault="006209EA" w:rsidP="006209EA">
            <w:pPr>
              <w:pStyle w:val="Figurespace"/>
            </w:pPr>
          </w:p>
        </w:tc>
      </w:tr>
      <w:tr w:rsidR="006209EA" w:rsidRPr="000863A5" w:rsidTr="006209EA">
        <w:tc>
          <w:tcPr>
            <w:tcW w:w="8771" w:type="dxa"/>
            <w:tcBorders>
              <w:top w:val="single" w:sz="6" w:space="0" w:color="78A22F"/>
              <w:left w:val="nil"/>
              <w:bottom w:val="nil"/>
              <w:right w:val="nil"/>
            </w:tcBorders>
          </w:tcPr>
          <w:p w:rsidR="006209EA" w:rsidRPr="00626D32" w:rsidRDefault="006209EA" w:rsidP="006209EA">
            <w:pPr>
              <w:pStyle w:val="BoxSpaceBelow"/>
            </w:pPr>
          </w:p>
        </w:tc>
      </w:tr>
    </w:tbl>
    <w:p w:rsidR="00B53FD3" w:rsidRPr="00B86F7C" w:rsidRDefault="004F545B" w:rsidP="00B53FD3">
      <w:pPr>
        <w:pStyle w:val="BodyText"/>
      </w:pPr>
      <w:r>
        <w:t>T</w:t>
      </w:r>
      <w:r w:rsidR="00B53FD3">
        <w:t>he proportion of 17–2</w:t>
      </w:r>
      <w:r w:rsidR="00B53FD3" w:rsidRPr="00B86F7C">
        <w:t>4 year olds</w:t>
      </w:r>
      <w:r w:rsidR="00B53FD3">
        <w:t xml:space="preserve"> participating in </w:t>
      </w:r>
      <w:r>
        <w:t xml:space="preserve">full time </w:t>
      </w:r>
      <w:r w:rsidR="00B53FD3">
        <w:t>education</w:t>
      </w:r>
      <w:r>
        <w:t xml:space="preserve">, </w:t>
      </w:r>
      <w:r w:rsidR="00B53FD3">
        <w:t>training and/or employment decreased</w:t>
      </w:r>
      <w:r w:rsidR="00B53FD3" w:rsidRPr="00B86F7C">
        <w:t xml:space="preserve"> </w:t>
      </w:r>
      <w:r>
        <w:t xml:space="preserve">from </w:t>
      </w:r>
      <w:r w:rsidR="00B53FD3">
        <w:t>73.9</w:t>
      </w:r>
      <w:r w:rsidR="00526B8F">
        <w:t> </w:t>
      </w:r>
      <w:r w:rsidR="00B53FD3" w:rsidRPr="00B86F7C">
        <w:t>per cent</w:t>
      </w:r>
      <w:r>
        <w:t xml:space="preserve"> in 2006 to</w:t>
      </w:r>
      <w:r w:rsidR="00B53FD3" w:rsidRPr="00B86F7C">
        <w:t xml:space="preserve"> </w:t>
      </w:r>
      <w:r w:rsidR="00B53FD3">
        <w:t>72.7</w:t>
      </w:r>
      <w:r w:rsidR="00B53FD3" w:rsidRPr="00B86F7C">
        <w:t xml:space="preserve"> per cent</w:t>
      </w:r>
      <w:r>
        <w:t xml:space="preserve"> in 2011</w:t>
      </w:r>
      <w:r w:rsidR="00B53FD3" w:rsidRPr="00B86F7C">
        <w:t xml:space="preserve"> (figure </w:t>
      </w:r>
      <w:proofErr w:type="spellStart"/>
      <w:r w:rsidR="00D2379D">
        <w:t>B.9</w:t>
      </w:r>
      <w:proofErr w:type="spellEnd"/>
      <w:r w:rsidR="00B53FD3" w:rsidRPr="00B86F7C">
        <w:t>).</w:t>
      </w:r>
    </w:p>
    <w:p w:rsidR="00B53FD3" w:rsidRDefault="00B53FD3" w:rsidP="00AA579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3FD3" w:rsidTr="00AA5793">
        <w:tc>
          <w:tcPr>
            <w:tcW w:w="8771" w:type="dxa"/>
            <w:tcBorders>
              <w:top w:val="single" w:sz="6" w:space="0" w:color="78A22F"/>
              <w:left w:val="nil"/>
              <w:bottom w:val="nil"/>
              <w:right w:val="nil"/>
            </w:tcBorders>
            <w:shd w:val="clear" w:color="auto" w:fill="auto"/>
          </w:tcPr>
          <w:p w:rsidR="00B53FD3" w:rsidRPr="00176D3F" w:rsidRDefault="00B53FD3" w:rsidP="008526AB">
            <w:pPr>
              <w:pStyle w:val="FigureTitle"/>
            </w:pPr>
            <w:r w:rsidRPr="00784A05">
              <w:rPr>
                <w:b w:val="0"/>
              </w:rPr>
              <w:t xml:space="preserve">Figure </w:t>
            </w:r>
            <w:proofErr w:type="spellStart"/>
            <w:r>
              <w:rPr>
                <w:b w:val="0"/>
              </w:rPr>
              <w:t>B.</w:t>
            </w:r>
            <w:r w:rsidR="00501FB3">
              <w:rPr>
                <w:b w:val="0"/>
                <w:noProof/>
              </w:rPr>
              <w:t>9</w:t>
            </w:r>
            <w:proofErr w:type="spellEnd"/>
            <w:r w:rsidR="003E15C2">
              <w:tab/>
            </w:r>
            <w:r w:rsidR="003E15C2" w:rsidRPr="00B86F7C">
              <w:t>Proportion of 17</w:t>
            </w:r>
            <w:r w:rsidR="003E15C2">
              <w:t>–</w:t>
            </w:r>
            <w:r w:rsidR="003E15C2" w:rsidRPr="00B86F7C">
              <w:t xml:space="preserve">24 year old school leavers </w:t>
            </w:r>
            <w:r w:rsidR="00EE4CD3">
              <w:t xml:space="preserve">participating </w:t>
            </w:r>
            <w:r w:rsidR="003E15C2" w:rsidRPr="00B86F7C">
              <w:t xml:space="preserve">in full time education </w:t>
            </w:r>
            <w:r w:rsidR="003E15C2">
              <w:t>and training and/or employment</w:t>
            </w:r>
            <w:r w:rsidR="008526AB">
              <w:rPr>
                <w:rStyle w:val="NoteLabel"/>
                <w:b/>
              </w:rPr>
              <w:t>a</w:t>
            </w:r>
          </w:p>
        </w:tc>
      </w:tr>
      <w:tr w:rsidR="00B53FD3" w:rsidTr="00AA579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53FD3" w:rsidTr="00AA5793">
              <w:trPr>
                <w:jc w:val="center"/>
              </w:trPr>
              <w:tc>
                <w:tcPr>
                  <w:tcW w:w="5000" w:type="pct"/>
                  <w:tcBorders>
                    <w:top w:val="nil"/>
                    <w:bottom w:val="nil"/>
                  </w:tcBorders>
                </w:tcPr>
                <w:p w:rsidR="00B53FD3" w:rsidRDefault="00F545D4" w:rsidP="00AA5793">
                  <w:pPr>
                    <w:pStyle w:val="Figure"/>
                    <w:spacing w:before="60" w:after="60"/>
                  </w:pPr>
                  <w:r>
                    <w:rPr>
                      <w:noProof/>
                    </w:rPr>
                    <w:drawing>
                      <wp:inline distT="0" distB="0" distL="0" distR="0">
                        <wp:extent cx="5391150" cy="2505710"/>
                        <wp:effectExtent l="0" t="0" r="0" b="8890"/>
                        <wp:docPr id="14" name="Picture 14" descr="Figure B.9 Proportion of 17–24 year old school leavers participating in full time education and training and/or employ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505710"/>
                                </a:xfrm>
                                <a:prstGeom prst="rect">
                                  <a:avLst/>
                                </a:prstGeom>
                                <a:noFill/>
                                <a:ln>
                                  <a:noFill/>
                                </a:ln>
                              </pic:spPr>
                            </pic:pic>
                          </a:graphicData>
                        </a:graphic>
                      </wp:inline>
                    </w:drawing>
                  </w:r>
                </w:p>
              </w:tc>
            </w:tr>
          </w:tbl>
          <w:p w:rsidR="00B53FD3" w:rsidRDefault="00B53FD3" w:rsidP="00AA5793">
            <w:pPr>
              <w:pStyle w:val="Figure"/>
            </w:pPr>
          </w:p>
        </w:tc>
      </w:tr>
      <w:tr w:rsidR="00B53FD3" w:rsidRPr="00176D3F" w:rsidTr="00AA5793">
        <w:tc>
          <w:tcPr>
            <w:tcW w:w="8771" w:type="dxa"/>
            <w:tcBorders>
              <w:top w:val="nil"/>
              <w:left w:val="nil"/>
              <w:bottom w:val="nil"/>
              <w:right w:val="nil"/>
            </w:tcBorders>
            <w:shd w:val="clear" w:color="auto" w:fill="auto"/>
          </w:tcPr>
          <w:p w:rsidR="00B53FD3" w:rsidRPr="00176D3F" w:rsidRDefault="00B53FD3" w:rsidP="0098466A">
            <w:pPr>
              <w:pStyle w:val="Note"/>
            </w:pPr>
            <w:r>
              <w:rPr>
                <w:rStyle w:val="NoteLabel"/>
              </w:rPr>
              <w:t>a</w:t>
            </w:r>
            <w:r w:rsidR="000A0AC1">
              <w:t xml:space="preserve"> </w:t>
            </w:r>
            <w:r w:rsidR="00FE10AC">
              <w:t xml:space="preserve">See box </w:t>
            </w:r>
            <w:proofErr w:type="spellStart"/>
            <w:r w:rsidR="00FE10AC">
              <w:t>B.5</w:t>
            </w:r>
            <w:proofErr w:type="spellEnd"/>
            <w:r w:rsidR="008526AB">
              <w:t xml:space="preserve"> and table </w:t>
            </w:r>
            <w:proofErr w:type="spellStart"/>
            <w:r w:rsidR="008526AB">
              <w:t>BA.20</w:t>
            </w:r>
            <w:proofErr w:type="spellEnd"/>
            <w:r w:rsidR="008526AB" w:rsidRPr="001B3DAD">
              <w:t xml:space="preserve"> for </w:t>
            </w:r>
            <w:r w:rsidR="00A96B11">
              <w:t>detailed definitions, footnotes and caveats.</w:t>
            </w:r>
          </w:p>
        </w:tc>
      </w:tr>
      <w:tr w:rsidR="00B53FD3" w:rsidRPr="00176D3F" w:rsidTr="00AA5793">
        <w:tc>
          <w:tcPr>
            <w:tcW w:w="8771" w:type="dxa"/>
            <w:tcBorders>
              <w:top w:val="nil"/>
              <w:left w:val="nil"/>
              <w:bottom w:val="nil"/>
              <w:right w:val="nil"/>
            </w:tcBorders>
            <w:shd w:val="clear" w:color="auto" w:fill="auto"/>
          </w:tcPr>
          <w:p w:rsidR="00B53FD3" w:rsidRPr="00176D3F" w:rsidRDefault="00B53FD3" w:rsidP="00AA5793">
            <w:pPr>
              <w:pStyle w:val="Source"/>
            </w:pPr>
            <w:r>
              <w:rPr>
                <w:i/>
              </w:rPr>
              <w:t>S</w:t>
            </w:r>
            <w:r w:rsidRPr="00784A05">
              <w:rPr>
                <w:i/>
              </w:rPr>
              <w:t>ource</w:t>
            </w:r>
            <w:r w:rsidRPr="00176D3F">
              <w:t xml:space="preserve">: </w:t>
            </w:r>
            <w:r w:rsidR="003E15C2" w:rsidRPr="00DB441E">
              <w:t xml:space="preserve">ABS (unpublished) </w:t>
            </w:r>
            <w:r w:rsidR="003E15C2" w:rsidRPr="00D666B1">
              <w:t>Census of Population and Housing</w:t>
            </w:r>
            <w:r w:rsidR="00FE10AC">
              <w:t>, 2006 and 2011</w:t>
            </w:r>
            <w:r w:rsidR="0094309F">
              <w:t xml:space="preserve">; table </w:t>
            </w:r>
            <w:proofErr w:type="spellStart"/>
            <w:r w:rsidR="0094309F">
              <w:t>BA.20</w:t>
            </w:r>
            <w:proofErr w:type="spellEnd"/>
            <w:r w:rsidR="003E15C2" w:rsidRPr="00DB441E">
              <w:t>.</w:t>
            </w:r>
          </w:p>
        </w:tc>
      </w:tr>
      <w:tr w:rsidR="00B53FD3" w:rsidTr="00AA5793">
        <w:tc>
          <w:tcPr>
            <w:tcW w:w="8771" w:type="dxa"/>
            <w:tcBorders>
              <w:top w:val="nil"/>
              <w:left w:val="nil"/>
              <w:bottom w:val="single" w:sz="6" w:space="0" w:color="78A22F"/>
              <w:right w:val="nil"/>
            </w:tcBorders>
            <w:shd w:val="clear" w:color="auto" w:fill="auto"/>
          </w:tcPr>
          <w:p w:rsidR="00B53FD3" w:rsidRDefault="00B53FD3" w:rsidP="00AA5793">
            <w:pPr>
              <w:pStyle w:val="Figurespace"/>
            </w:pPr>
          </w:p>
        </w:tc>
      </w:tr>
      <w:tr w:rsidR="00B53FD3" w:rsidRPr="000863A5" w:rsidTr="00AA5793">
        <w:tc>
          <w:tcPr>
            <w:tcW w:w="8771" w:type="dxa"/>
            <w:tcBorders>
              <w:top w:val="single" w:sz="6" w:space="0" w:color="78A22F"/>
              <w:left w:val="nil"/>
              <w:bottom w:val="nil"/>
              <w:right w:val="nil"/>
            </w:tcBorders>
          </w:tcPr>
          <w:p w:rsidR="00B53FD3" w:rsidRPr="00626D32" w:rsidRDefault="00B53FD3" w:rsidP="00AA5793">
            <w:pPr>
              <w:pStyle w:val="BoxSpaceBelow"/>
            </w:pPr>
          </w:p>
        </w:tc>
      </w:tr>
    </w:tbl>
    <w:p w:rsidR="00122D6F" w:rsidRDefault="00440C0F" w:rsidP="00122D6F">
      <w:pPr>
        <w:pStyle w:val="BodyText"/>
      </w:pPr>
      <w:r w:rsidRPr="0031529D">
        <w:lastRenderedPageBreak/>
        <w:t xml:space="preserve">Nationally in 2011, </w:t>
      </w:r>
      <w:r w:rsidR="009E7087">
        <w:t xml:space="preserve">a larger proportion of </w:t>
      </w:r>
      <w:r w:rsidRPr="0031529D">
        <w:t>non</w:t>
      </w:r>
      <w:r w:rsidRPr="0031529D">
        <w:noBreakHyphen/>
        <w:t>Indigenous 17</w:t>
      </w:r>
      <w:r>
        <w:t>–24 year old school leavers</w:t>
      </w:r>
      <w:r w:rsidRPr="0031529D">
        <w:t xml:space="preserve"> </w:t>
      </w:r>
      <w:r w:rsidR="009E7087">
        <w:t xml:space="preserve">were in </w:t>
      </w:r>
      <w:r w:rsidRPr="0031529D">
        <w:t>full time education and training and/or employment (74.0 per cent) than Aboriginal and Torres Strait Islander 17</w:t>
      </w:r>
      <w:r>
        <w:t>–24 year old school leavers</w:t>
      </w:r>
      <w:r w:rsidRPr="0031529D">
        <w:t xml:space="preserve"> (39.4 per cent) (figure </w:t>
      </w:r>
      <w:proofErr w:type="spellStart"/>
      <w:r w:rsidR="001D2ECF">
        <w:t>B.10</w:t>
      </w:r>
      <w:proofErr w:type="spellEnd"/>
      <w:r w:rsidRPr="0031529D">
        <w:t xml:space="preserve">). </w:t>
      </w:r>
    </w:p>
    <w:p w:rsidR="00122D6F" w:rsidRDefault="00122D6F" w:rsidP="00122D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2D6F" w:rsidTr="007F3216">
        <w:tc>
          <w:tcPr>
            <w:tcW w:w="8771" w:type="dxa"/>
            <w:tcBorders>
              <w:top w:val="single" w:sz="6" w:space="0" w:color="78A22F"/>
              <w:left w:val="nil"/>
              <w:bottom w:val="nil"/>
              <w:right w:val="nil"/>
            </w:tcBorders>
            <w:shd w:val="clear" w:color="auto" w:fill="auto"/>
          </w:tcPr>
          <w:p w:rsidR="00122D6F" w:rsidRPr="00B86F7C" w:rsidRDefault="00122D6F" w:rsidP="00AA5793">
            <w:pPr>
              <w:pStyle w:val="FigureTitle"/>
            </w:pPr>
            <w:r w:rsidRPr="00AD2F57">
              <w:rPr>
                <w:b w:val="0"/>
              </w:rPr>
              <w:t xml:space="preserve">Figure </w:t>
            </w:r>
            <w:proofErr w:type="spellStart"/>
            <w:r w:rsidRPr="00AD2F57">
              <w:rPr>
                <w:b w:val="0"/>
              </w:rPr>
              <w:t>B.</w:t>
            </w:r>
            <w:r w:rsidR="00501FB3">
              <w:rPr>
                <w:b w:val="0"/>
                <w:noProof/>
              </w:rPr>
              <w:t>10</w:t>
            </w:r>
            <w:proofErr w:type="spellEnd"/>
            <w:r w:rsidRPr="00B86F7C">
              <w:tab/>
              <w:t>Proportion of 17</w:t>
            </w:r>
            <w:r>
              <w:t>–</w:t>
            </w:r>
            <w:r w:rsidRPr="00B86F7C">
              <w:t xml:space="preserve">24 year old school leavers </w:t>
            </w:r>
            <w:r w:rsidR="00EE4CD3">
              <w:t xml:space="preserve">participating </w:t>
            </w:r>
            <w:r w:rsidRPr="00B86F7C">
              <w:t xml:space="preserve">in full time education and training and/or employment, </w:t>
            </w:r>
            <w:r w:rsidR="006D6646">
              <w:t xml:space="preserve">by Indigenous status, </w:t>
            </w:r>
            <w:r w:rsidRPr="00B86F7C">
              <w:t>2011</w:t>
            </w:r>
            <w:r w:rsidR="00B75566">
              <w:rPr>
                <w:rStyle w:val="NoteLabel"/>
                <w:b/>
              </w:rPr>
              <w:t>a</w:t>
            </w:r>
          </w:p>
        </w:tc>
      </w:tr>
      <w:tr w:rsidR="00122D6F" w:rsidTr="007F32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22D6F" w:rsidTr="007F3216">
              <w:trPr>
                <w:jc w:val="center"/>
              </w:trPr>
              <w:tc>
                <w:tcPr>
                  <w:tcW w:w="5000" w:type="pct"/>
                  <w:tcBorders>
                    <w:top w:val="nil"/>
                    <w:bottom w:val="nil"/>
                  </w:tcBorders>
                </w:tcPr>
                <w:p w:rsidR="00122D6F" w:rsidRDefault="00F545D4" w:rsidP="007F3216">
                  <w:pPr>
                    <w:pStyle w:val="Figure"/>
                    <w:spacing w:before="60" w:after="60"/>
                  </w:pPr>
                  <w:r>
                    <w:rPr>
                      <w:noProof/>
                    </w:rPr>
                    <w:drawing>
                      <wp:inline distT="0" distB="0" distL="0" distR="0">
                        <wp:extent cx="5391150" cy="2683510"/>
                        <wp:effectExtent l="0" t="0" r="0" b="2540"/>
                        <wp:docPr id="15" name="Picture 15" descr="Figure B.10 Proportion of 17–24 year old school leavers participating in full time education and training and/or employment,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22D6F" w:rsidRDefault="00122D6F" w:rsidP="007F3216">
            <w:pPr>
              <w:pStyle w:val="Figure"/>
            </w:pPr>
          </w:p>
        </w:tc>
      </w:tr>
      <w:tr w:rsidR="00122D6F" w:rsidRPr="00176D3F" w:rsidTr="007F3216">
        <w:tc>
          <w:tcPr>
            <w:tcW w:w="8771" w:type="dxa"/>
            <w:tcBorders>
              <w:top w:val="nil"/>
              <w:left w:val="nil"/>
              <w:bottom w:val="nil"/>
              <w:right w:val="nil"/>
            </w:tcBorders>
            <w:shd w:val="clear" w:color="auto" w:fill="auto"/>
          </w:tcPr>
          <w:p w:rsidR="00122D6F" w:rsidRPr="00DB441E" w:rsidRDefault="00122D6F" w:rsidP="0098466A">
            <w:pPr>
              <w:pStyle w:val="Note"/>
              <w:rPr>
                <w:u w:val="dotted"/>
              </w:rPr>
            </w:pPr>
            <w:r>
              <w:rPr>
                <w:rStyle w:val="NoteLabel"/>
              </w:rPr>
              <w:t>a</w:t>
            </w:r>
            <w:r>
              <w:t xml:space="preserve"> </w:t>
            </w:r>
            <w:r w:rsidR="00FE10AC">
              <w:t xml:space="preserve">See box </w:t>
            </w:r>
            <w:proofErr w:type="spellStart"/>
            <w:r w:rsidR="00FE10AC">
              <w:t>B.5</w:t>
            </w:r>
            <w:proofErr w:type="spellEnd"/>
            <w:r w:rsidR="00B75566">
              <w:t xml:space="preserve"> and table </w:t>
            </w:r>
            <w:proofErr w:type="spellStart"/>
            <w:r w:rsidR="00B75566">
              <w:t>BA.21</w:t>
            </w:r>
            <w:proofErr w:type="spellEnd"/>
            <w:r w:rsidR="00B75566" w:rsidRPr="001B3DAD">
              <w:t xml:space="preserve"> for </w:t>
            </w:r>
            <w:r w:rsidR="00A96B11">
              <w:t>detailed definitions, footnotes and caveats.</w:t>
            </w:r>
          </w:p>
        </w:tc>
      </w:tr>
      <w:tr w:rsidR="00122D6F" w:rsidRPr="00176D3F" w:rsidTr="007F3216">
        <w:tc>
          <w:tcPr>
            <w:tcW w:w="8771" w:type="dxa"/>
            <w:tcBorders>
              <w:top w:val="nil"/>
              <w:left w:val="nil"/>
              <w:bottom w:val="nil"/>
              <w:right w:val="nil"/>
            </w:tcBorders>
            <w:shd w:val="clear" w:color="auto" w:fill="auto"/>
          </w:tcPr>
          <w:p w:rsidR="00122D6F" w:rsidRPr="00176D3F" w:rsidRDefault="00122D6F" w:rsidP="007F3216">
            <w:pPr>
              <w:pStyle w:val="Source"/>
            </w:pPr>
            <w:r>
              <w:rPr>
                <w:i/>
              </w:rPr>
              <w:t>S</w:t>
            </w:r>
            <w:r w:rsidRPr="00784A05">
              <w:rPr>
                <w:i/>
              </w:rPr>
              <w:t>ource</w:t>
            </w:r>
            <w:r w:rsidRPr="00176D3F">
              <w:t xml:space="preserve">: </w:t>
            </w:r>
            <w:r w:rsidRPr="00DB441E">
              <w:t xml:space="preserve">ABS (unpublished) </w:t>
            </w:r>
            <w:r w:rsidRPr="00FE10AC">
              <w:t>Census of Population and Housing</w:t>
            </w:r>
            <w:r w:rsidR="00B870A9">
              <w:t xml:space="preserve">, </w:t>
            </w:r>
            <w:r w:rsidR="00FE10AC">
              <w:t>2011</w:t>
            </w:r>
            <w:r w:rsidR="003E15C2">
              <w:t>; table</w:t>
            </w:r>
            <w:r w:rsidR="0094309F">
              <w:t xml:space="preserve"> </w:t>
            </w:r>
            <w:proofErr w:type="spellStart"/>
            <w:r w:rsidR="0094309F">
              <w:t>BA.21</w:t>
            </w:r>
            <w:proofErr w:type="spellEnd"/>
            <w:r w:rsidRPr="00DB441E">
              <w:t>.</w:t>
            </w:r>
          </w:p>
        </w:tc>
      </w:tr>
      <w:tr w:rsidR="00122D6F" w:rsidTr="007F3216">
        <w:tc>
          <w:tcPr>
            <w:tcW w:w="8771" w:type="dxa"/>
            <w:tcBorders>
              <w:top w:val="nil"/>
              <w:left w:val="nil"/>
              <w:bottom w:val="single" w:sz="6" w:space="0" w:color="78A22F"/>
              <w:right w:val="nil"/>
            </w:tcBorders>
            <w:shd w:val="clear" w:color="auto" w:fill="auto"/>
          </w:tcPr>
          <w:p w:rsidR="00122D6F" w:rsidRDefault="00122D6F" w:rsidP="007F3216">
            <w:pPr>
              <w:pStyle w:val="Figurespace"/>
            </w:pPr>
          </w:p>
        </w:tc>
      </w:tr>
      <w:tr w:rsidR="00122D6F" w:rsidRPr="000863A5" w:rsidTr="007F3216">
        <w:tc>
          <w:tcPr>
            <w:tcW w:w="8771" w:type="dxa"/>
            <w:tcBorders>
              <w:top w:val="single" w:sz="6" w:space="0" w:color="78A22F"/>
              <w:left w:val="nil"/>
              <w:bottom w:val="nil"/>
              <w:right w:val="nil"/>
            </w:tcBorders>
          </w:tcPr>
          <w:p w:rsidR="00122D6F" w:rsidRPr="00626D32" w:rsidRDefault="00122D6F" w:rsidP="007F3216">
            <w:pPr>
              <w:pStyle w:val="BoxSpaceBelow"/>
            </w:pPr>
          </w:p>
        </w:tc>
      </w:tr>
    </w:tbl>
    <w:p w:rsidR="004F545B" w:rsidRDefault="00122D6F" w:rsidP="00122D6F">
      <w:pPr>
        <w:pStyle w:val="BodyText"/>
      </w:pPr>
      <w:r w:rsidRPr="00D91E31">
        <w:t xml:space="preserve">Additional data on school leaver participation in education and training and/or employment by </w:t>
      </w:r>
      <w:r w:rsidR="0094309F" w:rsidRPr="00D91E31">
        <w:t xml:space="preserve">SES are presented in table </w:t>
      </w:r>
      <w:proofErr w:type="spellStart"/>
      <w:r w:rsidR="0094309F" w:rsidRPr="00D91E31">
        <w:t>BA.22</w:t>
      </w:r>
      <w:proofErr w:type="spellEnd"/>
      <w:r w:rsidRPr="00D91E31">
        <w:t xml:space="preserve"> (</w:t>
      </w:r>
      <w:r w:rsidR="004F545B">
        <w:t>s</w:t>
      </w:r>
      <w:r w:rsidRPr="00D91E31">
        <w:t xml:space="preserve">urvey </w:t>
      </w:r>
      <w:r w:rsidR="0094309F" w:rsidRPr="00D91E31">
        <w:t xml:space="preserve">data) and </w:t>
      </w:r>
      <w:proofErr w:type="spellStart"/>
      <w:r w:rsidR="0094309F" w:rsidRPr="00D91E31">
        <w:t>BA.23</w:t>
      </w:r>
      <w:proofErr w:type="spellEnd"/>
      <w:r w:rsidRPr="00D91E31">
        <w:t xml:space="preserve"> (Census data).</w:t>
      </w:r>
    </w:p>
    <w:p w:rsidR="004F545B" w:rsidRPr="00D91E31" w:rsidRDefault="004F545B" w:rsidP="001D2ECF">
      <w:pPr>
        <w:pStyle w:val="Heading5"/>
      </w:pPr>
      <w:r>
        <w:t>Participation in higher education by selected groups</w:t>
      </w:r>
    </w:p>
    <w:p w:rsidR="004F545B" w:rsidRPr="001D2ECF" w:rsidRDefault="00030228" w:rsidP="004F545B">
      <w:pPr>
        <w:pStyle w:val="BodyText"/>
      </w:pPr>
      <w:r w:rsidRPr="007D6AF9">
        <w:t>In higher education, there is an under</w:t>
      </w:r>
      <w:r w:rsidR="000117A0">
        <w:noBreakHyphen/>
      </w:r>
      <w:r w:rsidRPr="007D6AF9">
        <w:t xml:space="preserve">representation </w:t>
      </w:r>
      <w:r w:rsidR="00EC573C" w:rsidRPr="007D6AF9">
        <w:t xml:space="preserve">of </w:t>
      </w:r>
      <w:r w:rsidRPr="007D6AF9">
        <w:t xml:space="preserve">people from regional </w:t>
      </w:r>
      <w:r w:rsidR="007D6AF9" w:rsidRPr="007D6AF9">
        <w:t xml:space="preserve">and remote </w:t>
      </w:r>
      <w:r w:rsidRPr="007D6AF9">
        <w:t xml:space="preserve">areas of Australia, people with disability, </w:t>
      </w:r>
      <w:r w:rsidR="00384B5D" w:rsidRPr="007D6AF9">
        <w:t>Aboriginal and Torres Strait Islander</w:t>
      </w:r>
      <w:r w:rsidR="0025369F" w:rsidRPr="007D6AF9">
        <w:t xml:space="preserve"> </w:t>
      </w:r>
      <w:r w:rsidR="007D6AF9" w:rsidRPr="007D6AF9">
        <w:t>people</w:t>
      </w:r>
      <w:r w:rsidR="00EC573C" w:rsidRPr="007D6AF9">
        <w:t xml:space="preserve">, </w:t>
      </w:r>
      <w:r w:rsidR="007D6AF9" w:rsidRPr="007D6AF9">
        <w:t xml:space="preserve">and people from low </w:t>
      </w:r>
      <w:r w:rsidR="004F545B">
        <w:t>SES</w:t>
      </w:r>
      <w:r w:rsidR="004F545B" w:rsidRPr="007D6AF9">
        <w:t xml:space="preserve"> </w:t>
      </w:r>
      <w:r w:rsidR="007D6AF9" w:rsidRPr="007D6AF9">
        <w:t xml:space="preserve">backgrounds, </w:t>
      </w:r>
      <w:r w:rsidR="00EC573C" w:rsidRPr="007D6AF9">
        <w:t xml:space="preserve">compared </w:t>
      </w:r>
      <w:r w:rsidR="000A7208" w:rsidRPr="007D6AF9">
        <w:t>with</w:t>
      </w:r>
      <w:r w:rsidR="00EC573C" w:rsidRPr="007D6AF9">
        <w:t xml:space="preserve"> their representation in the community</w:t>
      </w:r>
      <w:r w:rsidRPr="007D6AF9">
        <w:t xml:space="preserve"> (figure </w:t>
      </w:r>
      <w:proofErr w:type="spellStart"/>
      <w:r w:rsidR="00CA426B" w:rsidRPr="007D6AF9">
        <w:t>B.1</w:t>
      </w:r>
      <w:r w:rsidR="001D2ECF">
        <w:t>1</w:t>
      </w:r>
      <w:proofErr w:type="spellEnd"/>
      <w:r w:rsidRPr="007D6AF9">
        <w:t>).</w:t>
      </w:r>
    </w:p>
    <w:p w:rsidR="00DB441E" w:rsidRDefault="00DB441E"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41E" w:rsidTr="006A0AD9">
        <w:tc>
          <w:tcPr>
            <w:tcW w:w="8771" w:type="dxa"/>
            <w:tcBorders>
              <w:top w:val="single" w:sz="6" w:space="0" w:color="78A22F"/>
              <w:left w:val="nil"/>
              <w:bottom w:val="nil"/>
              <w:right w:val="nil"/>
            </w:tcBorders>
            <w:shd w:val="clear" w:color="auto" w:fill="auto"/>
          </w:tcPr>
          <w:p w:rsidR="00DB441E" w:rsidRPr="00176D3F" w:rsidRDefault="00DB441E" w:rsidP="004F545B">
            <w:pPr>
              <w:pStyle w:val="FigureTitle"/>
            </w:pPr>
            <w:r w:rsidRPr="00784A05">
              <w:rPr>
                <w:b w:val="0"/>
              </w:rPr>
              <w:t xml:space="preserve">Figure </w:t>
            </w:r>
            <w:proofErr w:type="spellStart"/>
            <w:r>
              <w:rPr>
                <w:b w:val="0"/>
              </w:rPr>
              <w:t>B.</w:t>
            </w:r>
            <w:r w:rsidR="00501FB3">
              <w:rPr>
                <w:b w:val="0"/>
                <w:noProof/>
              </w:rPr>
              <w:t>11</w:t>
            </w:r>
            <w:proofErr w:type="spellEnd"/>
            <w:r>
              <w:tab/>
            </w:r>
            <w:r w:rsidRPr="00DB441E">
              <w:t xml:space="preserve">Participation in higher education by selected groups, compared with their representation in the community, </w:t>
            </w:r>
            <w:r w:rsidR="00122D6F">
              <w:t>2014</w:t>
            </w:r>
            <w:r w:rsidR="005B3731">
              <w:rPr>
                <w:rStyle w:val="NoteLabel"/>
                <w:b/>
              </w:rPr>
              <w:t>a</w:t>
            </w:r>
          </w:p>
        </w:tc>
      </w:tr>
      <w:tr w:rsidR="00DB441E"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B441E" w:rsidTr="006A0AD9">
              <w:trPr>
                <w:jc w:val="center"/>
              </w:trPr>
              <w:tc>
                <w:tcPr>
                  <w:tcW w:w="5000" w:type="pct"/>
                  <w:tcBorders>
                    <w:top w:val="nil"/>
                    <w:bottom w:val="nil"/>
                  </w:tcBorders>
                </w:tcPr>
                <w:p w:rsidR="00DB441E" w:rsidRDefault="00F545D4" w:rsidP="006A0AD9">
                  <w:pPr>
                    <w:pStyle w:val="Figure"/>
                    <w:spacing w:before="60" w:after="60"/>
                  </w:pPr>
                  <w:r>
                    <w:rPr>
                      <w:noProof/>
                    </w:rPr>
                    <w:drawing>
                      <wp:inline distT="0" distB="0" distL="0" distR="0">
                        <wp:extent cx="5391150" cy="2683510"/>
                        <wp:effectExtent l="0" t="0" r="0" b="2540"/>
                        <wp:docPr id="16" name="Picture 16" descr="Figure B.11 Participation in higher education by selected groups, compared with their representation in the community, 2014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DB441E" w:rsidRDefault="00DB441E" w:rsidP="006A0AD9">
            <w:pPr>
              <w:pStyle w:val="Figure"/>
            </w:pP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5B3731">
            <w:pPr>
              <w:pStyle w:val="Note"/>
            </w:pPr>
            <w:r>
              <w:rPr>
                <w:rStyle w:val="NoteLabel"/>
              </w:rPr>
              <w:t>a</w:t>
            </w:r>
            <w:r>
              <w:t xml:space="preserve"> </w:t>
            </w:r>
            <w:r w:rsidR="00FE10AC">
              <w:t xml:space="preserve">See box </w:t>
            </w:r>
            <w:proofErr w:type="spellStart"/>
            <w:r w:rsidR="00FE10AC">
              <w:t>B.5</w:t>
            </w:r>
            <w:proofErr w:type="spellEnd"/>
            <w:r w:rsidR="00B75566">
              <w:t xml:space="preserve"> and table </w:t>
            </w:r>
            <w:proofErr w:type="spellStart"/>
            <w:r w:rsidR="00B75566">
              <w:t>BA.24</w:t>
            </w:r>
            <w:proofErr w:type="spellEnd"/>
            <w:r w:rsidR="00B75566" w:rsidRPr="001B3DAD">
              <w:t xml:space="preserve"> for </w:t>
            </w:r>
            <w:r w:rsidR="00A96B11">
              <w:t>detailed definitions, footnotes and caveats.</w:t>
            </w: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5B3731">
            <w:pPr>
              <w:pStyle w:val="Source"/>
            </w:pPr>
            <w:r>
              <w:rPr>
                <w:i/>
              </w:rPr>
              <w:t>S</w:t>
            </w:r>
            <w:r w:rsidRPr="00784A05">
              <w:rPr>
                <w:i/>
              </w:rPr>
              <w:t>ource</w:t>
            </w:r>
            <w:r w:rsidRPr="00176D3F">
              <w:t xml:space="preserve">: </w:t>
            </w:r>
            <w:r w:rsidR="00D4035E">
              <w:t xml:space="preserve">Australian Government Department of Education </w:t>
            </w:r>
            <w:r w:rsidR="00122D6F">
              <w:t>and Training (2015</w:t>
            </w:r>
            <w:r w:rsidR="00D4035E" w:rsidRPr="00D4035E">
              <w:t>)</w:t>
            </w:r>
            <w:r w:rsidR="00D4035E" w:rsidRPr="00D4035E">
              <w:rPr>
                <w:i/>
              </w:rPr>
              <w:t xml:space="preserve"> Higher Educa</w:t>
            </w:r>
            <w:r w:rsidR="00122D6F">
              <w:rPr>
                <w:i/>
              </w:rPr>
              <w:t>tion Statistics Collection, 2014</w:t>
            </w:r>
            <w:r w:rsidR="00D4035E" w:rsidRPr="00D4035E">
              <w:rPr>
                <w:i/>
              </w:rPr>
              <w:t xml:space="preserve"> Student data</w:t>
            </w:r>
            <w:r w:rsidR="00751CB0">
              <w:t xml:space="preserve">; ABS (2013) </w:t>
            </w:r>
            <w:r w:rsidR="00751CB0">
              <w:rPr>
                <w:i/>
              </w:rPr>
              <w:t xml:space="preserve">Disability, Ageing and Carers, Australia, 2012, </w:t>
            </w:r>
            <w:r w:rsidR="00122D6F">
              <w:t>Cat. no 4430.0; ABS (2015</w:t>
            </w:r>
            <w:r w:rsidR="00751CB0">
              <w:t>)</w:t>
            </w:r>
            <w:r w:rsidRPr="00DB441E">
              <w:t xml:space="preserve"> </w:t>
            </w:r>
            <w:r w:rsidRPr="00DB441E">
              <w:rPr>
                <w:i/>
              </w:rPr>
              <w:t>Regional Popu</w:t>
            </w:r>
            <w:r w:rsidR="00751CB0">
              <w:rPr>
                <w:i/>
              </w:rPr>
              <w:t>lation Growth, Australia, 201</w:t>
            </w:r>
            <w:r w:rsidR="00122D6F">
              <w:rPr>
                <w:i/>
              </w:rPr>
              <w:t>3</w:t>
            </w:r>
            <w:r w:rsidR="00122D6F">
              <w:rPr>
                <w:i/>
              </w:rPr>
              <w:noBreakHyphen/>
              <w:t>14</w:t>
            </w:r>
            <w:r w:rsidR="00122D6F">
              <w:t>, Cat. no. 3218.0; ABS (2014</w:t>
            </w:r>
            <w:r w:rsidR="00751CB0">
              <w:t>)</w:t>
            </w:r>
            <w:r w:rsidRPr="00DB441E">
              <w:t xml:space="preserve"> </w:t>
            </w:r>
            <w:r w:rsidRPr="00DB441E">
              <w:rPr>
                <w:i/>
              </w:rPr>
              <w:t>Australian De</w:t>
            </w:r>
            <w:r w:rsidR="00122D6F">
              <w:rPr>
                <w:i/>
              </w:rPr>
              <w:t>mographic Statistics, Jun 2014</w:t>
            </w:r>
            <w:r w:rsidRPr="00DB441E">
              <w:rPr>
                <w:i/>
              </w:rPr>
              <w:t>,</w:t>
            </w:r>
            <w:r w:rsidRPr="00DB441E">
              <w:t xml:space="preserve"> Cat. no. 3101.0</w:t>
            </w:r>
            <w:r w:rsidR="00626A6D">
              <w:t xml:space="preserve">; </w:t>
            </w:r>
            <w:r w:rsidR="00992DCA">
              <w:t xml:space="preserve">ABS </w:t>
            </w:r>
            <w:r w:rsidR="00626A6D" w:rsidRPr="00626A6D">
              <w:t xml:space="preserve">(2014) </w:t>
            </w:r>
            <w:r w:rsidR="00626A6D" w:rsidRPr="00EB4127">
              <w:rPr>
                <w:i/>
              </w:rPr>
              <w:t xml:space="preserve">Estimates and Projections, Aboriginal and Torres Strait Islander Australians, 2011 to 2026, </w:t>
            </w:r>
            <w:r w:rsidR="00DD7315">
              <w:t>Cat. no. 3238.0</w:t>
            </w:r>
            <w:r w:rsidR="00626A6D" w:rsidRPr="00626A6D">
              <w:t>;</w:t>
            </w:r>
            <w:r w:rsidRPr="00DB441E">
              <w:t xml:space="preserve"> table</w:t>
            </w:r>
            <w:r w:rsidR="005B3731">
              <w:t xml:space="preserve"> </w:t>
            </w:r>
            <w:proofErr w:type="spellStart"/>
            <w:r w:rsidR="0094309F">
              <w:t>BA.24</w:t>
            </w:r>
            <w:proofErr w:type="spellEnd"/>
            <w:r w:rsidRPr="00DB441E">
              <w:t>.</w:t>
            </w:r>
          </w:p>
        </w:tc>
      </w:tr>
      <w:tr w:rsidR="00DB441E" w:rsidTr="006A0AD9">
        <w:tc>
          <w:tcPr>
            <w:tcW w:w="8771" w:type="dxa"/>
            <w:tcBorders>
              <w:top w:val="nil"/>
              <w:left w:val="nil"/>
              <w:bottom w:val="single" w:sz="6" w:space="0" w:color="78A22F"/>
              <w:right w:val="nil"/>
            </w:tcBorders>
            <w:shd w:val="clear" w:color="auto" w:fill="auto"/>
          </w:tcPr>
          <w:p w:rsidR="00DB441E" w:rsidRDefault="00DB441E" w:rsidP="006A0AD9">
            <w:pPr>
              <w:pStyle w:val="Figurespace"/>
            </w:pPr>
          </w:p>
        </w:tc>
      </w:tr>
      <w:tr w:rsidR="00DB441E" w:rsidRPr="000863A5" w:rsidTr="006A0AD9">
        <w:tc>
          <w:tcPr>
            <w:tcW w:w="8771" w:type="dxa"/>
            <w:tcBorders>
              <w:top w:val="single" w:sz="6" w:space="0" w:color="78A22F"/>
              <w:left w:val="nil"/>
              <w:bottom w:val="nil"/>
              <w:right w:val="nil"/>
            </w:tcBorders>
          </w:tcPr>
          <w:p w:rsidR="00DB441E" w:rsidRPr="00626D32" w:rsidRDefault="00DB441E" w:rsidP="006A0AD9">
            <w:pPr>
              <w:pStyle w:val="BoxSpaceBelow"/>
            </w:pPr>
          </w:p>
        </w:tc>
      </w:tr>
    </w:tbl>
    <w:p w:rsidR="00207ABE" w:rsidRDefault="00207ABE" w:rsidP="00B10673">
      <w:pPr>
        <w:pStyle w:val="Heading4"/>
        <w:keepNext w:val="0"/>
        <w:widowControl w:val="0"/>
      </w:pPr>
      <w:r w:rsidRPr="00FF6A19">
        <w:t>Attainment</w:t>
      </w:r>
    </w:p>
    <w:p w:rsidR="00207ABE" w:rsidRDefault="00207ABE" w:rsidP="00B10673">
      <w:pPr>
        <w:pStyle w:val="BodyText"/>
        <w:widowControl w:val="0"/>
      </w:pPr>
      <w:r>
        <w:t>‘Attainment’ is a</w:t>
      </w:r>
      <w:r w:rsidR="00A871B3">
        <w:t>n</w:t>
      </w:r>
      <w:r>
        <w:t xml:space="preserve"> indicator o</w:t>
      </w:r>
      <w:r w:rsidR="00AC6F00">
        <w:t>f</w:t>
      </w:r>
      <w:r>
        <w:t xml:space="preserve"> governments</w:t>
      </w:r>
      <w:r w:rsidR="00540202">
        <w:t>’ objective</w:t>
      </w:r>
      <w:r w:rsidR="00AC6F00">
        <w:t xml:space="preserve"> for people to possess adequate skills to enable them to contribute to society and the </w:t>
      </w:r>
      <w:r w:rsidR="00AC6F00" w:rsidRPr="00D5691A">
        <w:t xml:space="preserve">economy </w:t>
      </w:r>
      <w:r w:rsidR="00540202" w:rsidRPr="00D5691A">
        <w:t>(b</w:t>
      </w:r>
      <w:r w:rsidRPr="00D5691A">
        <w:t xml:space="preserve">ox </w:t>
      </w:r>
      <w:proofErr w:type="spellStart"/>
      <w:r w:rsidR="00FE10AC">
        <w:t>B.6</w:t>
      </w:r>
      <w:proofErr w:type="spellEnd"/>
      <w:r w:rsidRPr="00D5691A">
        <w:t>)</w:t>
      </w:r>
      <w:r w:rsidR="00AC6F00" w:rsidRPr="00D5691A">
        <w:t>.</w:t>
      </w:r>
      <w:r w:rsidR="00DC0D68">
        <w:t xml:space="preserve"> </w:t>
      </w:r>
      <w:r w:rsidR="00DC0D68" w:rsidRPr="00DC0D68">
        <w:t>An important objective of the education and training system is to add to the skill base of the population, with the benefits of improving employment, worker productivity and economic growth.</w:t>
      </w:r>
    </w:p>
    <w:p w:rsidR="00A429DE" w:rsidRDefault="00A429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DE" w:rsidTr="00A429DE">
        <w:tc>
          <w:tcPr>
            <w:tcW w:w="8771" w:type="dxa"/>
            <w:tcBorders>
              <w:top w:val="single" w:sz="6" w:space="0" w:color="78A22F"/>
              <w:left w:val="nil"/>
              <w:bottom w:val="nil"/>
              <w:right w:val="nil"/>
            </w:tcBorders>
            <w:shd w:val="clear" w:color="auto" w:fill="F2F2F2"/>
          </w:tcPr>
          <w:p w:rsidR="00A429DE" w:rsidRDefault="00A429DE" w:rsidP="0057797F">
            <w:pPr>
              <w:pStyle w:val="BoxTitle"/>
            </w:pPr>
            <w:r>
              <w:rPr>
                <w:b w:val="0"/>
              </w:rPr>
              <w:t xml:space="preserve">Box </w:t>
            </w:r>
            <w:proofErr w:type="spellStart"/>
            <w:r>
              <w:rPr>
                <w:b w:val="0"/>
              </w:rPr>
              <w:t>B.</w:t>
            </w:r>
            <w:r w:rsidR="00FE10AC">
              <w:rPr>
                <w:b w:val="0"/>
              </w:rPr>
              <w:t>6</w:t>
            </w:r>
            <w:proofErr w:type="spellEnd"/>
            <w:r>
              <w:tab/>
              <w:t>Attainment</w:t>
            </w:r>
          </w:p>
        </w:tc>
      </w:tr>
      <w:tr w:rsidR="00A429DE" w:rsidTr="00A429DE">
        <w:trPr>
          <w:cantSplit/>
        </w:trPr>
        <w:tc>
          <w:tcPr>
            <w:tcW w:w="8771" w:type="dxa"/>
            <w:tcBorders>
              <w:top w:val="nil"/>
              <w:left w:val="nil"/>
              <w:bottom w:val="nil"/>
              <w:right w:val="nil"/>
            </w:tcBorders>
            <w:shd w:val="clear" w:color="auto" w:fill="F2F2F2"/>
          </w:tcPr>
          <w:p w:rsidR="00A429DE" w:rsidRPr="001F2D7B" w:rsidRDefault="00B55FB8" w:rsidP="00A429DE">
            <w:pPr>
              <w:pStyle w:val="Box"/>
              <w:keepNext w:val="0"/>
              <w:widowControl w:val="0"/>
            </w:pPr>
            <w:r>
              <w:t>‘</w:t>
            </w:r>
            <w:r w:rsidR="00A429DE" w:rsidRPr="001F2D7B">
              <w:t>Attainment</w:t>
            </w:r>
            <w:r w:rsidR="00C4309C">
              <w:t>’</w:t>
            </w:r>
            <w:r w:rsidR="00A429DE" w:rsidRPr="001F2D7B">
              <w:t xml:space="preserve"> is defined by </w:t>
            </w:r>
            <w:r w:rsidR="008E5154">
              <w:t>six</w:t>
            </w:r>
            <w:r w:rsidR="0051558E">
              <w:t xml:space="preserve"> </w:t>
            </w:r>
            <w:r w:rsidR="00A429DE" w:rsidRPr="001F2D7B">
              <w:t>measures:</w:t>
            </w:r>
          </w:p>
          <w:p w:rsidR="00A429DE" w:rsidRPr="0051558E" w:rsidRDefault="00A429DE" w:rsidP="00A429DE">
            <w:pPr>
              <w:pStyle w:val="BoxListBullet"/>
              <w:keepNext w:val="0"/>
              <w:widowControl w:val="0"/>
              <w:rPr>
                <w:b/>
              </w:rPr>
            </w:pPr>
            <w:r w:rsidRPr="001F2D7B">
              <w:t xml:space="preserve">Level of highest </w:t>
            </w:r>
            <w:r w:rsidR="002A5891">
              <w:t>non</w:t>
            </w:r>
            <w:r w:rsidR="000117A0">
              <w:noBreakHyphen/>
            </w:r>
            <w:r w:rsidR="002A5891">
              <w:t xml:space="preserve">school </w:t>
            </w:r>
            <w:r w:rsidR="00043FF3">
              <w:t>qualification completed</w:t>
            </w:r>
            <w:r w:rsidR="00DC0D68">
              <w:t>,</w:t>
            </w:r>
            <w:r w:rsidR="00043FF3">
              <w:t xml:space="preserve"> is </w:t>
            </w:r>
            <w:r w:rsidRPr="001F2D7B">
              <w:t xml:space="preserve">defined as the </w:t>
            </w:r>
            <w:r w:rsidR="00637CA4">
              <w:t xml:space="preserve">proportion of </w:t>
            </w:r>
            <w:r w:rsidR="00637CA4" w:rsidRPr="001F2D7B">
              <w:t xml:space="preserve">15–64 </w:t>
            </w:r>
            <w:r w:rsidR="002A5891">
              <w:t>year olds with a</w:t>
            </w:r>
            <w:r w:rsidRPr="001F2D7B">
              <w:t xml:space="preserve"> </w:t>
            </w:r>
            <w:r w:rsidR="002A5891">
              <w:t>non</w:t>
            </w:r>
            <w:r w:rsidR="002A5891">
              <w:noBreakHyphen/>
              <w:t>school qualification</w:t>
            </w:r>
            <w:r w:rsidR="00C4309C">
              <w:t>,</w:t>
            </w:r>
            <w:r w:rsidR="002A5891">
              <w:t xml:space="preserve"> by level of highest non</w:t>
            </w:r>
            <w:r w:rsidR="000117A0">
              <w:noBreakHyphen/>
            </w:r>
            <w:r w:rsidR="002A5891">
              <w:t>school qualification</w:t>
            </w:r>
          </w:p>
          <w:p w:rsidR="0051558E" w:rsidRPr="00FF3C0A" w:rsidRDefault="0051558E" w:rsidP="00A429DE">
            <w:pPr>
              <w:pStyle w:val="BoxListBullet"/>
              <w:keepNext w:val="0"/>
              <w:widowControl w:val="0"/>
              <w:rPr>
                <w:b/>
              </w:rPr>
            </w:pPr>
            <w:r w:rsidRPr="00FF3C0A">
              <w:t>Population with or working towards a non-school qualification</w:t>
            </w:r>
            <w:r w:rsidR="00DC0D68">
              <w:t>,</w:t>
            </w:r>
            <w:r w:rsidRPr="00FF3C0A">
              <w:t xml:space="preserve"> is defined as the proportion of 20–64 year olds with or working towards a non-school qualification</w:t>
            </w:r>
            <w:r w:rsidR="00D94B47" w:rsidRPr="00FF3C0A">
              <w:t>.</w:t>
            </w:r>
            <w:r w:rsidR="00DF2099">
              <w:t xml:space="preserve"> [</w:t>
            </w:r>
            <w:r w:rsidR="00DF2099" w:rsidRPr="000E0C6A">
              <w:rPr>
                <w:i/>
              </w:rPr>
              <w:t xml:space="preserve">This aligns </w:t>
            </w:r>
            <w:r w:rsidR="00165FFC" w:rsidRPr="000E0C6A">
              <w:rPr>
                <w:i/>
              </w:rPr>
              <w:t xml:space="preserve">with an indicator in the </w:t>
            </w:r>
            <w:proofErr w:type="spellStart"/>
            <w:r w:rsidR="00165FFC" w:rsidRPr="000E0C6A">
              <w:rPr>
                <w:i/>
              </w:rPr>
              <w:t>NASWD</w:t>
            </w:r>
            <w:proofErr w:type="spellEnd"/>
            <w:r w:rsidR="00165FFC">
              <w:t>]</w:t>
            </w:r>
          </w:p>
          <w:p w:rsidR="00A429DE" w:rsidRPr="000F7D43" w:rsidRDefault="00A429DE" w:rsidP="00A429DE">
            <w:pPr>
              <w:pStyle w:val="BoxListBullet"/>
              <w:keepNext w:val="0"/>
              <w:widowControl w:val="0"/>
            </w:pPr>
            <w:r w:rsidRPr="000F7D43">
              <w:t xml:space="preserve">Completion of year 12 </w:t>
            </w:r>
            <w:r w:rsidR="00043FF3" w:rsidRPr="000F7D43">
              <w:t>(</w:t>
            </w:r>
            <w:r w:rsidRPr="000F7D43">
              <w:t>or equivalent</w:t>
            </w:r>
            <w:r w:rsidR="00043FF3" w:rsidRPr="000F7D43">
              <w:t>)</w:t>
            </w:r>
            <w:r w:rsidRPr="000F7D43">
              <w:t xml:space="preserve"> or </w:t>
            </w:r>
            <w:r w:rsidR="008E5154" w:rsidRPr="000F7D43">
              <w:t xml:space="preserve">Certificate </w:t>
            </w:r>
            <w:r w:rsidR="00043FF3" w:rsidRPr="000F7D43">
              <w:t xml:space="preserve">II </w:t>
            </w:r>
            <w:r w:rsidR="008E5154" w:rsidRPr="000F7D43">
              <w:t xml:space="preserve">level </w:t>
            </w:r>
            <w:r w:rsidR="00043FF3" w:rsidRPr="000F7D43">
              <w:t>or above</w:t>
            </w:r>
            <w:r w:rsidR="00DC0D68">
              <w:t>,</w:t>
            </w:r>
            <w:r w:rsidR="00043FF3" w:rsidRPr="000F7D43">
              <w:t xml:space="preserve"> is defined as the proportion of 20–24 and 20–64 year olds who have completed </w:t>
            </w:r>
            <w:r w:rsidRPr="000F7D43">
              <w:t xml:space="preserve">year 12 </w:t>
            </w:r>
            <w:r w:rsidR="00043FF3" w:rsidRPr="000F7D43">
              <w:t>(</w:t>
            </w:r>
            <w:r w:rsidRPr="000F7D43">
              <w:t>or equivalent</w:t>
            </w:r>
            <w:r w:rsidR="00043FF3" w:rsidRPr="000F7D43">
              <w:t>)</w:t>
            </w:r>
            <w:r w:rsidRPr="000F7D43">
              <w:t xml:space="preserve"> or Certificate II </w:t>
            </w:r>
            <w:r w:rsidR="008E5154" w:rsidRPr="000F7D43">
              <w:t xml:space="preserve">level </w:t>
            </w:r>
            <w:r w:rsidRPr="000F7D43">
              <w:t>or above</w:t>
            </w:r>
            <w:r w:rsidR="004A7E41" w:rsidRPr="000F7D43">
              <w:t xml:space="preserve">. This is also </w:t>
            </w:r>
            <w:r w:rsidR="00DC0D68">
              <w:t>reported</w:t>
            </w:r>
            <w:r w:rsidR="00DC0D68" w:rsidRPr="000F7D43">
              <w:t xml:space="preserve"> </w:t>
            </w:r>
            <w:r w:rsidR="004A7E41" w:rsidRPr="000F7D43">
              <w:t>b</w:t>
            </w:r>
            <w:r w:rsidR="00E828C5" w:rsidRPr="000F7D43">
              <w:t>y Indigenous status</w:t>
            </w:r>
            <w:r w:rsidR="00116D2D" w:rsidRPr="000F7D43">
              <w:t xml:space="preserve"> for 20–24 year olds</w:t>
            </w:r>
            <w:r w:rsidR="00141EEC" w:rsidRPr="000F7D43">
              <w:t>.</w:t>
            </w:r>
            <w:r w:rsidR="000F7D43">
              <w:t xml:space="preserve"> [</w:t>
            </w:r>
            <w:r w:rsidR="000F7D43" w:rsidRPr="000E0C6A">
              <w:rPr>
                <w:i/>
              </w:rPr>
              <w:t xml:space="preserve">This aligns with an indicator </w:t>
            </w:r>
            <w:r w:rsidR="00165FFC" w:rsidRPr="000E0C6A">
              <w:rPr>
                <w:i/>
              </w:rPr>
              <w:t>for 20–24 year olds in the NEA</w:t>
            </w:r>
            <w:r w:rsidR="00165FFC">
              <w:t>]</w:t>
            </w:r>
          </w:p>
          <w:p w:rsidR="00A429DE" w:rsidRPr="00975E4C" w:rsidRDefault="00A429DE" w:rsidP="00A429DE">
            <w:pPr>
              <w:pStyle w:val="BoxListBullet"/>
              <w:keepNext w:val="0"/>
              <w:widowControl w:val="0"/>
              <w:rPr>
                <w:b/>
              </w:rPr>
            </w:pPr>
            <w:r w:rsidRPr="00975E4C">
              <w:t xml:space="preserve">Completion of year 12 </w:t>
            </w:r>
            <w:r w:rsidR="00296B35" w:rsidRPr="00975E4C">
              <w:t>(</w:t>
            </w:r>
            <w:r w:rsidRPr="00975E4C">
              <w:t>or equivalent</w:t>
            </w:r>
            <w:r w:rsidR="00296B35" w:rsidRPr="00975E4C">
              <w:t>)</w:t>
            </w:r>
            <w:r w:rsidR="00043FF3" w:rsidRPr="00975E4C">
              <w:t xml:space="preserve"> or Certificate III </w:t>
            </w:r>
            <w:r w:rsidR="008E5154" w:rsidRPr="00975E4C">
              <w:t xml:space="preserve">level </w:t>
            </w:r>
            <w:r w:rsidR="00043FF3" w:rsidRPr="00975E4C">
              <w:t>or above</w:t>
            </w:r>
            <w:r w:rsidR="00DC0D68">
              <w:t>,</w:t>
            </w:r>
            <w:r w:rsidR="00043FF3" w:rsidRPr="00975E4C">
              <w:t xml:space="preserve"> is </w:t>
            </w:r>
            <w:r w:rsidR="004A7E41" w:rsidRPr="00975E4C">
              <w:t xml:space="preserve">defined as the proportion of 20–24 year olds </w:t>
            </w:r>
            <w:r w:rsidR="001C526C" w:rsidRPr="00975E4C">
              <w:t>who have completed</w:t>
            </w:r>
            <w:r w:rsidRPr="00975E4C">
              <w:t xml:space="preserve"> year 12 </w:t>
            </w:r>
            <w:r w:rsidR="00296B35" w:rsidRPr="00975E4C">
              <w:t>(</w:t>
            </w:r>
            <w:r w:rsidRPr="00975E4C">
              <w:t>or equivalent</w:t>
            </w:r>
            <w:r w:rsidR="00296B35" w:rsidRPr="00975E4C">
              <w:t>)</w:t>
            </w:r>
            <w:r w:rsidR="005071A1" w:rsidRPr="00975E4C">
              <w:t xml:space="preserve"> or</w:t>
            </w:r>
            <w:r w:rsidR="008E5154" w:rsidRPr="00975E4C">
              <w:t xml:space="preserve"> Certificate </w:t>
            </w:r>
            <w:r w:rsidRPr="00975E4C">
              <w:t xml:space="preserve">III </w:t>
            </w:r>
            <w:r w:rsidR="008E5154" w:rsidRPr="00975E4C">
              <w:t xml:space="preserve">level </w:t>
            </w:r>
            <w:r w:rsidRPr="00975E4C">
              <w:t>or above.</w:t>
            </w:r>
            <w:r w:rsidR="00116D2D" w:rsidRPr="00975E4C">
              <w:t xml:space="preserve"> This is als</w:t>
            </w:r>
            <w:r w:rsidR="004A4FFF" w:rsidRPr="00975E4C">
              <w:t xml:space="preserve">o </w:t>
            </w:r>
            <w:r w:rsidR="00DC0D68">
              <w:t xml:space="preserve">reported </w:t>
            </w:r>
            <w:r w:rsidR="004A4FFF" w:rsidRPr="00975E4C">
              <w:t>by Indigenous status.</w:t>
            </w:r>
            <w:r w:rsidR="00975E4C">
              <w:t xml:space="preserve"> [</w:t>
            </w:r>
            <w:r w:rsidR="00975E4C" w:rsidRPr="000E0C6A">
              <w:rPr>
                <w:i/>
              </w:rPr>
              <w:t>This align</w:t>
            </w:r>
            <w:r w:rsidR="00165FFC" w:rsidRPr="000E0C6A">
              <w:rPr>
                <w:i/>
              </w:rPr>
              <w:t>s with an indicator in the NEA</w:t>
            </w:r>
            <w:r w:rsidR="00165FFC">
              <w:t>]</w:t>
            </w:r>
          </w:p>
          <w:p w:rsidR="00A429DE" w:rsidRPr="004A7E41" w:rsidRDefault="008E5154" w:rsidP="00A429DE">
            <w:pPr>
              <w:pStyle w:val="BoxListBullet"/>
              <w:keepNext w:val="0"/>
              <w:widowControl w:val="0"/>
              <w:rPr>
                <w:b/>
              </w:rPr>
            </w:pPr>
            <w:r>
              <w:t xml:space="preserve">Population with </w:t>
            </w:r>
            <w:r w:rsidR="00A429DE" w:rsidRPr="004A7E41">
              <w:t>qualifications at C</w:t>
            </w:r>
            <w:r w:rsidR="00043FF3" w:rsidRPr="004A7E41">
              <w:t xml:space="preserve">ertificate </w:t>
            </w:r>
            <w:r w:rsidR="009F11F3">
              <w:t xml:space="preserve">III level </w:t>
            </w:r>
            <w:r w:rsidR="00043FF3" w:rsidRPr="004A7E41">
              <w:t>or above</w:t>
            </w:r>
            <w:r w:rsidR="00DC0D68">
              <w:t>,</w:t>
            </w:r>
            <w:r w:rsidR="00043FF3" w:rsidRPr="004A7E41">
              <w:t xml:space="preserve"> is </w:t>
            </w:r>
            <w:r w:rsidR="00A429DE" w:rsidRPr="004A7E41">
              <w:t>def</w:t>
            </w:r>
            <w:r w:rsidR="00637CA4" w:rsidRPr="004A7E41">
              <w:t xml:space="preserve">ined as the proportion of 20–64 </w:t>
            </w:r>
            <w:r>
              <w:t xml:space="preserve">year </w:t>
            </w:r>
            <w:r w:rsidR="00613525">
              <w:t xml:space="preserve">olds with qualifications at </w:t>
            </w:r>
            <w:r w:rsidR="006F4376" w:rsidRPr="004A7E41">
              <w:t>Certificate III</w:t>
            </w:r>
            <w:r>
              <w:t xml:space="preserve"> level or above</w:t>
            </w:r>
            <w:r w:rsidR="004A7E41" w:rsidRPr="004A7E41">
              <w:t xml:space="preserve">. This is also </w:t>
            </w:r>
            <w:r w:rsidR="00DC0D68">
              <w:t>reported</w:t>
            </w:r>
            <w:r w:rsidR="00DC0D68" w:rsidRPr="004A7E41">
              <w:t xml:space="preserve"> </w:t>
            </w:r>
            <w:r w:rsidR="00A429DE" w:rsidRPr="004A7E41">
              <w:t>by Indigenous status.</w:t>
            </w:r>
            <w:r w:rsidR="004134CC">
              <w:t xml:space="preserve"> [</w:t>
            </w:r>
            <w:r w:rsidR="004134CC" w:rsidRPr="000E0C6A">
              <w:rPr>
                <w:i/>
              </w:rPr>
              <w:t xml:space="preserve">This aligns </w:t>
            </w:r>
            <w:r w:rsidR="00165FFC" w:rsidRPr="000E0C6A">
              <w:rPr>
                <w:i/>
              </w:rPr>
              <w:t xml:space="preserve">with an indicator in the </w:t>
            </w:r>
            <w:proofErr w:type="spellStart"/>
            <w:r w:rsidR="00165FFC" w:rsidRPr="000E0C6A">
              <w:rPr>
                <w:i/>
              </w:rPr>
              <w:t>NASWD</w:t>
            </w:r>
            <w:proofErr w:type="spellEnd"/>
            <w:r w:rsidR="00165FFC">
              <w:t>]</w:t>
            </w:r>
          </w:p>
          <w:p w:rsidR="00A429DE" w:rsidRPr="001847DB" w:rsidRDefault="00A429DE" w:rsidP="00A429DE">
            <w:pPr>
              <w:pStyle w:val="BoxListBullet"/>
              <w:keepNext w:val="0"/>
              <w:widowControl w:val="0"/>
            </w:pPr>
            <w:r w:rsidRPr="001847DB">
              <w:t xml:space="preserve">Achievement of foundation </w:t>
            </w:r>
            <w:r w:rsidR="001847DB" w:rsidRPr="001847DB">
              <w:t xml:space="preserve">skills (literacy, </w:t>
            </w:r>
            <w:r w:rsidR="00043FF3" w:rsidRPr="001847DB">
              <w:t>numeracy</w:t>
            </w:r>
            <w:r w:rsidR="00E23A97">
              <w:t xml:space="preserve"> and </w:t>
            </w:r>
            <w:r w:rsidR="00E23A97" w:rsidRPr="008D786A">
              <w:t>problem solving in technology</w:t>
            </w:r>
            <w:r w:rsidR="002C04C2" w:rsidRPr="008D786A">
              <w:noBreakHyphen/>
            </w:r>
            <w:r w:rsidR="00E23A97" w:rsidRPr="008D786A">
              <w:t>rich environments [</w:t>
            </w:r>
            <w:proofErr w:type="spellStart"/>
            <w:r w:rsidR="00E23A97" w:rsidRPr="008D786A">
              <w:t>PSTRE</w:t>
            </w:r>
            <w:proofErr w:type="spellEnd"/>
            <w:r w:rsidR="00E23A97" w:rsidRPr="008D786A">
              <w:t>]</w:t>
            </w:r>
            <w:r w:rsidR="00043FF3" w:rsidRPr="008D786A">
              <w:t>)</w:t>
            </w:r>
            <w:r w:rsidR="00DC0D68">
              <w:t>,</w:t>
            </w:r>
            <w:r w:rsidR="00043FF3" w:rsidRPr="008D786A">
              <w:t xml:space="preserve"> </w:t>
            </w:r>
            <w:r w:rsidR="00043FF3" w:rsidRPr="001847DB">
              <w:t xml:space="preserve">is </w:t>
            </w:r>
            <w:r w:rsidRPr="001847DB">
              <w:t>def</w:t>
            </w:r>
            <w:r w:rsidR="001847DB">
              <w:t xml:space="preserve">ined as the proportion of </w:t>
            </w:r>
            <w:r w:rsidR="001847DB" w:rsidRPr="004A7E41">
              <w:t>20–64 year olds</w:t>
            </w:r>
            <w:r w:rsidR="00374A53">
              <w:t xml:space="preserve"> who have achieved </w:t>
            </w:r>
            <w:r w:rsidRPr="001847DB">
              <w:t>literac</w:t>
            </w:r>
            <w:r w:rsidR="00E23A97">
              <w:t xml:space="preserve">y, numeracy and </w:t>
            </w:r>
            <w:proofErr w:type="spellStart"/>
            <w:r w:rsidR="00E23A97" w:rsidRPr="008D786A">
              <w:t>PSTRE</w:t>
            </w:r>
            <w:proofErr w:type="spellEnd"/>
            <w:r w:rsidRPr="008D786A">
              <w:t xml:space="preserve"> </w:t>
            </w:r>
            <w:r w:rsidRPr="001847DB">
              <w:t>competencies.</w:t>
            </w:r>
            <w:r w:rsidR="0030521F">
              <w:t xml:space="preserve"> [</w:t>
            </w:r>
            <w:r w:rsidR="0030521F" w:rsidRPr="000E0C6A">
              <w:rPr>
                <w:i/>
              </w:rPr>
              <w:t xml:space="preserve">This aligns with an indicator </w:t>
            </w:r>
            <w:r w:rsidR="00EB0F87" w:rsidRPr="000E0C6A">
              <w:rPr>
                <w:i/>
              </w:rPr>
              <w:t xml:space="preserve">for literacy and numeracy </w:t>
            </w:r>
            <w:r w:rsidR="00165FFC" w:rsidRPr="000E0C6A">
              <w:rPr>
                <w:i/>
              </w:rPr>
              <w:t xml:space="preserve">in the </w:t>
            </w:r>
            <w:proofErr w:type="spellStart"/>
            <w:r w:rsidR="00165FFC" w:rsidRPr="000E0C6A">
              <w:rPr>
                <w:i/>
              </w:rPr>
              <w:t>NASWD</w:t>
            </w:r>
            <w:proofErr w:type="spellEnd"/>
            <w:r w:rsidR="00165FFC">
              <w:t>].</w:t>
            </w:r>
          </w:p>
          <w:p w:rsidR="00A429DE" w:rsidRPr="001F2D7B" w:rsidRDefault="00A429DE" w:rsidP="00A429DE">
            <w:pPr>
              <w:pStyle w:val="Box"/>
              <w:keepNext w:val="0"/>
              <w:widowControl w:val="0"/>
            </w:pPr>
            <w:r w:rsidRPr="001F2D7B">
              <w:t>Educational attainment is used as a proxy indicator for the stock of skills. Holding other factors constant, a higher or increasing attainment level indicates an impr</w:t>
            </w:r>
            <w:r w:rsidR="00155D09">
              <w:t>ovement in educational outcomes, leading to additional contributions to society and the economy.</w:t>
            </w:r>
          </w:p>
          <w:p w:rsidR="00A429DE" w:rsidRDefault="00A429DE" w:rsidP="00A429DE">
            <w:pPr>
              <w:pStyle w:val="Box"/>
              <w:keepNext w:val="0"/>
              <w:widowControl w:val="0"/>
            </w:pPr>
            <w:r w:rsidRPr="001F2D7B">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165FFC" w:rsidRPr="00165FFC" w:rsidRDefault="00165FFC" w:rsidP="00165FFC">
            <w:pPr>
              <w:pStyle w:val="Box"/>
            </w:pPr>
            <w:r w:rsidRPr="00165FFC">
              <w:t>Data for these measures include the 95 per cent confidence interval</w:t>
            </w:r>
            <w:r w:rsidR="00DC0D68">
              <w:t>s</w:t>
            </w:r>
            <w:r w:rsidRPr="00165FFC">
              <w:t xml:space="preserve"> in the form of error bars in figures</w:t>
            </w:r>
            <w:r>
              <w:t xml:space="preserve"> (except data from the Census</w:t>
            </w:r>
            <w:r w:rsidR="00DC0D68">
              <w:t xml:space="preserve">, for which they are </w:t>
            </w:r>
            <w:proofErr w:type="spellStart"/>
            <w:r w:rsidR="00DC0D68">
              <w:t>are</w:t>
            </w:r>
            <w:proofErr w:type="spellEnd"/>
            <w:r w:rsidR="00DC0D68">
              <w:t xml:space="preserve"> not applicable,</w:t>
            </w:r>
            <w:r>
              <w:t xml:space="preserve"> and stacked bar figures)</w:t>
            </w:r>
            <w:r w:rsidRPr="00165FFC">
              <w:t>.</w:t>
            </w:r>
          </w:p>
          <w:p w:rsidR="00A429DE" w:rsidRPr="001F2D7B" w:rsidRDefault="00A429DE" w:rsidP="00A429DE">
            <w:pPr>
              <w:pStyle w:val="Box"/>
              <w:keepNext w:val="0"/>
              <w:widowControl w:val="0"/>
            </w:pPr>
            <w:r w:rsidRPr="001F2D7B">
              <w:t>Data reported for these measures are:</w:t>
            </w:r>
          </w:p>
          <w:p w:rsidR="00A429DE" w:rsidRPr="001F2D7B" w:rsidRDefault="00A429DE" w:rsidP="00A429DE">
            <w:pPr>
              <w:pStyle w:val="BoxListBullet"/>
              <w:keepNext w:val="0"/>
              <w:widowControl w:val="0"/>
            </w:pPr>
            <w:r w:rsidRPr="001F2D7B">
              <w:t>comparable (subject to caveats) within jurisdictions over time and across jurisdictions</w:t>
            </w:r>
          </w:p>
          <w:p w:rsidR="00A429DE" w:rsidRPr="001F2D7B" w:rsidRDefault="00A429DE" w:rsidP="00A429DE">
            <w:pPr>
              <w:pStyle w:val="BoxListBullet"/>
              <w:keepNext w:val="0"/>
              <w:widowControl w:val="0"/>
            </w:pPr>
            <w:r w:rsidRPr="001F2D7B">
              <w:t xml:space="preserve">complete (subject to caveats) for the current reporting period. All required data are available for all jurisdictions. </w:t>
            </w:r>
          </w:p>
          <w:p w:rsidR="00A429DE" w:rsidRDefault="00A429DE" w:rsidP="00A429DE">
            <w:pPr>
              <w:pStyle w:val="Box"/>
            </w:pPr>
            <w:r w:rsidRPr="001F2D7B">
              <w:t xml:space="preserve">Data quality information for this indicator </w:t>
            </w:r>
            <w:r w:rsidR="006D4BC2">
              <w:t xml:space="preserve">is at </w:t>
            </w:r>
            <w:proofErr w:type="spellStart"/>
            <w:r w:rsidR="006D4BC2">
              <w:t>www.pc.gov.au</w:t>
            </w:r>
            <w:proofErr w:type="spellEnd"/>
            <w:r w:rsidR="006D4BC2">
              <w:t>/</w:t>
            </w:r>
            <w:proofErr w:type="spellStart"/>
            <w:r w:rsidRPr="001F2D7B">
              <w:t>rogs</w:t>
            </w:r>
            <w:proofErr w:type="spellEnd"/>
            <w:r w:rsidRPr="001F2D7B">
              <w:t>/201</w:t>
            </w:r>
            <w:r w:rsidR="007541A0">
              <w:t>6</w:t>
            </w:r>
            <w:r w:rsidRPr="001F2D7B">
              <w:t>.</w:t>
            </w:r>
          </w:p>
        </w:tc>
      </w:tr>
      <w:tr w:rsidR="00A429DE" w:rsidTr="00A429DE">
        <w:trPr>
          <w:cantSplit/>
        </w:trPr>
        <w:tc>
          <w:tcPr>
            <w:tcW w:w="8771" w:type="dxa"/>
            <w:tcBorders>
              <w:top w:val="nil"/>
              <w:left w:val="nil"/>
              <w:bottom w:val="single" w:sz="6" w:space="0" w:color="78A22F"/>
              <w:right w:val="nil"/>
            </w:tcBorders>
            <w:shd w:val="clear" w:color="auto" w:fill="F2F2F2"/>
          </w:tcPr>
          <w:p w:rsidR="00A429DE" w:rsidRDefault="00A429DE">
            <w:pPr>
              <w:pStyle w:val="Box"/>
              <w:spacing w:before="0" w:line="120" w:lineRule="exact"/>
            </w:pPr>
          </w:p>
        </w:tc>
      </w:tr>
      <w:tr w:rsidR="00A429DE" w:rsidRPr="000863A5" w:rsidTr="00A429DE">
        <w:tc>
          <w:tcPr>
            <w:tcW w:w="8771" w:type="dxa"/>
            <w:tcBorders>
              <w:top w:val="single" w:sz="6" w:space="0" w:color="78A22F"/>
              <w:left w:val="nil"/>
              <w:bottom w:val="nil"/>
              <w:right w:val="nil"/>
            </w:tcBorders>
          </w:tcPr>
          <w:p w:rsidR="00A429DE" w:rsidRPr="00626D32" w:rsidRDefault="00A429DE" w:rsidP="00A429DE">
            <w:pPr>
              <w:pStyle w:val="BoxSpaceBelow"/>
            </w:pPr>
          </w:p>
        </w:tc>
      </w:tr>
    </w:tbl>
    <w:p w:rsidR="00155D09" w:rsidRDefault="00155D09" w:rsidP="00155D09">
      <w:pPr>
        <w:pStyle w:val="Heading5"/>
      </w:pPr>
      <w:r>
        <w:lastRenderedPageBreak/>
        <w:t>Level of highest non</w:t>
      </w:r>
      <w:r>
        <w:noBreakHyphen/>
        <w:t>school qualification completed</w:t>
      </w:r>
    </w:p>
    <w:p w:rsidR="00207ABE" w:rsidRPr="00223019" w:rsidRDefault="005071A1" w:rsidP="00B10673">
      <w:pPr>
        <w:pStyle w:val="BodyText"/>
        <w:widowControl w:val="0"/>
        <w:rPr>
          <w:b/>
        </w:rPr>
      </w:pPr>
      <w:r>
        <w:t>Nationally i</w:t>
      </w:r>
      <w:r w:rsidR="002F003B" w:rsidRPr="001F2D7B">
        <w:t>n 201</w:t>
      </w:r>
      <w:r w:rsidR="007541A0">
        <w:t>4</w:t>
      </w:r>
      <w:r w:rsidR="00281E24" w:rsidRPr="001F2D7B">
        <w:t>,</w:t>
      </w:r>
      <w:r w:rsidR="00EB0484" w:rsidRPr="001F2D7B">
        <w:t xml:space="preserve"> </w:t>
      </w:r>
      <w:r w:rsidR="00DC0D68">
        <w:t xml:space="preserve">for people aged 15–64 years, </w:t>
      </w:r>
      <w:r w:rsidR="00E07252">
        <w:t>a quarter</w:t>
      </w:r>
      <w:r w:rsidR="00E0166A">
        <w:t xml:space="preserve"> had</w:t>
      </w:r>
      <w:r w:rsidR="00E07252">
        <w:t xml:space="preserve"> a bachelor degree qualification or above (25.3 per cent) and overall, </w:t>
      </w:r>
      <w:r>
        <w:t>58.6</w:t>
      </w:r>
      <w:r w:rsidR="00C95F63" w:rsidRPr="009B5F4C">
        <w:t xml:space="preserve"> </w:t>
      </w:r>
      <w:r w:rsidR="00C95F63" w:rsidRPr="001F2D7B">
        <w:t xml:space="preserve">per cent </w:t>
      </w:r>
      <w:r w:rsidR="009179CC" w:rsidRPr="001F2D7B">
        <w:t>had a non</w:t>
      </w:r>
      <w:r w:rsidR="000117A0">
        <w:noBreakHyphen/>
      </w:r>
      <w:r w:rsidR="009179CC" w:rsidRPr="001F2D7B">
        <w:t>school qualif</w:t>
      </w:r>
      <w:r w:rsidR="00E07252">
        <w:t>ication</w:t>
      </w:r>
      <w:r>
        <w:t xml:space="preserve"> </w:t>
      </w:r>
      <w:r w:rsidR="009179CC" w:rsidRPr="001F2D7B">
        <w:t>(</w:t>
      </w:r>
      <w:r w:rsidR="009179CC" w:rsidRPr="00D5691A">
        <w:t xml:space="preserve">figure </w:t>
      </w:r>
      <w:proofErr w:type="spellStart"/>
      <w:r w:rsidR="00B55FB8">
        <w:t>B.12</w:t>
      </w:r>
      <w:proofErr w:type="spellEnd"/>
      <w:r w:rsidR="009179CC" w:rsidRPr="00D5691A">
        <w:t>)</w:t>
      </w:r>
      <w:r w:rsidR="00CF64E7" w:rsidRPr="00D5691A">
        <w:t>.</w:t>
      </w:r>
    </w:p>
    <w:p w:rsidR="00BB2AE9" w:rsidRDefault="00BB2AE9"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2AE9" w:rsidTr="006A0AD9">
        <w:tc>
          <w:tcPr>
            <w:tcW w:w="8771" w:type="dxa"/>
            <w:tcBorders>
              <w:top w:val="single" w:sz="6" w:space="0" w:color="78A22F"/>
              <w:left w:val="nil"/>
              <w:bottom w:val="nil"/>
              <w:right w:val="nil"/>
            </w:tcBorders>
            <w:shd w:val="clear" w:color="auto" w:fill="auto"/>
          </w:tcPr>
          <w:p w:rsidR="00BB2AE9" w:rsidRPr="00176D3F" w:rsidRDefault="00BB2AE9" w:rsidP="004D06F2">
            <w:pPr>
              <w:pStyle w:val="FigureTitle"/>
            </w:pPr>
            <w:r w:rsidRPr="00784A05">
              <w:rPr>
                <w:b w:val="0"/>
              </w:rPr>
              <w:t xml:space="preserve">Figure </w:t>
            </w:r>
            <w:proofErr w:type="spellStart"/>
            <w:r>
              <w:rPr>
                <w:b w:val="0"/>
              </w:rPr>
              <w:t>B.</w:t>
            </w:r>
            <w:r w:rsidR="00501FB3">
              <w:rPr>
                <w:b w:val="0"/>
                <w:noProof/>
              </w:rPr>
              <w:t>12</w:t>
            </w:r>
            <w:proofErr w:type="spellEnd"/>
            <w:r>
              <w:tab/>
            </w:r>
            <w:r w:rsidRPr="00BB2AE9">
              <w:t xml:space="preserve">Level of highest </w:t>
            </w:r>
            <w:r w:rsidR="002A5891">
              <w:t>non</w:t>
            </w:r>
            <w:r w:rsidR="000117A0">
              <w:noBreakHyphen/>
            </w:r>
            <w:r w:rsidR="00613525">
              <w:t xml:space="preserve">school </w:t>
            </w:r>
            <w:r w:rsidR="002A5891">
              <w:t>qualification completed, 15</w:t>
            </w:r>
            <w:r w:rsidR="005F4093">
              <w:t>–</w:t>
            </w:r>
            <w:r w:rsidR="00EA13C3">
              <w:t>64 year olds, 2014</w:t>
            </w:r>
            <w:r w:rsidR="00FE6B04">
              <w:rPr>
                <w:rStyle w:val="NoteLabel"/>
                <w:b/>
              </w:rPr>
              <w:t>a</w:t>
            </w:r>
          </w:p>
        </w:tc>
      </w:tr>
      <w:tr w:rsidR="00BB2AE9"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B2AE9" w:rsidTr="006A0AD9">
              <w:trPr>
                <w:jc w:val="center"/>
              </w:trPr>
              <w:tc>
                <w:tcPr>
                  <w:tcW w:w="5000" w:type="pct"/>
                  <w:tcBorders>
                    <w:top w:val="nil"/>
                    <w:bottom w:val="nil"/>
                  </w:tcBorders>
                </w:tcPr>
                <w:p w:rsidR="00BB2AE9" w:rsidRDefault="00F545D4" w:rsidP="006A0AD9">
                  <w:pPr>
                    <w:pStyle w:val="Figure"/>
                    <w:spacing w:before="60" w:after="60"/>
                  </w:pPr>
                  <w:r>
                    <w:rPr>
                      <w:noProof/>
                    </w:rPr>
                    <w:drawing>
                      <wp:inline distT="0" distB="0" distL="0" distR="0">
                        <wp:extent cx="5391150" cy="2707640"/>
                        <wp:effectExtent l="0" t="0" r="0" b="0"/>
                        <wp:docPr id="17" name="Picture 17" descr="Figure B.12 Level of highest non school qualification completed, 15–64 year old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BB2AE9" w:rsidRDefault="00BB2AE9" w:rsidP="006A0AD9">
            <w:pPr>
              <w:pStyle w:val="Figure"/>
            </w:pPr>
          </w:p>
        </w:tc>
      </w:tr>
      <w:tr w:rsidR="00BB2AE9" w:rsidRPr="00176D3F" w:rsidTr="006A0AD9">
        <w:tc>
          <w:tcPr>
            <w:tcW w:w="8771" w:type="dxa"/>
            <w:tcBorders>
              <w:top w:val="nil"/>
              <w:left w:val="nil"/>
              <w:bottom w:val="nil"/>
              <w:right w:val="nil"/>
            </w:tcBorders>
            <w:shd w:val="clear" w:color="auto" w:fill="auto"/>
          </w:tcPr>
          <w:p w:rsidR="00BB2AE9" w:rsidRPr="00BB2AE9" w:rsidRDefault="00BB2AE9" w:rsidP="00FE6B04">
            <w:pPr>
              <w:pStyle w:val="Note"/>
              <w:rPr>
                <w:i/>
              </w:rPr>
            </w:pPr>
            <w:r w:rsidRPr="002E5A43">
              <w:rPr>
                <w:rStyle w:val="NoteLabel"/>
              </w:rPr>
              <w:t>a</w:t>
            </w:r>
            <w:r w:rsidR="002E5A43" w:rsidRPr="002E5A43">
              <w:t xml:space="preserve"> </w:t>
            </w:r>
            <w:r w:rsidR="00FE10AC">
              <w:t xml:space="preserve">See box </w:t>
            </w:r>
            <w:proofErr w:type="spellStart"/>
            <w:r w:rsidR="00FE10AC">
              <w:t>B.6</w:t>
            </w:r>
            <w:proofErr w:type="spellEnd"/>
            <w:r w:rsidR="00FE6B04">
              <w:t xml:space="preserve"> and table </w:t>
            </w:r>
            <w:proofErr w:type="spellStart"/>
            <w:r w:rsidR="00FE6B04">
              <w:t>BA.25</w:t>
            </w:r>
            <w:proofErr w:type="spellEnd"/>
            <w:r w:rsidR="00FE6B04" w:rsidRPr="001B3DAD">
              <w:t xml:space="preserve"> for </w:t>
            </w:r>
            <w:r w:rsidR="00A96B11">
              <w:t>detailed definitions, footnotes and caveats.</w:t>
            </w:r>
          </w:p>
        </w:tc>
      </w:tr>
      <w:tr w:rsidR="00BB2AE9" w:rsidRPr="00176D3F" w:rsidTr="006A0AD9">
        <w:tc>
          <w:tcPr>
            <w:tcW w:w="8771" w:type="dxa"/>
            <w:tcBorders>
              <w:top w:val="nil"/>
              <w:left w:val="nil"/>
              <w:bottom w:val="nil"/>
              <w:right w:val="nil"/>
            </w:tcBorders>
            <w:shd w:val="clear" w:color="auto" w:fill="auto"/>
          </w:tcPr>
          <w:p w:rsidR="00BB2AE9" w:rsidRPr="00176D3F" w:rsidRDefault="00BB2AE9" w:rsidP="006A0AD9">
            <w:pPr>
              <w:pStyle w:val="Source"/>
            </w:pPr>
            <w:r>
              <w:rPr>
                <w:i/>
              </w:rPr>
              <w:t>S</w:t>
            </w:r>
            <w:r w:rsidRPr="00784A05">
              <w:rPr>
                <w:i/>
              </w:rPr>
              <w:t>ource</w:t>
            </w:r>
            <w:r w:rsidRPr="00176D3F">
              <w:t xml:space="preserve">: </w:t>
            </w:r>
            <w:r w:rsidR="007F3216">
              <w:t>ABS (unpublished</w:t>
            </w:r>
            <w:r w:rsidRPr="00BB2AE9">
              <w:t xml:space="preserve">) </w:t>
            </w:r>
            <w:proofErr w:type="spellStart"/>
            <w:r w:rsidR="005071A1" w:rsidRPr="002E5A43">
              <w:rPr>
                <w:i/>
              </w:rPr>
              <w:t>Microdata</w:t>
            </w:r>
            <w:proofErr w:type="spellEnd"/>
            <w:r w:rsidR="005071A1" w:rsidRPr="002E5A43">
              <w:rPr>
                <w:i/>
              </w:rPr>
              <w:t>:</w:t>
            </w:r>
            <w:r w:rsidR="005071A1">
              <w:t xml:space="preserve"> </w:t>
            </w:r>
            <w:r w:rsidRPr="002A5891">
              <w:rPr>
                <w:i/>
              </w:rPr>
              <w:t xml:space="preserve">Education and Work, </w:t>
            </w:r>
            <w:r w:rsidR="007541A0">
              <w:rPr>
                <w:i/>
              </w:rPr>
              <w:t>Australia, May 2014</w:t>
            </w:r>
            <w:r w:rsidRPr="00BB2AE9">
              <w:t>,</w:t>
            </w:r>
            <w:r w:rsidR="007F3216">
              <w:t xml:space="preserve"> </w:t>
            </w:r>
            <w:r w:rsidR="002A5891">
              <w:t>Cat. no. 6227.0</w:t>
            </w:r>
            <w:r w:rsidR="0094309F">
              <w:t xml:space="preserve">.30.001; table </w:t>
            </w:r>
            <w:proofErr w:type="spellStart"/>
            <w:r w:rsidR="0094309F">
              <w:t>BA.25</w:t>
            </w:r>
            <w:proofErr w:type="spellEnd"/>
            <w:r w:rsidRPr="00BB2AE9">
              <w:t>.</w:t>
            </w:r>
          </w:p>
        </w:tc>
      </w:tr>
      <w:tr w:rsidR="00BB2AE9" w:rsidTr="006A0AD9">
        <w:tc>
          <w:tcPr>
            <w:tcW w:w="8771" w:type="dxa"/>
            <w:tcBorders>
              <w:top w:val="nil"/>
              <w:left w:val="nil"/>
              <w:bottom w:val="single" w:sz="6" w:space="0" w:color="78A22F"/>
              <w:right w:val="nil"/>
            </w:tcBorders>
            <w:shd w:val="clear" w:color="auto" w:fill="auto"/>
          </w:tcPr>
          <w:p w:rsidR="00BB2AE9" w:rsidRDefault="00BB2AE9" w:rsidP="006A0AD9">
            <w:pPr>
              <w:pStyle w:val="Figurespace"/>
            </w:pPr>
          </w:p>
        </w:tc>
      </w:tr>
      <w:tr w:rsidR="00BB2AE9" w:rsidRPr="000863A5" w:rsidTr="006A0AD9">
        <w:tc>
          <w:tcPr>
            <w:tcW w:w="8771" w:type="dxa"/>
            <w:tcBorders>
              <w:top w:val="single" w:sz="6" w:space="0" w:color="78A22F"/>
              <w:left w:val="nil"/>
              <w:bottom w:val="nil"/>
              <w:right w:val="nil"/>
            </w:tcBorders>
          </w:tcPr>
          <w:p w:rsidR="00BB2AE9" w:rsidRPr="00626D32" w:rsidRDefault="00BB2AE9" w:rsidP="006A0AD9">
            <w:pPr>
              <w:pStyle w:val="BoxSpaceBelow"/>
            </w:pPr>
          </w:p>
        </w:tc>
      </w:tr>
    </w:tbl>
    <w:p w:rsidR="007541A0" w:rsidRDefault="007541A0" w:rsidP="007541A0">
      <w:pPr>
        <w:pStyle w:val="Heading5"/>
      </w:pPr>
      <w:r>
        <w:t>Popul</w:t>
      </w:r>
      <w:r w:rsidR="00A3185C">
        <w:t xml:space="preserve">ation with or working towards a </w:t>
      </w:r>
      <w:r>
        <w:t xml:space="preserve">non-school qualification </w:t>
      </w:r>
    </w:p>
    <w:p w:rsidR="007541A0" w:rsidRDefault="00A37F7F" w:rsidP="00BA3541">
      <w:pPr>
        <w:pStyle w:val="BodyText"/>
      </w:pPr>
      <w:r>
        <w:t>Nationally i</w:t>
      </w:r>
      <w:r w:rsidR="007541A0">
        <w:t>n 2014</w:t>
      </w:r>
      <w:r w:rsidR="00FC0D40">
        <w:t xml:space="preserve">, </w:t>
      </w:r>
      <w:r>
        <w:t>68.8 per cent of 2</w:t>
      </w:r>
      <w:r w:rsidR="002F003B">
        <w:t>0</w:t>
      </w:r>
      <w:r w:rsidR="005F4093">
        <w:t>–</w:t>
      </w:r>
      <w:r>
        <w:t>64 year olds had</w:t>
      </w:r>
      <w:r w:rsidR="003743B0">
        <w:t xml:space="preserve"> or </w:t>
      </w:r>
      <w:r>
        <w:t xml:space="preserve">were </w:t>
      </w:r>
      <w:r w:rsidR="003743B0">
        <w:t>working towards a non</w:t>
      </w:r>
      <w:r w:rsidR="003743B0">
        <w:noBreakHyphen/>
      </w:r>
      <w:r w:rsidR="00B30993">
        <w:t xml:space="preserve">school </w:t>
      </w:r>
      <w:r w:rsidR="002F003B">
        <w:t>qualification</w:t>
      </w:r>
      <w:r w:rsidR="00DC0D68">
        <w:t xml:space="preserve"> —</w:t>
      </w:r>
      <w:r>
        <w:t xml:space="preserve"> an increase from 67.2 per cent in 2013 (figure </w:t>
      </w:r>
      <w:proofErr w:type="spellStart"/>
      <w:r w:rsidR="00455695">
        <w:t>B.13</w:t>
      </w:r>
      <w:proofErr w:type="spellEnd"/>
      <w:r>
        <w:t>).</w:t>
      </w:r>
    </w:p>
    <w:p w:rsidR="00DC0D68" w:rsidRPr="00B86F7C" w:rsidRDefault="00DC0D68" w:rsidP="00DC0D68">
      <w:pPr>
        <w:pStyle w:val="BodyText"/>
      </w:pPr>
      <w:r>
        <w:t>Census data</w:t>
      </w:r>
      <w:r w:rsidR="009218FD">
        <w:t xml:space="preserve"> </w:t>
      </w:r>
      <w:r>
        <w:t>identifies that t</w:t>
      </w:r>
      <w:r w:rsidRPr="00B86F7C">
        <w:t>he proportion of 20</w:t>
      </w:r>
      <w:r>
        <w:t>–</w:t>
      </w:r>
      <w:r w:rsidRPr="00B86F7C">
        <w:t>64 year olds with a non</w:t>
      </w:r>
      <w:r w:rsidRPr="00B86F7C">
        <w:noBreakHyphen/>
        <w:t>school qualification, or w</w:t>
      </w:r>
      <w:r>
        <w:t>ho we</w:t>
      </w:r>
      <w:r w:rsidRPr="00B86F7C">
        <w:t xml:space="preserve">re </w:t>
      </w:r>
      <w:r>
        <w:t>working towards</w:t>
      </w:r>
      <w:r w:rsidRPr="00B86F7C">
        <w:t xml:space="preserve"> a non</w:t>
      </w:r>
      <w:r w:rsidRPr="00B86F7C">
        <w:noBreakHyphen/>
        <w:t xml:space="preserve">school qualification, increased </w:t>
      </w:r>
      <w:r>
        <w:t xml:space="preserve">nationally </w:t>
      </w:r>
      <w:r w:rsidRPr="00B86F7C">
        <w:t>between 2006 (58.5 per cent) and 2011 (64.1 per cent)</w:t>
      </w:r>
      <w:r w:rsidR="009218FD">
        <w:t xml:space="preserve"> (table </w:t>
      </w:r>
      <w:proofErr w:type="spellStart"/>
      <w:r w:rsidR="009218FD">
        <w:t>BA.27</w:t>
      </w:r>
      <w:proofErr w:type="spellEnd"/>
      <w:r w:rsidR="009218FD">
        <w:t>)</w:t>
      </w:r>
      <w:r w:rsidRPr="00B86F7C">
        <w:t>.</w:t>
      </w:r>
      <w:r>
        <w:t xml:space="preserve"> </w:t>
      </w:r>
      <w:r w:rsidR="00B55FB8">
        <w:t xml:space="preserve"> </w:t>
      </w:r>
      <w:r>
        <w:t>Nationally in 2011, 40.8 per </w:t>
      </w:r>
      <w:r w:rsidRPr="00B86F7C">
        <w:t>cent of Aboriginal and Torres Stra</w:t>
      </w:r>
      <w:r>
        <w:t>it Islander 20–64 year olds had</w:t>
      </w:r>
      <w:r w:rsidRPr="00B86F7C">
        <w:t xml:space="preserve"> or were working towards a non</w:t>
      </w:r>
      <w:r w:rsidRPr="00B86F7C">
        <w:noBreakHyphen/>
        <w:t>school qualification, compared to 64.6 per cent of non</w:t>
      </w:r>
      <w:r w:rsidRPr="00B86F7C">
        <w:noBreakHyphen/>
        <w:t>Indigenous 20</w:t>
      </w:r>
      <w:r>
        <w:t>–</w:t>
      </w:r>
      <w:r w:rsidRPr="00B86F7C">
        <w:t>64 year olds</w:t>
      </w:r>
      <w:r>
        <w:t xml:space="preserve"> (table </w:t>
      </w:r>
      <w:proofErr w:type="spellStart"/>
      <w:r>
        <w:t>BA.28</w:t>
      </w:r>
      <w:proofErr w:type="spellEnd"/>
      <w:r>
        <w:t>).</w:t>
      </w:r>
      <w:r w:rsidR="00152B82">
        <w:t xml:space="preserve"> </w:t>
      </w:r>
    </w:p>
    <w:p w:rsidR="00DC0D68" w:rsidRDefault="00DC0D68" w:rsidP="00BA3541">
      <w:pPr>
        <w:pStyle w:val="BodyText"/>
      </w:pPr>
    </w:p>
    <w:p w:rsidR="007541A0" w:rsidRDefault="007541A0" w:rsidP="00D117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1A0" w:rsidTr="00D1177E">
        <w:tc>
          <w:tcPr>
            <w:tcW w:w="8771" w:type="dxa"/>
            <w:tcBorders>
              <w:top w:val="single" w:sz="6" w:space="0" w:color="78A22F"/>
              <w:left w:val="nil"/>
              <w:bottom w:val="nil"/>
              <w:right w:val="nil"/>
            </w:tcBorders>
            <w:shd w:val="clear" w:color="auto" w:fill="auto"/>
          </w:tcPr>
          <w:p w:rsidR="007541A0" w:rsidRPr="00176D3F" w:rsidRDefault="007541A0" w:rsidP="00852C4C">
            <w:pPr>
              <w:pStyle w:val="FigureTitle"/>
            </w:pPr>
            <w:r w:rsidRPr="00784A05">
              <w:rPr>
                <w:b w:val="0"/>
              </w:rPr>
              <w:t xml:space="preserve">Figure </w:t>
            </w:r>
            <w:proofErr w:type="spellStart"/>
            <w:r w:rsidR="00CF72F0">
              <w:rPr>
                <w:b w:val="0"/>
              </w:rPr>
              <w:t>B.</w:t>
            </w:r>
            <w:r w:rsidR="00501FB3">
              <w:rPr>
                <w:b w:val="0"/>
                <w:noProof/>
              </w:rPr>
              <w:t>13</w:t>
            </w:r>
            <w:proofErr w:type="spellEnd"/>
            <w:r>
              <w:tab/>
              <w:t xml:space="preserve">Proportion of 20–64 year olds with </w:t>
            </w:r>
            <w:r w:rsidR="00EA13C3">
              <w:t xml:space="preserve">or </w:t>
            </w:r>
            <w:r>
              <w:t>working towards a non</w:t>
            </w:r>
            <w:r w:rsidR="00DC0D68">
              <w:noBreakHyphen/>
            </w:r>
            <w:r>
              <w:t>school qualification</w:t>
            </w:r>
            <w:r w:rsidR="00FE6B04">
              <w:rPr>
                <w:rStyle w:val="NoteLabel"/>
                <w:b/>
              </w:rPr>
              <w:t>a</w:t>
            </w:r>
          </w:p>
        </w:tc>
      </w:tr>
      <w:tr w:rsidR="007541A0" w:rsidTr="00D117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1A0" w:rsidTr="00D1177E">
              <w:trPr>
                <w:jc w:val="center"/>
              </w:trPr>
              <w:tc>
                <w:tcPr>
                  <w:tcW w:w="5000" w:type="pct"/>
                  <w:tcBorders>
                    <w:top w:val="nil"/>
                    <w:bottom w:val="nil"/>
                  </w:tcBorders>
                </w:tcPr>
                <w:p w:rsidR="007541A0" w:rsidRDefault="00F545D4" w:rsidP="00D1177E">
                  <w:pPr>
                    <w:pStyle w:val="Figure"/>
                    <w:spacing w:before="60" w:after="60"/>
                  </w:pPr>
                  <w:r>
                    <w:rPr>
                      <w:noProof/>
                    </w:rPr>
                    <w:drawing>
                      <wp:inline distT="0" distB="0" distL="0" distR="0">
                        <wp:extent cx="5391150" cy="2683510"/>
                        <wp:effectExtent l="0" t="0" r="0" b="2540"/>
                        <wp:docPr id="18" name="Picture 18" descr="Figure B.13 Proportion of 20–64 year olds with or working towards a non school qualifi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7541A0" w:rsidRDefault="007541A0" w:rsidP="00D1177E">
            <w:pPr>
              <w:pStyle w:val="Figure"/>
            </w:pPr>
          </w:p>
        </w:tc>
      </w:tr>
      <w:tr w:rsidR="007541A0" w:rsidRPr="00176D3F" w:rsidTr="00D1177E">
        <w:tc>
          <w:tcPr>
            <w:tcW w:w="8771" w:type="dxa"/>
            <w:tcBorders>
              <w:top w:val="nil"/>
              <w:left w:val="nil"/>
              <w:bottom w:val="nil"/>
              <w:right w:val="nil"/>
            </w:tcBorders>
            <w:shd w:val="clear" w:color="auto" w:fill="auto"/>
          </w:tcPr>
          <w:p w:rsidR="007541A0" w:rsidRPr="00176D3F" w:rsidRDefault="007541A0" w:rsidP="00FE6B04">
            <w:pPr>
              <w:pStyle w:val="Note"/>
            </w:pPr>
            <w:r>
              <w:rPr>
                <w:rStyle w:val="NoteLabel"/>
              </w:rPr>
              <w:t>a</w:t>
            </w:r>
            <w:r w:rsidR="00A37F7F">
              <w:t xml:space="preserve"> </w:t>
            </w:r>
            <w:r w:rsidR="00FE10AC">
              <w:t xml:space="preserve">See box </w:t>
            </w:r>
            <w:proofErr w:type="spellStart"/>
            <w:r w:rsidR="00FE10AC">
              <w:t>B.6</w:t>
            </w:r>
            <w:proofErr w:type="spellEnd"/>
            <w:r w:rsidR="00FE6B04">
              <w:t xml:space="preserve"> and table </w:t>
            </w:r>
            <w:proofErr w:type="spellStart"/>
            <w:r w:rsidR="00FE6B04">
              <w:t>BA.26</w:t>
            </w:r>
            <w:proofErr w:type="spellEnd"/>
            <w:r w:rsidR="00FE6B04" w:rsidRPr="001B3DAD">
              <w:t xml:space="preserve"> for </w:t>
            </w:r>
            <w:r w:rsidR="00A96B11">
              <w:t>detailed definitions, footnotes and caveats.</w:t>
            </w:r>
          </w:p>
        </w:tc>
      </w:tr>
      <w:tr w:rsidR="007541A0" w:rsidRPr="00176D3F" w:rsidTr="00D1177E">
        <w:tc>
          <w:tcPr>
            <w:tcW w:w="8771" w:type="dxa"/>
            <w:tcBorders>
              <w:top w:val="nil"/>
              <w:left w:val="nil"/>
              <w:bottom w:val="nil"/>
              <w:right w:val="nil"/>
            </w:tcBorders>
            <w:shd w:val="clear" w:color="auto" w:fill="auto"/>
          </w:tcPr>
          <w:p w:rsidR="007541A0" w:rsidRPr="00176D3F" w:rsidRDefault="007541A0" w:rsidP="00D1177E">
            <w:pPr>
              <w:pStyle w:val="Source"/>
            </w:pPr>
            <w:r>
              <w:rPr>
                <w:i/>
              </w:rPr>
              <w:t>S</w:t>
            </w:r>
            <w:r w:rsidRPr="00784A05">
              <w:rPr>
                <w:i/>
              </w:rPr>
              <w:t>ource</w:t>
            </w:r>
            <w:r w:rsidRPr="00176D3F">
              <w:t xml:space="preserve">: </w:t>
            </w:r>
            <w:r w:rsidR="00EA13C3">
              <w:t>ABS (unpublished</w:t>
            </w:r>
            <w:r w:rsidRPr="00BB2AE9">
              <w:t xml:space="preserve">) </w:t>
            </w:r>
            <w:r w:rsidRPr="002A5891">
              <w:rPr>
                <w:i/>
              </w:rPr>
              <w:t xml:space="preserve">Education and Work, </w:t>
            </w:r>
            <w:r>
              <w:rPr>
                <w:i/>
              </w:rPr>
              <w:t xml:space="preserve">Australia, May </w:t>
            </w:r>
            <w:r w:rsidR="00B870A9">
              <w:rPr>
                <w:i/>
              </w:rPr>
              <w:t xml:space="preserve">2013 and </w:t>
            </w:r>
            <w:r>
              <w:rPr>
                <w:i/>
              </w:rPr>
              <w:t>2014</w:t>
            </w:r>
            <w:r w:rsidRPr="00BB2AE9">
              <w:t>,</w:t>
            </w:r>
            <w:r w:rsidR="00EA13C3">
              <w:t xml:space="preserve"> </w:t>
            </w:r>
            <w:r w:rsidR="00FF3C0A">
              <w:t>Cat. n</w:t>
            </w:r>
            <w:r w:rsidR="0094309F">
              <w:t xml:space="preserve">o. 6227.0; table </w:t>
            </w:r>
            <w:proofErr w:type="spellStart"/>
            <w:r w:rsidR="0094309F">
              <w:t>BA.26</w:t>
            </w:r>
            <w:proofErr w:type="spellEnd"/>
            <w:r w:rsidRPr="00BB2AE9">
              <w:t>.</w:t>
            </w:r>
          </w:p>
        </w:tc>
      </w:tr>
      <w:tr w:rsidR="007541A0" w:rsidTr="00D1177E">
        <w:tc>
          <w:tcPr>
            <w:tcW w:w="8771" w:type="dxa"/>
            <w:tcBorders>
              <w:top w:val="nil"/>
              <w:left w:val="nil"/>
              <w:bottom w:val="single" w:sz="6" w:space="0" w:color="78A22F"/>
              <w:right w:val="nil"/>
            </w:tcBorders>
            <w:shd w:val="clear" w:color="auto" w:fill="auto"/>
          </w:tcPr>
          <w:p w:rsidR="007541A0" w:rsidRDefault="007541A0" w:rsidP="00D1177E">
            <w:pPr>
              <w:pStyle w:val="Figurespace"/>
            </w:pPr>
          </w:p>
        </w:tc>
      </w:tr>
      <w:tr w:rsidR="007541A0" w:rsidRPr="000863A5" w:rsidTr="00D1177E">
        <w:tc>
          <w:tcPr>
            <w:tcW w:w="8771" w:type="dxa"/>
            <w:tcBorders>
              <w:top w:val="single" w:sz="6" w:space="0" w:color="78A22F"/>
              <w:left w:val="nil"/>
              <w:bottom w:val="nil"/>
              <w:right w:val="nil"/>
            </w:tcBorders>
          </w:tcPr>
          <w:p w:rsidR="007541A0" w:rsidRPr="00626D32" w:rsidRDefault="007541A0" w:rsidP="00D1177E">
            <w:pPr>
              <w:pStyle w:val="BoxSpaceBelow"/>
            </w:pPr>
          </w:p>
        </w:tc>
      </w:tr>
    </w:tbl>
    <w:p w:rsidR="00155D09" w:rsidRDefault="00155D09" w:rsidP="00155D09">
      <w:pPr>
        <w:pStyle w:val="Heading5"/>
      </w:pPr>
      <w:r>
        <w:t>Completion of year 12 (or equivalent) or C</w:t>
      </w:r>
      <w:r w:rsidR="00A3185C">
        <w:t xml:space="preserve">ertificate </w:t>
      </w:r>
      <w:r w:rsidR="00B6482D">
        <w:t xml:space="preserve">II </w:t>
      </w:r>
      <w:r w:rsidR="00A3185C">
        <w:t xml:space="preserve">level </w:t>
      </w:r>
      <w:r w:rsidR="00B6482D">
        <w:t>or above</w:t>
      </w:r>
    </w:p>
    <w:p w:rsidR="00EB30A9" w:rsidRPr="005D0764" w:rsidRDefault="00170458" w:rsidP="00EB30A9">
      <w:pPr>
        <w:pStyle w:val="BodyText"/>
      </w:pPr>
      <w:r w:rsidRPr="005D0764">
        <w:t>Nationally</w:t>
      </w:r>
      <w:r w:rsidR="005D0764" w:rsidRPr="005D0764">
        <w:t xml:space="preserve"> in 2014</w:t>
      </w:r>
      <w:r w:rsidRPr="005D0764">
        <w:t xml:space="preserve">, </w:t>
      </w:r>
      <w:r w:rsidR="005D0764" w:rsidRPr="005D0764">
        <w:t>86.1</w:t>
      </w:r>
      <w:r w:rsidR="00FC0D40" w:rsidRPr="005D0764">
        <w:t xml:space="preserve"> per cent</w:t>
      </w:r>
      <w:r w:rsidRPr="005D0764">
        <w:t xml:space="preserve"> of 20</w:t>
      </w:r>
      <w:r w:rsidR="00FC0D40" w:rsidRPr="005D0764">
        <w:t>–</w:t>
      </w:r>
      <w:r w:rsidRPr="005D0764">
        <w:t xml:space="preserve">24 year olds </w:t>
      </w:r>
      <w:r w:rsidR="005D0764" w:rsidRPr="005D0764">
        <w:t xml:space="preserve">and 78.6 per cent of 20–64 year olds </w:t>
      </w:r>
      <w:r w:rsidRPr="005D0764">
        <w:t xml:space="preserve">had completed year 12 </w:t>
      </w:r>
      <w:r w:rsidR="0030209B" w:rsidRPr="005D0764">
        <w:t>(</w:t>
      </w:r>
      <w:r w:rsidRPr="005D0764">
        <w:t>or equivalent</w:t>
      </w:r>
      <w:r w:rsidR="0030209B" w:rsidRPr="005D0764">
        <w:t>)</w:t>
      </w:r>
      <w:r w:rsidRPr="005D0764">
        <w:t xml:space="preserve"> or gained a qualification at </w:t>
      </w:r>
      <w:r w:rsidR="003F74DD" w:rsidRPr="005D0764">
        <w:t>C</w:t>
      </w:r>
      <w:r w:rsidR="00A3185C" w:rsidRPr="005D0764">
        <w:t xml:space="preserve">ertificate </w:t>
      </w:r>
      <w:r w:rsidR="00EB0484" w:rsidRPr="005D0764">
        <w:t xml:space="preserve">II </w:t>
      </w:r>
      <w:r w:rsidR="00A3185C" w:rsidRPr="005D0764">
        <w:t xml:space="preserve">level </w:t>
      </w:r>
      <w:r w:rsidR="005D0764" w:rsidRPr="005D0764">
        <w:t>or above</w:t>
      </w:r>
      <w:r w:rsidR="001E117A">
        <w:t>. These prop</w:t>
      </w:r>
      <w:r w:rsidR="00AE59A0">
        <w:t xml:space="preserve">ortions </w:t>
      </w:r>
      <w:r w:rsidR="00E92FF5">
        <w:t xml:space="preserve">have remained stable since 2013 </w:t>
      </w:r>
      <w:r w:rsidRPr="005D0764">
        <w:t>(figure</w:t>
      </w:r>
      <w:r w:rsidR="00FC0D40" w:rsidRPr="005D0764">
        <w:t> </w:t>
      </w:r>
      <w:proofErr w:type="spellStart"/>
      <w:r w:rsidR="00BD2FAB">
        <w:t>B.14</w:t>
      </w:r>
      <w:proofErr w:type="spellEnd"/>
      <w:r w:rsidR="00223019" w:rsidRPr="005D0764">
        <w:t>).</w:t>
      </w:r>
    </w:p>
    <w:p w:rsidR="00224388" w:rsidRDefault="00224388"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4388" w:rsidTr="006A0AD9">
        <w:tc>
          <w:tcPr>
            <w:tcW w:w="8771" w:type="dxa"/>
            <w:tcBorders>
              <w:top w:val="single" w:sz="6" w:space="0" w:color="78A22F"/>
              <w:left w:val="nil"/>
              <w:bottom w:val="nil"/>
              <w:right w:val="nil"/>
            </w:tcBorders>
            <w:shd w:val="clear" w:color="auto" w:fill="auto"/>
          </w:tcPr>
          <w:p w:rsidR="00224388" w:rsidRPr="00B86F7C" w:rsidRDefault="00224388" w:rsidP="009218FD">
            <w:pPr>
              <w:pStyle w:val="FigureTitle"/>
            </w:pPr>
            <w:r w:rsidRPr="00DB3378">
              <w:rPr>
                <w:b w:val="0"/>
              </w:rPr>
              <w:t xml:space="preserve">Figure </w:t>
            </w:r>
            <w:proofErr w:type="spellStart"/>
            <w:r w:rsidRPr="00DB3378">
              <w:rPr>
                <w:b w:val="0"/>
              </w:rPr>
              <w:t>B.</w:t>
            </w:r>
            <w:r w:rsidR="00501FB3">
              <w:rPr>
                <w:b w:val="0"/>
                <w:noProof/>
              </w:rPr>
              <w:t>14</w:t>
            </w:r>
            <w:proofErr w:type="spellEnd"/>
            <w:r w:rsidRPr="00B86F7C">
              <w:tab/>
              <w:t xml:space="preserve">Completion of year 12 </w:t>
            </w:r>
            <w:r w:rsidR="00FA0945">
              <w:t>(</w:t>
            </w:r>
            <w:r w:rsidRPr="00B86F7C">
              <w:t>or equivalent</w:t>
            </w:r>
            <w:r w:rsidR="00FA0945">
              <w:t>)</w:t>
            </w:r>
            <w:r w:rsidRPr="00B86F7C">
              <w:t xml:space="preserve"> o</w:t>
            </w:r>
            <w:r w:rsidR="00DB3378">
              <w:t xml:space="preserve">r Certificate </w:t>
            </w:r>
            <w:r w:rsidR="00FA0945">
              <w:t xml:space="preserve">II level </w:t>
            </w:r>
            <w:r w:rsidR="00DB3378">
              <w:t>or above</w:t>
            </w:r>
            <w:r w:rsidR="009218FD">
              <w:t>, by age groups</w:t>
            </w:r>
            <w:r w:rsidR="00FE6B04">
              <w:rPr>
                <w:rStyle w:val="NoteLabel"/>
                <w:b/>
              </w:rPr>
              <w:t>a</w:t>
            </w:r>
          </w:p>
        </w:tc>
      </w:tr>
      <w:tr w:rsidR="00224388"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E903A3">
              <w:trPr>
                <w:trHeight w:val="312"/>
                <w:jc w:val="center"/>
              </w:trPr>
              <w:tc>
                <w:tcPr>
                  <w:tcW w:w="5000" w:type="pct"/>
                  <w:tcBorders>
                    <w:top w:val="nil"/>
                    <w:bottom w:val="nil"/>
                  </w:tcBorders>
                </w:tcPr>
                <w:p w:rsidR="00E903A3" w:rsidRPr="006A0AD9" w:rsidRDefault="000760EC" w:rsidP="006A0AD9">
                  <w:pPr>
                    <w:pStyle w:val="Figure"/>
                    <w:spacing w:before="60" w:after="60"/>
                    <w:rPr>
                      <w:rFonts w:ascii="Arial" w:hAnsi="Arial" w:cs="Arial"/>
                      <w:b/>
                      <w:sz w:val="20"/>
                    </w:rPr>
                  </w:pPr>
                  <w:r>
                    <w:rPr>
                      <w:rFonts w:ascii="Arial" w:hAnsi="Arial" w:cs="Arial"/>
                      <w:b/>
                      <w:sz w:val="20"/>
                    </w:rPr>
                    <w:t>20–</w:t>
                  </w:r>
                  <w:r w:rsidR="00E903A3" w:rsidRPr="006A0AD9">
                    <w:rPr>
                      <w:rFonts w:ascii="Arial" w:hAnsi="Arial" w:cs="Arial"/>
                      <w:b/>
                      <w:sz w:val="20"/>
                    </w:rPr>
                    <w:t>24 year olds</w:t>
                  </w:r>
                </w:p>
              </w:tc>
            </w:tr>
            <w:tr w:rsidR="00224388" w:rsidTr="006A0AD9">
              <w:trPr>
                <w:jc w:val="center"/>
              </w:trPr>
              <w:tc>
                <w:tcPr>
                  <w:tcW w:w="5000" w:type="pct"/>
                  <w:tcBorders>
                    <w:top w:val="nil"/>
                    <w:bottom w:val="nil"/>
                  </w:tcBorders>
                </w:tcPr>
                <w:p w:rsidR="00224388" w:rsidRDefault="00F545D4" w:rsidP="006A0AD9">
                  <w:pPr>
                    <w:pStyle w:val="Figure"/>
                    <w:spacing w:before="60" w:after="60"/>
                  </w:pPr>
                  <w:r>
                    <w:rPr>
                      <w:noProof/>
                    </w:rPr>
                    <w:drawing>
                      <wp:inline distT="0" distB="0" distL="0" distR="0">
                        <wp:extent cx="5391150" cy="2683510"/>
                        <wp:effectExtent l="0" t="0" r="0" b="2540"/>
                        <wp:docPr id="19" name="Picture 19" descr="Figure B.14 Completion of year 12 (or equivalent) or Certificate II level or above, by age groups&#10;&#10;20-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r w:rsidR="00E903A3" w:rsidTr="006A0AD9">
              <w:trPr>
                <w:jc w:val="center"/>
              </w:trPr>
              <w:tc>
                <w:tcPr>
                  <w:tcW w:w="5000" w:type="pct"/>
                  <w:tcBorders>
                    <w:top w:val="nil"/>
                    <w:bottom w:val="nil"/>
                  </w:tcBorders>
                </w:tcPr>
                <w:p w:rsidR="00E903A3" w:rsidRPr="006A0AD9" w:rsidRDefault="000760EC" w:rsidP="00E903A3">
                  <w:pPr>
                    <w:pStyle w:val="Figure"/>
                    <w:tabs>
                      <w:tab w:val="left" w:pos="4930"/>
                    </w:tabs>
                    <w:spacing w:before="60" w:after="60"/>
                    <w:rPr>
                      <w:rFonts w:ascii="Arial" w:hAnsi="Arial" w:cs="Arial"/>
                      <w:b/>
                      <w:sz w:val="20"/>
                    </w:rPr>
                  </w:pPr>
                  <w:r>
                    <w:rPr>
                      <w:rFonts w:ascii="Arial" w:hAnsi="Arial" w:cs="Arial"/>
                      <w:b/>
                      <w:sz w:val="20"/>
                    </w:rPr>
                    <w:t>20–</w:t>
                  </w:r>
                  <w:r w:rsidR="00E903A3" w:rsidRPr="006A0AD9">
                    <w:rPr>
                      <w:rFonts w:ascii="Arial" w:hAnsi="Arial" w:cs="Arial"/>
                      <w:b/>
                      <w:sz w:val="20"/>
                    </w:rPr>
                    <w:t>64 year olds</w:t>
                  </w:r>
                </w:p>
              </w:tc>
            </w:tr>
            <w:tr w:rsidR="00224388" w:rsidTr="006A0AD9">
              <w:trPr>
                <w:jc w:val="center"/>
              </w:trPr>
              <w:tc>
                <w:tcPr>
                  <w:tcW w:w="5000" w:type="pct"/>
                  <w:tcBorders>
                    <w:top w:val="nil"/>
                    <w:bottom w:val="nil"/>
                  </w:tcBorders>
                </w:tcPr>
                <w:p w:rsidR="00224388" w:rsidRDefault="00F545D4" w:rsidP="006A0AD9">
                  <w:pPr>
                    <w:pStyle w:val="Figure"/>
                    <w:spacing w:before="60" w:after="60"/>
                  </w:pPr>
                  <w:r>
                    <w:rPr>
                      <w:noProof/>
                    </w:rPr>
                    <w:drawing>
                      <wp:inline distT="0" distB="0" distL="0" distR="0">
                        <wp:extent cx="5391150" cy="2683510"/>
                        <wp:effectExtent l="0" t="0" r="0" b="2540"/>
                        <wp:docPr id="20" name="Picture 20" descr="Figure B.14 Completion of year 12 (or equivalent) or Certificate II level or above, by age groups&#10;&#10;20-6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224388" w:rsidRDefault="00224388" w:rsidP="006A0AD9">
            <w:pPr>
              <w:pStyle w:val="Figure"/>
            </w:pPr>
          </w:p>
        </w:tc>
      </w:tr>
      <w:tr w:rsidR="00224388" w:rsidRPr="00176D3F" w:rsidTr="006A0AD9">
        <w:tc>
          <w:tcPr>
            <w:tcW w:w="8771" w:type="dxa"/>
            <w:tcBorders>
              <w:top w:val="nil"/>
              <w:left w:val="nil"/>
              <w:bottom w:val="nil"/>
              <w:right w:val="nil"/>
            </w:tcBorders>
            <w:shd w:val="clear" w:color="auto" w:fill="auto"/>
          </w:tcPr>
          <w:p w:rsidR="00224388" w:rsidRPr="00176D3F" w:rsidRDefault="00224388" w:rsidP="00FE6B04">
            <w:pPr>
              <w:pStyle w:val="Note"/>
            </w:pPr>
            <w:r w:rsidRPr="00FA0945">
              <w:rPr>
                <w:rStyle w:val="NoteLabel"/>
              </w:rPr>
              <w:t>a</w:t>
            </w:r>
            <w:r w:rsidR="00FE10AC">
              <w:t xml:space="preserve"> See box </w:t>
            </w:r>
            <w:proofErr w:type="spellStart"/>
            <w:r w:rsidR="00FE10AC">
              <w:t>B.6</w:t>
            </w:r>
            <w:proofErr w:type="spellEnd"/>
            <w:r w:rsidR="00FE6B04">
              <w:t xml:space="preserve"> and table </w:t>
            </w:r>
            <w:proofErr w:type="spellStart"/>
            <w:r w:rsidR="00FE6B04">
              <w:t>BA.29</w:t>
            </w:r>
            <w:proofErr w:type="spellEnd"/>
            <w:r w:rsidR="00FE6B04" w:rsidRPr="001B3DAD">
              <w:t xml:space="preserve"> for </w:t>
            </w:r>
            <w:r w:rsidR="00A96B11">
              <w:t>detailed definitions, footnotes and caveats.</w:t>
            </w:r>
          </w:p>
        </w:tc>
      </w:tr>
      <w:tr w:rsidR="00224388" w:rsidRPr="00176D3F" w:rsidTr="006A0AD9">
        <w:tc>
          <w:tcPr>
            <w:tcW w:w="8771" w:type="dxa"/>
            <w:tcBorders>
              <w:top w:val="nil"/>
              <w:left w:val="nil"/>
              <w:bottom w:val="nil"/>
              <w:right w:val="nil"/>
            </w:tcBorders>
            <w:shd w:val="clear" w:color="auto" w:fill="auto"/>
          </w:tcPr>
          <w:p w:rsidR="00224388" w:rsidRPr="00176D3F" w:rsidRDefault="00224388" w:rsidP="006A0AD9">
            <w:pPr>
              <w:pStyle w:val="Source"/>
            </w:pPr>
            <w:r>
              <w:rPr>
                <w:i/>
              </w:rPr>
              <w:t>S</w:t>
            </w:r>
            <w:r w:rsidRPr="00784A05">
              <w:rPr>
                <w:i/>
              </w:rPr>
              <w:t>ource</w:t>
            </w:r>
            <w:r w:rsidRPr="00176D3F">
              <w:t xml:space="preserve">: </w:t>
            </w:r>
            <w:r w:rsidRPr="00224388">
              <w:t xml:space="preserve">ABS </w:t>
            </w:r>
            <w:r w:rsidR="001439BF">
              <w:t>(various years</w:t>
            </w:r>
            <w:r w:rsidRPr="00224388">
              <w:t xml:space="preserve">) </w:t>
            </w:r>
            <w:r w:rsidRPr="00224388">
              <w:rPr>
                <w:i/>
              </w:rPr>
              <w:t>Education and Work</w:t>
            </w:r>
            <w:r w:rsidRPr="00224388">
              <w:t xml:space="preserve">, </w:t>
            </w:r>
            <w:r w:rsidR="00895E07" w:rsidRPr="00895E07">
              <w:rPr>
                <w:i/>
              </w:rPr>
              <w:t>Australia</w:t>
            </w:r>
            <w:r w:rsidR="00825FF5">
              <w:t xml:space="preserve"> </w:t>
            </w:r>
            <w:r w:rsidR="00825FF5" w:rsidRPr="00825FF5">
              <w:rPr>
                <w:i/>
              </w:rPr>
              <w:t>­ Additional data cubes</w:t>
            </w:r>
            <w:r w:rsidR="00895E07" w:rsidRPr="00895E07">
              <w:rPr>
                <w:i/>
              </w:rPr>
              <w:t>, May</w:t>
            </w:r>
            <w:r w:rsidR="00895E07">
              <w:rPr>
                <w:i/>
              </w:rPr>
              <w:t xml:space="preserve"> 2010, 2011, 2012 and </w:t>
            </w:r>
            <w:r w:rsidR="007D4E0E">
              <w:rPr>
                <w:i/>
              </w:rPr>
              <w:t>2013</w:t>
            </w:r>
            <w:r w:rsidRPr="00224388">
              <w:rPr>
                <w:i/>
              </w:rPr>
              <w:t>,</w:t>
            </w:r>
            <w:r w:rsidRPr="00224388">
              <w:t xml:space="preserve"> Cat. n</w:t>
            </w:r>
            <w:r w:rsidR="007D4E0E">
              <w:t>o. 6227.0</w:t>
            </w:r>
            <w:r w:rsidR="00825FF5">
              <w:t>.55.003</w:t>
            </w:r>
            <w:r w:rsidR="00F121A6">
              <w:t xml:space="preserve"> and </w:t>
            </w:r>
            <w:r w:rsidR="00CF72F0">
              <w:t xml:space="preserve">(unpublished) </w:t>
            </w:r>
            <w:r w:rsidR="00CF72F0" w:rsidRPr="00CF72F0">
              <w:rPr>
                <w:i/>
              </w:rPr>
              <w:t>Education and Work, A</w:t>
            </w:r>
            <w:r w:rsidR="00D22ED1">
              <w:rPr>
                <w:i/>
              </w:rPr>
              <w:t>ustralia, May 2014</w:t>
            </w:r>
            <w:r w:rsidR="00CF72F0" w:rsidRPr="00CF72F0">
              <w:rPr>
                <w:i/>
              </w:rPr>
              <w:t>,</w:t>
            </w:r>
            <w:r w:rsidR="00B6482D">
              <w:rPr>
                <w:i/>
              </w:rPr>
              <w:t xml:space="preserve"> </w:t>
            </w:r>
            <w:r w:rsidR="00B6482D" w:rsidRPr="00B6482D">
              <w:t>Cat. no. 6227.0,</w:t>
            </w:r>
            <w:r w:rsidR="007D4E0E" w:rsidRPr="00CF72F0">
              <w:rPr>
                <w:i/>
              </w:rPr>
              <w:t xml:space="preserve"> </w:t>
            </w:r>
            <w:r w:rsidR="0094309F">
              <w:t xml:space="preserve">Canberra; table </w:t>
            </w:r>
            <w:proofErr w:type="spellStart"/>
            <w:r w:rsidR="0094309F">
              <w:t>BA.29</w:t>
            </w:r>
            <w:proofErr w:type="spellEnd"/>
            <w:r w:rsidRPr="00224388">
              <w:t>.</w:t>
            </w:r>
          </w:p>
        </w:tc>
      </w:tr>
      <w:tr w:rsidR="00224388" w:rsidTr="006A0AD9">
        <w:tc>
          <w:tcPr>
            <w:tcW w:w="8771" w:type="dxa"/>
            <w:tcBorders>
              <w:top w:val="nil"/>
              <w:left w:val="nil"/>
              <w:bottom w:val="single" w:sz="6" w:space="0" w:color="78A22F"/>
              <w:right w:val="nil"/>
            </w:tcBorders>
            <w:shd w:val="clear" w:color="auto" w:fill="auto"/>
          </w:tcPr>
          <w:p w:rsidR="00224388" w:rsidRDefault="00224388" w:rsidP="006A0AD9">
            <w:pPr>
              <w:pStyle w:val="Figurespace"/>
            </w:pPr>
          </w:p>
        </w:tc>
      </w:tr>
      <w:tr w:rsidR="00224388" w:rsidRPr="000863A5" w:rsidTr="006A0AD9">
        <w:tc>
          <w:tcPr>
            <w:tcW w:w="8771" w:type="dxa"/>
            <w:tcBorders>
              <w:top w:val="single" w:sz="6" w:space="0" w:color="78A22F"/>
              <w:left w:val="nil"/>
              <w:bottom w:val="nil"/>
              <w:right w:val="nil"/>
            </w:tcBorders>
          </w:tcPr>
          <w:p w:rsidR="00224388" w:rsidRPr="00626D32" w:rsidRDefault="00224388" w:rsidP="006A0AD9">
            <w:pPr>
              <w:pStyle w:val="BoxSpaceBelow"/>
            </w:pPr>
          </w:p>
        </w:tc>
      </w:tr>
    </w:tbl>
    <w:p w:rsidR="00A3185C" w:rsidRPr="00D91E31" w:rsidRDefault="00A3185C" w:rsidP="00A3185C">
      <w:pPr>
        <w:pStyle w:val="BodyText"/>
      </w:pPr>
      <w:r w:rsidRPr="00D91E31">
        <w:t xml:space="preserve">Additional data on the proportion of 20–24 and 20–64 year olds who have completed year 12 </w:t>
      </w:r>
      <w:r w:rsidR="00703A70" w:rsidRPr="00D91E31">
        <w:t xml:space="preserve">(or equivalent) </w:t>
      </w:r>
      <w:r w:rsidRPr="00D91E31">
        <w:t xml:space="preserve">or Certificate II </w:t>
      </w:r>
      <w:r w:rsidR="006723F2">
        <w:t xml:space="preserve">level </w:t>
      </w:r>
      <w:r w:rsidRPr="00D91E31">
        <w:t xml:space="preserve">or above, by SES are presented in </w:t>
      </w:r>
      <w:r w:rsidR="009218FD">
        <w:t xml:space="preserve">table </w:t>
      </w:r>
      <w:proofErr w:type="spellStart"/>
      <w:r w:rsidRPr="00D91E31">
        <w:t>BA.</w:t>
      </w:r>
      <w:r w:rsidR="0094309F" w:rsidRPr="00D91E31">
        <w:t>32</w:t>
      </w:r>
      <w:proofErr w:type="spellEnd"/>
      <w:r w:rsidRPr="00D91E31">
        <w:t xml:space="preserve"> (</w:t>
      </w:r>
      <w:r w:rsidR="009218FD">
        <w:t>survey</w:t>
      </w:r>
      <w:r w:rsidR="009218FD" w:rsidRPr="00D91E31">
        <w:t xml:space="preserve"> </w:t>
      </w:r>
      <w:r w:rsidRPr="00D91E31">
        <w:t xml:space="preserve">data) and </w:t>
      </w:r>
      <w:r w:rsidR="009218FD">
        <w:t xml:space="preserve">table </w:t>
      </w:r>
      <w:proofErr w:type="spellStart"/>
      <w:r w:rsidR="0094309F" w:rsidRPr="00D91E31">
        <w:t>BA.33</w:t>
      </w:r>
      <w:proofErr w:type="spellEnd"/>
      <w:r w:rsidRPr="00D91E31">
        <w:t xml:space="preserve"> (Census data</w:t>
      </w:r>
      <w:r w:rsidR="009218FD">
        <w:t xml:space="preserve"> — </w:t>
      </w:r>
      <w:r w:rsidR="009218FD" w:rsidRPr="00D91E31">
        <w:t>20–24 year olds</w:t>
      </w:r>
      <w:r w:rsidR="009218FD">
        <w:t xml:space="preserve"> only</w:t>
      </w:r>
      <w:r w:rsidRPr="00D91E31">
        <w:t>).</w:t>
      </w:r>
    </w:p>
    <w:p w:rsidR="002B48A3" w:rsidRPr="00D91E31" w:rsidRDefault="001A28CC" w:rsidP="002B48A3">
      <w:pPr>
        <w:pStyle w:val="BodyText"/>
      </w:pPr>
      <w:r>
        <w:lastRenderedPageBreak/>
        <w:t>Census data identifies that</w:t>
      </w:r>
      <w:r w:rsidR="002B48A3">
        <w:t xml:space="preserve"> nationally in 2011,</w:t>
      </w:r>
      <w:r w:rsidR="00281D6C">
        <w:t xml:space="preserve"> 85.0 per cent of 20–24 year olds had completed year 12 </w:t>
      </w:r>
      <w:r w:rsidR="00703A70">
        <w:t xml:space="preserve">(or equivalent) </w:t>
      </w:r>
      <w:r w:rsidR="00281D6C">
        <w:t>or Certificate II level or above. The percentage was higher for non-Indigenous people (86.0 per cent), compared to Aboriginal and Torres Strait Islander people (53.9 per cent)</w:t>
      </w:r>
      <w:r w:rsidR="002663F7">
        <w:t xml:space="preserve"> (</w:t>
      </w:r>
      <w:r w:rsidR="00175D20" w:rsidRPr="004C6DC3">
        <w:t>figure </w:t>
      </w:r>
      <w:proofErr w:type="spellStart"/>
      <w:r w:rsidR="00B318F5">
        <w:t>B.15</w:t>
      </w:r>
      <w:proofErr w:type="spellEnd"/>
      <w:r w:rsidR="00175D20" w:rsidRPr="004C6DC3">
        <w:t>).</w:t>
      </w:r>
      <w:r w:rsidR="002B48A3">
        <w:t xml:space="preserve"> </w:t>
      </w:r>
      <w:r w:rsidR="002B48A3" w:rsidRPr="00D91E31">
        <w:t xml:space="preserve">Additional Census data by Indigenous status and by remoteness area are provided in table </w:t>
      </w:r>
      <w:proofErr w:type="spellStart"/>
      <w:r w:rsidR="002B48A3" w:rsidRPr="00D91E31">
        <w:t>BA.31</w:t>
      </w:r>
      <w:proofErr w:type="spellEnd"/>
      <w:r w:rsidR="002B48A3" w:rsidRPr="00D91E31">
        <w:t xml:space="preserve">. </w:t>
      </w:r>
    </w:p>
    <w:p w:rsidR="00E903A3" w:rsidRDefault="00E903A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03A3" w:rsidTr="006A0AD9">
        <w:tc>
          <w:tcPr>
            <w:tcW w:w="8771" w:type="dxa"/>
            <w:tcBorders>
              <w:top w:val="single" w:sz="6" w:space="0" w:color="78A22F"/>
              <w:left w:val="nil"/>
              <w:bottom w:val="nil"/>
              <w:right w:val="nil"/>
            </w:tcBorders>
            <w:shd w:val="clear" w:color="auto" w:fill="auto"/>
          </w:tcPr>
          <w:p w:rsidR="00E903A3" w:rsidRPr="00B86F7C" w:rsidRDefault="00E903A3" w:rsidP="00B86F7C">
            <w:pPr>
              <w:pStyle w:val="FigureTitle"/>
            </w:pPr>
            <w:r w:rsidRPr="00DB3378">
              <w:rPr>
                <w:b w:val="0"/>
              </w:rPr>
              <w:t xml:space="preserve">Figure </w:t>
            </w:r>
            <w:proofErr w:type="spellStart"/>
            <w:r w:rsidRPr="00DB3378">
              <w:rPr>
                <w:b w:val="0"/>
              </w:rPr>
              <w:t>B.</w:t>
            </w:r>
            <w:r w:rsidR="00501FB3">
              <w:rPr>
                <w:b w:val="0"/>
                <w:noProof/>
              </w:rPr>
              <w:t>15</w:t>
            </w:r>
            <w:proofErr w:type="spellEnd"/>
            <w:r w:rsidRPr="00B86F7C">
              <w:tab/>
              <w:t xml:space="preserve">Proportion of 20–24 year olds who have completed year 12 </w:t>
            </w:r>
            <w:r w:rsidR="00C62248" w:rsidRPr="00B86F7C">
              <w:t>(</w:t>
            </w:r>
            <w:r w:rsidRPr="00B86F7C">
              <w:t>or equivalent</w:t>
            </w:r>
            <w:r w:rsidR="00C62248" w:rsidRPr="00B86F7C">
              <w:t>)</w:t>
            </w:r>
            <w:r w:rsidR="00604ACF" w:rsidRPr="00B86F7C">
              <w:t xml:space="preserve"> or </w:t>
            </w:r>
            <w:r w:rsidR="00A3185C">
              <w:t xml:space="preserve">Certificate </w:t>
            </w:r>
            <w:r w:rsidRPr="00B86F7C">
              <w:t xml:space="preserve">II </w:t>
            </w:r>
            <w:r w:rsidR="00A3185C">
              <w:t xml:space="preserve">level </w:t>
            </w:r>
            <w:r w:rsidRPr="00B86F7C">
              <w:t>or above, by Indigenous status, 2011</w:t>
            </w:r>
            <w:r w:rsidR="00BF3530">
              <w:rPr>
                <w:rStyle w:val="NoteLabel"/>
                <w:b/>
              </w:rPr>
              <w:t>a</w:t>
            </w:r>
          </w:p>
        </w:tc>
      </w:tr>
      <w:tr w:rsidR="00E903A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6A0AD9">
              <w:trPr>
                <w:jc w:val="center"/>
              </w:trPr>
              <w:tc>
                <w:tcPr>
                  <w:tcW w:w="5000" w:type="pct"/>
                  <w:tcBorders>
                    <w:top w:val="nil"/>
                    <w:bottom w:val="nil"/>
                  </w:tcBorders>
                </w:tcPr>
                <w:p w:rsidR="00E903A3" w:rsidRDefault="00ED3AFC" w:rsidP="006A0AD9">
                  <w:pPr>
                    <w:pStyle w:val="Figure"/>
                    <w:spacing w:before="60" w:after="60"/>
                  </w:pPr>
                  <w:r>
                    <w:rPr>
                      <w:noProof/>
                    </w:rPr>
                    <w:drawing>
                      <wp:inline distT="0" distB="0" distL="0" distR="0">
                        <wp:extent cx="5391150" cy="2683510"/>
                        <wp:effectExtent l="0" t="0" r="0" b="2540"/>
                        <wp:docPr id="21" name="Picture 21" descr="Figure B.15 Proportion of 20–24 year olds who have completed year 12 (or equivalent) or Certificate II level or above,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E903A3" w:rsidRDefault="00E903A3" w:rsidP="006A0AD9">
            <w:pPr>
              <w:pStyle w:val="Figure"/>
            </w:pP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BF3530">
            <w:pPr>
              <w:pStyle w:val="Note"/>
            </w:pPr>
            <w:r>
              <w:rPr>
                <w:rStyle w:val="NoteLabel"/>
              </w:rPr>
              <w:t>a</w:t>
            </w:r>
            <w:r>
              <w:t xml:space="preserve"> </w:t>
            </w:r>
            <w:r w:rsidR="00FE10AC">
              <w:t xml:space="preserve">See box </w:t>
            </w:r>
            <w:proofErr w:type="spellStart"/>
            <w:r w:rsidR="00FE10AC">
              <w:t>B.6</w:t>
            </w:r>
            <w:proofErr w:type="spellEnd"/>
            <w:r w:rsidR="00BF3530">
              <w:t xml:space="preserve"> and table </w:t>
            </w:r>
            <w:proofErr w:type="spellStart"/>
            <w:r w:rsidR="00BF3530">
              <w:t>BA.30</w:t>
            </w:r>
            <w:proofErr w:type="spellEnd"/>
            <w:r w:rsidR="00BF3530" w:rsidRPr="001B3DAD">
              <w:t xml:space="preserve"> for </w:t>
            </w:r>
            <w:r w:rsidR="00A96B11">
              <w:t>detailed definitions, footnotes and caveats.</w:t>
            </w: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2B48A3">
            <w:pPr>
              <w:pStyle w:val="Source"/>
            </w:pPr>
            <w:r>
              <w:rPr>
                <w:i/>
              </w:rPr>
              <w:t>S</w:t>
            </w:r>
            <w:r w:rsidRPr="00784A05">
              <w:rPr>
                <w:i/>
              </w:rPr>
              <w:t>ource</w:t>
            </w:r>
            <w:r w:rsidRPr="00176D3F">
              <w:t xml:space="preserve">: </w:t>
            </w:r>
            <w:r w:rsidRPr="00E903A3">
              <w:t xml:space="preserve">ABS (unpublished) </w:t>
            </w:r>
            <w:r w:rsidRPr="00135A8D">
              <w:t>Census of Population and Housing</w:t>
            </w:r>
            <w:r w:rsidR="002B48A3">
              <w:t>, 2011</w:t>
            </w:r>
            <w:r w:rsidR="00604ACF">
              <w:t xml:space="preserve">; table </w:t>
            </w:r>
            <w:proofErr w:type="spellStart"/>
            <w:r w:rsidR="00604ACF">
              <w:t>BA.3</w:t>
            </w:r>
            <w:r w:rsidR="0094309F">
              <w:t>0</w:t>
            </w:r>
            <w:proofErr w:type="spellEnd"/>
            <w:r w:rsidRPr="00E903A3">
              <w:t>.</w:t>
            </w:r>
          </w:p>
        </w:tc>
      </w:tr>
      <w:tr w:rsidR="00E903A3" w:rsidTr="006A0AD9">
        <w:tc>
          <w:tcPr>
            <w:tcW w:w="8771" w:type="dxa"/>
            <w:tcBorders>
              <w:top w:val="nil"/>
              <w:left w:val="nil"/>
              <w:bottom w:val="single" w:sz="6" w:space="0" w:color="78A22F"/>
              <w:right w:val="nil"/>
            </w:tcBorders>
            <w:shd w:val="clear" w:color="auto" w:fill="auto"/>
          </w:tcPr>
          <w:p w:rsidR="00E903A3" w:rsidRDefault="00E903A3" w:rsidP="006A0AD9">
            <w:pPr>
              <w:pStyle w:val="Figurespace"/>
            </w:pPr>
          </w:p>
        </w:tc>
      </w:tr>
      <w:tr w:rsidR="00E903A3" w:rsidRPr="000863A5" w:rsidTr="006A0AD9">
        <w:tc>
          <w:tcPr>
            <w:tcW w:w="8771" w:type="dxa"/>
            <w:tcBorders>
              <w:top w:val="single" w:sz="6" w:space="0" w:color="78A22F"/>
              <w:left w:val="nil"/>
              <w:bottom w:val="nil"/>
              <w:right w:val="nil"/>
            </w:tcBorders>
          </w:tcPr>
          <w:p w:rsidR="00E903A3" w:rsidRPr="00626D32" w:rsidRDefault="00E903A3" w:rsidP="006A0AD9">
            <w:pPr>
              <w:pStyle w:val="BoxSpaceBelow"/>
            </w:pPr>
          </w:p>
        </w:tc>
      </w:tr>
    </w:tbl>
    <w:p w:rsidR="001069B8" w:rsidRPr="001069B8" w:rsidRDefault="001069B8" w:rsidP="001069B8">
      <w:pPr>
        <w:pStyle w:val="Heading5"/>
      </w:pPr>
      <w:r w:rsidRPr="001069B8">
        <w:t>Completion of year 12 (or eq</w:t>
      </w:r>
      <w:r w:rsidR="00184300">
        <w:t xml:space="preserve">uivalent) or </w:t>
      </w:r>
      <w:r w:rsidR="00A3185C">
        <w:t xml:space="preserve">Certificate </w:t>
      </w:r>
      <w:r w:rsidRPr="001069B8">
        <w:t>III</w:t>
      </w:r>
      <w:r w:rsidR="00A3185C">
        <w:t xml:space="preserve"> level</w:t>
      </w:r>
      <w:r w:rsidRPr="001069B8">
        <w:t xml:space="preserve"> or above</w:t>
      </w:r>
      <w:r w:rsidR="00B6482D">
        <w:t xml:space="preserve"> </w:t>
      </w:r>
    </w:p>
    <w:p w:rsidR="004C47E3" w:rsidRPr="005D0764" w:rsidRDefault="004C47E3" w:rsidP="004C47E3">
      <w:pPr>
        <w:pStyle w:val="BodyText"/>
      </w:pPr>
      <w:r w:rsidRPr="005D0764">
        <w:t xml:space="preserve">Nationally in 2014, </w:t>
      </w:r>
      <w:r w:rsidR="00E92FF5">
        <w:t>84</w:t>
      </w:r>
      <w:r w:rsidRPr="005D0764">
        <w:t>.</w:t>
      </w:r>
      <w:r w:rsidR="00E92FF5">
        <w:t>9</w:t>
      </w:r>
      <w:r w:rsidRPr="005D0764">
        <w:t xml:space="preserve"> per cent of 20–24 year olds had completed year 12 (or equivalent) or gained a qualification at Certificate II</w:t>
      </w:r>
      <w:r>
        <w:t>I</w:t>
      </w:r>
      <w:r w:rsidRPr="005D0764">
        <w:t xml:space="preserve"> level or above</w:t>
      </w:r>
      <w:r w:rsidR="00E92FF5">
        <w:t xml:space="preserve"> </w:t>
      </w:r>
      <w:r w:rsidRPr="005D0764">
        <w:t>(figure </w:t>
      </w:r>
      <w:proofErr w:type="spellStart"/>
      <w:r w:rsidR="00B318F5">
        <w:t>B.16</w:t>
      </w:r>
      <w:proofErr w:type="spellEnd"/>
      <w:r w:rsidRPr="005D0764">
        <w:t>).</w:t>
      </w:r>
    </w:p>
    <w:p w:rsidR="002B48A3" w:rsidRPr="00B86F7C" w:rsidRDefault="002B48A3" w:rsidP="002B48A3">
      <w:pPr>
        <w:pStyle w:val="BodyText"/>
      </w:pPr>
      <w:r>
        <w:t>Census</w:t>
      </w:r>
      <w:r w:rsidRPr="00CE6B11">
        <w:t xml:space="preserve"> </w:t>
      </w:r>
      <w:r>
        <w:t>data identifies that t</w:t>
      </w:r>
      <w:r w:rsidRPr="00B86F7C">
        <w:t>he proportion of 20</w:t>
      </w:r>
      <w:r>
        <w:t>–2</w:t>
      </w:r>
      <w:r w:rsidRPr="00B86F7C">
        <w:t>4 year olds</w:t>
      </w:r>
      <w:r>
        <w:t xml:space="preserve"> nationally who had completed year 12 (or equivalent) or Certificate III level or above</w:t>
      </w:r>
      <w:r w:rsidRPr="00B86F7C">
        <w:t xml:space="preserve"> increased between</w:t>
      </w:r>
      <w:r>
        <w:t xml:space="preserve"> 2006 (81.9</w:t>
      </w:r>
      <w:r w:rsidR="00CE064A">
        <w:t> </w:t>
      </w:r>
      <w:r w:rsidR="009F621D" w:rsidRPr="009F621D">
        <w:t>per</w:t>
      </w:r>
      <w:r w:rsidR="009F621D">
        <w:t> </w:t>
      </w:r>
      <w:r w:rsidRPr="009F621D">
        <w:t>cent</w:t>
      </w:r>
      <w:r w:rsidRPr="00B86F7C">
        <w:t xml:space="preserve">) and </w:t>
      </w:r>
      <w:r>
        <w:t>2011 (84.2</w:t>
      </w:r>
      <w:r w:rsidRPr="00B86F7C">
        <w:t xml:space="preserve"> per cent) (</w:t>
      </w:r>
      <w:r>
        <w:t xml:space="preserve">table </w:t>
      </w:r>
      <w:proofErr w:type="spellStart"/>
      <w:r>
        <w:t>BA.35</w:t>
      </w:r>
      <w:proofErr w:type="spellEnd"/>
      <w:r w:rsidRPr="00B86F7C">
        <w:t>).</w:t>
      </w:r>
    </w:p>
    <w:p w:rsidR="004C47E3" w:rsidRPr="000A27DD" w:rsidRDefault="004C47E3" w:rsidP="00896D17">
      <w:pPr>
        <w:pStyle w:val="BodyText"/>
      </w:pPr>
    </w:p>
    <w:p w:rsidR="00E903A3" w:rsidRDefault="00E903A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03A3" w:rsidTr="006A0AD9">
        <w:tc>
          <w:tcPr>
            <w:tcW w:w="8771" w:type="dxa"/>
            <w:tcBorders>
              <w:top w:val="single" w:sz="6" w:space="0" w:color="78A22F"/>
              <w:left w:val="nil"/>
              <w:bottom w:val="nil"/>
              <w:right w:val="nil"/>
            </w:tcBorders>
            <w:shd w:val="clear" w:color="auto" w:fill="auto"/>
          </w:tcPr>
          <w:p w:rsidR="00E903A3" w:rsidRPr="00176D3F" w:rsidRDefault="00E903A3" w:rsidP="004F0299">
            <w:pPr>
              <w:pStyle w:val="FigureTitle"/>
            </w:pPr>
            <w:r w:rsidRPr="00784A05">
              <w:rPr>
                <w:b w:val="0"/>
              </w:rPr>
              <w:t xml:space="preserve">Figure </w:t>
            </w:r>
            <w:proofErr w:type="spellStart"/>
            <w:r>
              <w:rPr>
                <w:b w:val="0"/>
              </w:rPr>
              <w:t>B.</w:t>
            </w:r>
            <w:r w:rsidR="00501FB3">
              <w:rPr>
                <w:b w:val="0"/>
                <w:noProof/>
              </w:rPr>
              <w:t>16</w:t>
            </w:r>
            <w:proofErr w:type="spellEnd"/>
            <w:r>
              <w:tab/>
            </w:r>
            <w:r w:rsidRPr="00E903A3">
              <w:t>Proportion of 20</w:t>
            </w:r>
            <w:r w:rsidR="005F4093">
              <w:t>–</w:t>
            </w:r>
            <w:r w:rsidR="000A27DD">
              <w:t xml:space="preserve">24 year olds who have completed </w:t>
            </w:r>
            <w:r w:rsidRPr="00E903A3">
              <w:t xml:space="preserve">year 12 </w:t>
            </w:r>
            <w:r w:rsidR="000A27DD">
              <w:t>(</w:t>
            </w:r>
            <w:r w:rsidRPr="00E903A3">
              <w:t>or equivalent</w:t>
            </w:r>
            <w:r w:rsidR="000A27DD">
              <w:t>)</w:t>
            </w:r>
            <w:r w:rsidRPr="00E903A3">
              <w:t xml:space="preserve"> o</w:t>
            </w:r>
            <w:r w:rsidR="00D62D5A">
              <w:t xml:space="preserve">r Certificate III </w:t>
            </w:r>
            <w:r w:rsidR="00A3185C">
              <w:t xml:space="preserve">level </w:t>
            </w:r>
            <w:r w:rsidR="00D62D5A">
              <w:t>or above</w:t>
            </w:r>
            <w:r w:rsidR="00BF3530">
              <w:rPr>
                <w:rStyle w:val="NoteLabel"/>
                <w:b/>
              </w:rPr>
              <w:t>a</w:t>
            </w:r>
          </w:p>
        </w:tc>
      </w:tr>
      <w:tr w:rsidR="00E903A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6A0AD9">
              <w:trPr>
                <w:jc w:val="center"/>
              </w:trPr>
              <w:tc>
                <w:tcPr>
                  <w:tcW w:w="5000" w:type="pct"/>
                  <w:tcBorders>
                    <w:top w:val="nil"/>
                    <w:bottom w:val="nil"/>
                  </w:tcBorders>
                </w:tcPr>
                <w:p w:rsidR="00E903A3" w:rsidRDefault="00ED3AFC" w:rsidP="006A0AD9">
                  <w:pPr>
                    <w:pStyle w:val="Figure"/>
                    <w:spacing w:before="60" w:after="60"/>
                  </w:pPr>
                  <w:r>
                    <w:rPr>
                      <w:noProof/>
                    </w:rPr>
                    <w:drawing>
                      <wp:inline distT="0" distB="0" distL="0" distR="0">
                        <wp:extent cx="5391150" cy="2683510"/>
                        <wp:effectExtent l="0" t="0" r="0" b="2540"/>
                        <wp:docPr id="22" name="Picture 22" descr="Figure B.16 Proportion of 20–24 year olds who have completed year 12 (or equivalent) or Certificate III level or abo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E903A3" w:rsidRDefault="00E903A3" w:rsidP="006A0AD9">
            <w:pPr>
              <w:pStyle w:val="Figure"/>
            </w:pP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BF3530">
            <w:pPr>
              <w:pStyle w:val="Note"/>
            </w:pPr>
            <w:r w:rsidRPr="003B3694">
              <w:rPr>
                <w:rStyle w:val="NoteLabel"/>
              </w:rPr>
              <w:t>a</w:t>
            </w:r>
            <w:r w:rsidR="00FE10AC">
              <w:t xml:space="preserve"> See box </w:t>
            </w:r>
            <w:proofErr w:type="spellStart"/>
            <w:r w:rsidR="00FE10AC">
              <w:t>B.6</w:t>
            </w:r>
            <w:proofErr w:type="spellEnd"/>
            <w:r w:rsidR="00BF3530">
              <w:t xml:space="preserve"> and table </w:t>
            </w:r>
            <w:proofErr w:type="spellStart"/>
            <w:r w:rsidR="00BF3530">
              <w:t>BA.34</w:t>
            </w:r>
            <w:proofErr w:type="spellEnd"/>
            <w:r w:rsidR="00BF3530" w:rsidRPr="001B3DAD">
              <w:t xml:space="preserve"> for </w:t>
            </w:r>
            <w:r w:rsidR="00A96B11">
              <w:t>detailed definitions, footnotes and caveats.</w:t>
            </w: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6A0AD9">
            <w:pPr>
              <w:pStyle w:val="Source"/>
            </w:pPr>
            <w:r>
              <w:rPr>
                <w:i/>
              </w:rPr>
              <w:t>S</w:t>
            </w:r>
            <w:r w:rsidRPr="00784A05">
              <w:rPr>
                <w:i/>
              </w:rPr>
              <w:t>ource</w:t>
            </w:r>
            <w:r w:rsidRPr="00176D3F">
              <w:t xml:space="preserve">: </w:t>
            </w:r>
            <w:r w:rsidR="00996D9A">
              <w:t>ABS (various years</w:t>
            </w:r>
            <w:r w:rsidRPr="00E903A3">
              <w:t xml:space="preserve">) </w:t>
            </w:r>
            <w:r w:rsidR="000A27DD">
              <w:rPr>
                <w:i/>
              </w:rPr>
              <w:t xml:space="preserve">Education and Work, </w:t>
            </w:r>
            <w:r w:rsidR="004D2945">
              <w:rPr>
                <w:i/>
              </w:rPr>
              <w:t>Australia</w:t>
            </w:r>
            <w:r w:rsidR="000C050A">
              <w:t xml:space="preserve"> </w:t>
            </w:r>
            <w:r w:rsidR="000C050A">
              <w:rPr>
                <w:i/>
              </w:rPr>
              <w:t>­ Additional data cubes</w:t>
            </w:r>
            <w:r w:rsidR="00B6482D">
              <w:rPr>
                <w:i/>
              </w:rPr>
              <w:t xml:space="preserve">, May </w:t>
            </w:r>
            <w:r w:rsidR="004D2945">
              <w:rPr>
                <w:i/>
              </w:rPr>
              <w:t xml:space="preserve">2010, 2011, 2012 and </w:t>
            </w:r>
            <w:r w:rsidR="000A27DD">
              <w:rPr>
                <w:i/>
              </w:rPr>
              <w:t>2013</w:t>
            </w:r>
            <w:r w:rsidRPr="00E903A3">
              <w:t>, Cat. no. 6227.0</w:t>
            </w:r>
            <w:r w:rsidR="000C050A">
              <w:t>.55.003</w:t>
            </w:r>
            <w:r w:rsidR="00B6482D">
              <w:t xml:space="preserve"> and (unpublished) </w:t>
            </w:r>
            <w:r w:rsidR="00B6482D" w:rsidRPr="00B6482D">
              <w:rPr>
                <w:i/>
              </w:rPr>
              <w:t>Education and Work, Australia, May 2014,</w:t>
            </w:r>
            <w:r w:rsidR="00D22ED1">
              <w:rPr>
                <w:i/>
              </w:rPr>
              <w:t xml:space="preserve"> </w:t>
            </w:r>
            <w:r w:rsidR="00B6482D">
              <w:t>Cat. no. 6227.0</w:t>
            </w:r>
            <w:r w:rsidRPr="00E903A3">
              <w:t>; table</w:t>
            </w:r>
            <w:r w:rsidR="000A27DD">
              <w:t xml:space="preserve"> </w:t>
            </w:r>
            <w:proofErr w:type="spellStart"/>
            <w:r w:rsidR="000A27DD">
              <w:t>BA.3</w:t>
            </w:r>
            <w:r w:rsidR="0094309F">
              <w:t>4</w:t>
            </w:r>
            <w:proofErr w:type="spellEnd"/>
            <w:r w:rsidRPr="00E903A3">
              <w:t>.</w:t>
            </w:r>
          </w:p>
        </w:tc>
      </w:tr>
      <w:tr w:rsidR="00E903A3" w:rsidTr="006A0AD9">
        <w:tc>
          <w:tcPr>
            <w:tcW w:w="8771" w:type="dxa"/>
            <w:tcBorders>
              <w:top w:val="nil"/>
              <w:left w:val="nil"/>
              <w:bottom w:val="single" w:sz="6" w:space="0" w:color="78A22F"/>
              <w:right w:val="nil"/>
            </w:tcBorders>
            <w:shd w:val="clear" w:color="auto" w:fill="auto"/>
          </w:tcPr>
          <w:p w:rsidR="00E903A3" w:rsidRDefault="00E903A3" w:rsidP="006A0AD9">
            <w:pPr>
              <w:pStyle w:val="Figurespace"/>
            </w:pPr>
          </w:p>
        </w:tc>
      </w:tr>
      <w:tr w:rsidR="00E903A3" w:rsidRPr="000863A5" w:rsidTr="006A0AD9">
        <w:tc>
          <w:tcPr>
            <w:tcW w:w="8771" w:type="dxa"/>
            <w:tcBorders>
              <w:top w:val="single" w:sz="6" w:space="0" w:color="78A22F"/>
              <w:left w:val="nil"/>
              <w:bottom w:val="nil"/>
              <w:right w:val="nil"/>
            </w:tcBorders>
          </w:tcPr>
          <w:p w:rsidR="00E903A3" w:rsidRPr="00626D32" w:rsidRDefault="00E903A3" w:rsidP="006A0AD9">
            <w:pPr>
              <w:pStyle w:val="BoxSpaceBelow"/>
            </w:pPr>
          </w:p>
        </w:tc>
      </w:tr>
    </w:tbl>
    <w:p w:rsidR="001069B8" w:rsidRDefault="001069B8" w:rsidP="001069B8">
      <w:pPr>
        <w:pStyle w:val="Heading5"/>
      </w:pPr>
      <w:r>
        <w:t xml:space="preserve">Population </w:t>
      </w:r>
      <w:r w:rsidR="00F94901">
        <w:t xml:space="preserve">with qualifications at </w:t>
      </w:r>
      <w:r>
        <w:t xml:space="preserve">Certificate </w:t>
      </w:r>
      <w:r w:rsidR="00672E67">
        <w:t>II</w:t>
      </w:r>
      <w:r w:rsidR="003851AA">
        <w:t>I level or above</w:t>
      </w:r>
    </w:p>
    <w:p w:rsidR="00540202" w:rsidRDefault="002F003B" w:rsidP="007C4908">
      <w:pPr>
        <w:pStyle w:val="BodyText"/>
      </w:pPr>
      <w:r w:rsidRPr="000F5A5E">
        <w:t>Nationally</w:t>
      </w:r>
      <w:r w:rsidR="00FC0D40" w:rsidRPr="000F5A5E">
        <w:t xml:space="preserve"> in 201</w:t>
      </w:r>
      <w:r w:rsidR="00F121A6">
        <w:t>4</w:t>
      </w:r>
      <w:r w:rsidR="00FC0D40" w:rsidRPr="000F5A5E">
        <w:t>,</w:t>
      </w:r>
      <w:r w:rsidRPr="000F5A5E">
        <w:t xml:space="preserve"> </w:t>
      </w:r>
      <w:r w:rsidR="009E7087">
        <w:t>57.5</w:t>
      </w:r>
      <w:r w:rsidR="001069B8">
        <w:t xml:space="preserve"> </w:t>
      </w:r>
      <w:r w:rsidR="00281E24" w:rsidRPr="000F5A5E">
        <w:t>per </w:t>
      </w:r>
      <w:r w:rsidR="00540202" w:rsidRPr="000F5A5E">
        <w:t xml:space="preserve">cent of </w:t>
      </w:r>
      <w:r w:rsidR="007765F9" w:rsidRPr="000F5A5E">
        <w:t>20</w:t>
      </w:r>
      <w:r w:rsidR="00FC0D40" w:rsidRPr="000F5A5E">
        <w:t>–</w:t>
      </w:r>
      <w:r w:rsidR="007B3338">
        <w:t>64 year olds</w:t>
      </w:r>
      <w:r w:rsidR="00540202" w:rsidRPr="000F5A5E">
        <w:t xml:space="preserve"> </w:t>
      </w:r>
      <w:r w:rsidRPr="000F5A5E">
        <w:t xml:space="preserve">had </w:t>
      </w:r>
      <w:r w:rsidR="003F74DD" w:rsidRPr="000F5A5E">
        <w:t>a qualification at C</w:t>
      </w:r>
      <w:r w:rsidR="00540202" w:rsidRPr="000F5A5E">
        <w:t>ertificate III</w:t>
      </w:r>
      <w:r w:rsidR="003851AA">
        <w:t xml:space="preserve"> level</w:t>
      </w:r>
      <w:r w:rsidR="00540202" w:rsidRPr="000F5A5E">
        <w:t xml:space="preserve"> </w:t>
      </w:r>
      <w:r w:rsidR="003851AA">
        <w:t xml:space="preserve">or above </w:t>
      </w:r>
      <w:r w:rsidR="00540202" w:rsidRPr="000F5A5E">
        <w:t xml:space="preserve">(figure </w:t>
      </w:r>
      <w:proofErr w:type="spellStart"/>
      <w:r w:rsidR="00B318F5">
        <w:t>B.17</w:t>
      </w:r>
      <w:proofErr w:type="spellEnd"/>
      <w:r w:rsidR="00540202" w:rsidRPr="000F5A5E">
        <w:t>).</w:t>
      </w:r>
    </w:p>
    <w:p w:rsidR="00152B82" w:rsidRPr="009E7D11" w:rsidRDefault="00152B82" w:rsidP="00152B82">
      <w:pPr>
        <w:pStyle w:val="BodyText"/>
      </w:pPr>
      <w:r w:rsidRPr="009E7D11">
        <w:t xml:space="preserve">Census data </w:t>
      </w:r>
      <w:r>
        <w:t xml:space="preserve">identifies that </w:t>
      </w:r>
      <w:r w:rsidRPr="009E7D11">
        <w:t xml:space="preserve">the proportion of 20–64 year olds who had Certificate III level or above qualifications increased </w:t>
      </w:r>
      <w:r>
        <w:t xml:space="preserve">nationally </w:t>
      </w:r>
      <w:r w:rsidRPr="009E7D11">
        <w:t>from 48.3 per cent in 2006 to 54.2 per cent in 2011 (</w:t>
      </w:r>
      <w:r>
        <w:t xml:space="preserve">table </w:t>
      </w:r>
      <w:proofErr w:type="spellStart"/>
      <w:r>
        <w:t>BA.38</w:t>
      </w:r>
      <w:proofErr w:type="spellEnd"/>
      <w:r w:rsidRPr="009E7D11">
        <w:t>).</w:t>
      </w:r>
      <w:r>
        <w:t xml:space="preserve"> Across all jurisdictions, the proportion was higher for non-Indigenous people (54.8 per cent) compared to </w:t>
      </w:r>
      <w:r w:rsidRPr="0031136C">
        <w:t xml:space="preserve">Aboriginal and Torres Strait Islander </w:t>
      </w:r>
      <w:r w:rsidR="00CE064A">
        <w:t>people (29.6 </w:t>
      </w:r>
      <w:r w:rsidR="006F1B66">
        <w:t>per </w:t>
      </w:r>
      <w:r>
        <w:t>cent)</w:t>
      </w:r>
      <w:r w:rsidRPr="0031136C">
        <w:t xml:space="preserve"> (figure </w:t>
      </w:r>
      <w:proofErr w:type="spellStart"/>
      <w:r w:rsidR="00B318F5">
        <w:t>B.18</w:t>
      </w:r>
      <w:proofErr w:type="spellEnd"/>
      <w:r w:rsidRPr="0031136C">
        <w:t>).</w:t>
      </w:r>
    </w:p>
    <w:p w:rsidR="00152B82" w:rsidRPr="000F5A5E" w:rsidRDefault="00152B82" w:rsidP="007C4908">
      <w:pPr>
        <w:pStyle w:val="BodyText"/>
      </w:pPr>
    </w:p>
    <w:p w:rsidR="0014392C" w:rsidRDefault="0014392C"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92C" w:rsidTr="006A0AD9">
        <w:tc>
          <w:tcPr>
            <w:tcW w:w="8771" w:type="dxa"/>
            <w:tcBorders>
              <w:top w:val="single" w:sz="6" w:space="0" w:color="78A22F"/>
              <w:left w:val="nil"/>
              <w:bottom w:val="nil"/>
              <w:right w:val="nil"/>
            </w:tcBorders>
            <w:shd w:val="clear" w:color="auto" w:fill="auto"/>
          </w:tcPr>
          <w:p w:rsidR="0014392C" w:rsidRPr="00176D3F" w:rsidRDefault="0014392C" w:rsidP="005E1AF3">
            <w:pPr>
              <w:pStyle w:val="FigureTitle"/>
            </w:pPr>
            <w:r w:rsidRPr="00784A05">
              <w:rPr>
                <w:b w:val="0"/>
              </w:rPr>
              <w:t xml:space="preserve">Figure </w:t>
            </w:r>
            <w:proofErr w:type="spellStart"/>
            <w:r>
              <w:rPr>
                <w:b w:val="0"/>
              </w:rPr>
              <w:t>B.</w:t>
            </w:r>
            <w:r w:rsidR="00501FB3">
              <w:rPr>
                <w:b w:val="0"/>
                <w:noProof/>
              </w:rPr>
              <w:t>17</w:t>
            </w:r>
            <w:proofErr w:type="spellEnd"/>
            <w:r>
              <w:tab/>
            </w:r>
            <w:r w:rsidRPr="0014392C">
              <w:t>Proportion of 20</w:t>
            </w:r>
            <w:r w:rsidR="005F4093">
              <w:t>–</w:t>
            </w:r>
            <w:r w:rsidRPr="0014392C">
              <w:t>64 year olds with qualifications a</w:t>
            </w:r>
            <w:r w:rsidR="00996D9A">
              <w:t xml:space="preserve">t </w:t>
            </w:r>
            <w:r w:rsidR="003851AA">
              <w:t xml:space="preserve">Certificate </w:t>
            </w:r>
            <w:r w:rsidR="00996D9A">
              <w:t>III</w:t>
            </w:r>
            <w:r w:rsidR="003851AA">
              <w:t xml:space="preserve"> level or above</w:t>
            </w:r>
            <w:r w:rsidR="00517F8D">
              <w:rPr>
                <w:rStyle w:val="NoteLabel"/>
                <w:b/>
              </w:rPr>
              <w:t>a</w:t>
            </w:r>
            <w:r w:rsidR="00F121A6">
              <w:rPr>
                <w:rStyle w:val="NoteLabel"/>
                <w:b/>
              </w:rPr>
              <w:t xml:space="preserve"> </w:t>
            </w:r>
          </w:p>
        </w:tc>
      </w:tr>
      <w:tr w:rsidR="0014392C"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92C" w:rsidTr="006A0AD9">
              <w:trPr>
                <w:jc w:val="center"/>
              </w:trPr>
              <w:tc>
                <w:tcPr>
                  <w:tcW w:w="5000" w:type="pct"/>
                  <w:tcBorders>
                    <w:top w:val="nil"/>
                    <w:bottom w:val="nil"/>
                  </w:tcBorders>
                </w:tcPr>
                <w:p w:rsidR="0014392C" w:rsidRDefault="00ED3AFC" w:rsidP="006A0AD9">
                  <w:pPr>
                    <w:pStyle w:val="Figure"/>
                    <w:spacing w:before="60" w:after="60"/>
                  </w:pPr>
                  <w:r>
                    <w:rPr>
                      <w:noProof/>
                    </w:rPr>
                    <w:drawing>
                      <wp:inline distT="0" distB="0" distL="0" distR="0">
                        <wp:extent cx="5391150" cy="2683510"/>
                        <wp:effectExtent l="0" t="0" r="0" b="2540"/>
                        <wp:docPr id="23" name="Picture 23" descr="Figure B.17 Proportion of 20–64 year olds with qualifications at Certificate III level or abo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4392C" w:rsidRDefault="0014392C" w:rsidP="006A0AD9">
            <w:pPr>
              <w:pStyle w:val="Figure"/>
            </w:pPr>
          </w:p>
        </w:tc>
      </w:tr>
      <w:tr w:rsidR="0014392C" w:rsidRPr="00176D3F" w:rsidTr="006A0AD9">
        <w:tc>
          <w:tcPr>
            <w:tcW w:w="8771" w:type="dxa"/>
            <w:tcBorders>
              <w:top w:val="nil"/>
              <w:left w:val="nil"/>
              <w:bottom w:val="nil"/>
              <w:right w:val="nil"/>
            </w:tcBorders>
            <w:shd w:val="clear" w:color="auto" w:fill="auto"/>
          </w:tcPr>
          <w:p w:rsidR="0014392C" w:rsidRPr="00176D3F" w:rsidRDefault="00FB6596" w:rsidP="00517F8D">
            <w:pPr>
              <w:pStyle w:val="Note"/>
            </w:pPr>
            <w:r w:rsidRPr="003B3694">
              <w:rPr>
                <w:rStyle w:val="NoteLabel"/>
              </w:rPr>
              <w:t>a</w:t>
            </w:r>
            <w:r w:rsidR="00FE10AC">
              <w:t xml:space="preserve"> See box </w:t>
            </w:r>
            <w:proofErr w:type="spellStart"/>
            <w:r w:rsidR="00FE10AC">
              <w:t>B.6</w:t>
            </w:r>
            <w:proofErr w:type="spellEnd"/>
            <w:r w:rsidR="00517F8D">
              <w:t xml:space="preserve"> and table </w:t>
            </w:r>
            <w:proofErr w:type="spellStart"/>
            <w:r w:rsidR="00517F8D">
              <w:t>BA.37</w:t>
            </w:r>
            <w:proofErr w:type="spellEnd"/>
            <w:r w:rsidR="00517F8D" w:rsidRPr="001B3DAD">
              <w:t xml:space="preserve"> for </w:t>
            </w:r>
            <w:r w:rsidR="00A96B11">
              <w:t>detailed definitions, footnotes and caveats.</w:t>
            </w:r>
          </w:p>
        </w:tc>
      </w:tr>
      <w:tr w:rsidR="0014392C" w:rsidRPr="00176D3F" w:rsidTr="006A0AD9">
        <w:tc>
          <w:tcPr>
            <w:tcW w:w="8771" w:type="dxa"/>
            <w:tcBorders>
              <w:top w:val="nil"/>
              <w:left w:val="nil"/>
              <w:bottom w:val="nil"/>
              <w:right w:val="nil"/>
            </w:tcBorders>
            <w:shd w:val="clear" w:color="auto" w:fill="auto"/>
          </w:tcPr>
          <w:p w:rsidR="0014392C" w:rsidRPr="00176D3F" w:rsidRDefault="0014392C" w:rsidP="006A0AD9">
            <w:pPr>
              <w:pStyle w:val="Source"/>
            </w:pPr>
            <w:r>
              <w:rPr>
                <w:i/>
              </w:rPr>
              <w:t>S</w:t>
            </w:r>
            <w:r w:rsidRPr="00784A05">
              <w:rPr>
                <w:i/>
              </w:rPr>
              <w:t>ource</w:t>
            </w:r>
            <w:r w:rsidRPr="00176D3F">
              <w:t xml:space="preserve">: </w:t>
            </w:r>
            <w:r w:rsidR="00996D9A">
              <w:t>ABS (various years</w:t>
            </w:r>
            <w:r w:rsidRPr="000F5A5E">
              <w:t xml:space="preserve">) </w:t>
            </w:r>
            <w:r w:rsidR="000F5A5E" w:rsidRPr="000F5A5E">
              <w:rPr>
                <w:i/>
              </w:rPr>
              <w:t xml:space="preserve">Education and Work, </w:t>
            </w:r>
            <w:r w:rsidR="00895E07">
              <w:rPr>
                <w:i/>
              </w:rPr>
              <w:t>Australia</w:t>
            </w:r>
            <w:r w:rsidR="00146323">
              <w:t xml:space="preserve"> </w:t>
            </w:r>
            <w:r w:rsidR="00146323">
              <w:rPr>
                <w:i/>
              </w:rPr>
              <w:t>­ Additional data cubes</w:t>
            </w:r>
            <w:r w:rsidR="00B870A9">
              <w:rPr>
                <w:i/>
              </w:rPr>
              <w:t xml:space="preserve">, May </w:t>
            </w:r>
            <w:r w:rsidR="00895E07">
              <w:rPr>
                <w:i/>
              </w:rPr>
              <w:t xml:space="preserve">2010, 2011, 2012 and </w:t>
            </w:r>
            <w:r w:rsidR="000F5A5E" w:rsidRPr="000F5A5E">
              <w:rPr>
                <w:i/>
              </w:rPr>
              <w:t>2013</w:t>
            </w:r>
            <w:r w:rsidRPr="000F5A5E">
              <w:rPr>
                <w:i/>
              </w:rPr>
              <w:t>,</w:t>
            </w:r>
            <w:r w:rsidR="000F5A5E" w:rsidRPr="000F5A5E">
              <w:t xml:space="preserve"> Cat. no. 6227.0</w:t>
            </w:r>
            <w:r w:rsidR="00146323">
              <w:t>.55.003</w:t>
            </w:r>
            <w:r w:rsidR="00F121A6">
              <w:t xml:space="preserve"> and (unpublished) </w:t>
            </w:r>
            <w:r w:rsidR="00F121A6" w:rsidRPr="00B6482D">
              <w:rPr>
                <w:i/>
              </w:rPr>
              <w:t>Educatio</w:t>
            </w:r>
            <w:r w:rsidR="003851AA">
              <w:rPr>
                <w:i/>
              </w:rPr>
              <w:t xml:space="preserve">n and Work, Australia, May 2014, </w:t>
            </w:r>
            <w:r w:rsidR="00F121A6">
              <w:t>Cat. no. 6227.0</w:t>
            </w:r>
            <w:r w:rsidR="00A96FE7">
              <w:t>; t</w:t>
            </w:r>
            <w:r w:rsidR="000F5A5E" w:rsidRPr="000F5A5E">
              <w:t xml:space="preserve">able </w:t>
            </w:r>
            <w:proofErr w:type="spellStart"/>
            <w:r w:rsidR="000F5A5E" w:rsidRPr="000F5A5E">
              <w:t>BA.3</w:t>
            </w:r>
            <w:r w:rsidR="0094309F">
              <w:t>7</w:t>
            </w:r>
            <w:proofErr w:type="spellEnd"/>
            <w:r w:rsidRPr="000F5A5E">
              <w:t>.</w:t>
            </w:r>
          </w:p>
        </w:tc>
      </w:tr>
      <w:tr w:rsidR="0014392C" w:rsidTr="006A0AD9">
        <w:tc>
          <w:tcPr>
            <w:tcW w:w="8771" w:type="dxa"/>
            <w:tcBorders>
              <w:top w:val="nil"/>
              <w:left w:val="nil"/>
              <w:bottom w:val="single" w:sz="6" w:space="0" w:color="78A22F"/>
              <w:right w:val="nil"/>
            </w:tcBorders>
            <w:shd w:val="clear" w:color="auto" w:fill="auto"/>
          </w:tcPr>
          <w:p w:rsidR="0014392C" w:rsidRDefault="0014392C" w:rsidP="006A0AD9">
            <w:pPr>
              <w:pStyle w:val="Figurespace"/>
            </w:pPr>
          </w:p>
        </w:tc>
      </w:tr>
      <w:tr w:rsidR="0014392C" w:rsidRPr="000863A5" w:rsidTr="006A0AD9">
        <w:tc>
          <w:tcPr>
            <w:tcW w:w="8771" w:type="dxa"/>
            <w:tcBorders>
              <w:top w:val="single" w:sz="6" w:space="0" w:color="78A22F"/>
              <w:left w:val="nil"/>
              <w:bottom w:val="nil"/>
              <w:right w:val="nil"/>
            </w:tcBorders>
          </w:tcPr>
          <w:p w:rsidR="0014392C" w:rsidRPr="00626D32" w:rsidRDefault="0014392C" w:rsidP="006A0AD9">
            <w:pPr>
              <w:pStyle w:val="BoxSpaceBelow"/>
            </w:pPr>
          </w:p>
        </w:tc>
      </w:tr>
    </w:tbl>
    <w:p w:rsidR="004344C6" w:rsidRDefault="004344C6"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44C6" w:rsidTr="006A0AD9">
        <w:tc>
          <w:tcPr>
            <w:tcW w:w="8771" w:type="dxa"/>
            <w:tcBorders>
              <w:top w:val="single" w:sz="6" w:space="0" w:color="78A22F"/>
              <w:left w:val="nil"/>
              <w:bottom w:val="nil"/>
              <w:right w:val="nil"/>
            </w:tcBorders>
            <w:shd w:val="clear" w:color="auto" w:fill="auto"/>
          </w:tcPr>
          <w:p w:rsidR="004344C6" w:rsidRPr="00176D3F" w:rsidRDefault="004344C6" w:rsidP="00415DBB">
            <w:pPr>
              <w:pStyle w:val="FigureTitle"/>
            </w:pPr>
            <w:r w:rsidRPr="00784A05">
              <w:rPr>
                <w:b w:val="0"/>
              </w:rPr>
              <w:t xml:space="preserve">Figure </w:t>
            </w:r>
            <w:proofErr w:type="spellStart"/>
            <w:r>
              <w:rPr>
                <w:b w:val="0"/>
              </w:rPr>
              <w:t>B.</w:t>
            </w:r>
            <w:r w:rsidR="00501FB3">
              <w:rPr>
                <w:b w:val="0"/>
                <w:noProof/>
              </w:rPr>
              <w:t>18</w:t>
            </w:r>
            <w:proofErr w:type="spellEnd"/>
            <w:r>
              <w:tab/>
            </w:r>
            <w:r w:rsidRPr="008153C5">
              <w:t>Proportion of 20–64 y</w:t>
            </w:r>
            <w:r w:rsidR="00120F49">
              <w:t>ear olds with qualifications at</w:t>
            </w:r>
            <w:r w:rsidR="00415DBB">
              <w:t xml:space="preserve"> </w:t>
            </w:r>
            <w:r w:rsidRPr="008153C5">
              <w:t>Certificate III</w:t>
            </w:r>
            <w:r w:rsidR="00415DBB">
              <w:t xml:space="preserve"> level or above</w:t>
            </w:r>
            <w:r w:rsidRPr="008153C5">
              <w:t>, by Indigenous status, 2011</w:t>
            </w:r>
            <w:r w:rsidR="00517F8D">
              <w:rPr>
                <w:rStyle w:val="NoteLabel"/>
                <w:b/>
              </w:rPr>
              <w:t>a</w:t>
            </w:r>
          </w:p>
        </w:tc>
      </w:tr>
      <w:tr w:rsidR="004344C6"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344C6" w:rsidTr="006A0AD9">
              <w:trPr>
                <w:jc w:val="center"/>
              </w:trPr>
              <w:tc>
                <w:tcPr>
                  <w:tcW w:w="5000" w:type="pct"/>
                  <w:tcBorders>
                    <w:top w:val="nil"/>
                    <w:bottom w:val="nil"/>
                  </w:tcBorders>
                </w:tcPr>
                <w:p w:rsidR="004344C6" w:rsidRDefault="00ED3AFC" w:rsidP="006A0AD9">
                  <w:pPr>
                    <w:pStyle w:val="Figure"/>
                    <w:spacing w:before="60" w:after="60"/>
                  </w:pPr>
                  <w:r>
                    <w:rPr>
                      <w:noProof/>
                    </w:rPr>
                    <w:drawing>
                      <wp:inline distT="0" distB="0" distL="0" distR="0">
                        <wp:extent cx="5391150" cy="2683510"/>
                        <wp:effectExtent l="0" t="0" r="0" b="2540"/>
                        <wp:docPr id="24" name="Picture 24" descr="Figure B.18 Proportion of 20–64 year olds with qualifications at Certificate III level or above,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4344C6" w:rsidRDefault="004344C6" w:rsidP="006A0AD9">
            <w:pPr>
              <w:pStyle w:val="Figure"/>
            </w:pPr>
          </w:p>
        </w:tc>
      </w:tr>
      <w:tr w:rsidR="004344C6" w:rsidRPr="00176D3F" w:rsidTr="006A0AD9">
        <w:tc>
          <w:tcPr>
            <w:tcW w:w="8771" w:type="dxa"/>
            <w:tcBorders>
              <w:top w:val="nil"/>
              <w:left w:val="nil"/>
              <w:bottom w:val="nil"/>
              <w:right w:val="nil"/>
            </w:tcBorders>
            <w:shd w:val="clear" w:color="auto" w:fill="auto"/>
          </w:tcPr>
          <w:p w:rsidR="004344C6" w:rsidRPr="00176D3F" w:rsidRDefault="004344C6" w:rsidP="00517F8D">
            <w:pPr>
              <w:pStyle w:val="Note"/>
            </w:pPr>
            <w:r>
              <w:rPr>
                <w:rStyle w:val="NoteLabel"/>
              </w:rPr>
              <w:t>a</w:t>
            </w:r>
            <w:r>
              <w:t xml:space="preserve"> </w:t>
            </w:r>
            <w:r w:rsidR="00941101">
              <w:t xml:space="preserve">See box </w:t>
            </w:r>
            <w:proofErr w:type="spellStart"/>
            <w:r w:rsidR="00941101">
              <w:t>B.7</w:t>
            </w:r>
            <w:proofErr w:type="spellEnd"/>
            <w:r w:rsidR="00517F8D">
              <w:t xml:space="preserve"> and table </w:t>
            </w:r>
            <w:proofErr w:type="spellStart"/>
            <w:r w:rsidR="00517F8D">
              <w:t>BA.39</w:t>
            </w:r>
            <w:proofErr w:type="spellEnd"/>
            <w:r w:rsidR="00517F8D" w:rsidRPr="001B3DAD">
              <w:t xml:space="preserve"> for </w:t>
            </w:r>
            <w:r w:rsidR="00A96B11">
              <w:t>detailed definitions, footnotes and caveats.</w:t>
            </w:r>
          </w:p>
        </w:tc>
      </w:tr>
      <w:tr w:rsidR="004344C6" w:rsidRPr="00176D3F" w:rsidTr="006A0AD9">
        <w:tc>
          <w:tcPr>
            <w:tcW w:w="8771" w:type="dxa"/>
            <w:tcBorders>
              <w:top w:val="nil"/>
              <w:left w:val="nil"/>
              <w:bottom w:val="nil"/>
              <w:right w:val="nil"/>
            </w:tcBorders>
            <w:shd w:val="clear" w:color="auto" w:fill="auto"/>
          </w:tcPr>
          <w:p w:rsidR="004344C6" w:rsidRPr="00176D3F" w:rsidRDefault="00A74F69" w:rsidP="006A0AD9">
            <w:pPr>
              <w:pStyle w:val="Source"/>
            </w:pPr>
            <w:r w:rsidRPr="008153C5">
              <w:rPr>
                <w:i/>
              </w:rPr>
              <w:t>S</w:t>
            </w:r>
            <w:r w:rsidR="004344C6" w:rsidRPr="008153C5">
              <w:rPr>
                <w:i/>
              </w:rPr>
              <w:t>ource</w:t>
            </w:r>
            <w:r w:rsidR="004344C6" w:rsidRPr="008153C5">
              <w:t xml:space="preserve">: </w:t>
            </w:r>
            <w:r w:rsidRPr="008153C5">
              <w:t xml:space="preserve">ABS (unpublished) </w:t>
            </w:r>
            <w:r w:rsidRPr="00135A8D">
              <w:t>Census of Population and Housing</w:t>
            </w:r>
            <w:r w:rsidR="00152B82">
              <w:t>, 2011</w:t>
            </w:r>
            <w:r w:rsidR="0090072A" w:rsidRPr="00152B82">
              <w:t>;</w:t>
            </w:r>
            <w:r w:rsidR="0090072A">
              <w:t xml:space="preserve"> table </w:t>
            </w:r>
            <w:proofErr w:type="spellStart"/>
            <w:r w:rsidR="0090072A">
              <w:t>BA.39</w:t>
            </w:r>
            <w:proofErr w:type="spellEnd"/>
            <w:r w:rsidRPr="008153C5">
              <w:t>.</w:t>
            </w:r>
          </w:p>
        </w:tc>
      </w:tr>
      <w:tr w:rsidR="004344C6" w:rsidRPr="000863A5" w:rsidTr="006A0AD9">
        <w:tc>
          <w:tcPr>
            <w:tcW w:w="8771" w:type="dxa"/>
            <w:tcBorders>
              <w:top w:val="single" w:sz="6" w:space="0" w:color="78A22F"/>
              <w:left w:val="nil"/>
              <w:bottom w:val="nil"/>
              <w:right w:val="nil"/>
            </w:tcBorders>
          </w:tcPr>
          <w:p w:rsidR="004344C6" w:rsidRPr="00626D32" w:rsidRDefault="004344C6" w:rsidP="006A0AD9">
            <w:pPr>
              <w:pStyle w:val="BoxSpaceBelow"/>
            </w:pPr>
          </w:p>
        </w:tc>
      </w:tr>
    </w:tbl>
    <w:p w:rsidR="005C79D1" w:rsidRPr="007A0405" w:rsidRDefault="00EB3ACE" w:rsidP="009407E0">
      <w:pPr>
        <w:pStyle w:val="BodyText"/>
      </w:pPr>
      <w:r w:rsidRPr="007A0405">
        <w:lastRenderedPageBreak/>
        <w:t>The proportion</w:t>
      </w:r>
      <w:r w:rsidR="002F003B" w:rsidRPr="007A0405">
        <w:t xml:space="preserve"> of 20</w:t>
      </w:r>
      <w:r w:rsidR="00FC0D40" w:rsidRPr="007A0405">
        <w:t>–</w:t>
      </w:r>
      <w:r w:rsidR="002F003B" w:rsidRPr="007A0405">
        <w:t>64 year olds with</w:t>
      </w:r>
      <w:r w:rsidRPr="007A0405">
        <w:t xml:space="preserve"> qualifications </w:t>
      </w:r>
      <w:r w:rsidR="007A0405" w:rsidRPr="007A0405">
        <w:t xml:space="preserve">at </w:t>
      </w:r>
      <w:r w:rsidR="003F74DD" w:rsidRPr="007A0405">
        <w:t>C</w:t>
      </w:r>
      <w:r w:rsidR="006723F2">
        <w:t>ertificate</w:t>
      </w:r>
      <w:r w:rsidR="00746667" w:rsidRPr="007A0405">
        <w:t xml:space="preserve"> III </w:t>
      </w:r>
      <w:r w:rsidR="006723F2">
        <w:t xml:space="preserve">level </w:t>
      </w:r>
      <w:r w:rsidR="00746667" w:rsidRPr="007A0405">
        <w:t xml:space="preserve">or above </w:t>
      </w:r>
      <w:r w:rsidR="00C844C8" w:rsidRPr="007A0405">
        <w:t xml:space="preserve">by </w:t>
      </w:r>
      <w:r w:rsidR="00A24497" w:rsidRPr="007A0405">
        <w:t>SES</w:t>
      </w:r>
      <w:r w:rsidR="00657B66" w:rsidRPr="007A0405">
        <w:t xml:space="preserve"> are presented in table</w:t>
      </w:r>
      <w:r w:rsidR="00FC0D40" w:rsidRPr="007A0405">
        <w:t> </w:t>
      </w:r>
      <w:proofErr w:type="spellStart"/>
      <w:r w:rsidR="00C844C8" w:rsidRPr="007A0405">
        <w:t>BA.</w:t>
      </w:r>
      <w:r w:rsidR="0090072A" w:rsidRPr="007A0405">
        <w:t>40</w:t>
      </w:r>
      <w:proofErr w:type="spellEnd"/>
      <w:r w:rsidRPr="007A0405">
        <w:t>. Nationally and in all jurisdictions, in 201</w:t>
      </w:r>
      <w:r w:rsidR="0097307D" w:rsidRPr="007A0405">
        <w:t>4</w:t>
      </w:r>
      <w:r w:rsidRPr="007A0405">
        <w:t>, 20</w:t>
      </w:r>
      <w:r w:rsidR="00FC0D40" w:rsidRPr="007A0405">
        <w:t>–</w:t>
      </w:r>
      <w:r w:rsidRPr="007A0405">
        <w:t>64 year olds from geographic areas of most socioeconomic disadvantage (</w:t>
      </w:r>
      <w:r w:rsidR="00EB425D" w:rsidRPr="00DF669E">
        <w:t>Socio</w:t>
      </w:r>
      <w:r w:rsidR="00EB425D">
        <w:noBreakHyphen/>
      </w:r>
      <w:r w:rsidR="00EB425D" w:rsidRPr="00DF669E">
        <w:t>Economic Index</w:t>
      </w:r>
      <w:r w:rsidR="00C967D9">
        <w:t>es</w:t>
      </w:r>
      <w:r w:rsidR="00EB425D" w:rsidRPr="00DF669E">
        <w:t xml:space="preserve"> for Areas </w:t>
      </w:r>
      <w:r w:rsidR="00EB425D">
        <w:t>[</w:t>
      </w:r>
      <w:proofErr w:type="spellStart"/>
      <w:r w:rsidRPr="007A0405">
        <w:t>SEIFA</w:t>
      </w:r>
      <w:proofErr w:type="spellEnd"/>
      <w:r w:rsidR="00EB425D">
        <w:t>]</w:t>
      </w:r>
      <w:r w:rsidRPr="007A0405">
        <w:t xml:space="preserve"> </w:t>
      </w:r>
      <w:r w:rsidR="00EB425D" w:rsidRPr="00DF669E">
        <w:t>Index of Relative Socio</w:t>
      </w:r>
      <w:r w:rsidR="00EB425D">
        <w:noBreakHyphen/>
      </w:r>
      <w:r w:rsidR="00EB425D" w:rsidRPr="00DF669E">
        <w:t xml:space="preserve">economic Disadvantage </w:t>
      </w:r>
      <w:r w:rsidR="00EB425D">
        <w:t>[</w:t>
      </w:r>
      <w:proofErr w:type="spellStart"/>
      <w:r w:rsidRPr="007A0405">
        <w:t>IRSD</w:t>
      </w:r>
      <w:proofErr w:type="spellEnd"/>
      <w:r w:rsidR="00EB425D">
        <w:t>]</w:t>
      </w:r>
      <w:r w:rsidRPr="007A0405">
        <w:t xml:space="preserve"> Quintile 1) were </w:t>
      </w:r>
      <w:r w:rsidR="002F003B" w:rsidRPr="007A0405">
        <w:t xml:space="preserve">less </w:t>
      </w:r>
      <w:r w:rsidRPr="007A0405">
        <w:t xml:space="preserve">likely to </w:t>
      </w:r>
      <w:r w:rsidR="002F003B" w:rsidRPr="007A0405">
        <w:t xml:space="preserve">have </w:t>
      </w:r>
      <w:r w:rsidR="00C844C8" w:rsidRPr="007A0405">
        <w:t xml:space="preserve">qualifications at </w:t>
      </w:r>
      <w:r w:rsidR="003F74DD" w:rsidRPr="007A0405">
        <w:t>C</w:t>
      </w:r>
      <w:r w:rsidRPr="007A0405">
        <w:t>ertificate III</w:t>
      </w:r>
      <w:r w:rsidR="006723F2">
        <w:t xml:space="preserve"> level</w:t>
      </w:r>
      <w:r w:rsidRPr="007A0405">
        <w:t xml:space="preserve"> </w:t>
      </w:r>
      <w:r w:rsidR="007A0405" w:rsidRPr="007A0405">
        <w:t xml:space="preserve">or above </w:t>
      </w:r>
      <w:r w:rsidRPr="007A0405">
        <w:t>than 20</w:t>
      </w:r>
      <w:r w:rsidR="00FC0D40" w:rsidRPr="007A0405">
        <w:t>–</w:t>
      </w:r>
      <w:r w:rsidRPr="007A0405">
        <w:t>64 year olds from geographic areas of least socioeconomic disadvantage (</w:t>
      </w:r>
      <w:proofErr w:type="spellStart"/>
      <w:r w:rsidRPr="007A0405">
        <w:t>SEI</w:t>
      </w:r>
      <w:r w:rsidR="00F06308" w:rsidRPr="007A0405">
        <w:t>FA</w:t>
      </w:r>
      <w:proofErr w:type="spellEnd"/>
      <w:r w:rsidR="00F06308" w:rsidRPr="007A0405">
        <w:t xml:space="preserve"> </w:t>
      </w:r>
      <w:proofErr w:type="spellStart"/>
      <w:r w:rsidR="00F06308" w:rsidRPr="007A0405">
        <w:t>IRSD</w:t>
      </w:r>
      <w:proofErr w:type="spellEnd"/>
      <w:r w:rsidR="00F06308" w:rsidRPr="007A0405">
        <w:t xml:space="preserve"> Quintile 5).</w:t>
      </w:r>
      <w:r w:rsidR="00673585" w:rsidRPr="007A0405">
        <w:t xml:space="preserve"> </w:t>
      </w:r>
    </w:p>
    <w:p w:rsidR="00C844C8" w:rsidRPr="00D91E31" w:rsidRDefault="00C844C8" w:rsidP="00B86F7C">
      <w:pPr>
        <w:pStyle w:val="BodyText"/>
      </w:pPr>
      <w:r w:rsidRPr="00D91E31">
        <w:t>Additional Census data for 2006 and 2011 outlining the proportion of 20</w:t>
      </w:r>
      <w:r w:rsidR="005F4093" w:rsidRPr="00D91E31">
        <w:t>–</w:t>
      </w:r>
      <w:r w:rsidRPr="00D91E31">
        <w:t>64 year olds with qualificatio</w:t>
      </w:r>
      <w:r w:rsidR="006723F2">
        <w:t>ns at or above Certificate</w:t>
      </w:r>
      <w:r w:rsidRPr="00D91E31">
        <w:t xml:space="preserve"> III</w:t>
      </w:r>
      <w:r w:rsidR="006723F2">
        <w:t xml:space="preserve"> level</w:t>
      </w:r>
      <w:r w:rsidRPr="00D91E31">
        <w:t xml:space="preserve">, by </w:t>
      </w:r>
      <w:r w:rsidR="00A24497" w:rsidRPr="00D91E31">
        <w:t>SES</w:t>
      </w:r>
      <w:r w:rsidRPr="00D91E31">
        <w:t xml:space="preserve">, are presented in table </w:t>
      </w:r>
      <w:proofErr w:type="spellStart"/>
      <w:r w:rsidRPr="00D91E31">
        <w:t>BA.4</w:t>
      </w:r>
      <w:r w:rsidR="0090072A" w:rsidRPr="00D91E31">
        <w:t>1</w:t>
      </w:r>
      <w:proofErr w:type="spellEnd"/>
      <w:r w:rsidRPr="00D91E31">
        <w:t>.</w:t>
      </w:r>
    </w:p>
    <w:p w:rsidR="00BF5D77" w:rsidRDefault="00BF5D77" w:rsidP="00BF5D77">
      <w:pPr>
        <w:pStyle w:val="Heading5"/>
      </w:pPr>
      <w:r>
        <w:t>Achievement of foundation skills (l</w:t>
      </w:r>
      <w:r w:rsidR="007471EA">
        <w:t xml:space="preserve">iteracy, numeracy and </w:t>
      </w:r>
      <w:r w:rsidR="008C6808" w:rsidRPr="008D786A">
        <w:t>problem solving in te</w:t>
      </w:r>
      <w:r w:rsidR="002C04C2" w:rsidRPr="008D786A">
        <w:t>chnology</w:t>
      </w:r>
      <w:r w:rsidR="002C04C2" w:rsidRPr="008D786A">
        <w:noBreakHyphen/>
      </w:r>
      <w:r w:rsidR="008C6808" w:rsidRPr="008D786A">
        <w:t>rich environments [</w:t>
      </w:r>
      <w:proofErr w:type="spellStart"/>
      <w:r w:rsidR="007471EA" w:rsidRPr="008D786A">
        <w:t>PSTRE</w:t>
      </w:r>
      <w:proofErr w:type="spellEnd"/>
      <w:r w:rsidR="008C6808" w:rsidRPr="008D786A">
        <w:t>]</w:t>
      </w:r>
      <w:r w:rsidRPr="008D786A">
        <w:t>)</w:t>
      </w:r>
    </w:p>
    <w:p w:rsidR="00F83D44" w:rsidRPr="001F2D7B" w:rsidRDefault="00175D20" w:rsidP="00F83D44">
      <w:pPr>
        <w:pStyle w:val="BodyText"/>
      </w:pPr>
      <w:r w:rsidRPr="00B83948">
        <w:t xml:space="preserve">Data </w:t>
      </w:r>
      <w:r w:rsidR="007327F7" w:rsidRPr="00B83948">
        <w:t>for</w:t>
      </w:r>
      <w:r w:rsidR="00BF5976" w:rsidRPr="00B83948">
        <w:t xml:space="preserve"> 2011</w:t>
      </w:r>
      <w:r w:rsidR="000117A0">
        <w:noBreakHyphen/>
      </w:r>
      <w:r w:rsidR="00BF5976" w:rsidRPr="00B83948">
        <w:t>12 for</w:t>
      </w:r>
      <w:r w:rsidR="007327F7" w:rsidRPr="00B83948">
        <w:t xml:space="preserve"> this </w:t>
      </w:r>
      <w:r w:rsidR="00BF5976" w:rsidRPr="00B83948">
        <w:t xml:space="preserve">measure </w:t>
      </w:r>
      <w:r w:rsidR="007327F7" w:rsidRPr="00B83948">
        <w:t xml:space="preserve">are sourced from the </w:t>
      </w:r>
      <w:proofErr w:type="spellStart"/>
      <w:r w:rsidR="00CA7300" w:rsidRPr="001847DB">
        <w:t>Programme</w:t>
      </w:r>
      <w:proofErr w:type="spellEnd"/>
      <w:r w:rsidR="00CA7300" w:rsidRPr="001847DB">
        <w:t xml:space="preserve"> for the International Assessment of Adult Competencies</w:t>
      </w:r>
      <w:r w:rsidR="00CA7300">
        <w:t xml:space="preserve"> (</w:t>
      </w:r>
      <w:proofErr w:type="spellStart"/>
      <w:r w:rsidR="001847DB">
        <w:t>PIAAC</w:t>
      </w:r>
      <w:proofErr w:type="spellEnd"/>
      <w:r w:rsidR="00CA7300">
        <w:t>)</w:t>
      </w:r>
      <w:r w:rsidR="007327F7" w:rsidRPr="001F2D7B">
        <w:t xml:space="preserve">. </w:t>
      </w:r>
    </w:p>
    <w:p w:rsidR="00175D20" w:rsidRPr="001F2D7B" w:rsidRDefault="007327F7" w:rsidP="007327F7">
      <w:pPr>
        <w:pStyle w:val="BodyText"/>
      </w:pPr>
      <w:r w:rsidRPr="001F2D7B">
        <w:t xml:space="preserve">The </w:t>
      </w:r>
      <w:proofErr w:type="spellStart"/>
      <w:r w:rsidRPr="001F2D7B">
        <w:t>PIAAC</w:t>
      </w:r>
      <w:proofErr w:type="spellEnd"/>
      <w:r w:rsidRPr="001F2D7B">
        <w:t xml:space="preserve"> is an </w:t>
      </w:r>
      <w:r w:rsidR="00257825" w:rsidRPr="00F47881">
        <w:t>Organisation for Economic Co</w:t>
      </w:r>
      <w:r w:rsidR="00257825">
        <w:noBreakHyphen/>
      </w:r>
      <w:r w:rsidR="00257825" w:rsidRPr="00F47881">
        <w:t>operation and Development</w:t>
      </w:r>
      <w:r w:rsidR="00257825" w:rsidRPr="001F2D7B">
        <w:t xml:space="preserve"> </w:t>
      </w:r>
      <w:r w:rsidR="00257825">
        <w:t>(</w:t>
      </w:r>
      <w:r w:rsidR="00AE2EB8" w:rsidRPr="001F2D7B">
        <w:t>OECD</w:t>
      </w:r>
      <w:r w:rsidR="00257825">
        <w:t>)</w:t>
      </w:r>
      <w:r w:rsidRPr="001F2D7B">
        <w:t xml:space="preserve"> survey </w:t>
      </w:r>
      <w:r w:rsidR="007424D2" w:rsidRPr="001F2D7B">
        <w:t>that</w:t>
      </w:r>
      <w:r w:rsidRPr="001F2D7B">
        <w:t xml:space="preserve"> measure</w:t>
      </w:r>
      <w:r w:rsidR="007424D2" w:rsidRPr="001F2D7B">
        <w:t>s</w:t>
      </w:r>
      <w:r w:rsidRPr="001F2D7B">
        <w:t xml:space="preserve"> adult skills and competencies. </w:t>
      </w:r>
      <w:r w:rsidR="00DE4896" w:rsidRPr="001F2D7B">
        <w:t>D</w:t>
      </w:r>
      <w:r w:rsidR="007424D2" w:rsidRPr="001F2D7B">
        <w:t>ata are presented fo</w:t>
      </w:r>
      <w:r w:rsidR="00DE4896" w:rsidRPr="001F2D7B">
        <w:t xml:space="preserve">r all skill levels for literacy, </w:t>
      </w:r>
      <w:r w:rsidR="007424D2" w:rsidRPr="001F2D7B">
        <w:t xml:space="preserve">numeracy </w:t>
      </w:r>
      <w:r w:rsidR="007471EA">
        <w:t xml:space="preserve">and </w:t>
      </w:r>
      <w:proofErr w:type="spellStart"/>
      <w:r w:rsidR="007471EA" w:rsidRPr="008D786A">
        <w:t>PSTRE</w:t>
      </w:r>
      <w:proofErr w:type="spellEnd"/>
      <w:r w:rsidR="00DE4896" w:rsidRPr="001F2D7B">
        <w:t xml:space="preserve"> </w:t>
      </w:r>
      <w:r w:rsidR="007424D2" w:rsidRPr="001F2D7B">
        <w:t>competencies</w:t>
      </w:r>
      <w:r w:rsidR="00B70ED6" w:rsidRPr="001F2D7B">
        <w:t xml:space="preserve"> (where </w:t>
      </w:r>
      <w:r w:rsidR="005E2C6F">
        <w:t xml:space="preserve">below </w:t>
      </w:r>
      <w:r w:rsidR="00B70ED6" w:rsidRPr="001F2D7B">
        <w:t>level 1 represents the poorest level of skill attainment and level 5 the highest level of skill attainment</w:t>
      </w:r>
      <w:r w:rsidR="00123E05" w:rsidRPr="001F2D7B">
        <w:t xml:space="preserve"> for literacy and numeracy; level 3 represents the highest level of skill a</w:t>
      </w:r>
      <w:r w:rsidR="007471EA">
        <w:t xml:space="preserve">ttainment for </w:t>
      </w:r>
      <w:proofErr w:type="spellStart"/>
      <w:r w:rsidR="007471EA" w:rsidRPr="008D786A">
        <w:t>PSTRE</w:t>
      </w:r>
      <w:proofErr w:type="spellEnd"/>
      <w:r w:rsidR="00B70ED6" w:rsidRPr="008D786A">
        <w:t>)</w:t>
      </w:r>
      <w:r w:rsidR="007424D2" w:rsidRPr="008D786A">
        <w:t>.</w:t>
      </w:r>
    </w:p>
    <w:p w:rsidR="0025369F" w:rsidRDefault="00570208" w:rsidP="00175D20">
      <w:pPr>
        <w:pStyle w:val="BodyText"/>
      </w:pPr>
      <w:bookmarkStart w:id="6" w:name="FigureTitle"/>
      <w:bookmarkEnd w:id="6"/>
      <w:r w:rsidRPr="001F2D7B">
        <w:t>The proportions of the population aged 20</w:t>
      </w:r>
      <w:r w:rsidR="00F8026E" w:rsidRPr="001F2D7B">
        <w:t>–</w:t>
      </w:r>
      <w:r w:rsidR="009E6DA0" w:rsidRPr="001F2D7B">
        <w:t xml:space="preserve">64 years </w:t>
      </w:r>
      <w:r w:rsidR="00123E05" w:rsidRPr="001F2D7B">
        <w:t xml:space="preserve">across all </w:t>
      </w:r>
      <w:proofErr w:type="spellStart"/>
      <w:r w:rsidR="00123E05" w:rsidRPr="001F2D7B">
        <w:t>PIAAC</w:t>
      </w:r>
      <w:proofErr w:type="spellEnd"/>
      <w:r w:rsidR="00123E05" w:rsidRPr="001F2D7B">
        <w:t xml:space="preserve"> literacy, </w:t>
      </w:r>
      <w:r w:rsidR="00642EB8" w:rsidRPr="001F2D7B">
        <w:t>numeracy</w:t>
      </w:r>
      <w:r w:rsidR="004B5CBA" w:rsidRPr="001F2D7B">
        <w:t>,</w:t>
      </w:r>
      <w:r w:rsidR="00642EB8" w:rsidRPr="001F2D7B">
        <w:t xml:space="preserve"> </w:t>
      </w:r>
      <w:r w:rsidR="007471EA">
        <w:t xml:space="preserve">and </w:t>
      </w:r>
      <w:proofErr w:type="spellStart"/>
      <w:r w:rsidR="007471EA" w:rsidRPr="008D786A">
        <w:t>PSTRE</w:t>
      </w:r>
      <w:proofErr w:type="spellEnd"/>
      <w:r w:rsidR="00123E05" w:rsidRPr="001F2D7B">
        <w:t xml:space="preserve"> </w:t>
      </w:r>
      <w:r w:rsidR="00642EB8" w:rsidRPr="001F2D7B">
        <w:t>skill levels</w:t>
      </w:r>
      <w:r w:rsidRPr="001F2D7B">
        <w:t xml:space="preserve"> in 2011</w:t>
      </w:r>
      <w:r w:rsidR="000117A0">
        <w:noBreakHyphen/>
      </w:r>
      <w:r w:rsidRPr="001F2D7B">
        <w:t>12</w:t>
      </w:r>
      <w:r w:rsidRPr="00B83948">
        <w:t xml:space="preserve"> are presented in </w:t>
      </w:r>
      <w:r w:rsidR="00E5325C" w:rsidRPr="00B83948">
        <w:t xml:space="preserve">figure </w:t>
      </w:r>
      <w:proofErr w:type="spellStart"/>
      <w:r w:rsidR="00E5325C" w:rsidRPr="00B83948">
        <w:t>B.</w:t>
      </w:r>
      <w:r w:rsidR="00EF7008">
        <w:t>19</w:t>
      </w:r>
      <w:proofErr w:type="spellEnd"/>
      <w:r w:rsidR="00175D20" w:rsidRPr="00B83948">
        <w:t>.</w:t>
      </w:r>
    </w:p>
    <w:p w:rsidR="00852C4C" w:rsidRDefault="00852C4C" w:rsidP="00175D20">
      <w:pPr>
        <w:pStyle w:val="BodyText"/>
      </w:pPr>
      <w:r>
        <w:t xml:space="preserve">Additional data on the </w:t>
      </w:r>
      <w:r w:rsidRPr="001F2D7B">
        <w:t>propo</w:t>
      </w:r>
      <w:r>
        <w:t>rtions of the population aged 15</w:t>
      </w:r>
      <w:r w:rsidRPr="001F2D7B">
        <w:t>–</w:t>
      </w:r>
      <w:r>
        <w:t>7</w:t>
      </w:r>
      <w:r w:rsidRPr="001F2D7B">
        <w:t xml:space="preserve">4 years across all </w:t>
      </w:r>
      <w:proofErr w:type="spellStart"/>
      <w:r w:rsidRPr="001F2D7B">
        <w:t>PIAAC</w:t>
      </w:r>
      <w:proofErr w:type="spellEnd"/>
      <w:r w:rsidRPr="001F2D7B">
        <w:t xml:space="preserve"> li</w:t>
      </w:r>
      <w:r>
        <w:t xml:space="preserve">teracy, numeracy, and </w:t>
      </w:r>
      <w:proofErr w:type="spellStart"/>
      <w:r w:rsidRPr="008D786A">
        <w:t>PSTRE</w:t>
      </w:r>
      <w:proofErr w:type="spellEnd"/>
      <w:r w:rsidRPr="001F2D7B">
        <w:t xml:space="preserve"> skill levels in 2011</w:t>
      </w:r>
      <w:r>
        <w:noBreakHyphen/>
      </w:r>
      <w:r w:rsidRPr="001F2D7B">
        <w:t>12</w:t>
      </w:r>
      <w:r w:rsidRPr="00B83948">
        <w:t xml:space="preserve"> are presented in </w:t>
      </w:r>
      <w:r w:rsidR="00CE064A">
        <w:t>tables  </w:t>
      </w:r>
      <w:proofErr w:type="spellStart"/>
      <w:r>
        <w:t>BA.42</w:t>
      </w:r>
      <w:proofErr w:type="spellEnd"/>
      <w:r>
        <w:t xml:space="preserve">–44. </w:t>
      </w:r>
    </w:p>
    <w:p w:rsidR="0025369F" w:rsidRDefault="0025369F" w:rsidP="0025369F">
      <w:pPr>
        <w:pStyle w:val="BodyText"/>
      </w:pPr>
      <w:r>
        <w:br w:type="page"/>
      </w:r>
    </w:p>
    <w:p w:rsidR="00681494" w:rsidRDefault="00681494"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1494" w:rsidTr="006A0AD9">
        <w:tc>
          <w:tcPr>
            <w:tcW w:w="8771" w:type="dxa"/>
            <w:tcBorders>
              <w:top w:val="single" w:sz="6" w:space="0" w:color="78A22F"/>
              <w:left w:val="nil"/>
              <w:bottom w:val="nil"/>
              <w:right w:val="nil"/>
            </w:tcBorders>
            <w:shd w:val="clear" w:color="auto" w:fill="auto"/>
          </w:tcPr>
          <w:p w:rsidR="00681494" w:rsidRPr="00176D3F" w:rsidRDefault="00681494" w:rsidP="00681494">
            <w:pPr>
              <w:pStyle w:val="FigureTitle"/>
            </w:pPr>
            <w:r w:rsidRPr="00784A05">
              <w:rPr>
                <w:b w:val="0"/>
              </w:rPr>
              <w:t xml:space="preserve">Figure </w:t>
            </w:r>
            <w:proofErr w:type="spellStart"/>
            <w:r>
              <w:rPr>
                <w:b w:val="0"/>
              </w:rPr>
              <w:t>B.</w:t>
            </w:r>
            <w:r w:rsidR="00501FB3">
              <w:rPr>
                <w:b w:val="0"/>
                <w:noProof/>
              </w:rPr>
              <w:t>19</w:t>
            </w:r>
            <w:proofErr w:type="spellEnd"/>
            <w:r>
              <w:tab/>
            </w:r>
            <w:r w:rsidRPr="00681494">
              <w:t xml:space="preserve">Proportion of 20–64 year olds across all </w:t>
            </w:r>
            <w:proofErr w:type="spellStart"/>
            <w:r w:rsidRPr="00681494">
              <w:t>PIAAC</w:t>
            </w:r>
            <w:proofErr w:type="spellEnd"/>
            <w:r w:rsidRPr="00681494">
              <w:t xml:space="preserve"> l</w:t>
            </w:r>
            <w:r w:rsidR="007471EA">
              <w:t xml:space="preserve">iteracy, numeracy and </w:t>
            </w:r>
            <w:proofErr w:type="spellStart"/>
            <w:r w:rsidR="007471EA" w:rsidRPr="008D786A">
              <w:t>PSTRE</w:t>
            </w:r>
            <w:proofErr w:type="spellEnd"/>
            <w:r w:rsidRPr="00681494">
              <w:t xml:space="preserve"> skill levels, 2011</w:t>
            </w:r>
            <w:r w:rsidR="000117A0">
              <w:noBreakHyphen/>
            </w:r>
            <w:r w:rsidRPr="00681494">
              <w:t>12</w:t>
            </w:r>
            <w:r w:rsidR="003115F8">
              <w:rPr>
                <w:rStyle w:val="NoteLabel"/>
                <w:b/>
              </w:rPr>
              <w:t>a</w:t>
            </w:r>
          </w:p>
        </w:tc>
      </w:tr>
      <w:tr w:rsidR="00681494"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81494" w:rsidTr="006A0AD9">
              <w:trPr>
                <w:jc w:val="center"/>
              </w:trPr>
              <w:tc>
                <w:tcPr>
                  <w:tcW w:w="5000" w:type="pct"/>
                  <w:tcBorders>
                    <w:top w:val="nil"/>
                    <w:bottom w:val="nil"/>
                  </w:tcBorders>
                </w:tcPr>
                <w:p w:rsidR="00681494" w:rsidRPr="00681494" w:rsidRDefault="00681494" w:rsidP="00681494">
                  <w:pPr>
                    <w:jc w:val="center"/>
                    <w:rPr>
                      <w:rFonts w:ascii="Arial" w:hAnsi="Arial" w:cs="Arial"/>
                      <w:b/>
                      <w:sz w:val="20"/>
                      <w:szCs w:val="20"/>
                    </w:rPr>
                  </w:pPr>
                  <w:r>
                    <w:rPr>
                      <w:rFonts w:ascii="Arial" w:hAnsi="Arial" w:cs="Arial"/>
                      <w:b/>
                      <w:sz w:val="20"/>
                      <w:szCs w:val="20"/>
                    </w:rPr>
                    <w:t xml:space="preserve">(a) </w:t>
                  </w:r>
                  <w:proofErr w:type="spellStart"/>
                  <w:r>
                    <w:rPr>
                      <w:rFonts w:ascii="Arial" w:hAnsi="Arial" w:cs="Arial"/>
                      <w:b/>
                      <w:sz w:val="20"/>
                      <w:szCs w:val="20"/>
                    </w:rPr>
                    <w:t>PIAAC</w:t>
                  </w:r>
                  <w:proofErr w:type="spellEnd"/>
                  <w:r>
                    <w:rPr>
                      <w:rFonts w:ascii="Arial" w:hAnsi="Arial" w:cs="Arial"/>
                      <w:b/>
                      <w:sz w:val="20"/>
                      <w:szCs w:val="20"/>
                    </w:rPr>
                    <w:t xml:space="preserve"> literacy results</w:t>
                  </w:r>
                </w:p>
              </w:tc>
            </w:tr>
            <w:tr w:rsidR="00681494" w:rsidTr="006A0AD9">
              <w:trPr>
                <w:jc w:val="center"/>
              </w:trPr>
              <w:tc>
                <w:tcPr>
                  <w:tcW w:w="5000" w:type="pct"/>
                  <w:tcBorders>
                    <w:top w:val="nil"/>
                    <w:bottom w:val="nil"/>
                  </w:tcBorders>
                </w:tcPr>
                <w:p w:rsidR="00681494" w:rsidRDefault="00ED3AFC" w:rsidP="006A0AD9">
                  <w:pPr>
                    <w:pStyle w:val="Figure"/>
                    <w:spacing w:before="60" w:after="60"/>
                  </w:pPr>
                  <w:r>
                    <w:rPr>
                      <w:noProof/>
                    </w:rPr>
                    <w:drawing>
                      <wp:inline distT="0" distB="0" distL="0" distR="0">
                        <wp:extent cx="5391150" cy="1947545"/>
                        <wp:effectExtent l="0" t="0" r="0" b="0"/>
                        <wp:docPr id="25" name="Picture 25" descr="Figure B.19 Proportion of 20–64 year olds across all PIAAC literacy, numeracy and PSTRE skill levels, 2011-12&#10;&#10;(a) PIAAC literacy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1947545"/>
                                </a:xfrm>
                                <a:prstGeom prst="rect">
                                  <a:avLst/>
                                </a:prstGeom>
                                <a:noFill/>
                                <a:ln>
                                  <a:noFill/>
                                </a:ln>
                              </pic:spPr>
                            </pic:pic>
                          </a:graphicData>
                        </a:graphic>
                      </wp:inline>
                    </w:drawing>
                  </w:r>
                </w:p>
              </w:tc>
            </w:tr>
            <w:tr w:rsidR="00681494" w:rsidTr="006A0AD9">
              <w:trPr>
                <w:jc w:val="center"/>
              </w:trPr>
              <w:tc>
                <w:tcPr>
                  <w:tcW w:w="5000" w:type="pct"/>
                  <w:tcBorders>
                    <w:top w:val="nil"/>
                    <w:bottom w:val="nil"/>
                  </w:tcBorders>
                </w:tcPr>
                <w:p w:rsidR="00681494" w:rsidRPr="00681494" w:rsidRDefault="00681494" w:rsidP="00681494">
                  <w:pPr>
                    <w:pStyle w:val="Figure"/>
                    <w:rPr>
                      <w:rFonts w:ascii="Arial" w:hAnsi="Arial" w:cs="Arial"/>
                      <w:b/>
                      <w:noProof/>
                      <w:sz w:val="20"/>
                    </w:rPr>
                  </w:pPr>
                  <w:r w:rsidRPr="00642EB8">
                    <w:rPr>
                      <w:rFonts w:ascii="Arial" w:hAnsi="Arial" w:cs="Arial"/>
                      <w:b/>
                      <w:sz w:val="20"/>
                    </w:rPr>
                    <w:t xml:space="preserve">(b) </w:t>
                  </w:r>
                  <w:proofErr w:type="spellStart"/>
                  <w:r w:rsidRPr="00642EB8">
                    <w:rPr>
                      <w:rFonts w:ascii="Arial" w:hAnsi="Arial" w:cs="Arial"/>
                      <w:b/>
                      <w:sz w:val="20"/>
                    </w:rPr>
                    <w:t>PIAAC</w:t>
                  </w:r>
                  <w:proofErr w:type="spellEnd"/>
                  <w:r w:rsidRPr="00642EB8">
                    <w:rPr>
                      <w:rFonts w:ascii="Arial" w:hAnsi="Arial" w:cs="Arial"/>
                      <w:b/>
                      <w:sz w:val="20"/>
                    </w:rPr>
                    <w:t xml:space="preserve"> numeracy results</w:t>
                  </w:r>
                </w:p>
              </w:tc>
            </w:tr>
            <w:tr w:rsidR="00681494" w:rsidTr="006A0AD9">
              <w:trPr>
                <w:jc w:val="center"/>
              </w:trPr>
              <w:tc>
                <w:tcPr>
                  <w:tcW w:w="5000" w:type="pct"/>
                  <w:tcBorders>
                    <w:top w:val="nil"/>
                    <w:bottom w:val="nil"/>
                  </w:tcBorders>
                </w:tcPr>
                <w:p w:rsidR="00681494" w:rsidRDefault="00ED3AFC" w:rsidP="006A0AD9">
                  <w:pPr>
                    <w:pStyle w:val="Figure"/>
                    <w:spacing w:before="60" w:after="60"/>
                  </w:pPr>
                  <w:r>
                    <w:rPr>
                      <w:noProof/>
                    </w:rPr>
                    <w:drawing>
                      <wp:inline distT="0" distB="0" distL="0" distR="0">
                        <wp:extent cx="5391150" cy="1947545"/>
                        <wp:effectExtent l="0" t="0" r="0" b="0"/>
                        <wp:docPr id="26" name="Picture 26" descr="Figure B.19 Proportion of 20–64 year olds across all PIAAC literacy, numeracy and PSTRE skill levels, 2011-12&#10;&#10;(b) PIAAC numeracy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1947545"/>
                                </a:xfrm>
                                <a:prstGeom prst="rect">
                                  <a:avLst/>
                                </a:prstGeom>
                                <a:noFill/>
                                <a:ln>
                                  <a:noFill/>
                                </a:ln>
                              </pic:spPr>
                            </pic:pic>
                          </a:graphicData>
                        </a:graphic>
                      </wp:inline>
                    </w:drawing>
                  </w:r>
                </w:p>
              </w:tc>
            </w:tr>
            <w:tr w:rsidR="00681494" w:rsidTr="006A0AD9">
              <w:trPr>
                <w:jc w:val="center"/>
              </w:trPr>
              <w:tc>
                <w:tcPr>
                  <w:tcW w:w="5000" w:type="pct"/>
                  <w:tcBorders>
                    <w:top w:val="nil"/>
                    <w:bottom w:val="nil"/>
                  </w:tcBorders>
                </w:tcPr>
                <w:p w:rsidR="00681494" w:rsidRPr="00681494" w:rsidRDefault="00681494" w:rsidP="00681494">
                  <w:pPr>
                    <w:jc w:val="center"/>
                    <w:rPr>
                      <w:rFonts w:ascii="Arial" w:hAnsi="Arial" w:cs="Arial"/>
                      <w:b/>
                      <w:sz w:val="20"/>
                      <w:szCs w:val="20"/>
                    </w:rPr>
                  </w:pPr>
                  <w:r w:rsidRPr="00642EB8">
                    <w:rPr>
                      <w:rFonts w:ascii="Arial" w:hAnsi="Arial" w:cs="Arial"/>
                      <w:b/>
                      <w:sz w:val="20"/>
                      <w:szCs w:val="20"/>
                    </w:rPr>
                    <w:t>(</w:t>
                  </w:r>
                  <w:r>
                    <w:rPr>
                      <w:rFonts w:ascii="Arial" w:hAnsi="Arial" w:cs="Arial"/>
                      <w:b/>
                      <w:sz w:val="20"/>
                      <w:szCs w:val="20"/>
                    </w:rPr>
                    <w:t>c</w:t>
                  </w:r>
                  <w:r w:rsidRPr="00642EB8">
                    <w:rPr>
                      <w:rFonts w:ascii="Arial" w:hAnsi="Arial" w:cs="Arial"/>
                      <w:b/>
                      <w:sz w:val="20"/>
                      <w:szCs w:val="20"/>
                    </w:rPr>
                    <w:t xml:space="preserve">) </w:t>
                  </w:r>
                  <w:proofErr w:type="spellStart"/>
                  <w:r w:rsidRPr="00642EB8">
                    <w:rPr>
                      <w:rFonts w:ascii="Arial" w:hAnsi="Arial" w:cs="Arial"/>
                      <w:b/>
                      <w:sz w:val="20"/>
                      <w:szCs w:val="20"/>
                    </w:rPr>
                    <w:t>PIAAC</w:t>
                  </w:r>
                  <w:proofErr w:type="spellEnd"/>
                  <w:r w:rsidRPr="00642EB8">
                    <w:rPr>
                      <w:rFonts w:ascii="Arial" w:hAnsi="Arial" w:cs="Arial"/>
                      <w:b/>
                      <w:sz w:val="20"/>
                      <w:szCs w:val="20"/>
                    </w:rPr>
                    <w:t xml:space="preserve"> </w:t>
                  </w:r>
                  <w:proofErr w:type="spellStart"/>
                  <w:r w:rsidR="007471EA" w:rsidRPr="008D786A">
                    <w:rPr>
                      <w:rFonts w:ascii="Arial" w:hAnsi="Arial" w:cs="Arial"/>
                      <w:b/>
                      <w:sz w:val="20"/>
                      <w:szCs w:val="20"/>
                    </w:rPr>
                    <w:t>PSTRE</w:t>
                  </w:r>
                  <w:proofErr w:type="spellEnd"/>
                  <w:r>
                    <w:rPr>
                      <w:rFonts w:ascii="Arial" w:hAnsi="Arial" w:cs="Arial"/>
                      <w:b/>
                      <w:sz w:val="20"/>
                      <w:szCs w:val="20"/>
                    </w:rPr>
                    <w:t xml:space="preserve"> </w:t>
                  </w:r>
                  <w:r w:rsidRPr="00642EB8">
                    <w:rPr>
                      <w:rFonts w:ascii="Arial" w:hAnsi="Arial" w:cs="Arial"/>
                      <w:b/>
                      <w:sz w:val="20"/>
                      <w:szCs w:val="20"/>
                    </w:rPr>
                    <w:t>results</w:t>
                  </w:r>
                </w:p>
              </w:tc>
            </w:tr>
            <w:tr w:rsidR="00681494" w:rsidTr="006A0AD9">
              <w:trPr>
                <w:jc w:val="center"/>
              </w:trPr>
              <w:tc>
                <w:tcPr>
                  <w:tcW w:w="5000" w:type="pct"/>
                  <w:tcBorders>
                    <w:top w:val="nil"/>
                    <w:bottom w:val="nil"/>
                  </w:tcBorders>
                </w:tcPr>
                <w:p w:rsidR="00681494" w:rsidRDefault="00ED3AFC" w:rsidP="006A0AD9">
                  <w:pPr>
                    <w:pStyle w:val="Figure"/>
                    <w:spacing w:before="60" w:after="60"/>
                  </w:pPr>
                  <w:r>
                    <w:rPr>
                      <w:noProof/>
                    </w:rPr>
                    <w:drawing>
                      <wp:inline distT="0" distB="0" distL="0" distR="0">
                        <wp:extent cx="5391150" cy="1947545"/>
                        <wp:effectExtent l="0" t="0" r="0" b="0"/>
                        <wp:docPr id="27" name="Picture 27" descr="Figure B.19 Proportion of 20–64 year olds across all PIAAC literacy, numeracy and PSTRE skill levels, 2011-12&#10;&#10;(c) PIAAC PSTRE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1947545"/>
                                </a:xfrm>
                                <a:prstGeom prst="rect">
                                  <a:avLst/>
                                </a:prstGeom>
                                <a:noFill/>
                                <a:ln>
                                  <a:noFill/>
                                </a:ln>
                              </pic:spPr>
                            </pic:pic>
                          </a:graphicData>
                        </a:graphic>
                      </wp:inline>
                    </w:drawing>
                  </w:r>
                </w:p>
              </w:tc>
            </w:tr>
          </w:tbl>
          <w:p w:rsidR="00681494" w:rsidRDefault="00681494" w:rsidP="006A0AD9">
            <w:pPr>
              <w:pStyle w:val="Figure"/>
            </w:pPr>
          </w:p>
        </w:tc>
      </w:tr>
      <w:tr w:rsidR="00681494" w:rsidRPr="00176D3F" w:rsidTr="006A0AD9">
        <w:tc>
          <w:tcPr>
            <w:tcW w:w="8771" w:type="dxa"/>
            <w:tcBorders>
              <w:top w:val="nil"/>
              <w:left w:val="nil"/>
              <w:bottom w:val="nil"/>
              <w:right w:val="nil"/>
            </w:tcBorders>
            <w:shd w:val="clear" w:color="auto" w:fill="auto"/>
          </w:tcPr>
          <w:p w:rsidR="00681494" w:rsidRPr="00176D3F" w:rsidRDefault="00681494" w:rsidP="003115F8">
            <w:pPr>
              <w:pStyle w:val="Note"/>
            </w:pPr>
            <w:r>
              <w:rPr>
                <w:rStyle w:val="NoteLabel"/>
              </w:rPr>
              <w:t>a</w:t>
            </w:r>
            <w:r>
              <w:t xml:space="preserve"> </w:t>
            </w:r>
            <w:r w:rsidR="00FE10AC">
              <w:t xml:space="preserve">See box </w:t>
            </w:r>
            <w:proofErr w:type="spellStart"/>
            <w:r w:rsidR="00FE10AC">
              <w:t>B.6</w:t>
            </w:r>
            <w:proofErr w:type="spellEnd"/>
            <w:r w:rsidR="003115F8">
              <w:t xml:space="preserve"> and tables </w:t>
            </w:r>
            <w:proofErr w:type="spellStart"/>
            <w:r w:rsidR="003115F8">
              <w:t>BA.42</w:t>
            </w:r>
            <w:proofErr w:type="spellEnd"/>
            <w:r w:rsidR="003115F8">
              <w:t>–44</w:t>
            </w:r>
            <w:r w:rsidR="003115F8" w:rsidRPr="001B3DAD">
              <w:t xml:space="preserve"> for </w:t>
            </w:r>
            <w:r w:rsidR="00A96B11">
              <w:t>detailed definitions, footnotes and caveats.</w:t>
            </w:r>
          </w:p>
        </w:tc>
      </w:tr>
      <w:tr w:rsidR="00681494" w:rsidRPr="00176D3F" w:rsidTr="006A0AD9">
        <w:tc>
          <w:tcPr>
            <w:tcW w:w="8771" w:type="dxa"/>
            <w:tcBorders>
              <w:top w:val="nil"/>
              <w:left w:val="nil"/>
              <w:bottom w:val="nil"/>
              <w:right w:val="nil"/>
            </w:tcBorders>
            <w:shd w:val="clear" w:color="auto" w:fill="auto"/>
          </w:tcPr>
          <w:p w:rsidR="00681494" w:rsidRPr="00176D3F" w:rsidRDefault="00681494" w:rsidP="006A0AD9">
            <w:pPr>
              <w:pStyle w:val="Source"/>
            </w:pPr>
            <w:r>
              <w:rPr>
                <w:i/>
              </w:rPr>
              <w:t>S</w:t>
            </w:r>
            <w:r w:rsidRPr="00784A05">
              <w:rPr>
                <w:i/>
              </w:rPr>
              <w:t>ource</w:t>
            </w:r>
            <w:r w:rsidRPr="00176D3F">
              <w:t xml:space="preserve">: </w:t>
            </w:r>
            <w:r w:rsidRPr="00681494">
              <w:t xml:space="preserve">ABS (unpublished) </w:t>
            </w:r>
            <w:proofErr w:type="spellStart"/>
            <w:r w:rsidRPr="00B870A9">
              <w:rPr>
                <w:i/>
              </w:rPr>
              <w:t>Programme</w:t>
            </w:r>
            <w:proofErr w:type="spellEnd"/>
            <w:r w:rsidRPr="00B870A9">
              <w:rPr>
                <w:i/>
              </w:rPr>
              <w:t xml:space="preserve"> for the International Assessment of Adult Competencies, Australia, 2011</w:t>
            </w:r>
            <w:r w:rsidR="000117A0" w:rsidRPr="00B870A9">
              <w:rPr>
                <w:i/>
              </w:rPr>
              <w:noBreakHyphen/>
            </w:r>
            <w:r w:rsidRPr="00B870A9">
              <w:rPr>
                <w:i/>
              </w:rPr>
              <w:t>12</w:t>
            </w:r>
            <w:r w:rsidR="0090072A" w:rsidRPr="007125E1">
              <w:t>, Cat. no. 4228</w:t>
            </w:r>
            <w:r w:rsidR="0090072A">
              <w:t xml:space="preserve">.0; tables </w:t>
            </w:r>
            <w:proofErr w:type="spellStart"/>
            <w:r w:rsidR="0090072A">
              <w:t>BA.4</w:t>
            </w:r>
            <w:r w:rsidR="007B0886">
              <w:t>2</w:t>
            </w:r>
            <w:proofErr w:type="spellEnd"/>
            <w:r w:rsidR="001446B5">
              <w:t>–44</w:t>
            </w:r>
            <w:r w:rsidRPr="00681494">
              <w:t>.</w:t>
            </w:r>
          </w:p>
        </w:tc>
      </w:tr>
      <w:tr w:rsidR="00681494" w:rsidTr="006A0AD9">
        <w:tc>
          <w:tcPr>
            <w:tcW w:w="8771" w:type="dxa"/>
            <w:tcBorders>
              <w:top w:val="nil"/>
              <w:left w:val="nil"/>
              <w:bottom w:val="single" w:sz="6" w:space="0" w:color="78A22F"/>
              <w:right w:val="nil"/>
            </w:tcBorders>
            <w:shd w:val="clear" w:color="auto" w:fill="auto"/>
          </w:tcPr>
          <w:p w:rsidR="00681494" w:rsidRDefault="00681494" w:rsidP="006A0AD9">
            <w:pPr>
              <w:pStyle w:val="Figurespace"/>
            </w:pPr>
          </w:p>
        </w:tc>
      </w:tr>
      <w:tr w:rsidR="00681494" w:rsidRPr="000863A5" w:rsidTr="006A0AD9">
        <w:tc>
          <w:tcPr>
            <w:tcW w:w="8771" w:type="dxa"/>
            <w:tcBorders>
              <w:top w:val="single" w:sz="6" w:space="0" w:color="78A22F"/>
              <w:left w:val="nil"/>
              <w:bottom w:val="nil"/>
              <w:right w:val="nil"/>
            </w:tcBorders>
          </w:tcPr>
          <w:p w:rsidR="00681494" w:rsidRPr="00626D32" w:rsidRDefault="00681494" w:rsidP="006A0AD9">
            <w:pPr>
              <w:pStyle w:val="BoxSpaceBelow"/>
            </w:pPr>
          </w:p>
        </w:tc>
      </w:tr>
    </w:tbl>
    <w:p w:rsidR="008B55A6" w:rsidRDefault="008B55A6" w:rsidP="005C5CD9">
      <w:pPr>
        <w:pStyle w:val="Heading3"/>
        <w:spacing w:before="240"/>
      </w:pPr>
      <w:r>
        <w:lastRenderedPageBreak/>
        <w:t>Service</w:t>
      </w:r>
      <w:r w:rsidR="000117A0">
        <w:noBreakHyphen/>
      </w:r>
      <w:r>
        <w:t xml:space="preserve">specific </w:t>
      </w:r>
      <w:r w:rsidR="007F7175">
        <w:t>performance indicator frameworks</w:t>
      </w:r>
    </w:p>
    <w:p w:rsidR="004C6115" w:rsidRDefault="004C6115" w:rsidP="008B55A6">
      <w:pPr>
        <w:pStyle w:val="BodyText"/>
      </w:pPr>
      <w:r>
        <w:t xml:space="preserve">This section summarises information from the </w:t>
      </w:r>
      <w:r w:rsidR="00F04E19">
        <w:t xml:space="preserve">three </w:t>
      </w:r>
      <w:proofErr w:type="spellStart"/>
      <w:r w:rsidR="00955503">
        <w:t>CCET</w:t>
      </w:r>
      <w:proofErr w:type="spellEnd"/>
      <w:r w:rsidR="00D60DD8">
        <w:t xml:space="preserve"> service specific </w:t>
      </w:r>
      <w:r w:rsidR="00F23A69">
        <w:t>indicator framework</w:t>
      </w:r>
      <w:r w:rsidR="00D60DD8">
        <w:t>s</w:t>
      </w:r>
      <w:r w:rsidR="007125E1">
        <w:t xml:space="preserve"> in chapters 3, 4 and 5.</w:t>
      </w:r>
    </w:p>
    <w:p w:rsidR="007125E1" w:rsidRDefault="007125E1" w:rsidP="007125E1">
      <w:pPr>
        <w:pStyle w:val="BodyText"/>
      </w:pPr>
      <w:r>
        <w:t>Each performance indicator framework provides comprehensive information on the equity, effectiveness and efficiency of specific government services.</w:t>
      </w:r>
    </w:p>
    <w:p w:rsidR="007125E1" w:rsidRDefault="007125E1" w:rsidP="007125E1">
      <w:pPr>
        <w:pStyle w:val="BodyText"/>
      </w:pPr>
      <w:r>
        <w:t xml:space="preserve">Additional information is available in each chapter and associated attachment tables to assist the interpretation of these results. </w:t>
      </w:r>
    </w:p>
    <w:p w:rsidR="0022130F" w:rsidRDefault="0076776A" w:rsidP="0022130F">
      <w:pPr>
        <w:pStyle w:val="Heading4"/>
      </w:pPr>
      <w:proofErr w:type="spellStart"/>
      <w:r>
        <w:t>ECEC</w:t>
      </w:r>
      <w:proofErr w:type="spellEnd"/>
    </w:p>
    <w:p w:rsidR="00EF61E3" w:rsidRDefault="00EF61E3" w:rsidP="00EF61E3">
      <w:pPr>
        <w:pStyle w:val="BodyText"/>
        <w:rPr>
          <w:color w:val="000000"/>
        </w:rPr>
      </w:pPr>
      <w:r>
        <w:t xml:space="preserve">The </w:t>
      </w:r>
      <w:r w:rsidRPr="00D5691A">
        <w:t>performance indicator framework</w:t>
      </w:r>
      <w:r w:rsidR="00F23A69" w:rsidRPr="00D5691A">
        <w:t xml:space="preserve"> </w:t>
      </w:r>
      <w:r w:rsidR="00D60DD8" w:rsidRPr="00D5691A">
        <w:t xml:space="preserve">for </w:t>
      </w:r>
      <w:proofErr w:type="spellStart"/>
      <w:r w:rsidR="00D04981">
        <w:t>ECEC</w:t>
      </w:r>
      <w:proofErr w:type="spellEnd"/>
      <w:r w:rsidR="00D04981">
        <w:t xml:space="preserve"> </w:t>
      </w:r>
      <w:r w:rsidR="00D60DD8" w:rsidRPr="00D5691A">
        <w:t xml:space="preserve">is presented in </w:t>
      </w:r>
      <w:r w:rsidRPr="00D5691A">
        <w:t>figure</w:t>
      </w:r>
      <w:r w:rsidR="00BF5D77">
        <w:t xml:space="preserve"> </w:t>
      </w:r>
      <w:proofErr w:type="spellStart"/>
      <w:r w:rsidR="00EF7008">
        <w:t>B.20</w:t>
      </w:r>
      <w:proofErr w:type="spellEnd"/>
      <w:r w:rsidRPr="00D5691A">
        <w:t>.</w:t>
      </w:r>
      <w:r w:rsidR="0022130F" w:rsidRPr="00D5691A">
        <w:t xml:space="preserve"> </w:t>
      </w:r>
      <w:r w:rsidR="007125E1" w:rsidRPr="006E14D5">
        <w:t xml:space="preserve">An overview of the </w:t>
      </w:r>
      <w:proofErr w:type="spellStart"/>
      <w:r w:rsidR="007125E1">
        <w:t>ECEC</w:t>
      </w:r>
      <w:proofErr w:type="spellEnd"/>
      <w:r w:rsidR="007125E1" w:rsidRPr="006E14D5">
        <w:t xml:space="preserve"> performance indicator results are presented</w:t>
      </w:r>
      <w:r w:rsidR="007125E1">
        <w:t xml:space="preserve"> in table </w:t>
      </w:r>
      <w:proofErr w:type="spellStart"/>
      <w:r w:rsidR="007125E1">
        <w:t>B</w:t>
      </w:r>
      <w:r w:rsidR="007125E1" w:rsidRPr="006E14D5">
        <w:t>.</w:t>
      </w:r>
      <w:r w:rsidR="007125E1">
        <w:t>1</w:t>
      </w:r>
      <w:proofErr w:type="spellEnd"/>
      <w:r w:rsidR="007125E1" w:rsidRPr="006E14D5">
        <w:t>.</w:t>
      </w:r>
    </w:p>
    <w:p w:rsidR="00F65C3A" w:rsidRDefault="00F65C3A" w:rsidP="00E62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5C3A" w:rsidTr="00E6276D">
        <w:tc>
          <w:tcPr>
            <w:tcW w:w="8771" w:type="dxa"/>
            <w:tcBorders>
              <w:top w:val="single" w:sz="6" w:space="0" w:color="78A22F"/>
              <w:left w:val="nil"/>
              <w:bottom w:val="nil"/>
              <w:right w:val="nil"/>
            </w:tcBorders>
            <w:shd w:val="clear" w:color="auto" w:fill="auto"/>
          </w:tcPr>
          <w:p w:rsidR="00F65C3A" w:rsidRPr="00176D3F" w:rsidRDefault="00F65C3A" w:rsidP="00E62358">
            <w:pPr>
              <w:pStyle w:val="FigureTitle"/>
            </w:pPr>
            <w:r w:rsidRPr="00784A05">
              <w:rPr>
                <w:b w:val="0"/>
              </w:rPr>
              <w:t xml:space="preserve">Figure </w:t>
            </w:r>
            <w:proofErr w:type="spellStart"/>
            <w:r>
              <w:rPr>
                <w:b w:val="0"/>
              </w:rPr>
              <w:t>B.</w:t>
            </w:r>
            <w:r w:rsidR="00501FB3">
              <w:rPr>
                <w:b w:val="0"/>
                <w:noProof/>
              </w:rPr>
              <w:t>20</w:t>
            </w:r>
            <w:proofErr w:type="spellEnd"/>
            <w:r>
              <w:tab/>
            </w:r>
            <w:proofErr w:type="spellStart"/>
            <w:r>
              <w:t>ECEC</w:t>
            </w:r>
            <w:proofErr w:type="spellEnd"/>
            <w:r>
              <w:t xml:space="preserve"> performance indicator framework</w:t>
            </w:r>
            <w:r w:rsidR="00D402D0">
              <w:t xml:space="preserve"> </w:t>
            </w:r>
          </w:p>
        </w:tc>
      </w:tr>
      <w:tr w:rsidR="00F65C3A" w:rsidTr="00E627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65C3A" w:rsidTr="00B45189">
              <w:trPr>
                <w:jc w:val="center"/>
              </w:trPr>
              <w:tc>
                <w:tcPr>
                  <w:tcW w:w="5000" w:type="pct"/>
                  <w:tcBorders>
                    <w:top w:val="nil"/>
                    <w:bottom w:val="nil"/>
                  </w:tcBorders>
                  <w:shd w:val="clear" w:color="auto" w:fill="auto"/>
                </w:tcPr>
                <w:p w:rsidR="00F65C3A" w:rsidRPr="00F14060" w:rsidRDefault="00F95C94" w:rsidP="00F14060">
                  <w:pPr>
                    <w:pStyle w:val="Figure"/>
                  </w:pPr>
                  <w:r>
                    <w:rPr>
                      <w:noProof/>
                    </w:rPr>
                    <w:drawing>
                      <wp:inline distT="0" distB="0" distL="0" distR="0" wp14:anchorId="1967D4A4" wp14:editId="3F554FB3">
                        <wp:extent cx="5374866" cy="7125194"/>
                        <wp:effectExtent l="0" t="0" r="0" b="0"/>
                        <wp:docPr id="4" name="Picture 4" descr="Figure B.20 ECEC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Monitor\05 Current Report - WIP\2016 Report\3. 2016 Final RoGS\1. 2016 Ready for Admin processing\10_PIFs\PNG Final PIFS\Chapter 3_Early childhood education and care.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74823" cy="7125137"/>
                                </a:xfrm>
                                <a:prstGeom prst="rect">
                                  <a:avLst/>
                                </a:prstGeom>
                                <a:noFill/>
                                <a:ln>
                                  <a:noFill/>
                                </a:ln>
                              </pic:spPr>
                            </pic:pic>
                          </a:graphicData>
                        </a:graphic>
                      </wp:inline>
                    </w:drawing>
                  </w:r>
                </w:p>
              </w:tc>
            </w:tr>
          </w:tbl>
          <w:p w:rsidR="00F65C3A" w:rsidRDefault="00F65C3A" w:rsidP="00E6276D">
            <w:pPr>
              <w:pStyle w:val="Figure"/>
            </w:pPr>
          </w:p>
        </w:tc>
      </w:tr>
      <w:tr w:rsidR="00F65C3A" w:rsidTr="00E6276D">
        <w:tc>
          <w:tcPr>
            <w:tcW w:w="8771" w:type="dxa"/>
            <w:tcBorders>
              <w:top w:val="nil"/>
              <w:left w:val="nil"/>
              <w:bottom w:val="single" w:sz="6" w:space="0" w:color="78A22F"/>
              <w:right w:val="nil"/>
            </w:tcBorders>
            <w:shd w:val="clear" w:color="auto" w:fill="auto"/>
          </w:tcPr>
          <w:p w:rsidR="00F65C3A" w:rsidRDefault="00F65C3A" w:rsidP="00E6276D">
            <w:pPr>
              <w:pStyle w:val="Figurespace"/>
            </w:pPr>
          </w:p>
        </w:tc>
      </w:tr>
      <w:tr w:rsidR="00F65C3A" w:rsidRPr="000863A5" w:rsidTr="00E6276D">
        <w:tc>
          <w:tcPr>
            <w:tcW w:w="8771" w:type="dxa"/>
            <w:tcBorders>
              <w:top w:val="single" w:sz="6" w:space="0" w:color="78A22F"/>
              <w:left w:val="nil"/>
              <w:bottom w:val="nil"/>
              <w:right w:val="nil"/>
            </w:tcBorders>
          </w:tcPr>
          <w:p w:rsidR="00F65C3A" w:rsidRPr="00626D32" w:rsidRDefault="00F65C3A" w:rsidP="00E6276D">
            <w:pPr>
              <w:pStyle w:val="BoxSpaceBelow"/>
            </w:pPr>
          </w:p>
        </w:tc>
      </w:tr>
    </w:tbl>
    <w:p w:rsidR="00433E19" w:rsidRDefault="00433E19" w:rsidP="009879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33E19" w:rsidTr="009879D2">
        <w:tc>
          <w:tcPr>
            <w:tcW w:w="8771" w:type="dxa"/>
            <w:tcBorders>
              <w:top w:val="single" w:sz="6" w:space="0" w:color="78A22F"/>
              <w:left w:val="nil"/>
              <w:bottom w:val="nil"/>
              <w:right w:val="nil"/>
            </w:tcBorders>
            <w:shd w:val="clear" w:color="auto" w:fill="auto"/>
          </w:tcPr>
          <w:p w:rsidR="00433E19" w:rsidRPr="00784A05" w:rsidRDefault="00433E19" w:rsidP="003571B1">
            <w:pPr>
              <w:pStyle w:val="TableTitle"/>
            </w:pPr>
            <w:r>
              <w:rPr>
                <w:b w:val="0"/>
              </w:rPr>
              <w:t xml:space="preserve">Table </w:t>
            </w:r>
            <w:proofErr w:type="spellStart"/>
            <w:r w:rsidR="009879D2">
              <w:rPr>
                <w:b w:val="0"/>
              </w:rPr>
              <w:t>B</w:t>
            </w:r>
            <w:r>
              <w:rPr>
                <w:b w:val="0"/>
              </w:rPr>
              <w:t>.</w:t>
            </w:r>
            <w:bookmarkStart w:id="7" w:name="OLE_LINK1"/>
            <w:r w:rsidR="00501FB3">
              <w:rPr>
                <w:b w:val="0"/>
                <w:noProof/>
              </w:rPr>
              <w:t>1</w:t>
            </w:r>
            <w:bookmarkEnd w:id="7"/>
            <w:proofErr w:type="spellEnd"/>
            <w:r>
              <w:tab/>
              <w:t xml:space="preserve">Performance indicator results for </w:t>
            </w:r>
            <w:proofErr w:type="spellStart"/>
            <w:r>
              <w:t>ECEC</w:t>
            </w:r>
            <w:proofErr w:type="spellEnd"/>
            <w:r w:rsidRPr="00433E19">
              <w:rPr>
                <w:rStyle w:val="NoteLabel"/>
                <w:b/>
              </w:rPr>
              <w:t>a, b, c</w:t>
            </w:r>
            <w:r w:rsidR="00F02D17">
              <w:rPr>
                <w:rStyle w:val="NoteLabel"/>
                <w:b/>
                <w:color w:val="FF0000"/>
              </w:rPr>
              <w:t xml:space="preserve"> </w:t>
            </w:r>
          </w:p>
        </w:tc>
      </w:tr>
      <w:tr w:rsidR="00433E19" w:rsidTr="009879D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50"/>
              <w:gridCol w:w="842"/>
              <w:gridCol w:w="842"/>
            </w:tblGrid>
            <w:tr w:rsidR="00433E19" w:rsidTr="00433E19">
              <w:tc>
                <w:tcPr>
                  <w:tcW w:w="501" w:type="pct"/>
                  <w:tcBorders>
                    <w:top w:val="single" w:sz="6" w:space="0" w:color="BFBFBF"/>
                    <w:bottom w:val="single" w:sz="6" w:space="0" w:color="BFBFBF"/>
                  </w:tcBorders>
                  <w:shd w:val="clear" w:color="auto" w:fill="auto"/>
                  <w:tcMar>
                    <w:top w:w="28" w:type="dxa"/>
                  </w:tcMar>
                </w:tcPr>
                <w:p w:rsidR="00433E19" w:rsidRDefault="00433E19" w:rsidP="009879D2">
                  <w:pPr>
                    <w:pStyle w:val="TableColumnHeading"/>
                    <w:jc w:val="left"/>
                  </w:pPr>
                </w:p>
              </w:tc>
              <w:tc>
                <w:tcPr>
                  <w:tcW w:w="501" w:type="pct"/>
                  <w:tcBorders>
                    <w:top w:val="single" w:sz="6" w:space="0" w:color="BFBFBF"/>
                    <w:bottom w:val="single" w:sz="6" w:space="0" w:color="BFBFBF"/>
                  </w:tcBorders>
                </w:tcPr>
                <w:p w:rsidR="00433E19" w:rsidRDefault="00433E19" w:rsidP="009879D2">
                  <w:pPr>
                    <w:pStyle w:val="TableColumnHeading"/>
                  </w:pPr>
                  <w:r>
                    <w:t>NSW</w:t>
                  </w:r>
                </w:p>
              </w:tc>
              <w:tc>
                <w:tcPr>
                  <w:tcW w:w="501" w:type="pct"/>
                  <w:tcBorders>
                    <w:top w:val="single" w:sz="6" w:space="0" w:color="BFBFBF"/>
                    <w:bottom w:val="single" w:sz="6" w:space="0" w:color="BFBFBF"/>
                  </w:tcBorders>
                </w:tcPr>
                <w:p w:rsidR="00433E19" w:rsidRDefault="00433E19" w:rsidP="009879D2">
                  <w:pPr>
                    <w:pStyle w:val="TableColumnHeading"/>
                  </w:pPr>
                  <w:r>
                    <w:t>Vic</w:t>
                  </w:r>
                </w:p>
              </w:tc>
              <w:tc>
                <w:tcPr>
                  <w:tcW w:w="501" w:type="pct"/>
                  <w:tcBorders>
                    <w:top w:val="single" w:sz="6" w:space="0" w:color="BFBFBF"/>
                    <w:bottom w:val="single" w:sz="6" w:space="0" w:color="BFBFBF"/>
                  </w:tcBorders>
                </w:tcPr>
                <w:p w:rsidR="00433E19" w:rsidRDefault="00433E19" w:rsidP="009879D2">
                  <w:pPr>
                    <w:pStyle w:val="TableColumnHeading"/>
                  </w:pPr>
                  <w:r>
                    <w:t>Qld</w:t>
                  </w:r>
                </w:p>
              </w:tc>
              <w:tc>
                <w:tcPr>
                  <w:tcW w:w="501" w:type="pct"/>
                  <w:tcBorders>
                    <w:top w:val="single" w:sz="6" w:space="0" w:color="BFBFBF"/>
                    <w:bottom w:val="single" w:sz="6" w:space="0" w:color="BFBFBF"/>
                  </w:tcBorders>
                </w:tcPr>
                <w:p w:rsidR="00433E19" w:rsidRDefault="00433E19" w:rsidP="009879D2">
                  <w:pPr>
                    <w:pStyle w:val="TableColumnHeading"/>
                  </w:pPr>
                  <w:r>
                    <w:t>WA</w:t>
                  </w:r>
                </w:p>
              </w:tc>
              <w:tc>
                <w:tcPr>
                  <w:tcW w:w="501" w:type="pct"/>
                  <w:tcBorders>
                    <w:top w:val="single" w:sz="6" w:space="0" w:color="BFBFBF"/>
                    <w:bottom w:val="single" w:sz="6" w:space="0" w:color="BFBFBF"/>
                  </w:tcBorders>
                </w:tcPr>
                <w:p w:rsidR="00433E19" w:rsidRDefault="00433E19" w:rsidP="009879D2">
                  <w:pPr>
                    <w:pStyle w:val="TableColumnHeading"/>
                  </w:pPr>
                  <w:r>
                    <w:t>SA</w:t>
                  </w:r>
                </w:p>
              </w:tc>
              <w:tc>
                <w:tcPr>
                  <w:tcW w:w="501" w:type="pct"/>
                  <w:tcBorders>
                    <w:top w:val="single" w:sz="6" w:space="0" w:color="BFBFBF"/>
                    <w:bottom w:val="single" w:sz="6" w:space="0" w:color="BFBFBF"/>
                  </w:tcBorders>
                </w:tcPr>
                <w:p w:rsidR="00433E19" w:rsidRDefault="00433E19" w:rsidP="009879D2">
                  <w:pPr>
                    <w:pStyle w:val="TableColumnHeading"/>
                  </w:pPr>
                  <w:proofErr w:type="spellStart"/>
                  <w:r>
                    <w:t>Tas</w:t>
                  </w:r>
                  <w:proofErr w:type="spellEnd"/>
                </w:p>
              </w:tc>
              <w:tc>
                <w:tcPr>
                  <w:tcW w:w="501" w:type="pct"/>
                  <w:tcBorders>
                    <w:top w:val="single" w:sz="6" w:space="0" w:color="BFBFBF"/>
                    <w:bottom w:val="single" w:sz="6" w:space="0" w:color="BFBFBF"/>
                  </w:tcBorders>
                  <w:shd w:val="clear" w:color="auto" w:fill="auto"/>
                  <w:tcMar>
                    <w:top w:w="28" w:type="dxa"/>
                  </w:tcMar>
                </w:tcPr>
                <w:p w:rsidR="00433E19" w:rsidRDefault="00433E19" w:rsidP="009879D2">
                  <w:pPr>
                    <w:pStyle w:val="TableColumnHeading"/>
                  </w:pPr>
                  <w:r>
                    <w:t>ACT</w:t>
                  </w:r>
                </w:p>
              </w:tc>
              <w:tc>
                <w:tcPr>
                  <w:tcW w:w="496" w:type="pct"/>
                  <w:tcBorders>
                    <w:top w:val="single" w:sz="6" w:space="0" w:color="BFBFBF"/>
                    <w:bottom w:val="single" w:sz="6" w:space="0" w:color="BFBFBF"/>
                  </w:tcBorders>
                </w:tcPr>
                <w:p w:rsidR="00433E19" w:rsidRDefault="00433E19" w:rsidP="00433E19">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433E19" w:rsidRDefault="00433E19" w:rsidP="00433E19">
                  <w:pPr>
                    <w:pStyle w:val="TableColumnHeading"/>
                  </w:pPr>
                  <w:proofErr w:type="spellStart"/>
                  <w:r>
                    <w:t>Aust</w:t>
                  </w:r>
                  <w:proofErr w:type="spellEnd"/>
                </w:p>
              </w:tc>
            </w:tr>
            <w:tr w:rsidR="002F438D" w:rsidTr="002F438D">
              <w:tc>
                <w:tcPr>
                  <w:tcW w:w="5000" w:type="pct"/>
                  <w:gridSpan w:val="10"/>
                  <w:tcBorders>
                    <w:top w:val="single" w:sz="6" w:space="0" w:color="BFBFBF"/>
                  </w:tcBorders>
                </w:tcPr>
                <w:p w:rsidR="00C47D6F" w:rsidRDefault="002F438D" w:rsidP="007204CA">
                  <w:pPr>
                    <w:pStyle w:val="DQIMainRowHeadings"/>
                  </w:pPr>
                  <w:r>
                    <w:t>Equity — Access indicators</w:t>
                  </w:r>
                </w:p>
              </w:tc>
            </w:tr>
            <w:tr w:rsidR="002F438D" w:rsidTr="002F438D">
              <w:tc>
                <w:tcPr>
                  <w:tcW w:w="5000" w:type="pct"/>
                  <w:gridSpan w:val="10"/>
                </w:tcPr>
                <w:p w:rsidR="002F438D" w:rsidRDefault="002F438D" w:rsidP="007204CA">
                  <w:pPr>
                    <w:pStyle w:val="DQIRowHeadings"/>
                  </w:pPr>
                  <w:r>
                    <w:t>Participation rates for special needs groups in child care</w:t>
                  </w:r>
                </w:p>
              </w:tc>
            </w:tr>
            <w:tr w:rsidR="007204CA" w:rsidTr="007204CA">
              <w:tc>
                <w:tcPr>
                  <w:tcW w:w="5000" w:type="pct"/>
                  <w:gridSpan w:val="10"/>
                </w:tcPr>
                <w:p w:rsidR="007204CA" w:rsidRPr="00CD1B9C" w:rsidRDefault="00CD1B9C" w:rsidP="00CD1B9C">
                  <w:pPr>
                    <w:pStyle w:val="TableBodyText"/>
                    <w:ind w:left="113"/>
                    <w:jc w:val="left"/>
                  </w:pPr>
                  <w:r w:rsidRPr="00CD1B9C">
                    <w:t xml:space="preserve">Proportion of 0–12 year olds attending </w:t>
                  </w:r>
                  <w:r w:rsidR="00A2004B">
                    <w:t xml:space="preserve">Australian Government </w:t>
                  </w:r>
                  <w:proofErr w:type="spellStart"/>
                  <w:r w:rsidRPr="00CD1B9C">
                    <w:t>CCB</w:t>
                  </w:r>
                  <w:proofErr w:type="spellEnd"/>
                  <w:r w:rsidRPr="00CD1B9C">
                    <w:t xml:space="preserve"> approved child care who are Aboriginal and Torres Strait Isla</w:t>
                  </w:r>
                  <w:r w:rsidR="007E7FBE">
                    <w:t>nder children, 2015</w:t>
                  </w:r>
                  <w:r w:rsidRPr="00CD1B9C">
                    <w:t>. Compar</w:t>
                  </w:r>
                  <w:r w:rsidR="007E7FBE">
                    <w:t>ed to community proportion, 2014</w:t>
                  </w:r>
                </w:p>
              </w:tc>
            </w:tr>
            <w:tr w:rsidR="007204CA" w:rsidTr="007204CA">
              <w:tc>
                <w:tcPr>
                  <w:tcW w:w="5000" w:type="pct"/>
                  <w:gridSpan w:val="10"/>
                </w:tcPr>
                <w:p w:rsidR="007204CA" w:rsidRDefault="00CD1B9C" w:rsidP="00CD1B9C">
                  <w:pPr>
                    <w:pStyle w:val="TableBodyText"/>
                    <w:ind w:left="113" w:right="28"/>
                    <w:jc w:val="left"/>
                  </w:pPr>
                  <w:r w:rsidRPr="00C47D6F">
                    <w:rPr>
                      <w:sz w:val="16"/>
                      <w:szCs w:val="16"/>
                    </w:rPr>
                    <w:t>Most recent data for this measure are comparable and complete, subject to caveats (chapter 3)</w:t>
                  </w:r>
                </w:p>
              </w:tc>
            </w:tr>
            <w:tr w:rsidR="00A2004B" w:rsidTr="00FE7252">
              <w:tc>
                <w:tcPr>
                  <w:tcW w:w="501" w:type="pct"/>
                </w:tcPr>
                <w:p w:rsidR="00A2004B" w:rsidRDefault="00A2004B" w:rsidP="00CE10AD">
                  <w:pPr>
                    <w:pStyle w:val="TableBodyText"/>
                  </w:pPr>
                  <w:r>
                    <w:t>%</w:t>
                  </w:r>
                </w:p>
              </w:tc>
              <w:tc>
                <w:tcPr>
                  <w:tcW w:w="501" w:type="pct"/>
                  <w:vAlign w:val="center"/>
                </w:tcPr>
                <w:p w:rsidR="00A2004B" w:rsidRPr="00A2004B" w:rsidRDefault="00A2004B" w:rsidP="00A2004B">
                  <w:pPr>
                    <w:pStyle w:val="TableBodyText"/>
                  </w:pPr>
                  <w:bookmarkStart w:id="8" w:name="RANGE!R15"/>
                  <w:r w:rsidRPr="00A2004B">
                    <w:t xml:space="preserve">  2.2</w:t>
                  </w:r>
                  <w:bookmarkEnd w:id="8"/>
                </w:p>
              </w:tc>
              <w:tc>
                <w:tcPr>
                  <w:tcW w:w="501" w:type="pct"/>
                  <w:vAlign w:val="center"/>
                </w:tcPr>
                <w:p w:rsidR="00A2004B" w:rsidRPr="00A2004B" w:rsidRDefault="00A2004B" w:rsidP="00A2004B">
                  <w:pPr>
                    <w:pStyle w:val="TableBodyText"/>
                  </w:pPr>
                  <w:bookmarkStart w:id="9" w:name="RANGE!S15"/>
                  <w:r w:rsidRPr="00A2004B">
                    <w:t xml:space="preserve">  0.8</w:t>
                  </w:r>
                  <w:bookmarkEnd w:id="9"/>
                </w:p>
              </w:tc>
              <w:tc>
                <w:tcPr>
                  <w:tcW w:w="501" w:type="pct"/>
                  <w:vAlign w:val="center"/>
                </w:tcPr>
                <w:p w:rsidR="00A2004B" w:rsidRPr="00A2004B" w:rsidRDefault="00A2004B" w:rsidP="00A2004B">
                  <w:pPr>
                    <w:pStyle w:val="TableBodyText"/>
                  </w:pPr>
                  <w:bookmarkStart w:id="10" w:name="RANGE!T15"/>
                  <w:r w:rsidRPr="00A2004B">
                    <w:t xml:space="preserve">  3.1</w:t>
                  </w:r>
                  <w:bookmarkEnd w:id="10"/>
                </w:p>
              </w:tc>
              <w:tc>
                <w:tcPr>
                  <w:tcW w:w="501" w:type="pct"/>
                  <w:vAlign w:val="center"/>
                </w:tcPr>
                <w:p w:rsidR="00A2004B" w:rsidRPr="00A2004B" w:rsidRDefault="00A2004B" w:rsidP="00A2004B">
                  <w:pPr>
                    <w:pStyle w:val="TableBodyText"/>
                  </w:pPr>
                  <w:bookmarkStart w:id="11" w:name="RANGE!U15"/>
                  <w:r w:rsidRPr="00A2004B">
                    <w:t xml:space="preserve">  2.1</w:t>
                  </w:r>
                  <w:bookmarkEnd w:id="11"/>
                </w:p>
              </w:tc>
              <w:tc>
                <w:tcPr>
                  <w:tcW w:w="501" w:type="pct"/>
                  <w:vAlign w:val="center"/>
                </w:tcPr>
                <w:p w:rsidR="00A2004B" w:rsidRPr="00A2004B" w:rsidRDefault="00A2004B" w:rsidP="00A2004B">
                  <w:pPr>
                    <w:pStyle w:val="TableBodyText"/>
                  </w:pPr>
                  <w:bookmarkStart w:id="12" w:name="RANGE!V15"/>
                  <w:r w:rsidRPr="00A2004B">
                    <w:t xml:space="preserve">  1.4</w:t>
                  </w:r>
                  <w:bookmarkEnd w:id="12"/>
                </w:p>
              </w:tc>
              <w:tc>
                <w:tcPr>
                  <w:tcW w:w="501" w:type="pct"/>
                  <w:vAlign w:val="center"/>
                </w:tcPr>
                <w:p w:rsidR="00A2004B" w:rsidRPr="00A2004B" w:rsidRDefault="00A2004B" w:rsidP="00A2004B">
                  <w:pPr>
                    <w:pStyle w:val="TableBodyText"/>
                  </w:pPr>
                  <w:bookmarkStart w:id="13" w:name="RANGE!W15"/>
                  <w:r w:rsidRPr="00A2004B">
                    <w:t xml:space="preserve">  4.6</w:t>
                  </w:r>
                  <w:bookmarkEnd w:id="13"/>
                </w:p>
              </w:tc>
              <w:tc>
                <w:tcPr>
                  <w:tcW w:w="501" w:type="pct"/>
                  <w:vAlign w:val="center"/>
                </w:tcPr>
                <w:p w:rsidR="00A2004B" w:rsidRPr="00A2004B" w:rsidRDefault="00A2004B" w:rsidP="00A2004B">
                  <w:pPr>
                    <w:pStyle w:val="TableBodyText"/>
                  </w:pPr>
                  <w:bookmarkStart w:id="14" w:name="RANGE!X15"/>
                  <w:r w:rsidRPr="00A2004B">
                    <w:t xml:space="preserve">  1.1</w:t>
                  </w:r>
                  <w:bookmarkEnd w:id="14"/>
                </w:p>
              </w:tc>
              <w:tc>
                <w:tcPr>
                  <w:tcW w:w="496" w:type="pct"/>
                  <w:vAlign w:val="center"/>
                </w:tcPr>
                <w:p w:rsidR="00A2004B" w:rsidRPr="00A2004B" w:rsidRDefault="00A2004B" w:rsidP="00A2004B">
                  <w:pPr>
                    <w:pStyle w:val="TableBodyText"/>
                  </w:pPr>
                  <w:bookmarkStart w:id="15" w:name="RANGE!Y15"/>
                  <w:r w:rsidRPr="00A2004B">
                    <w:t xml:space="preserve">  7.7</w:t>
                  </w:r>
                  <w:bookmarkEnd w:id="15"/>
                </w:p>
              </w:tc>
              <w:tc>
                <w:tcPr>
                  <w:tcW w:w="496" w:type="pct"/>
                  <w:vAlign w:val="center"/>
                </w:tcPr>
                <w:p w:rsidR="00A2004B" w:rsidRPr="00A2004B" w:rsidRDefault="00A2004B" w:rsidP="00A2004B">
                  <w:pPr>
                    <w:pStyle w:val="TableBodyText"/>
                  </w:pPr>
                  <w:bookmarkStart w:id="16" w:name="RANGE!Z15"/>
                  <w:r w:rsidRPr="00A2004B">
                    <w:t xml:space="preserve">  2.1</w:t>
                  </w:r>
                  <w:bookmarkEnd w:id="16"/>
                </w:p>
              </w:tc>
            </w:tr>
            <w:tr w:rsidR="00A2004B" w:rsidTr="00433E19">
              <w:tc>
                <w:tcPr>
                  <w:tcW w:w="501" w:type="pct"/>
                </w:tcPr>
                <w:p w:rsidR="00A2004B" w:rsidRDefault="00A2004B" w:rsidP="00CE10AD">
                  <w:pPr>
                    <w:pStyle w:val="TableBodyText"/>
                  </w:pPr>
                  <w:r>
                    <w:t>%</w:t>
                  </w:r>
                </w:p>
              </w:tc>
              <w:tc>
                <w:tcPr>
                  <w:tcW w:w="501" w:type="pct"/>
                </w:tcPr>
                <w:p w:rsidR="00A2004B" w:rsidRPr="00A2004B" w:rsidRDefault="00A2004B" w:rsidP="00A2004B">
                  <w:pPr>
                    <w:pStyle w:val="TableBodyText"/>
                  </w:pPr>
                  <w:r w:rsidRPr="00A2004B">
                    <w:t xml:space="preserve">  5.4</w:t>
                  </w:r>
                </w:p>
              </w:tc>
              <w:tc>
                <w:tcPr>
                  <w:tcW w:w="501" w:type="pct"/>
                </w:tcPr>
                <w:p w:rsidR="00A2004B" w:rsidRPr="00A2004B" w:rsidRDefault="00A2004B" w:rsidP="00A2004B">
                  <w:pPr>
                    <w:pStyle w:val="TableBodyText"/>
                  </w:pPr>
                  <w:r w:rsidRPr="00A2004B">
                    <w:t xml:space="preserve">  1.6</w:t>
                  </w:r>
                </w:p>
              </w:tc>
              <w:tc>
                <w:tcPr>
                  <w:tcW w:w="501" w:type="pct"/>
                </w:tcPr>
                <w:p w:rsidR="00A2004B" w:rsidRPr="00A2004B" w:rsidRDefault="00A2004B" w:rsidP="00A2004B">
                  <w:pPr>
                    <w:pStyle w:val="TableBodyText"/>
                  </w:pPr>
                  <w:r w:rsidRPr="00A2004B">
                    <w:t xml:space="preserve">  7.9</w:t>
                  </w:r>
                </w:p>
              </w:tc>
              <w:tc>
                <w:tcPr>
                  <w:tcW w:w="501" w:type="pct"/>
                </w:tcPr>
                <w:p w:rsidR="00A2004B" w:rsidRPr="00A2004B" w:rsidRDefault="00A2004B" w:rsidP="00A2004B">
                  <w:pPr>
                    <w:pStyle w:val="TableBodyText"/>
                  </w:pPr>
                  <w:r w:rsidRPr="00A2004B">
                    <w:t xml:space="preserve">  6.3</w:t>
                  </w:r>
                </w:p>
              </w:tc>
              <w:tc>
                <w:tcPr>
                  <w:tcW w:w="501" w:type="pct"/>
                </w:tcPr>
                <w:p w:rsidR="00A2004B" w:rsidRPr="00A2004B" w:rsidRDefault="00A2004B" w:rsidP="00A2004B">
                  <w:pPr>
                    <w:pStyle w:val="TableBodyText"/>
                  </w:pPr>
                  <w:r w:rsidRPr="00A2004B">
                    <w:t xml:space="preserve">  4.5</w:t>
                  </w:r>
                </w:p>
              </w:tc>
              <w:tc>
                <w:tcPr>
                  <w:tcW w:w="501" w:type="pct"/>
                </w:tcPr>
                <w:p w:rsidR="00A2004B" w:rsidRPr="00A2004B" w:rsidRDefault="00A2004B" w:rsidP="00A2004B">
                  <w:pPr>
                    <w:pStyle w:val="TableBodyText"/>
                  </w:pPr>
                  <w:r w:rsidRPr="00A2004B">
                    <w:t xml:space="preserve">  9.4</w:t>
                  </w:r>
                </w:p>
              </w:tc>
              <w:tc>
                <w:tcPr>
                  <w:tcW w:w="501" w:type="pct"/>
                </w:tcPr>
                <w:p w:rsidR="00A2004B" w:rsidRPr="00A2004B" w:rsidRDefault="00A2004B" w:rsidP="00A2004B">
                  <w:pPr>
                    <w:pStyle w:val="TableBodyText"/>
                  </w:pPr>
                  <w:r w:rsidRPr="00A2004B">
                    <w:t xml:space="preserve">  2.8</w:t>
                  </w:r>
                </w:p>
              </w:tc>
              <w:tc>
                <w:tcPr>
                  <w:tcW w:w="496" w:type="pct"/>
                </w:tcPr>
                <w:p w:rsidR="00A2004B" w:rsidRPr="00A2004B" w:rsidRDefault="00A2004B" w:rsidP="00A2004B">
                  <w:pPr>
                    <w:pStyle w:val="TableBodyText"/>
                  </w:pPr>
                  <w:r w:rsidRPr="00A2004B">
                    <w:t xml:space="preserve">  41.4</w:t>
                  </w:r>
                </w:p>
              </w:tc>
              <w:tc>
                <w:tcPr>
                  <w:tcW w:w="496" w:type="pct"/>
                </w:tcPr>
                <w:p w:rsidR="00A2004B" w:rsidRPr="00A2004B" w:rsidRDefault="00A2004B" w:rsidP="00A2004B">
                  <w:pPr>
                    <w:pStyle w:val="TableBodyText"/>
                  </w:pPr>
                  <w:r w:rsidRPr="00A2004B">
                    <w:t xml:space="preserve">  5.5</w:t>
                  </w:r>
                </w:p>
              </w:tc>
            </w:tr>
            <w:tr w:rsidR="00A2004B" w:rsidTr="007E7FBE">
              <w:tc>
                <w:tcPr>
                  <w:tcW w:w="5000" w:type="pct"/>
                  <w:gridSpan w:val="10"/>
                </w:tcPr>
                <w:p w:rsidR="00A2004B" w:rsidRDefault="00A2004B" w:rsidP="006E26DB">
                  <w:pPr>
                    <w:pStyle w:val="Source"/>
                    <w:spacing w:before="0" w:after="80"/>
                    <w:ind w:left="113"/>
                  </w:pPr>
                  <w:r w:rsidRPr="00253B66">
                    <w:rPr>
                      <w:i/>
                    </w:rPr>
                    <w:t>Source:</w:t>
                  </w:r>
                  <w:r>
                    <w:t xml:space="preserve"> Attachment table </w:t>
                  </w:r>
                  <w:proofErr w:type="spellStart"/>
                  <w:r>
                    <w:t>3A.14</w:t>
                  </w:r>
                  <w:proofErr w:type="spellEnd"/>
                </w:p>
              </w:tc>
            </w:tr>
            <w:tr w:rsidR="00A2004B" w:rsidTr="0046068B">
              <w:tc>
                <w:tcPr>
                  <w:tcW w:w="5000" w:type="pct"/>
                  <w:gridSpan w:val="10"/>
                </w:tcPr>
                <w:p w:rsidR="00A2004B" w:rsidRDefault="00A2004B" w:rsidP="00697796">
                  <w:pPr>
                    <w:pStyle w:val="TableBodyText"/>
                    <w:ind w:left="113"/>
                    <w:jc w:val="left"/>
                  </w:pPr>
                  <w:r w:rsidRPr="00CD1B9C">
                    <w:t xml:space="preserve">Proportion of 0–12 year olds attending </w:t>
                  </w:r>
                  <w:r>
                    <w:t xml:space="preserve">Australian Government </w:t>
                  </w:r>
                  <w:proofErr w:type="spellStart"/>
                  <w:r w:rsidRPr="00CD1B9C">
                    <w:t>CCB</w:t>
                  </w:r>
                  <w:proofErr w:type="spellEnd"/>
                  <w:r w:rsidRPr="00CD1B9C">
                    <w:t xml:space="preserve"> approved child care who a</w:t>
                  </w:r>
                  <w:r>
                    <w:t>re from low income families, 2015</w:t>
                  </w:r>
                  <w:r w:rsidRPr="00CD1B9C">
                    <w:t>. Compar</w:t>
                  </w:r>
                  <w:r>
                    <w:t>ed to community proportion, 2013-14</w:t>
                  </w:r>
                </w:p>
              </w:tc>
            </w:tr>
            <w:tr w:rsidR="00A2004B" w:rsidRPr="00697796" w:rsidTr="0046068B">
              <w:tc>
                <w:tcPr>
                  <w:tcW w:w="5000" w:type="pct"/>
                  <w:gridSpan w:val="10"/>
                </w:tcPr>
                <w:p w:rsidR="00A2004B" w:rsidRPr="00697796" w:rsidRDefault="00A2004B" w:rsidP="00697796">
                  <w:pPr>
                    <w:pStyle w:val="TableBodyText"/>
                    <w:ind w:left="113" w:right="28"/>
                    <w:jc w:val="left"/>
                    <w:rPr>
                      <w:sz w:val="16"/>
                      <w:szCs w:val="16"/>
                    </w:rPr>
                  </w:pPr>
                  <w:r w:rsidRPr="00C47D6F">
                    <w:rPr>
                      <w:sz w:val="16"/>
                      <w:szCs w:val="16"/>
                    </w:rPr>
                    <w:t>Most recent data for this measure are comparable and complete, subject to caveats (chapter 3)</w:t>
                  </w:r>
                </w:p>
              </w:tc>
            </w:tr>
            <w:tr w:rsidR="00A2004B" w:rsidTr="00FE7252">
              <w:tc>
                <w:tcPr>
                  <w:tcW w:w="501" w:type="pct"/>
                  <w:shd w:val="clear" w:color="auto" w:fill="auto"/>
                </w:tcPr>
                <w:p w:rsidR="00A2004B" w:rsidRDefault="00A2004B" w:rsidP="00CE10AD">
                  <w:pPr>
                    <w:pStyle w:val="TableBodyText"/>
                  </w:pPr>
                  <w:r>
                    <w:t>%</w:t>
                  </w:r>
                </w:p>
              </w:tc>
              <w:tc>
                <w:tcPr>
                  <w:tcW w:w="501" w:type="pct"/>
                  <w:vAlign w:val="center"/>
                </w:tcPr>
                <w:p w:rsidR="00A2004B" w:rsidRPr="00A2004B" w:rsidRDefault="00A2004B" w:rsidP="00A2004B">
                  <w:pPr>
                    <w:pStyle w:val="TableBodyText"/>
                  </w:pPr>
                  <w:bookmarkStart w:id="17" w:name="RANGE!R23"/>
                  <w:r w:rsidRPr="00A2004B">
                    <w:t xml:space="preserve">  23.7</w:t>
                  </w:r>
                  <w:bookmarkEnd w:id="17"/>
                </w:p>
              </w:tc>
              <w:tc>
                <w:tcPr>
                  <w:tcW w:w="501" w:type="pct"/>
                  <w:vAlign w:val="center"/>
                </w:tcPr>
                <w:p w:rsidR="00A2004B" w:rsidRPr="00A2004B" w:rsidRDefault="00A2004B" w:rsidP="00A2004B">
                  <w:pPr>
                    <w:pStyle w:val="TableBodyText"/>
                  </w:pPr>
                  <w:bookmarkStart w:id="18" w:name="RANGE!S23"/>
                  <w:r w:rsidRPr="00A2004B">
                    <w:t xml:space="preserve">  27.0</w:t>
                  </w:r>
                  <w:bookmarkEnd w:id="18"/>
                </w:p>
              </w:tc>
              <w:tc>
                <w:tcPr>
                  <w:tcW w:w="501" w:type="pct"/>
                  <w:vAlign w:val="center"/>
                </w:tcPr>
                <w:p w:rsidR="00A2004B" w:rsidRPr="00A2004B" w:rsidRDefault="00A2004B" w:rsidP="00A2004B">
                  <w:pPr>
                    <w:pStyle w:val="TableBodyText"/>
                  </w:pPr>
                  <w:bookmarkStart w:id="19" w:name="RANGE!T23"/>
                  <w:r w:rsidRPr="00A2004B">
                    <w:t xml:space="preserve">  24.8</w:t>
                  </w:r>
                  <w:bookmarkEnd w:id="19"/>
                </w:p>
              </w:tc>
              <w:tc>
                <w:tcPr>
                  <w:tcW w:w="501" w:type="pct"/>
                  <w:vAlign w:val="center"/>
                </w:tcPr>
                <w:p w:rsidR="00A2004B" w:rsidRPr="00A2004B" w:rsidRDefault="00A2004B" w:rsidP="00A2004B">
                  <w:pPr>
                    <w:pStyle w:val="TableBodyText"/>
                  </w:pPr>
                  <w:bookmarkStart w:id="20" w:name="RANGE!U23"/>
                  <w:r w:rsidRPr="00A2004B">
                    <w:t xml:space="preserve">  21.2</w:t>
                  </w:r>
                  <w:bookmarkEnd w:id="20"/>
                </w:p>
              </w:tc>
              <w:tc>
                <w:tcPr>
                  <w:tcW w:w="501" w:type="pct"/>
                  <w:vAlign w:val="center"/>
                </w:tcPr>
                <w:p w:rsidR="00A2004B" w:rsidRPr="00A2004B" w:rsidRDefault="00A2004B" w:rsidP="00A2004B">
                  <w:pPr>
                    <w:pStyle w:val="TableBodyText"/>
                  </w:pPr>
                  <w:bookmarkStart w:id="21" w:name="RANGE!V23"/>
                  <w:r w:rsidRPr="00A2004B">
                    <w:t xml:space="preserve">  22.4</w:t>
                  </w:r>
                  <w:bookmarkEnd w:id="21"/>
                </w:p>
              </w:tc>
              <w:tc>
                <w:tcPr>
                  <w:tcW w:w="501" w:type="pct"/>
                  <w:vAlign w:val="center"/>
                </w:tcPr>
                <w:p w:rsidR="00A2004B" w:rsidRPr="00A2004B" w:rsidRDefault="00A2004B" w:rsidP="00A2004B">
                  <w:pPr>
                    <w:pStyle w:val="TableBodyText"/>
                  </w:pPr>
                  <w:bookmarkStart w:id="22" w:name="RANGE!W23"/>
                  <w:r w:rsidRPr="00A2004B">
                    <w:t xml:space="preserve">  25.1</w:t>
                  </w:r>
                  <w:bookmarkEnd w:id="22"/>
                </w:p>
              </w:tc>
              <w:tc>
                <w:tcPr>
                  <w:tcW w:w="501" w:type="pct"/>
                  <w:shd w:val="clear" w:color="auto" w:fill="auto"/>
                  <w:vAlign w:val="center"/>
                </w:tcPr>
                <w:p w:rsidR="00A2004B" w:rsidRPr="00A2004B" w:rsidRDefault="00A2004B" w:rsidP="00A2004B">
                  <w:pPr>
                    <w:pStyle w:val="TableBodyText"/>
                  </w:pPr>
                  <w:bookmarkStart w:id="23" w:name="RANGE!X23"/>
                  <w:r w:rsidRPr="00A2004B">
                    <w:t xml:space="preserve">  11.2</w:t>
                  </w:r>
                  <w:bookmarkEnd w:id="23"/>
                </w:p>
              </w:tc>
              <w:tc>
                <w:tcPr>
                  <w:tcW w:w="496" w:type="pct"/>
                  <w:vAlign w:val="center"/>
                </w:tcPr>
                <w:p w:rsidR="00A2004B" w:rsidRPr="00A2004B" w:rsidRDefault="00A2004B" w:rsidP="00A2004B">
                  <w:pPr>
                    <w:pStyle w:val="TableBodyText"/>
                  </w:pPr>
                  <w:bookmarkStart w:id="24" w:name="RANGE!Y23"/>
                  <w:r w:rsidRPr="00A2004B">
                    <w:t xml:space="preserve">  13.5</w:t>
                  </w:r>
                  <w:bookmarkEnd w:id="24"/>
                </w:p>
              </w:tc>
              <w:tc>
                <w:tcPr>
                  <w:tcW w:w="496" w:type="pct"/>
                  <w:shd w:val="clear" w:color="auto" w:fill="auto"/>
                  <w:vAlign w:val="center"/>
                </w:tcPr>
                <w:p w:rsidR="00A2004B" w:rsidRPr="00A2004B" w:rsidRDefault="00A2004B" w:rsidP="00A2004B">
                  <w:pPr>
                    <w:pStyle w:val="TableBodyText"/>
                  </w:pPr>
                  <w:bookmarkStart w:id="25" w:name="RANGE!Z23"/>
                  <w:r w:rsidRPr="00A2004B">
                    <w:t xml:space="preserve">  24.0</w:t>
                  </w:r>
                  <w:bookmarkEnd w:id="25"/>
                </w:p>
              </w:tc>
            </w:tr>
            <w:tr w:rsidR="00A2004B" w:rsidTr="00FE7252">
              <w:tc>
                <w:tcPr>
                  <w:tcW w:w="501" w:type="pct"/>
                  <w:shd w:val="clear" w:color="auto" w:fill="auto"/>
                </w:tcPr>
                <w:p w:rsidR="00A2004B" w:rsidRDefault="00A2004B" w:rsidP="00CE10AD">
                  <w:pPr>
                    <w:pStyle w:val="TableBodyText"/>
                  </w:pPr>
                  <w:r>
                    <w:t>%</w:t>
                  </w:r>
                </w:p>
              </w:tc>
              <w:tc>
                <w:tcPr>
                  <w:tcW w:w="501" w:type="pct"/>
                  <w:vAlign w:val="center"/>
                </w:tcPr>
                <w:p w:rsidR="00A2004B" w:rsidRPr="00A2004B" w:rsidRDefault="00A2004B" w:rsidP="00A2004B">
                  <w:pPr>
                    <w:pStyle w:val="TableBodyText"/>
                  </w:pPr>
                  <w:r w:rsidRPr="00A2004B">
                    <w:t>17.8</w:t>
                  </w:r>
                </w:p>
              </w:tc>
              <w:tc>
                <w:tcPr>
                  <w:tcW w:w="501" w:type="pct"/>
                  <w:vAlign w:val="center"/>
                </w:tcPr>
                <w:p w:rsidR="00A2004B" w:rsidRPr="00A2004B" w:rsidRDefault="00A2004B" w:rsidP="00A2004B">
                  <w:pPr>
                    <w:pStyle w:val="TableBodyText"/>
                  </w:pPr>
                  <w:r w:rsidRPr="00A2004B">
                    <w:t>17.6</w:t>
                  </w:r>
                </w:p>
              </w:tc>
              <w:tc>
                <w:tcPr>
                  <w:tcW w:w="501" w:type="pct"/>
                  <w:vAlign w:val="center"/>
                </w:tcPr>
                <w:p w:rsidR="00A2004B" w:rsidRPr="00A2004B" w:rsidRDefault="00A2004B" w:rsidP="00A2004B">
                  <w:pPr>
                    <w:pStyle w:val="TableBodyText"/>
                  </w:pPr>
                  <w:r w:rsidRPr="00A2004B">
                    <w:t>16.6</w:t>
                  </w:r>
                </w:p>
              </w:tc>
              <w:tc>
                <w:tcPr>
                  <w:tcW w:w="501" w:type="pct"/>
                  <w:vAlign w:val="center"/>
                </w:tcPr>
                <w:p w:rsidR="00A2004B" w:rsidRPr="00A2004B" w:rsidRDefault="00A2004B" w:rsidP="00A2004B">
                  <w:pPr>
                    <w:pStyle w:val="TableBodyText"/>
                  </w:pPr>
                  <w:r w:rsidRPr="00A2004B">
                    <w:t>11.9</w:t>
                  </w:r>
                </w:p>
              </w:tc>
              <w:tc>
                <w:tcPr>
                  <w:tcW w:w="501" w:type="pct"/>
                  <w:vAlign w:val="center"/>
                </w:tcPr>
                <w:p w:rsidR="00A2004B" w:rsidRPr="00A2004B" w:rsidRDefault="00A2004B" w:rsidP="00A2004B">
                  <w:pPr>
                    <w:pStyle w:val="TableBodyText"/>
                  </w:pPr>
                  <w:r w:rsidRPr="00A2004B">
                    <w:t>18.5</w:t>
                  </w:r>
                </w:p>
              </w:tc>
              <w:tc>
                <w:tcPr>
                  <w:tcW w:w="501" w:type="pct"/>
                  <w:vAlign w:val="center"/>
                </w:tcPr>
                <w:p w:rsidR="00A2004B" w:rsidRPr="00A2004B" w:rsidRDefault="00A2004B" w:rsidP="00A2004B">
                  <w:pPr>
                    <w:pStyle w:val="TableBodyText"/>
                  </w:pPr>
                  <w:r w:rsidRPr="00A2004B">
                    <w:t>24.8</w:t>
                  </w:r>
                </w:p>
              </w:tc>
              <w:tc>
                <w:tcPr>
                  <w:tcW w:w="501" w:type="pct"/>
                  <w:shd w:val="clear" w:color="auto" w:fill="auto"/>
                  <w:vAlign w:val="center"/>
                </w:tcPr>
                <w:p w:rsidR="00A2004B" w:rsidRPr="00A2004B" w:rsidRDefault="00A2004B" w:rsidP="00A2004B">
                  <w:pPr>
                    <w:pStyle w:val="TableBodyText"/>
                  </w:pPr>
                  <w:r w:rsidRPr="00A2004B">
                    <w:t>6.1</w:t>
                  </w:r>
                </w:p>
              </w:tc>
              <w:tc>
                <w:tcPr>
                  <w:tcW w:w="496" w:type="pct"/>
                  <w:vAlign w:val="center"/>
                </w:tcPr>
                <w:p w:rsidR="00A2004B" w:rsidRPr="00A2004B" w:rsidRDefault="00A2004B" w:rsidP="00A2004B">
                  <w:pPr>
                    <w:pStyle w:val="TableBodyText"/>
                  </w:pPr>
                  <w:r w:rsidRPr="00A2004B">
                    <w:t>9.0</w:t>
                  </w:r>
                </w:p>
              </w:tc>
              <w:tc>
                <w:tcPr>
                  <w:tcW w:w="496" w:type="pct"/>
                  <w:shd w:val="clear" w:color="auto" w:fill="auto"/>
                  <w:vAlign w:val="center"/>
                </w:tcPr>
                <w:p w:rsidR="00A2004B" w:rsidRPr="00A2004B" w:rsidRDefault="00A2004B" w:rsidP="00A2004B">
                  <w:pPr>
                    <w:pStyle w:val="TableBodyText"/>
                  </w:pPr>
                  <w:r w:rsidRPr="00A2004B">
                    <w:t>16.8</w:t>
                  </w:r>
                </w:p>
              </w:tc>
            </w:tr>
            <w:tr w:rsidR="00A2004B" w:rsidTr="0046068B">
              <w:tc>
                <w:tcPr>
                  <w:tcW w:w="5000" w:type="pct"/>
                  <w:gridSpan w:val="10"/>
                  <w:shd w:val="clear" w:color="auto" w:fill="auto"/>
                </w:tcPr>
                <w:p w:rsidR="00A2004B" w:rsidRDefault="00A2004B" w:rsidP="006E26DB">
                  <w:pPr>
                    <w:pStyle w:val="Source"/>
                    <w:spacing w:before="0" w:after="80"/>
                    <w:ind w:left="113"/>
                  </w:pPr>
                  <w:r w:rsidRPr="00253B66">
                    <w:rPr>
                      <w:i/>
                    </w:rPr>
                    <w:t>Source:</w:t>
                  </w:r>
                  <w:r w:rsidRPr="0046068B">
                    <w:rPr>
                      <w:i/>
                    </w:rPr>
                    <w:t xml:space="preserve"> </w:t>
                  </w:r>
                  <w:r>
                    <w:t xml:space="preserve">Attachment table </w:t>
                  </w:r>
                  <w:proofErr w:type="spellStart"/>
                  <w:r>
                    <w:t>3A.14</w:t>
                  </w:r>
                  <w:proofErr w:type="spellEnd"/>
                </w:p>
              </w:tc>
            </w:tr>
            <w:tr w:rsidR="00A2004B" w:rsidTr="00697796">
              <w:tc>
                <w:tcPr>
                  <w:tcW w:w="5000" w:type="pct"/>
                  <w:gridSpan w:val="10"/>
                  <w:shd w:val="clear" w:color="auto" w:fill="auto"/>
                </w:tcPr>
                <w:p w:rsidR="00A2004B" w:rsidRDefault="00A2004B" w:rsidP="00390313">
                  <w:pPr>
                    <w:pStyle w:val="TableBodyText"/>
                    <w:ind w:left="113" w:right="28"/>
                    <w:jc w:val="left"/>
                  </w:pPr>
                  <w:r w:rsidRPr="00CD1B9C">
                    <w:t>Proportion of 0–12 year olds attendi</w:t>
                  </w:r>
                  <w:r>
                    <w:t xml:space="preserve">ng </w:t>
                  </w:r>
                  <w:r w:rsidR="00550F28">
                    <w:t xml:space="preserve">Australian Government </w:t>
                  </w:r>
                  <w:proofErr w:type="spellStart"/>
                  <w:r>
                    <w:t>CCB</w:t>
                  </w:r>
                  <w:proofErr w:type="spellEnd"/>
                  <w:r>
                    <w:t xml:space="preserve"> approved child care with disability, 2013</w:t>
                  </w:r>
                  <w:r w:rsidRPr="00CD1B9C">
                    <w:t>. Compar</w:t>
                  </w:r>
                  <w:r>
                    <w:t>ed to community proportion, 2012</w:t>
                  </w:r>
                </w:p>
              </w:tc>
            </w:tr>
            <w:tr w:rsidR="00A2004B" w:rsidTr="00697796">
              <w:tc>
                <w:tcPr>
                  <w:tcW w:w="5000" w:type="pct"/>
                  <w:gridSpan w:val="10"/>
                  <w:shd w:val="clear" w:color="auto" w:fill="auto"/>
                </w:tcPr>
                <w:p w:rsidR="00A2004B" w:rsidRDefault="00A2004B" w:rsidP="00390313">
                  <w:pPr>
                    <w:pStyle w:val="TableBodyText"/>
                    <w:ind w:left="113" w:right="28"/>
                    <w:jc w:val="left"/>
                  </w:pPr>
                  <w:r w:rsidRPr="00C47D6F">
                    <w:rPr>
                      <w:sz w:val="16"/>
                      <w:szCs w:val="16"/>
                    </w:rPr>
                    <w:t>Most recent data for this measure are comparable and complete, subject to caveats (chapter 3)</w:t>
                  </w:r>
                </w:p>
              </w:tc>
            </w:tr>
            <w:tr w:rsidR="00A2004B" w:rsidTr="00FE7252">
              <w:tc>
                <w:tcPr>
                  <w:tcW w:w="501" w:type="pct"/>
                  <w:shd w:val="clear" w:color="auto" w:fill="auto"/>
                </w:tcPr>
                <w:p w:rsidR="00A2004B" w:rsidRDefault="00A2004B" w:rsidP="00CE10AD">
                  <w:pPr>
                    <w:pStyle w:val="TableBodyText"/>
                  </w:pPr>
                  <w:r>
                    <w:t>%</w:t>
                  </w:r>
                </w:p>
              </w:tc>
              <w:tc>
                <w:tcPr>
                  <w:tcW w:w="501" w:type="pct"/>
                  <w:vAlign w:val="center"/>
                </w:tcPr>
                <w:p w:rsidR="00A2004B" w:rsidRPr="00A2004B" w:rsidRDefault="00A2004B" w:rsidP="00A2004B">
                  <w:pPr>
                    <w:pStyle w:val="TableBodyText"/>
                  </w:pPr>
                  <w:bookmarkStart w:id="26" w:name="RANGE!R31"/>
                  <w:r w:rsidRPr="00A2004B">
                    <w:t xml:space="preserve">  3.8</w:t>
                  </w:r>
                  <w:bookmarkEnd w:id="26"/>
                </w:p>
              </w:tc>
              <w:tc>
                <w:tcPr>
                  <w:tcW w:w="501" w:type="pct"/>
                  <w:vAlign w:val="center"/>
                </w:tcPr>
                <w:p w:rsidR="00A2004B" w:rsidRPr="00A2004B" w:rsidRDefault="00A2004B" w:rsidP="00A2004B">
                  <w:pPr>
                    <w:pStyle w:val="TableBodyText"/>
                  </w:pPr>
                  <w:bookmarkStart w:id="27" w:name="RANGE!S31"/>
                  <w:r w:rsidRPr="00A2004B">
                    <w:t xml:space="preserve">  2.5</w:t>
                  </w:r>
                  <w:bookmarkEnd w:id="27"/>
                </w:p>
              </w:tc>
              <w:tc>
                <w:tcPr>
                  <w:tcW w:w="501" w:type="pct"/>
                  <w:vAlign w:val="center"/>
                </w:tcPr>
                <w:p w:rsidR="00A2004B" w:rsidRPr="00A2004B" w:rsidRDefault="00A2004B" w:rsidP="00A2004B">
                  <w:pPr>
                    <w:pStyle w:val="TableBodyText"/>
                  </w:pPr>
                  <w:bookmarkStart w:id="28" w:name="RANGE!T31"/>
                  <w:r w:rsidRPr="00A2004B">
                    <w:t xml:space="preserve">  2.4</w:t>
                  </w:r>
                  <w:bookmarkEnd w:id="28"/>
                </w:p>
              </w:tc>
              <w:tc>
                <w:tcPr>
                  <w:tcW w:w="501" w:type="pct"/>
                  <w:vAlign w:val="center"/>
                </w:tcPr>
                <w:p w:rsidR="00A2004B" w:rsidRPr="00A2004B" w:rsidRDefault="00A2004B" w:rsidP="00A2004B">
                  <w:pPr>
                    <w:pStyle w:val="TableBodyText"/>
                  </w:pPr>
                  <w:bookmarkStart w:id="29" w:name="RANGE!U31"/>
                  <w:r w:rsidRPr="00A2004B">
                    <w:t xml:space="preserve">  2.1</w:t>
                  </w:r>
                  <w:bookmarkEnd w:id="29"/>
                </w:p>
              </w:tc>
              <w:tc>
                <w:tcPr>
                  <w:tcW w:w="501" w:type="pct"/>
                  <w:vAlign w:val="center"/>
                </w:tcPr>
                <w:p w:rsidR="00A2004B" w:rsidRPr="00A2004B" w:rsidRDefault="00A2004B" w:rsidP="00A2004B">
                  <w:pPr>
                    <w:pStyle w:val="TableBodyText"/>
                  </w:pPr>
                  <w:bookmarkStart w:id="30" w:name="RANGE!V31"/>
                  <w:r w:rsidRPr="00A2004B">
                    <w:t xml:space="preserve">  4.2</w:t>
                  </w:r>
                  <w:bookmarkEnd w:id="30"/>
                </w:p>
              </w:tc>
              <w:tc>
                <w:tcPr>
                  <w:tcW w:w="501" w:type="pct"/>
                  <w:vAlign w:val="center"/>
                </w:tcPr>
                <w:p w:rsidR="00A2004B" w:rsidRPr="00A2004B" w:rsidRDefault="00A2004B" w:rsidP="00A2004B">
                  <w:pPr>
                    <w:pStyle w:val="TableBodyText"/>
                  </w:pPr>
                  <w:bookmarkStart w:id="31" w:name="RANGE!W31"/>
                  <w:r w:rsidRPr="00A2004B">
                    <w:t xml:space="preserve">  2.4</w:t>
                  </w:r>
                  <w:bookmarkEnd w:id="31"/>
                </w:p>
              </w:tc>
              <w:tc>
                <w:tcPr>
                  <w:tcW w:w="501" w:type="pct"/>
                  <w:shd w:val="clear" w:color="auto" w:fill="auto"/>
                  <w:vAlign w:val="center"/>
                </w:tcPr>
                <w:p w:rsidR="00A2004B" w:rsidRPr="00A2004B" w:rsidRDefault="00A2004B" w:rsidP="00A2004B">
                  <w:pPr>
                    <w:pStyle w:val="TableBodyText"/>
                  </w:pPr>
                  <w:bookmarkStart w:id="32" w:name="RANGE!X31"/>
                  <w:r w:rsidRPr="00A2004B">
                    <w:t xml:space="preserve">  2.8</w:t>
                  </w:r>
                  <w:bookmarkEnd w:id="32"/>
                </w:p>
              </w:tc>
              <w:tc>
                <w:tcPr>
                  <w:tcW w:w="496" w:type="pct"/>
                  <w:vAlign w:val="center"/>
                </w:tcPr>
                <w:p w:rsidR="00A2004B" w:rsidRPr="00A2004B" w:rsidRDefault="00A2004B" w:rsidP="00A2004B">
                  <w:pPr>
                    <w:pStyle w:val="TableBodyText"/>
                  </w:pPr>
                  <w:bookmarkStart w:id="33" w:name="RANGE!Y31"/>
                  <w:r w:rsidRPr="00A2004B">
                    <w:t xml:space="preserve">  4.7</w:t>
                  </w:r>
                  <w:bookmarkEnd w:id="33"/>
                </w:p>
              </w:tc>
              <w:tc>
                <w:tcPr>
                  <w:tcW w:w="496" w:type="pct"/>
                  <w:shd w:val="clear" w:color="auto" w:fill="auto"/>
                  <w:vAlign w:val="center"/>
                </w:tcPr>
                <w:p w:rsidR="00A2004B" w:rsidRPr="00A2004B" w:rsidRDefault="00A2004B" w:rsidP="00A2004B">
                  <w:pPr>
                    <w:pStyle w:val="TableBodyText"/>
                  </w:pPr>
                  <w:bookmarkStart w:id="34" w:name="RANGE!Z31"/>
                  <w:r w:rsidRPr="00A2004B">
                    <w:t xml:space="preserve">  3.0</w:t>
                  </w:r>
                  <w:bookmarkEnd w:id="34"/>
                </w:p>
              </w:tc>
            </w:tr>
            <w:tr w:rsidR="00A2004B" w:rsidTr="00FE7252">
              <w:tc>
                <w:tcPr>
                  <w:tcW w:w="501" w:type="pct"/>
                  <w:shd w:val="clear" w:color="auto" w:fill="auto"/>
                </w:tcPr>
                <w:p w:rsidR="00A2004B" w:rsidRDefault="00A2004B" w:rsidP="00CE10AD">
                  <w:pPr>
                    <w:pStyle w:val="TableBodyText"/>
                  </w:pPr>
                  <w:r>
                    <w:t>%</w:t>
                  </w:r>
                </w:p>
              </w:tc>
              <w:tc>
                <w:tcPr>
                  <w:tcW w:w="501" w:type="pct"/>
                  <w:vAlign w:val="center"/>
                </w:tcPr>
                <w:p w:rsidR="00A2004B" w:rsidRPr="00A2004B" w:rsidRDefault="00A2004B" w:rsidP="00A2004B">
                  <w:pPr>
                    <w:pStyle w:val="TableBodyText"/>
                  </w:pPr>
                  <w:r w:rsidRPr="00A2004B">
                    <w:t>6.8</w:t>
                  </w:r>
                </w:p>
              </w:tc>
              <w:tc>
                <w:tcPr>
                  <w:tcW w:w="501" w:type="pct"/>
                  <w:vAlign w:val="center"/>
                </w:tcPr>
                <w:p w:rsidR="00A2004B" w:rsidRPr="00A2004B" w:rsidRDefault="00A2004B" w:rsidP="00A2004B">
                  <w:pPr>
                    <w:pStyle w:val="TableBodyText"/>
                  </w:pPr>
                  <w:r w:rsidRPr="00A2004B">
                    <w:t>6.3</w:t>
                  </w:r>
                </w:p>
              </w:tc>
              <w:tc>
                <w:tcPr>
                  <w:tcW w:w="501" w:type="pct"/>
                  <w:vAlign w:val="center"/>
                </w:tcPr>
                <w:p w:rsidR="00A2004B" w:rsidRPr="00A2004B" w:rsidRDefault="00A2004B" w:rsidP="00A2004B">
                  <w:pPr>
                    <w:pStyle w:val="TableBodyText"/>
                  </w:pPr>
                  <w:r w:rsidRPr="00A2004B">
                    <w:t>6.4</w:t>
                  </w:r>
                </w:p>
              </w:tc>
              <w:tc>
                <w:tcPr>
                  <w:tcW w:w="501" w:type="pct"/>
                  <w:vAlign w:val="center"/>
                </w:tcPr>
                <w:p w:rsidR="00A2004B" w:rsidRPr="00A2004B" w:rsidRDefault="00A2004B" w:rsidP="00A2004B">
                  <w:pPr>
                    <w:pStyle w:val="TableBodyText"/>
                  </w:pPr>
                  <w:r w:rsidRPr="00A2004B">
                    <w:t>7.4</w:t>
                  </w:r>
                </w:p>
              </w:tc>
              <w:tc>
                <w:tcPr>
                  <w:tcW w:w="501" w:type="pct"/>
                  <w:vAlign w:val="center"/>
                </w:tcPr>
                <w:p w:rsidR="00A2004B" w:rsidRPr="00A2004B" w:rsidRDefault="00A2004B" w:rsidP="00A2004B">
                  <w:pPr>
                    <w:pStyle w:val="TableBodyText"/>
                  </w:pPr>
                  <w:r w:rsidRPr="00A2004B">
                    <w:t>6.7</w:t>
                  </w:r>
                </w:p>
              </w:tc>
              <w:tc>
                <w:tcPr>
                  <w:tcW w:w="501" w:type="pct"/>
                  <w:vAlign w:val="center"/>
                </w:tcPr>
                <w:p w:rsidR="00A2004B" w:rsidRPr="00A2004B" w:rsidRDefault="00A2004B" w:rsidP="00A2004B">
                  <w:pPr>
                    <w:pStyle w:val="TableBodyText"/>
                  </w:pPr>
                  <w:r w:rsidRPr="00A2004B">
                    <w:t>9.3</w:t>
                  </w:r>
                </w:p>
              </w:tc>
              <w:tc>
                <w:tcPr>
                  <w:tcW w:w="501" w:type="pct"/>
                  <w:shd w:val="clear" w:color="auto" w:fill="auto"/>
                  <w:vAlign w:val="center"/>
                </w:tcPr>
                <w:p w:rsidR="00A2004B" w:rsidRPr="00A2004B" w:rsidRDefault="00A2004B" w:rsidP="00A2004B">
                  <w:pPr>
                    <w:pStyle w:val="TableBodyText"/>
                  </w:pPr>
                  <w:r w:rsidRPr="00A2004B">
                    <w:t>7.0</w:t>
                  </w:r>
                </w:p>
              </w:tc>
              <w:tc>
                <w:tcPr>
                  <w:tcW w:w="496" w:type="pct"/>
                  <w:vAlign w:val="center"/>
                </w:tcPr>
                <w:p w:rsidR="00A2004B" w:rsidRPr="00A2004B" w:rsidRDefault="00A2004B" w:rsidP="00A2004B">
                  <w:pPr>
                    <w:pStyle w:val="TableBodyText"/>
                  </w:pPr>
                  <w:r w:rsidRPr="00A2004B">
                    <w:t>4.0</w:t>
                  </w:r>
                </w:p>
              </w:tc>
              <w:tc>
                <w:tcPr>
                  <w:tcW w:w="496" w:type="pct"/>
                  <w:shd w:val="clear" w:color="auto" w:fill="auto"/>
                  <w:vAlign w:val="center"/>
                </w:tcPr>
                <w:p w:rsidR="00A2004B" w:rsidRPr="00A2004B" w:rsidRDefault="00A2004B" w:rsidP="00A2004B">
                  <w:pPr>
                    <w:pStyle w:val="TableBodyText"/>
                  </w:pPr>
                  <w:r w:rsidRPr="00A2004B">
                    <w:t>6.7</w:t>
                  </w:r>
                </w:p>
              </w:tc>
            </w:tr>
            <w:tr w:rsidR="00A2004B" w:rsidTr="00697796">
              <w:tc>
                <w:tcPr>
                  <w:tcW w:w="5000" w:type="pct"/>
                  <w:gridSpan w:val="10"/>
                  <w:shd w:val="clear" w:color="auto" w:fill="auto"/>
                </w:tcPr>
                <w:p w:rsidR="00A2004B" w:rsidRDefault="00A2004B" w:rsidP="006E26DB">
                  <w:pPr>
                    <w:pStyle w:val="Source"/>
                    <w:spacing w:before="0" w:after="80"/>
                    <w:ind w:left="113"/>
                  </w:pPr>
                  <w:r w:rsidRPr="00253B66">
                    <w:rPr>
                      <w:i/>
                    </w:rPr>
                    <w:t>Source:</w:t>
                  </w:r>
                  <w:r w:rsidRPr="0046068B">
                    <w:rPr>
                      <w:i/>
                    </w:rPr>
                    <w:t xml:space="preserve"> </w:t>
                  </w:r>
                  <w:r>
                    <w:t xml:space="preserve">Attachment table </w:t>
                  </w:r>
                  <w:proofErr w:type="spellStart"/>
                  <w:r>
                    <w:t>3A.14</w:t>
                  </w:r>
                  <w:proofErr w:type="spellEnd"/>
                </w:p>
              </w:tc>
            </w:tr>
            <w:tr w:rsidR="00A2004B" w:rsidTr="00390313">
              <w:tc>
                <w:tcPr>
                  <w:tcW w:w="5000" w:type="pct"/>
                  <w:gridSpan w:val="10"/>
                  <w:shd w:val="clear" w:color="auto" w:fill="auto"/>
                </w:tcPr>
                <w:p w:rsidR="00A2004B" w:rsidRDefault="00A2004B" w:rsidP="00390313">
                  <w:pPr>
                    <w:pStyle w:val="DQIRowHeadings"/>
                  </w:pPr>
                  <w:r>
                    <w:t>Participation rates for special needs groups in preschool</w:t>
                  </w:r>
                </w:p>
              </w:tc>
            </w:tr>
            <w:tr w:rsidR="00A2004B" w:rsidTr="00390313">
              <w:tc>
                <w:tcPr>
                  <w:tcW w:w="5000" w:type="pct"/>
                  <w:gridSpan w:val="10"/>
                  <w:shd w:val="clear" w:color="auto" w:fill="auto"/>
                </w:tcPr>
                <w:p w:rsidR="00A2004B" w:rsidRDefault="00A2004B" w:rsidP="001168BE">
                  <w:pPr>
                    <w:pStyle w:val="TableBodyText"/>
                    <w:ind w:left="113" w:right="28"/>
                    <w:jc w:val="left"/>
                  </w:pPr>
                  <w:r>
                    <w:t>Proportion of 3–5 year olds enrolled in a preschool program who are Aboriginal and</w:t>
                  </w:r>
                  <w:r w:rsidR="00CA7FBC">
                    <w:t xml:space="preserve"> Torres Strait Islander children</w:t>
                  </w:r>
                  <w:r>
                    <w:t>, 2014. Compared to community proportion, 2014</w:t>
                  </w:r>
                </w:p>
              </w:tc>
            </w:tr>
            <w:tr w:rsidR="00A2004B" w:rsidTr="00390313">
              <w:tc>
                <w:tcPr>
                  <w:tcW w:w="5000" w:type="pct"/>
                  <w:gridSpan w:val="10"/>
                  <w:shd w:val="clear" w:color="auto" w:fill="auto"/>
                </w:tcPr>
                <w:p w:rsidR="00A2004B" w:rsidRDefault="00A2004B" w:rsidP="001168BE">
                  <w:pPr>
                    <w:pStyle w:val="TableBodyText"/>
                    <w:ind w:left="113" w:right="28"/>
                    <w:jc w:val="left"/>
                  </w:pPr>
                  <w:r w:rsidRPr="00C47D6F">
                    <w:rPr>
                      <w:sz w:val="16"/>
                      <w:szCs w:val="16"/>
                    </w:rPr>
                    <w:t>Most recent data for this measure are comparable and complete, subject to caveats (chapter 3)</w:t>
                  </w:r>
                </w:p>
              </w:tc>
            </w:tr>
            <w:tr w:rsidR="00CA7FBC" w:rsidTr="00FE7252">
              <w:tc>
                <w:tcPr>
                  <w:tcW w:w="501" w:type="pct"/>
                  <w:shd w:val="clear" w:color="auto" w:fill="auto"/>
                </w:tcPr>
                <w:p w:rsidR="00CA7FBC" w:rsidRDefault="00CA7FBC" w:rsidP="00CE10AD">
                  <w:pPr>
                    <w:pStyle w:val="TableBodyText"/>
                  </w:pPr>
                  <w:r>
                    <w:t>%</w:t>
                  </w:r>
                </w:p>
              </w:tc>
              <w:tc>
                <w:tcPr>
                  <w:tcW w:w="501" w:type="pct"/>
                  <w:vAlign w:val="bottom"/>
                </w:tcPr>
                <w:p w:rsidR="00CA7FBC" w:rsidRPr="00CA7FBC" w:rsidRDefault="00CA7FBC" w:rsidP="00CA7FBC">
                  <w:pPr>
                    <w:pStyle w:val="TableBodyText"/>
                  </w:pPr>
                  <w:r w:rsidRPr="00CA7FBC">
                    <w:t xml:space="preserve">4.7 </w:t>
                  </w:r>
                </w:p>
              </w:tc>
              <w:tc>
                <w:tcPr>
                  <w:tcW w:w="501" w:type="pct"/>
                  <w:vAlign w:val="bottom"/>
                </w:tcPr>
                <w:p w:rsidR="00CA7FBC" w:rsidRPr="00CA7FBC" w:rsidRDefault="00CA7FBC" w:rsidP="00CA7FBC">
                  <w:pPr>
                    <w:pStyle w:val="TableBodyText"/>
                  </w:pPr>
                  <w:r w:rsidRPr="00CA7FBC">
                    <w:t xml:space="preserve">1.4 </w:t>
                  </w:r>
                </w:p>
              </w:tc>
              <w:tc>
                <w:tcPr>
                  <w:tcW w:w="501" w:type="pct"/>
                  <w:vAlign w:val="bottom"/>
                </w:tcPr>
                <w:p w:rsidR="00CA7FBC" w:rsidRPr="00CA7FBC" w:rsidRDefault="00CA7FBC" w:rsidP="00CA7FBC">
                  <w:pPr>
                    <w:pStyle w:val="TableBodyText"/>
                  </w:pPr>
                  <w:r w:rsidRPr="00CA7FBC">
                    <w:t xml:space="preserve">4.9 </w:t>
                  </w:r>
                </w:p>
              </w:tc>
              <w:tc>
                <w:tcPr>
                  <w:tcW w:w="501" w:type="pct"/>
                  <w:vAlign w:val="bottom"/>
                </w:tcPr>
                <w:p w:rsidR="00CA7FBC" w:rsidRPr="00CA7FBC" w:rsidRDefault="00CA7FBC" w:rsidP="00CA7FBC">
                  <w:pPr>
                    <w:pStyle w:val="TableBodyText"/>
                  </w:pPr>
                  <w:r w:rsidRPr="00CA7FBC">
                    <w:t xml:space="preserve">5.9 </w:t>
                  </w:r>
                </w:p>
              </w:tc>
              <w:tc>
                <w:tcPr>
                  <w:tcW w:w="501" w:type="pct"/>
                  <w:vAlign w:val="bottom"/>
                </w:tcPr>
                <w:p w:rsidR="00CA7FBC" w:rsidRPr="00CA7FBC" w:rsidRDefault="00CA7FBC" w:rsidP="00CA7FBC">
                  <w:pPr>
                    <w:pStyle w:val="TableBodyText"/>
                  </w:pPr>
                  <w:r w:rsidRPr="00CA7FBC">
                    <w:t xml:space="preserve">6.5 </w:t>
                  </w:r>
                </w:p>
              </w:tc>
              <w:tc>
                <w:tcPr>
                  <w:tcW w:w="501" w:type="pct"/>
                  <w:vAlign w:val="bottom"/>
                </w:tcPr>
                <w:p w:rsidR="00CA7FBC" w:rsidRPr="00CA7FBC" w:rsidRDefault="00CA7FBC" w:rsidP="00CA7FBC">
                  <w:pPr>
                    <w:pStyle w:val="TableBodyText"/>
                  </w:pPr>
                  <w:r w:rsidRPr="00CA7FBC">
                    <w:t xml:space="preserve">8.6 </w:t>
                  </w:r>
                </w:p>
              </w:tc>
              <w:tc>
                <w:tcPr>
                  <w:tcW w:w="501" w:type="pct"/>
                  <w:shd w:val="clear" w:color="auto" w:fill="auto"/>
                  <w:vAlign w:val="bottom"/>
                </w:tcPr>
                <w:p w:rsidR="00CA7FBC" w:rsidRPr="00CA7FBC" w:rsidRDefault="00CA7FBC" w:rsidP="00CA7FBC">
                  <w:pPr>
                    <w:pStyle w:val="TableBodyText"/>
                  </w:pPr>
                  <w:r w:rsidRPr="00CA7FBC">
                    <w:t xml:space="preserve">2.3 </w:t>
                  </w:r>
                </w:p>
              </w:tc>
              <w:tc>
                <w:tcPr>
                  <w:tcW w:w="496" w:type="pct"/>
                  <w:vAlign w:val="bottom"/>
                </w:tcPr>
                <w:p w:rsidR="00CA7FBC" w:rsidRPr="00CA7FBC" w:rsidRDefault="00CA7FBC" w:rsidP="00CA7FBC">
                  <w:pPr>
                    <w:pStyle w:val="TableBodyText"/>
                  </w:pPr>
                  <w:r w:rsidRPr="00CA7FBC">
                    <w:t xml:space="preserve">35.4 </w:t>
                  </w:r>
                </w:p>
              </w:tc>
              <w:tc>
                <w:tcPr>
                  <w:tcW w:w="496" w:type="pct"/>
                  <w:shd w:val="clear" w:color="auto" w:fill="auto"/>
                  <w:vAlign w:val="bottom"/>
                </w:tcPr>
                <w:p w:rsidR="00CA7FBC" w:rsidRPr="00CA7FBC" w:rsidRDefault="00CA7FBC" w:rsidP="00CA7FBC">
                  <w:pPr>
                    <w:pStyle w:val="TableBodyText"/>
                  </w:pPr>
                  <w:r w:rsidRPr="00CA7FBC">
                    <w:t xml:space="preserve">4.6 </w:t>
                  </w:r>
                </w:p>
              </w:tc>
            </w:tr>
            <w:tr w:rsidR="00CA3080" w:rsidTr="00FE7252">
              <w:tc>
                <w:tcPr>
                  <w:tcW w:w="501" w:type="pct"/>
                  <w:shd w:val="clear" w:color="auto" w:fill="auto"/>
                </w:tcPr>
                <w:p w:rsidR="00CA3080" w:rsidRDefault="00CA3080" w:rsidP="003901C7">
                  <w:pPr>
                    <w:pStyle w:val="TableBodyText"/>
                  </w:pPr>
                  <w:r>
                    <w:t>%</w:t>
                  </w:r>
                </w:p>
              </w:tc>
              <w:tc>
                <w:tcPr>
                  <w:tcW w:w="501" w:type="pct"/>
                  <w:vAlign w:val="bottom"/>
                </w:tcPr>
                <w:p w:rsidR="00CA3080" w:rsidRPr="00CA7FBC" w:rsidRDefault="00CA3080" w:rsidP="003901C7">
                  <w:pPr>
                    <w:pStyle w:val="TableBodyText"/>
                  </w:pPr>
                  <w:r w:rsidRPr="00CA7FBC">
                    <w:t xml:space="preserve">  5.3</w:t>
                  </w:r>
                </w:p>
              </w:tc>
              <w:tc>
                <w:tcPr>
                  <w:tcW w:w="501" w:type="pct"/>
                  <w:vAlign w:val="bottom"/>
                </w:tcPr>
                <w:p w:rsidR="00CA3080" w:rsidRPr="00CA7FBC" w:rsidRDefault="00CA3080" w:rsidP="003901C7">
                  <w:pPr>
                    <w:pStyle w:val="TableBodyText"/>
                  </w:pPr>
                  <w:r w:rsidRPr="00CA7FBC">
                    <w:t xml:space="preserve">  1.7</w:t>
                  </w:r>
                </w:p>
              </w:tc>
              <w:tc>
                <w:tcPr>
                  <w:tcW w:w="501" w:type="pct"/>
                  <w:vAlign w:val="bottom"/>
                </w:tcPr>
                <w:p w:rsidR="00CA3080" w:rsidRPr="00CA7FBC" w:rsidRDefault="00CA3080" w:rsidP="003901C7">
                  <w:pPr>
                    <w:pStyle w:val="TableBodyText"/>
                  </w:pPr>
                  <w:r w:rsidRPr="00CA7FBC">
                    <w:t xml:space="preserve">  8.0</w:t>
                  </w:r>
                </w:p>
              </w:tc>
              <w:tc>
                <w:tcPr>
                  <w:tcW w:w="501" w:type="pct"/>
                  <w:vAlign w:val="bottom"/>
                </w:tcPr>
                <w:p w:rsidR="00CA3080" w:rsidRPr="00CA7FBC" w:rsidRDefault="00CA3080" w:rsidP="003901C7">
                  <w:pPr>
                    <w:pStyle w:val="TableBodyText"/>
                  </w:pPr>
                  <w:r w:rsidRPr="00CA7FBC">
                    <w:t xml:space="preserve">  6.1</w:t>
                  </w:r>
                </w:p>
              </w:tc>
              <w:tc>
                <w:tcPr>
                  <w:tcW w:w="501" w:type="pct"/>
                  <w:vAlign w:val="bottom"/>
                </w:tcPr>
                <w:p w:rsidR="00CA3080" w:rsidRPr="00CA7FBC" w:rsidRDefault="00CA3080" w:rsidP="003901C7">
                  <w:pPr>
                    <w:pStyle w:val="TableBodyText"/>
                  </w:pPr>
                  <w:r w:rsidRPr="00CA7FBC">
                    <w:t xml:space="preserve">  4.6</w:t>
                  </w:r>
                </w:p>
              </w:tc>
              <w:tc>
                <w:tcPr>
                  <w:tcW w:w="501" w:type="pct"/>
                  <w:vAlign w:val="bottom"/>
                </w:tcPr>
                <w:p w:rsidR="00CA3080" w:rsidRPr="00CA7FBC" w:rsidRDefault="00CA3080" w:rsidP="003901C7">
                  <w:pPr>
                    <w:pStyle w:val="TableBodyText"/>
                  </w:pPr>
                  <w:r w:rsidRPr="00CA7FBC">
                    <w:t xml:space="preserve">  9.6</w:t>
                  </w:r>
                </w:p>
              </w:tc>
              <w:tc>
                <w:tcPr>
                  <w:tcW w:w="501" w:type="pct"/>
                  <w:shd w:val="clear" w:color="auto" w:fill="auto"/>
                  <w:vAlign w:val="bottom"/>
                </w:tcPr>
                <w:p w:rsidR="00CA3080" w:rsidRPr="00CA7FBC" w:rsidRDefault="00CA3080" w:rsidP="003901C7">
                  <w:pPr>
                    <w:pStyle w:val="TableBodyText"/>
                  </w:pPr>
                  <w:r w:rsidRPr="00CA7FBC">
                    <w:t xml:space="preserve">  2.9</w:t>
                  </w:r>
                </w:p>
              </w:tc>
              <w:tc>
                <w:tcPr>
                  <w:tcW w:w="496" w:type="pct"/>
                  <w:vAlign w:val="bottom"/>
                </w:tcPr>
                <w:p w:rsidR="00CA3080" w:rsidRPr="00CA7FBC" w:rsidRDefault="00CA3080" w:rsidP="003901C7">
                  <w:pPr>
                    <w:pStyle w:val="TableBodyText"/>
                  </w:pPr>
                  <w:r w:rsidRPr="00CA7FBC">
                    <w:t xml:space="preserve">  38.7</w:t>
                  </w:r>
                </w:p>
              </w:tc>
              <w:tc>
                <w:tcPr>
                  <w:tcW w:w="496" w:type="pct"/>
                  <w:shd w:val="clear" w:color="auto" w:fill="auto"/>
                  <w:vAlign w:val="bottom"/>
                </w:tcPr>
                <w:p w:rsidR="00CA3080" w:rsidRPr="00CA7FBC" w:rsidRDefault="00CA3080" w:rsidP="003901C7">
                  <w:pPr>
                    <w:pStyle w:val="TableBodyText"/>
                  </w:pPr>
                  <w:r w:rsidRPr="00CA7FBC">
                    <w:t xml:space="preserve">  5.5</w:t>
                  </w:r>
                </w:p>
              </w:tc>
            </w:tr>
            <w:tr w:rsidR="00CA3080" w:rsidRPr="00CA3080" w:rsidTr="00CA3080">
              <w:tc>
                <w:tcPr>
                  <w:tcW w:w="5000" w:type="pct"/>
                  <w:gridSpan w:val="10"/>
                  <w:shd w:val="clear" w:color="auto" w:fill="auto"/>
                </w:tcPr>
                <w:p w:rsidR="00CA3080" w:rsidRPr="00CA3080" w:rsidRDefault="00CA3080" w:rsidP="00CA3080">
                  <w:pPr>
                    <w:pStyle w:val="Source"/>
                    <w:spacing w:before="0" w:after="80"/>
                    <w:ind w:left="113"/>
                    <w:rPr>
                      <w:i/>
                    </w:rPr>
                  </w:pPr>
                  <w:r w:rsidRPr="00253B66">
                    <w:rPr>
                      <w:i/>
                    </w:rPr>
                    <w:t>Source:</w:t>
                  </w:r>
                  <w:r w:rsidRPr="0046068B">
                    <w:rPr>
                      <w:i/>
                    </w:rPr>
                    <w:t xml:space="preserve"> </w:t>
                  </w:r>
                  <w:r w:rsidRPr="00445B47">
                    <w:t xml:space="preserve">Attachment table </w:t>
                  </w:r>
                  <w:proofErr w:type="spellStart"/>
                  <w:r w:rsidRPr="00445B47">
                    <w:t>3A.16</w:t>
                  </w:r>
                  <w:proofErr w:type="spellEnd"/>
                </w:p>
              </w:tc>
            </w:tr>
            <w:tr w:rsidR="00CA3080" w:rsidTr="00CA3080">
              <w:tc>
                <w:tcPr>
                  <w:tcW w:w="5000" w:type="pct"/>
                  <w:gridSpan w:val="10"/>
                  <w:shd w:val="clear" w:color="auto" w:fill="auto"/>
                </w:tcPr>
                <w:p w:rsidR="00CA3080" w:rsidRPr="00CA7FBC" w:rsidRDefault="00CA3080" w:rsidP="00CA3080">
                  <w:pPr>
                    <w:pStyle w:val="TableBodyText"/>
                    <w:ind w:left="113" w:right="28"/>
                    <w:jc w:val="left"/>
                  </w:pPr>
                  <w:r>
                    <w:t>Proportion of 3–5 year olds enrolled in a preschool program who are from regional areas, 2014. Compared to community proportion, 2014</w:t>
                  </w:r>
                </w:p>
              </w:tc>
            </w:tr>
            <w:tr w:rsidR="00CA3080" w:rsidTr="00CA3080">
              <w:tc>
                <w:tcPr>
                  <w:tcW w:w="5000" w:type="pct"/>
                  <w:gridSpan w:val="10"/>
                  <w:shd w:val="clear" w:color="auto" w:fill="auto"/>
                </w:tcPr>
                <w:p w:rsidR="00CA3080" w:rsidRPr="00CA7FBC" w:rsidRDefault="00CA3080" w:rsidP="00CA3080">
                  <w:pPr>
                    <w:pStyle w:val="TableBodyText"/>
                    <w:ind w:left="113" w:right="28"/>
                    <w:jc w:val="left"/>
                  </w:pPr>
                  <w:r w:rsidRPr="00C47D6F">
                    <w:rPr>
                      <w:sz w:val="16"/>
                      <w:szCs w:val="16"/>
                    </w:rPr>
                    <w:t>Most recent data for this measure are comparable and complete, subject to caveats (chapter 3)</w:t>
                  </w:r>
                </w:p>
              </w:tc>
            </w:tr>
            <w:tr w:rsidR="00CA3080" w:rsidTr="00FE7252">
              <w:tc>
                <w:tcPr>
                  <w:tcW w:w="501" w:type="pct"/>
                  <w:shd w:val="clear" w:color="auto" w:fill="auto"/>
                </w:tcPr>
                <w:p w:rsidR="00CA3080" w:rsidRDefault="00CA3080" w:rsidP="003901C7">
                  <w:pPr>
                    <w:pStyle w:val="TableBodyText"/>
                  </w:pPr>
                  <w:r>
                    <w:t>%</w:t>
                  </w:r>
                </w:p>
              </w:tc>
              <w:tc>
                <w:tcPr>
                  <w:tcW w:w="501" w:type="pct"/>
                  <w:vAlign w:val="bottom"/>
                </w:tcPr>
                <w:p w:rsidR="00CA3080" w:rsidRPr="00CA7FBC" w:rsidRDefault="00CA3080" w:rsidP="003901C7">
                  <w:pPr>
                    <w:pStyle w:val="TableBodyText"/>
                  </w:pPr>
                  <w:r w:rsidRPr="00CA7FBC">
                    <w:t xml:space="preserve">  29.2</w:t>
                  </w:r>
                </w:p>
              </w:tc>
              <w:tc>
                <w:tcPr>
                  <w:tcW w:w="501" w:type="pct"/>
                  <w:vAlign w:val="bottom"/>
                </w:tcPr>
                <w:p w:rsidR="00CA3080" w:rsidRPr="00CA7FBC" w:rsidRDefault="00CA3080" w:rsidP="003901C7">
                  <w:pPr>
                    <w:pStyle w:val="TableBodyText"/>
                  </w:pPr>
                  <w:r w:rsidRPr="00CA7FBC">
                    <w:t xml:space="preserve">  23.5</w:t>
                  </w:r>
                </w:p>
              </w:tc>
              <w:tc>
                <w:tcPr>
                  <w:tcW w:w="501" w:type="pct"/>
                  <w:vAlign w:val="bottom"/>
                </w:tcPr>
                <w:p w:rsidR="00CA3080" w:rsidRPr="00CA7FBC" w:rsidRDefault="00CA3080" w:rsidP="003901C7">
                  <w:pPr>
                    <w:pStyle w:val="TableBodyText"/>
                  </w:pPr>
                  <w:r w:rsidRPr="00CA7FBC">
                    <w:t xml:space="preserve">  33.0</w:t>
                  </w:r>
                </w:p>
              </w:tc>
              <w:tc>
                <w:tcPr>
                  <w:tcW w:w="501" w:type="pct"/>
                  <w:vAlign w:val="bottom"/>
                </w:tcPr>
                <w:p w:rsidR="00CA3080" w:rsidRPr="00CA7FBC" w:rsidRDefault="00CA3080" w:rsidP="003901C7">
                  <w:pPr>
                    <w:pStyle w:val="TableBodyText"/>
                  </w:pPr>
                  <w:r w:rsidRPr="00CA7FBC">
                    <w:t xml:space="preserve">  17.5</w:t>
                  </w:r>
                </w:p>
              </w:tc>
              <w:tc>
                <w:tcPr>
                  <w:tcW w:w="501" w:type="pct"/>
                  <w:vAlign w:val="bottom"/>
                </w:tcPr>
                <w:p w:rsidR="00CA3080" w:rsidRPr="00CA7FBC" w:rsidRDefault="00CA3080" w:rsidP="003901C7">
                  <w:pPr>
                    <w:pStyle w:val="TableBodyText"/>
                  </w:pPr>
                  <w:r w:rsidRPr="00CA7FBC">
                    <w:t xml:space="preserve">  22.9</w:t>
                  </w:r>
                </w:p>
              </w:tc>
              <w:tc>
                <w:tcPr>
                  <w:tcW w:w="501" w:type="pct"/>
                  <w:vAlign w:val="bottom"/>
                </w:tcPr>
                <w:p w:rsidR="00CA3080" w:rsidRPr="00CA7FBC" w:rsidRDefault="00CA3080" w:rsidP="003901C7">
                  <w:pPr>
                    <w:pStyle w:val="TableBodyText"/>
                  </w:pPr>
                  <w:r w:rsidRPr="00CA7FBC">
                    <w:t xml:space="preserve">  98.2</w:t>
                  </w:r>
                </w:p>
              </w:tc>
              <w:tc>
                <w:tcPr>
                  <w:tcW w:w="501" w:type="pct"/>
                  <w:shd w:val="clear" w:color="auto" w:fill="auto"/>
                  <w:vAlign w:val="bottom"/>
                </w:tcPr>
                <w:p w:rsidR="00CA3080" w:rsidRPr="00CA7FBC" w:rsidRDefault="00CA3080" w:rsidP="003901C7">
                  <w:pPr>
                    <w:pStyle w:val="TableBodyText"/>
                  </w:pPr>
                  <w:r w:rsidRPr="00CA7FBC">
                    <w:t xml:space="preserve">  2.8</w:t>
                  </w:r>
                </w:p>
              </w:tc>
              <w:tc>
                <w:tcPr>
                  <w:tcW w:w="496" w:type="pct"/>
                  <w:vAlign w:val="bottom"/>
                </w:tcPr>
                <w:p w:rsidR="00CA3080" w:rsidRPr="00CA7FBC" w:rsidRDefault="00CA3080" w:rsidP="003901C7">
                  <w:pPr>
                    <w:pStyle w:val="TableBodyText"/>
                  </w:pPr>
                  <w:r w:rsidRPr="00CA7FBC">
                    <w:t xml:space="preserve">  53.2</w:t>
                  </w:r>
                </w:p>
              </w:tc>
              <w:tc>
                <w:tcPr>
                  <w:tcW w:w="496" w:type="pct"/>
                  <w:shd w:val="clear" w:color="auto" w:fill="auto"/>
                  <w:vAlign w:val="bottom"/>
                </w:tcPr>
                <w:p w:rsidR="00CA3080" w:rsidRPr="00CA7FBC" w:rsidRDefault="00CA3080" w:rsidP="003901C7">
                  <w:pPr>
                    <w:pStyle w:val="TableBodyText"/>
                  </w:pPr>
                  <w:r w:rsidRPr="00CA7FBC">
                    <w:t xml:space="preserve">  27.9</w:t>
                  </w:r>
                </w:p>
              </w:tc>
            </w:tr>
            <w:tr w:rsidR="00CA3080" w:rsidTr="00FE7252">
              <w:tc>
                <w:tcPr>
                  <w:tcW w:w="501" w:type="pct"/>
                  <w:shd w:val="clear" w:color="auto" w:fill="auto"/>
                </w:tcPr>
                <w:p w:rsidR="00CA3080" w:rsidRDefault="00CA3080" w:rsidP="003901C7">
                  <w:pPr>
                    <w:pStyle w:val="TableBodyText"/>
                  </w:pPr>
                  <w:r>
                    <w:t>%</w:t>
                  </w:r>
                </w:p>
              </w:tc>
              <w:tc>
                <w:tcPr>
                  <w:tcW w:w="501" w:type="pct"/>
                  <w:vAlign w:val="bottom"/>
                </w:tcPr>
                <w:p w:rsidR="00CA3080" w:rsidRPr="00CA7FBC" w:rsidRDefault="00CA3080" w:rsidP="003901C7">
                  <w:pPr>
                    <w:pStyle w:val="TableBodyText"/>
                  </w:pPr>
                  <w:r w:rsidRPr="00CA7FBC">
                    <w:t>25.0</w:t>
                  </w:r>
                </w:p>
              </w:tc>
              <w:tc>
                <w:tcPr>
                  <w:tcW w:w="501" w:type="pct"/>
                  <w:vAlign w:val="bottom"/>
                </w:tcPr>
                <w:p w:rsidR="00CA3080" w:rsidRPr="00CA7FBC" w:rsidRDefault="00CA3080" w:rsidP="003901C7">
                  <w:pPr>
                    <w:pStyle w:val="TableBodyText"/>
                  </w:pPr>
                  <w:r w:rsidRPr="00CA7FBC">
                    <w:t>23.7</w:t>
                  </w:r>
                </w:p>
              </w:tc>
              <w:tc>
                <w:tcPr>
                  <w:tcW w:w="501" w:type="pct"/>
                  <w:vAlign w:val="bottom"/>
                </w:tcPr>
                <w:p w:rsidR="00CA3080" w:rsidRPr="00CA7FBC" w:rsidRDefault="00CA3080" w:rsidP="003901C7">
                  <w:pPr>
                    <w:pStyle w:val="TableBodyText"/>
                  </w:pPr>
                  <w:r w:rsidRPr="00CA7FBC">
                    <w:t>35.6</w:t>
                  </w:r>
                </w:p>
              </w:tc>
              <w:tc>
                <w:tcPr>
                  <w:tcW w:w="501" w:type="pct"/>
                  <w:vAlign w:val="bottom"/>
                </w:tcPr>
                <w:p w:rsidR="00CA3080" w:rsidRPr="00CA7FBC" w:rsidRDefault="00CA3080" w:rsidP="003901C7">
                  <w:pPr>
                    <w:pStyle w:val="TableBodyText"/>
                  </w:pPr>
                  <w:r w:rsidRPr="00CA7FBC">
                    <w:t>17.2</w:t>
                  </w:r>
                </w:p>
              </w:tc>
              <w:tc>
                <w:tcPr>
                  <w:tcW w:w="501" w:type="pct"/>
                  <w:vAlign w:val="bottom"/>
                </w:tcPr>
                <w:p w:rsidR="00CA3080" w:rsidRPr="00CA7FBC" w:rsidRDefault="00CA3080" w:rsidP="003901C7">
                  <w:pPr>
                    <w:pStyle w:val="TableBodyText"/>
                  </w:pPr>
                  <w:r w:rsidRPr="00CA7FBC">
                    <w:t>23.6</w:t>
                  </w:r>
                </w:p>
              </w:tc>
              <w:tc>
                <w:tcPr>
                  <w:tcW w:w="501" w:type="pct"/>
                  <w:vAlign w:val="bottom"/>
                </w:tcPr>
                <w:p w:rsidR="00CA3080" w:rsidRPr="00CA7FBC" w:rsidRDefault="00CA3080" w:rsidP="003901C7">
                  <w:pPr>
                    <w:pStyle w:val="TableBodyText"/>
                  </w:pPr>
                  <w:r w:rsidRPr="00CA7FBC">
                    <w:t>98.2</w:t>
                  </w:r>
                </w:p>
              </w:tc>
              <w:tc>
                <w:tcPr>
                  <w:tcW w:w="501" w:type="pct"/>
                  <w:shd w:val="clear" w:color="auto" w:fill="auto"/>
                  <w:vAlign w:val="bottom"/>
                </w:tcPr>
                <w:p w:rsidR="00CA3080" w:rsidRPr="00CA7FBC" w:rsidRDefault="00CA3080" w:rsidP="003901C7">
                  <w:pPr>
                    <w:pStyle w:val="TableBodyText"/>
                  </w:pPr>
                  <w:r w:rsidRPr="00CA7FBC">
                    <w:t>0.5</w:t>
                  </w:r>
                </w:p>
              </w:tc>
              <w:tc>
                <w:tcPr>
                  <w:tcW w:w="496" w:type="pct"/>
                  <w:vAlign w:val="bottom"/>
                </w:tcPr>
                <w:p w:rsidR="00CA3080" w:rsidRPr="00CA7FBC" w:rsidRDefault="00CA3080" w:rsidP="003901C7">
                  <w:pPr>
                    <w:pStyle w:val="TableBodyText"/>
                  </w:pPr>
                  <w:r w:rsidRPr="00CA7FBC">
                    <w:t>50.8</w:t>
                  </w:r>
                </w:p>
              </w:tc>
              <w:tc>
                <w:tcPr>
                  <w:tcW w:w="496" w:type="pct"/>
                  <w:shd w:val="clear" w:color="auto" w:fill="auto"/>
                  <w:vAlign w:val="bottom"/>
                </w:tcPr>
                <w:p w:rsidR="00CA3080" w:rsidRPr="00CA7FBC" w:rsidRDefault="00CA3080" w:rsidP="003901C7">
                  <w:pPr>
                    <w:pStyle w:val="TableBodyText"/>
                  </w:pPr>
                  <w:r w:rsidRPr="00CA7FBC">
                    <w:t>27.4</w:t>
                  </w:r>
                </w:p>
              </w:tc>
            </w:tr>
            <w:tr w:rsidR="00CD0A0D" w:rsidTr="00CD0A0D">
              <w:tc>
                <w:tcPr>
                  <w:tcW w:w="5000" w:type="pct"/>
                  <w:gridSpan w:val="10"/>
                  <w:shd w:val="clear" w:color="auto" w:fill="auto"/>
                </w:tcPr>
                <w:p w:rsidR="00CD0A0D" w:rsidRPr="00CA7FBC" w:rsidRDefault="00CD0A0D" w:rsidP="00CD0A0D">
                  <w:pPr>
                    <w:pStyle w:val="Source"/>
                    <w:spacing w:before="0" w:after="80"/>
                    <w:ind w:left="113"/>
                  </w:pPr>
                  <w:r w:rsidRPr="00253B66">
                    <w:rPr>
                      <w:i/>
                    </w:rPr>
                    <w:t>Source:</w:t>
                  </w:r>
                  <w:r w:rsidRPr="0046068B">
                    <w:rPr>
                      <w:i/>
                    </w:rPr>
                    <w:t xml:space="preserve"> </w:t>
                  </w:r>
                  <w:r w:rsidRPr="00CD0A0D">
                    <w:t xml:space="preserve">Attachment table </w:t>
                  </w:r>
                  <w:proofErr w:type="spellStart"/>
                  <w:r w:rsidRPr="00CD0A0D">
                    <w:t>3A.16</w:t>
                  </w:r>
                  <w:proofErr w:type="spellEnd"/>
                </w:p>
              </w:tc>
            </w:tr>
            <w:tr w:rsidR="00CD0A0D" w:rsidTr="00CD0A0D">
              <w:tc>
                <w:tcPr>
                  <w:tcW w:w="5000" w:type="pct"/>
                  <w:gridSpan w:val="10"/>
                  <w:shd w:val="clear" w:color="auto" w:fill="auto"/>
                </w:tcPr>
                <w:p w:rsidR="00CD0A0D" w:rsidRPr="00CA7FBC" w:rsidRDefault="00CD0A0D" w:rsidP="00CD0A0D">
                  <w:pPr>
                    <w:pStyle w:val="TableBodyText"/>
                    <w:ind w:left="113" w:right="28"/>
                    <w:jc w:val="left"/>
                  </w:pPr>
                  <w:r>
                    <w:t>Proportion of 3–5 year olds enrolled in a preschool program who are from remote areas, 2014. Compared to community proportion, 2014</w:t>
                  </w:r>
                </w:p>
              </w:tc>
            </w:tr>
            <w:tr w:rsidR="00CD0A0D" w:rsidTr="00CD0A0D">
              <w:tc>
                <w:tcPr>
                  <w:tcW w:w="5000" w:type="pct"/>
                  <w:gridSpan w:val="10"/>
                  <w:shd w:val="clear" w:color="auto" w:fill="auto"/>
                </w:tcPr>
                <w:p w:rsidR="00CD0A0D" w:rsidRPr="00CA7FBC" w:rsidRDefault="00CD0A0D" w:rsidP="00CD0A0D">
                  <w:pPr>
                    <w:pStyle w:val="TableBodyText"/>
                    <w:ind w:left="113" w:right="28"/>
                    <w:jc w:val="left"/>
                  </w:pPr>
                  <w:r w:rsidRPr="00C47D6F">
                    <w:rPr>
                      <w:sz w:val="16"/>
                      <w:szCs w:val="16"/>
                    </w:rPr>
                    <w:t>Most recent data for this measure are comparable and complete, subject to caveats (chapter 3)</w:t>
                  </w:r>
                </w:p>
              </w:tc>
            </w:tr>
            <w:tr w:rsidR="00CD0A0D" w:rsidTr="00FE7252">
              <w:tc>
                <w:tcPr>
                  <w:tcW w:w="501" w:type="pct"/>
                  <w:shd w:val="clear" w:color="auto" w:fill="auto"/>
                </w:tcPr>
                <w:p w:rsidR="00CD0A0D" w:rsidRDefault="00CD0A0D" w:rsidP="00F14060">
                  <w:pPr>
                    <w:pStyle w:val="TableBodyText"/>
                  </w:pPr>
                  <w:r>
                    <w:t>%</w:t>
                  </w:r>
                </w:p>
              </w:tc>
              <w:tc>
                <w:tcPr>
                  <w:tcW w:w="501" w:type="pct"/>
                  <w:vAlign w:val="bottom"/>
                </w:tcPr>
                <w:p w:rsidR="00CD0A0D" w:rsidRPr="00CA7FBC" w:rsidRDefault="00CD0A0D" w:rsidP="00F14060">
                  <w:pPr>
                    <w:pStyle w:val="TableBodyText"/>
                  </w:pPr>
                  <w:r w:rsidRPr="00CA7FBC">
                    <w:t xml:space="preserve">  0.8</w:t>
                  </w:r>
                </w:p>
              </w:tc>
              <w:tc>
                <w:tcPr>
                  <w:tcW w:w="501" w:type="pct"/>
                  <w:vAlign w:val="bottom"/>
                </w:tcPr>
                <w:p w:rsidR="00CD0A0D" w:rsidRPr="00CA7FBC" w:rsidRDefault="00CD0A0D" w:rsidP="00F14060">
                  <w:pPr>
                    <w:pStyle w:val="TableBodyText"/>
                  </w:pPr>
                  <w:r w:rsidRPr="00CA7FBC">
                    <w:t>–</w:t>
                  </w:r>
                </w:p>
              </w:tc>
              <w:tc>
                <w:tcPr>
                  <w:tcW w:w="501" w:type="pct"/>
                  <w:vAlign w:val="bottom"/>
                </w:tcPr>
                <w:p w:rsidR="00CD0A0D" w:rsidRPr="00CA7FBC" w:rsidRDefault="00CD0A0D" w:rsidP="00F14060">
                  <w:pPr>
                    <w:pStyle w:val="TableBodyText"/>
                  </w:pPr>
                  <w:r w:rsidRPr="00CA7FBC">
                    <w:t xml:space="preserve">  2.8</w:t>
                  </w:r>
                </w:p>
              </w:tc>
              <w:tc>
                <w:tcPr>
                  <w:tcW w:w="501" w:type="pct"/>
                  <w:vAlign w:val="bottom"/>
                </w:tcPr>
                <w:p w:rsidR="00CD0A0D" w:rsidRPr="00CA7FBC" w:rsidRDefault="00CD0A0D" w:rsidP="00F14060">
                  <w:pPr>
                    <w:pStyle w:val="TableBodyText"/>
                  </w:pPr>
                  <w:r w:rsidRPr="00CA7FBC">
                    <w:t xml:space="preserve">  7.0</w:t>
                  </w:r>
                </w:p>
              </w:tc>
              <w:tc>
                <w:tcPr>
                  <w:tcW w:w="501" w:type="pct"/>
                  <w:vAlign w:val="bottom"/>
                </w:tcPr>
                <w:p w:rsidR="00CD0A0D" w:rsidRPr="00CA7FBC" w:rsidRDefault="00CD0A0D" w:rsidP="00F14060">
                  <w:pPr>
                    <w:pStyle w:val="TableBodyText"/>
                  </w:pPr>
                  <w:r w:rsidRPr="00CA7FBC">
                    <w:t xml:space="preserve">  4.0</w:t>
                  </w:r>
                </w:p>
              </w:tc>
              <w:tc>
                <w:tcPr>
                  <w:tcW w:w="501" w:type="pct"/>
                  <w:vAlign w:val="bottom"/>
                </w:tcPr>
                <w:p w:rsidR="00CD0A0D" w:rsidRPr="00CA7FBC" w:rsidRDefault="00CD0A0D" w:rsidP="00F14060">
                  <w:pPr>
                    <w:pStyle w:val="TableBodyText"/>
                  </w:pPr>
                  <w:r w:rsidRPr="00CA7FBC">
                    <w:t xml:space="preserve">  1.8</w:t>
                  </w:r>
                </w:p>
              </w:tc>
              <w:tc>
                <w:tcPr>
                  <w:tcW w:w="501" w:type="pct"/>
                  <w:shd w:val="clear" w:color="auto" w:fill="auto"/>
                  <w:vAlign w:val="bottom"/>
                </w:tcPr>
                <w:p w:rsidR="00CD0A0D" w:rsidRPr="00CA7FBC" w:rsidRDefault="00CD0A0D" w:rsidP="00F14060">
                  <w:pPr>
                    <w:pStyle w:val="TableBodyText"/>
                  </w:pPr>
                  <w:r w:rsidRPr="00CA7FBC">
                    <w:t>..</w:t>
                  </w:r>
                </w:p>
              </w:tc>
              <w:tc>
                <w:tcPr>
                  <w:tcW w:w="496" w:type="pct"/>
                  <w:vAlign w:val="bottom"/>
                </w:tcPr>
                <w:p w:rsidR="00CD0A0D" w:rsidRPr="00CA7FBC" w:rsidRDefault="00CD0A0D" w:rsidP="00F14060">
                  <w:pPr>
                    <w:pStyle w:val="TableBodyText"/>
                  </w:pPr>
                  <w:r w:rsidRPr="00CA7FBC">
                    <w:t xml:space="preserve">  46.5</w:t>
                  </w:r>
                </w:p>
              </w:tc>
              <w:tc>
                <w:tcPr>
                  <w:tcW w:w="496" w:type="pct"/>
                  <w:shd w:val="clear" w:color="auto" w:fill="auto"/>
                  <w:vAlign w:val="bottom"/>
                </w:tcPr>
                <w:p w:rsidR="00CD0A0D" w:rsidRPr="00CA7FBC" w:rsidRDefault="00CD0A0D" w:rsidP="00F14060">
                  <w:pPr>
                    <w:pStyle w:val="TableBodyText"/>
                  </w:pPr>
                  <w:r w:rsidRPr="00CA7FBC">
                    <w:t xml:space="preserve">  2.4</w:t>
                  </w:r>
                </w:p>
              </w:tc>
            </w:tr>
            <w:tr w:rsidR="00CD0A0D" w:rsidTr="00FE7252">
              <w:tc>
                <w:tcPr>
                  <w:tcW w:w="501" w:type="pct"/>
                  <w:shd w:val="clear" w:color="auto" w:fill="auto"/>
                </w:tcPr>
                <w:p w:rsidR="00CD0A0D" w:rsidRDefault="00CD0A0D" w:rsidP="00F14060">
                  <w:pPr>
                    <w:pStyle w:val="TableBodyText"/>
                  </w:pPr>
                  <w:r>
                    <w:t xml:space="preserve">% </w:t>
                  </w:r>
                </w:p>
              </w:tc>
              <w:tc>
                <w:tcPr>
                  <w:tcW w:w="501" w:type="pct"/>
                  <w:vAlign w:val="bottom"/>
                </w:tcPr>
                <w:p w:rsidR="00CD0A0D" w:rsidRPr="00CA7FBC" w:rsidRDefault="00CD0A0D" w:rsidP="00F14060">
                  <w:pPr>
                    <w:pStyle w:val="TableBodyText"/>
                  </w:pPr>
                  <w:r w:rsidRPr="00CA7FBC">
                    <w:t>0.6</w:t>
                  </w:r>
                </w:p>
              </w:tc>
              <w:tc>
                <w:tcPr>
                  <w:tcW w:w="501" w:type="pct"/>
                  <w:vAlign w:val="bottom"/>
                </w:tcPr>
                <w:p w:rsidR="00CD0A0D" w:rsidRPr="00CA7FBC" w:rsidRDefault="00CD0A0D" w:rsidP="00F14060">
                  <w:pPr>
                    <w:pStyle w:val="TableBodyText"/>
                  </w:pPr>
                  <w:r w:rsidRPr="00CA7FBC">
                    <w:t>0.1</w:t>
                  </w:r>
                </w:p>
              </w:tc>
              <w:tc>
                <w:tcPr>
                  <w:tcW w:w="501" w:type="pct"/>
                  <w:vAlign w:val="bottom"/>
                </w:tcPr>
                <w:p w:rsidR="00CD0A0D" w:rsidRPr="00CA7FBC" w:rsidRDefault="00CD0A0D" w:rsidP="00F14060">
                  <w:pPr>
                    <w:pStyle w:val="TableBodyText"/>
                  </w:pPr>
                  <w:r w:rsidRPr="00CA7FBC">
                    <w:t>3.5</w:t>
                  </w:r>
                </w:p>
              </w:tc>
              <w:tc>
                <w:tcPr>
                  <w:tcW w:w="501" w:type="pct"/>
                  <w:vAlign w:val="bottom"/>
                </w:tcPr>
                <w:p w:rsidR="00CD0A0D" w:rsidRPr="00CA7FBC" w:rsidRDefault="00CD0A0D" w:rsidP="00F14060">
                  <w:pPr>
                    <w:pStyle w:val="TableBodyText"/>
                  </w:pPr>
                  <w:r w:rsidRPr="00CA7FBC">
                    <w:t>6.9</w:t>
                  </w:r>
                </w:p>
              </w:tc>
              <w:tc>
                <w:tcPr>
                  <w:tcW w:w="501" w:type="pct"/>
                  <w:vAlign w:val="bottom"/>
                </w:tcPr>
                <w:p w:rsidR="00CD0A0D" w:rsidRPr="00CA7FBC" w:rsidRDefault="00CD0A0D" w:rsidP="00F14060">
                  <w:pPr>
                    <w:pStyle w:val="TableBodyText"/>
                  </w:pPr>
                  <w:r w:rsidRPr="00CA7FBC">
                    <w:t>3.9</w:t>
                  </w:r>
                </w:p>
              </w:tc>
              <w:tc>
                <w:tcPr>
                  <w:tcW w:w="501" w:type="pct"/>
                  <w:vAlign w:val="bottom"/>
                </w:tcPr>
                <w:p w:rsidR="00CD0A0D" w:rsidRPr="00CA7FBC" w:rsidRDefault="00CD0A0D" w:rsidP="00F14060">
                  <w:pPr>
                    <w:pStyle w:val="TableBodyText"/>
                  </w:pPr>
                  <w:r w:rsidRPr="00CA7FBC">
                    <w:t>1.8</w:t>
                  </w:r>
                </w:p>
              </w:tc>
              <w:tc>
                <w:tcPr>
                  <w:tcW w:w="501" w:type="pct"/>
                  <w:shd w:val="clear" w:color="auto" w:fill="auto"/>
                  <w:vAlign w:val="bottom"/>
                </w:tcPr>
                <w:p w:rsidR="00CD0A0D" w:rsidRPr="00CA7FBC" w:rsidRDefault="00CD0A0D" w:rsidP="00F14060">
                  <w:pPr>
                    <w:pStyle w:val="TableBodyText"/>
                  </w:pPr>
                  <w:r w:rsidRPr="00CA7FBC">
                    <w:t>..</w:t>
                  </w:r>
                </w:p>
              </w:tc>
              <w:tc>
                <w:tcPr>
                  <w:tcW w:w="496" w:type="pct"/>
                  <w:vAlign w:val="bottom"/>
                </w:tcPr>
                <w:p w:rsidR="00CD0A0D" w:rsidRPr="00CA7FBC" w:rsidRDefault="00CD0A0D" w:rsidP="00F14060">
                  <w:pPr>
                    <w:pStyle w:val="TableBodyText"/>
                  </w:pPr>
                  <w:r w:rsidRPr="00CA7FBC">
                    <w:t>49.2</w:t>
                  </w:r>
                </w:p>
              </w:tc>
              <w:tc>
                <w:tcPr>
                  <w:tcW w:w="496" w:type="pct"/>
                  <w:shd w:val="clear" w:color="auto" w:fill="auto"/>
                  <w:vAlign w:val="bottom"/>
                </w:tcPr>
                <w:p w:rsidR="00CD0A0D" w:rsidRPr="00CA7FBC" w:rsidRDefault="00CD0A0D" w:rsidP="00F14060">
                  <w:pPr>
                    <w:pStyle w:val="TableBodyText"/>
                  </w:pPr>
                  <w:r w:rsidRPr="00CA7FBC">
                    <w:t>2.6</w:t>
                  </w:r>
                </w:p>
              </w:tc>
            </w:tr>
            <w:tr w:rsidR="00CD0A0D" w:rsidTr="00390313">
              <w:tc>
                <w:tcPr>
                  <w:tcW w:w="5000" w:type="pct"/>
                  <w:gridSpan w:val="10"/>
                  <w:tcBorders>
                    <w:bottom w:val="single" w:sz="6" w:space="0" w:color="BFBFBF"/>
                  </w:tcBorders>
                  <w:shd w:val="clear" w:color="auto" w:fill="auto"/>
                </w:tcPr>
                <w:p w:rsidR="00CD0A0D" w:rsidRDefault="00CD0A0D" w:rsidP="006E26DB">
                  <w:pPr>
                    <w:pStyle w:val="Source"/>
                    <w:spacing w:before="0" w:after="80"/>
                    <w:ind w:left="113"/>
                  </w:pPr>
                  <w:r w:rsidRPr="00253B66">
                    <w:rPr>
                      <w:i/>
                    </w:rPr>
                    <w:t>Source:</w:t>
                  </w:r>
                  <w:r w:rsidRPr="0046068B">
                    <w:rPr>
                      <w:i/>
                    </w:rPr>
                    <w:t xml:space="preserve"> </w:t>
                  </w:r>
                  <w:r>
                    <w:t xml:space="preserve">Attachment table </w:t>
                  </w:r>
                  <w:proofErr w:type="spellStart"/>
                  <w:r>
                    <w:t>3A.16</w:t>
                  </w:r>
                  <w:proofErr w:type="spellEnd"/>
                </w:p>
              </w:tc>
            </w:tr>
          </w:tbl>
          <w:p w:rsidR="00433E19" w:rsidRDefault="00433E19" w:rsidP="009879D2">
            <w:pPr>
              <w:pStyle w:val="Box"/>
            </w:pPr>
          </w:p>
        </w:tc>
      </w:tr>
      <w:tr w:rsidR="00433E19" w:rsidTr="009879D2">
        <w:trPr>
          <w:cantSplit/>
        </w:trPr>
        <w:tc>
          <w:tcPr>
            <w:tcW w:w="8771" w:type="dxa"/>
            <w:tcBorders>
              <w:top w:val="nil"/>
              <w:left w:val="nil"/>
              <w:bottom w:val="nil"/>
              <w:right w:val="nil"/>
            </w:tcBorders>
            <w:shd w:val="clear" w:color="auto" w:fill="auto"/>
          </w:tcPr>
          <w:p w:rsidR="00433E19" w:rsidRPr="00C23135" w:rsidRDefault="00C23135" w:rsidP="00C23135">
            <w:pPr>
              <w:pStyle w:val="TableBodyText"/>
            </w:pPr>
            <w:r>
              <w:t>(continued next page)</w:t>
            </w:r>
          </w:p>
        </w:tc>
      </w:tr>
      <w:tr w:rsidR="00433E19" w:rsidTr="009879D2">
        <w:trPr>
          <w:cantSplit/>
        </w:trPr>
        <w:tc>
          <w:tcPr>
            <w:tcW w:w="8771" w:type="dxa"/>
            <w:tcBorders>
              <w:top w:val="nil"/>
              <w:left w:val="nil"/>
              <w:bottom w:val="single" w:sz="6" w:space="0" w:color="78A22F"/>
              <w:right w:val="nil"/>
            </w:tcBorders>
            <w:shd w:val="clear" w:color="auto" w:fill="auto"/>
          </w:tcPr>
          <w:p w:rsidR="00433E19" w:rsidRDefault="00433E19" w:rsidP="009879D2">
            <w:pPr>
              <w:pStyle w:val="Box"/>
              <w:spacing w:before="0" w:line="120" w:lineRule="exact"/>
            </w:pPr>
          </w:p>
        </w:tc>
      </w:tr>
      <w:tr w:rsidR="00433E19" w:rsidRPr="000863A5" w:rsidTr="009879D2">
        <w:tc>
          <w:tcPr>
            <w:tcW w:w="8771" w:type="dxa"/>
            <w:tcBorders>
              <w:top w:val="single" w:sz="6" w:space="0" w:color="78A22F"/>
              <w:left w:val="nil"/>
              <w:bottom w:val="nil"/>
              <w:right w:val="nil"/>
            </w:tcBorders>
          </w:tcPr>
          <w:p w:rsidR="00433E19" w:rsidRPr="00626D32" w:rsidRDefault="00433E19" w:rsidP="009879D2">
            <w:pPr>
              <w:pStyle w:val="BoxSpaceBelow"/>
            </w:pPr>
          </w:p>
        </w:tc>
      </w:tr>
    </w:tbl>
    <w:p w:rsidR="00FA6691" w:rsidRDefault="00FA6691" w:rsidP="00CE10A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A6691" w:rsidTr="00CE10AD">
        <w:tc>
          <w:tcPr>
            <w:tcW w:w="8771" w:type="dxa"/>
            <w:tcBorders>
              <w:top w:val="single" w:sz="6" w:space="0" w:color="78A22F"/>
              <w:left w:val="nil"/>
              <w:bottom w:val="nil"/>
              <w:right w:val="nil"/>
            </w:tcBorders>
            <w:shd w:val="clear" w:color="auto" w:fill="auto"/>
          </w:tcPr>
          <w:p w:rsidR="00FA6691" w:rsidRPr="00784A05" w:rsidRDefault="00FA6691" w:rsidP="00FE2B1E">
            <w:pPr>
              <w:pStyle w:val="TableTitle"/>
              <w:spacing w:before="100"/>
            </w:pPr>
            <w:r>
              <w:rPr>
                <w:b w:val="0"/>
              </w:rPr>
              <w:t xml:space="preserve">Table </w:t>
            </w:r>
            <w:proofErr w:type="spellStart"/>
            <w:r>
              <w:rPr>
                <w:b w:val="0"/>
              </w:rPr>
              <w:t>B.</w:t>
            </w:r>
            <w:r w:rsidR="00FE2B1E" w:rsidRPr="00FE2B1E">
              <w:rPr>
                <w:rFonts w:asciiTheme="minorHAnsi" w:eastAsiaTheme="minorEastAsia" w:hAnsiTheme="minorHAnsi" w:cstheme="minorBidi"/>
                <w:b w:val="0"/>
                <w:sz w:val="22"/>
                <w:szCs w:val="22"/>
              </w:rPr>
              <w:t>1</w:t>
            </w:r>
            <w:proofErr w:type="spellEnd"/>
            <w:r>
              <w:tab/>
            </w:r>
            <w:r w:rsidRPr="00FA6691">
              <w:rPr>
                <w:b w:val="0"/>
                <w:sz w:val="18"/>
                <w:szCs w:val="18"/>
              </w:rPr>
              <w:t>(continued)</w:t>
            </w:r>
          </w:p>
        </w:tc>
      </w:tr>
      <w:tr w:rsidR="00FA6691" w:rsidTr="00CE10A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06"/>
              <w:gridCol w:w="821"/>
              <w:gridCol w:w="821"/>
              <w:gridCol w:w="822"/>
              <w:gridCol w:w="822"/>
              <w:gridCol w:w="822"/>
              <w:gridCol w:w="822"/>
              <w:gridCol w:w="823"/>
              <w:gridCol w:w="815"/>
              <w:gridCol w:w="813"/>
            </w:tblGrid>
            <w:tr w:rsidR="00D20F1E" w:rsidTr="000E3728">
              <w:tc>
                <w:tcPr>
                  <w:tcW w:w="652" w:type="pct"/>
                  <w:tcBorders>
                    <w:top w:val="single" w:sz="6" w:space="0" w:color="BFBFBF"/>
                    <w:bottom w:val="single" w:sz="6" w:space="0" w:color="BFBFBF"/>
                  </w:tcBorders>
                  <w:shd w:val="clear" w:color="auto" w:fill="auto"/>
                  <w:tcMar>
                    <w:top w:w="28" w:type="dxa"/>
                  </w:tcMar>
                </w:tcPr>
                <w:p w:rsidR="00D20F1E" w:rsidRDefault="00D20F1E" w:rsidP="00CE10AD">
                  <w:pPr>
                    <w:pStyle w:val="TableColumnHeading"/>
                    <w:jc w:val="left"/>
                  </w:pPr>
                </w:p>
              </w:tc>
              <w:tc>
                <w:tcPr>
                  <w:tcW w:w="484" w:type="pct"/>
                  <w:tcBorders>
                    <w:top w:val="single" w:sz="6" w:space="0" w:color="BFBFBF"/>
                    <w:bottom w:val="single" w:sz="6" w:space="0" w:color="BFBFBF"/>
                  </w:tcBorders>
                </w:tcPr>
                <w:p w:rsidR="00D20F1E" w:rsidRDefault="00D20F1E" w:rsidP="00CE10AD">
                  <w:pPr>
                    <w:pStyle w:val="TableColumnHeading"/>
                  </w:pPr>
                  <w:r>
                    <w:t>NSW</w:t>
                  </w:r>
                </w:p>
              </w:tc>
              <w:tc>
                <w:tcPr>
                  <w:tcW w:w="484" w:type="pct"/>
                  <w:tcBorders>
                    <w:top w:val="single" w:sz="6" w:space="0" w:color="BFBFBF"/>
                    <w:bottom w:val="single" w:sz="6" w:space="0" w:color="BFBFBF"/>
                  </w:tcBorders>
                </w:tcPr>
                <w:p w:rsidR="00D20F1E" w:rsidRDefault="00D20F1E" w:rsidP="00CE10AD">
                  <w:pPr>
                    <w:pStyle w:val="TableColumnHeading"/>
                  </w:pPr>
                  <w:r>
                    <w:t>Vic</w:t>
                  </w:r>
                </w:p>
              </w:tc>
              <w:tc>
                <w:tcPr>
                  <w:tcW w:w="484" w:type="pct"/>
                  <w:tcBorders>
                    <w:top w:val="single" w:sz="6" w:space="0" w:color="BFBFBF"/>
                    <w:bottom w:val="single" w:sz="6" w:space="0" w:color="BFBFBF"/>
                  </w:tcBorders>
                </w:tcPr>
                <w:p w:rsidR="00D20F1E" w:rsidRDefault="00D20F1E" w:rsidP="00CE10AD">
                  <w:pPr>
                    <w:pStyle w:val="TableColumnHeading"/>
                  </w:pPr>
                  <w:r>
                    <w:t>Qld</w:t>
                  </w:r>
                </w:p>
              </w:tc>
              <w:tc>
                <w:tcPr>
                  <w:tcW w:w="484" w:type="pct"/>
                  <w:tcBorders>
                    <w:top w:val="single" w:sz="6" w:space="0" w:color="BFBFBF"/>
                    <w:bottom w:val="single" w:sz="6" w:space="0" w:color="BFBFBF"/>
                  </w:tcBorders>
                </w:tcPr>
                <w:p w:rsidR="00D20F1E" w:rsidRDefault="00D20F1E" w:rsidP="00CE10AD">
                  <w:pPr>
                    <w:pStyle w:val="TableColumnHeading"/>
                  </w:pPr>
                  <w:r>
                    <w:t>WA</w:t>
                  </w:r>
                </w:p>
              </w:tc>
              <w:tc>
                <w:tcPr>
                  <w:tcW w:w="484" w:type="pct"/>
                  <w:tcBorders>
                    <w:top w:val="single" w:sz="6" w:space="0" w:color="BFBFBF"/>
                    <w:bottom w:val="single" w:sz="6" w:space="0" w:color="BFBFBF"/>
                  </w:tcBorders>
                </w:tcPr>
                <w:p w:rsidR="00D20F1E" w:rsidRDefault="00D20F1E" w:rsidP="00CE10AD">
                  <w:pPr>
                    <w:pStyle w:val="TableColumnHeading"/>
                  </w:pPr>
                  <w:r>
                    <w:t>SA</w:t>
                  </w:r>
                </w:p>
              </w:tc>
              <w:tc>
                <w:tcPr>
                  <w:tcW w:w="484" w:type="pct"/>
                  <w:tcBorders>
                    <w:top w:val="single" w:sz="6" w:space="0" w:color="BFBFBF"/>
                    <w:bottom w:val="single" w:sz="6" w:space="0" w:color="BFBFBF"/>
                  </w:tcBorders>
                </w:tcPr>
                <w:p w:rsidR="00D20F1E" w:rsidRDefault="00D20F1E" w:rsidP="00CE10AD">
                  <w:pPr>
                    <w:pStyle w:val="TableColumnHeading"/>
                  </w:pPr>
                  <w:proofErr w:type="spellStart"/>
                  <w:r>
                    <w:t>Tas</w:t>
                  </w:r>
                  <w:proofErr w:type="spellEnd"/>
                </w:p>
              </w:tc>
              <w:tc>
                <w:tcPr>
                  <w:tcW w:w="485" w:type="pct"/>
                  <w:tcBorders>
                    <w:top w:val="single" w:sz="6" w:space="0" w:color="BFBFBF"/>
                    <w:bottom w:val="single" w:sz="6" w:space="0" w:color="BFBFBF"/>
                  </w:tcBorders>
                  <w:shd w:val="clear" w:color="auto" w:fill="auto"/>
                  <w:tcMar>
                    <w:top w:w="28" w:type="dxa"/>
                  </w:tcMar>
                </w:tcPr>
                <w:p w:rsidR="00D20F1E" w:rsidRDefault="00D20F1E" w:rsidP="00CE10AD">
                  <w:pPr>
                    <w:pStyle w:val="TableColumnHeading"/>
                  </w:pPr>
                  <w:r>
                    <w:t>ACT</w:t>
                  </w:r>
                </w:p>
              </w:tc>
              <w:tc>
                <w:tcPr>
                  <w:tcW w:w="480" w:type="pct"/>
                  <w:tcBorders>
                    <w:top w:val="single" w:sz="6" w:space="0" w:color="BFBFBF"/>
                    <w:bottom w:val="single" w:sz="6" w:space="0" w:color="BFBFBF"/>
                  </w:tcBorders>
                </w:tcPr>
                <w:p w:rsidR="00D20F1E" w:rsidRDefault="00D20F1E" w:rsidP="00CE10AD">
                  <w:pPr>
                    <w:pStyle w:val="TableColumnHeading"/>
                  </w:pPr>
                  <w:r>
                    <w:t>NT</w:t>
                  </w:r>
                </w:p>
              </w:tc>
              <w:tc>
                <w:tcPr>
                  <w:tcW w:w="479" w:type="pct"/>
                  <w:tcBorders>
                    <w:top w:val="single" w:sz="6" w:space="0" w:color="BFBFBF"/>
                    <w:bottom w:val="single" w:sz="6" w:space="0" w:color="BFBFBF"/>
                  </w:tcBorders>
                  <w:shd w:val="clear" w:color="auto" w:fill="auto"/>
                  <w:tcMar>
                    <w:top w:w="28" w:type="dxa"/>
                  </w:tcMar>
                </w:tcPr>
                <w:p w:rsidR="00D20F1E" w:rsidRDefault="00D20F1E" w:rsidP="00CE10AD">
                  <w:pPr>
                    <w:pStyle w:val="TableColumnHeading"/>
                  </w:pPr>
                  <w:proofErr w:type="spellStart"/>
                  <w:r>
                    <w:t>Aust</w:t>
                  </w:r>
                  <w:proofErr w:type="spellEnd"/>
                </w:p>
              </w:tc>
            </w:tr>
            <w:tr w:rsidR="00CA7FBC" w:rsidTr="00FF3C8A">
              <w:tc>
                <w:tcPr>
                  <w:tcW w:w="5000" w:type="pct"/>
                  <w:gridSpan w:val="10"/>
                </w:tcPr>
                <w:p w:rsidR="00CA7FBC" w:rsidRDefault="00CA7FBC" w:rsidP="00672360">
                  <w:pPr>
                    <w:pStyle w:val="DQIMainRowHeadings"/>
                  </w:pPr>
                  <w:r>
                    <w:t>Effectiveness — Access indicators</w:t>
                  </w:r>
                </w:p>
              </w:tc>
            </w:tr>
            <w:tr w:rsidR="00CA7FBC" w:rsidTr="00FF3C8A">
              <w:tc>
                <w:tcPr>
                  <w:tcW w:w="5000" w:type="pct"/>
                  <w:gridSpan w:val="10"/>
                </w:tcPr>
                <w:p w:rsidR="00CA7FBC" w:rsidRDefault="00CA7FBC" w:rsidP="00CE10AD">
                  <w:pPr>
                    <w:pStyle w:val="DQIRowHeadings"/>
                  </w:pPr>
                  <w:r>
                    <w:t>Children using child care</w:t>
                  </w:r>
                </w:p>
              </w:tc>
            </w:tr>
            <w:tr w:rsidR="00CA7FBC" w:rsidTr="00FF3C8A">
              <w:tc>
                <w:tcPr>
                  <w:tcW w:w="5000" w:type="pct"/>
                  <w:gridSpan w:val="10"/>
                </w:tcPr>
                <w:p w:rsidR="00CA7FBC" w:rsidRDefault="00CA7FBC" w:rsidP="00FF3C8A">
                  <w:pPr>
                    <w:pStyle w:val="TableBodyText"/>
                    <w:ind w:left="113" w:right="28"/>
                    <w:jc w:val="left"/>
                  </w:pPr>
                  <w:r>
                    <w:t xml:space="preserve">Proportion of 0–12 year olds attending </w:t>
                  </w:r>
                  <w:r w:rsidR="00100522">
                    <w:t xml:space="preserve">Australian Government </w:t>
                  </w:r>
                  <w:r>
                    <w:t>Child Care Benefit (</w:t>
                  </w:r>
                  <w:proofErr w:type="spellStart"/>
                  <w:r>
                    <w:t>CCB</w:t>
                  </w:r>
                  <w:proofErr w:type="spellEnd"/>
                  <w:r>
                    <w:t>) approved child care, 2015</w:t>
                  </w:r>
                </w:p>
              </w:tc>
            </w:tr>
            <w:tr w:rsidR="00CA7FBC" w:rsidTr="00FF3C8A">
              <w:tc>
                <w:tcPr>
                  <w:tcW w:w="5000" w:type="pct"/>
                  <w:gridSpan w:val="10"/>
                </w:tcPr>
                <w:p w:rsidR="00CA7FBC" w:rsidRDefault="00CA7FBC" w:rsidP="00FF3C8A">
                  <w:pPr>
                    <w:pStyle w:val="TableBodyText"/>
                    <w:ind w:left="113" w:right="28"/>
                    <w:jc w:val="left"/>
                  </w:pPr>
                  <w:r w:rsidRPr="00C47D6F">
                    <w:rPr>
                      <w:sz w:val="16"/>
                      <w:szCs w:val="16"/>
                    </w:rPr>
                    <w:t>Most recent data for this measure are comparable and complete, subject to caveats (chapter 3)</w:t>
                  </w:r>
                </w:p>
              </w:tc>
            </w:tr>
            <w:tr w:rsidR="00100522" w:rsidTr="000E3728">
              <w:tc>
                <w:tcPr>
                  <w:tcW w:w="652" w:type="pct"/>
                </w:tcPr>
                <w:p w:rsidR="00100522" w:rsidRDefault="00100522" w:rsidP="00CE10AD">
                  <w:pPr>
                    <w:pStyle w:val="TableBodyText"/>
                  </w:pPr>
                  <w:r>
                    <w:t>%</w:t>
                  </w:r>
                </w:p>
              </w:tc>
              <w:tc>
                <w:tcPr>
                  <w:tcW w:w="484" w:type="pct"/>
                  <w:vAlign w:val="center"/>
                </w:tcPr>
                <w:p w:rsidR="00100522" w:rsidRPr="00100522" w:rsidRDefault="00100522" w:rsidP="00100522">
                  <w:pPr>
                    <w:pStyle w:val="TableBodyText"/>
                  </w:pPr>
                  <w:r w:rsidRPr="00100522">
                    <w:t>32.2</w:t>
                  </w:r>
                </w:p>
              </w:tc>
              <w:tc>
                <w:tcPr>
                  <w:tcW w:w="484" w:type="pct"/>
                  <w:vAlign w:val="center"/>
                </w:tcPr>
                <w:p w:rsidR="00100522" w:rsidRPr="00100522" w:rsidRDefault="00100522" w:rsidP="00100522">
                  <w:pPr>
                    <w:pStyle w:val="TableBodyText"/>
                  </w:pPr>
                  <w:r w:rsidRPr="00100522">
                    <w:t>31.3</w:t>
                  </w:r>
                </w:p>
              </w:tc>
              <w:tc>
                <w:tcPr>
                  <w:tcW w:w="484" w:type="pct"/>
                  <w:vAlign w:val="center"/>
                </w:tcPr>
                <w:p w:rsidR="00100522" w:rsidRPr="00100522" w:rsidRDefault="00100522" w:rsidP="00100522">
                  <w:pPr>
                    <w:pStyle w:val="TableBodyText"/>
                  </w:pPr>
                  <w:r w:rsidRPr="00100522">
                    <w:t>33.2</w:t>
                  </w:r>
                </w:p>
              </w:tc>
              <w:tc>
                <w:tcPr>
                  <w:tcW w:w="484" w:type="pct"/>
                  <w:vAlign w:val="center"/>
                </w:tcPr>
                <w:p w:rsidR="00100522" w:rsidRPr="00100522" w:rsidRDefault="00100522" w:rsidP="00100522">
                  <w:pPr>
                    <w:pStyle w:val="TableBodyText"/>
                  </w:pPr>
                  <w:r w:rsidRPr="00100522">
                    <w:t>21.4</w:t>
                  </w:r>
                </w:p>
              </w:tc>
              <w:tc>
                <w:tcPr>
                  <w:tcW w:w="484" w:type="pct"/>
                  <w:vAlign w:val="center"/>
                </w:tcPr>
                <w:p w:rsidR="00100522" w:rsidRPr="00100522" w:rsidRDefault="00100522" w:rsidP="00100522">
                  <w:pPr>
                    <w:pStyle w:val="TableBodyText"/>
                  </w:pPr>
                  <w:r w:rsidRPr="00100522">
                    <w:t>32.0</w:t>
                  </w:r>
                </w:p>
              </w:tc>
              <w:tc>
                <w:tcPr>
                  <w:tcW w:w="484" w:type="pct"/>
                  <w:vAlign w:val="center"/>
                </w:tcPr>
                <w:p w:rsidR="00100522" w:rsidRPr="00100522" w:rsidRDefault="00100522" w:rsidP="00100522">
                  <w:pPr>
                    <w:pStyle w:val="TableBodyText"/>
                  </w:pPr>
                  <w:r w:rsidRPr="00100522">
                    <w:t>27.7</w:t>
                  </w:r>
                </w:p>
              </w:tc>
              <w:tc>
                <w:tcPr>
                  <w:tcW w:w="485" w:type="pct"/>
                  <w:vAlign w:val="center"/>
                </w:tcPr>
                <w:p w:rsidR="00100522" w:rsidRPr="00100522" w:rsidRDefault="00100522" w:rsidP="00100522">
                  <w:pPr>
                    <w:pStyle w:val="TableBodyText"/>
                  </w:pPr>
                  <w:r w:rsidRPr="00100522">
                    <w:t>40.7</w:t>
                  </w:r>
                </w:p>
              </w:tc>
              <w:tc>
                <w:tcPr>
                  <w:tcW w:w="480" w:type="pct"/>
                  <w:vAlign w:val="center"/>
                </w:tcPr>
                <w:p w:rsidR="00100522" w:rsidRPr="00100522" w:rsidRDefault="00100522" w:rsidP="00100522">
                  <w:pPr>
                    <w:pStyle w:val="TableBodyText"/>
                  </w:pPr>
                  <w:r w:rsidRPr="00100522">
                    <w:t>19.2</w:t>
                  </w:r>
                </w:p>
              </w:tc>
              <w:tc>
                <w:tcPr>
                  <w:tcW w:w="479" w:type="pct"/>
                  <w:vAlign w:val="center"/>
                </w:tcPr>
                <w:p w:rsidR="00100522" w:rsidRPr="00100522" w:rsidRDefault="00100522" w:rsidP="00100522">
                  <w:pPr>
                    <w:pStyle w:val="TableBodyText"/>
                  </w:pPr>
                  <w:r w:rsidRPr="00100522">
                    <w:t>30.6</w:t>
                  </w:r>
                </w:p>
              </w:tc>
            </w:tr>
            <w:tr w:rsidR="00100522" w:rsidTr="00FF3C8A">
              <w:tc>
                <w:tcPr>
                  <w:tcW w:w="5000" w:type="pct"/>
                  <w:gridSpan w:val="10"/>
                </w:tcPr>
                <w:p w:rsidR="00100522" w:rsidRDefault="00100522" w:rsidP="006E26DB">
                  <w:pPr>
                    <w:pStyle w:val="Source"/>
                    <w:spacing w:before="0" w:after="80"/>
                    <w:ind w:left="113"/>
                  </w:pPr>
                  <w:r w:rsidRPr="00253B66">
                    <w:rPr>
                      <w:i/>
                    </w:rPr>
                    <w:t>Source:</w:t>
                  </w:r>
                  <w:r w:rsidRPr="0046068B">
                    <w:rPr>
                      <w:i/>
                    </w:rPr>
                    <w:t xml:space="preserve"> </w:t>
                  </w:r>
                  <w:r>
                    <w:t xml:space="preserve">Attachment table </w:t>
                  </w:r>
                  <w:proofErr w:type="spellStart"/>
                  <w:r>
                    <w:t>3A.19</w:t>
                  </w:r>
                  <w:proofErr w:type="spellEnd"/>
                </w:p>
              </w:tc>
            </w:tr>
            <w:tr w:rsidR="00100522" w:rsidTr="005100D5">
              <w:tc>
                <w:tcPr>
                  <w:tcW w:w="5000" w:type="pct"/>
                  <w:gridSpan w:val="10"/>
                </w:tcPr>
                <w:p w:rsidR="00100522" w:rsidRDefault="00100522" w:rsidP="00FB4374">
                  <w:pPr>
                    <w:pStyle w:val="DQIRowHeadings"/>
                    <w:spacing w:before="80"/>
                  </w:pPr>
                  <w:r>
                    <w:t>Children enrolled in preschool</w:t>
                  </w:r>
                </w:p>
              </w:tc>
            </w:tr>
            <w:tr w:rsidR="00100522" w:rsidTr="005100D5">
              <w:tc>
                <w:tcPr>
                  <w:tcW w:w="5000" w:type="pct"/>
                  <w:gridSpan w:val="10"/>
                </w:tcPr>
                <w:p w:rsidR="00100522" w:rsidRDefault="00100522" w:rsidP="00CE10AD">
                  <w:pPr>
                    <w:pStyle w:val="TableBodyText"/>
                    <w:ind w:left="113" w:right="28"/>
                    <w:jc w:val="left"/>
                  </w:pPr>
                  <w:r>
                    <w:t>Proportion of 4 year old children who are enrolled in a pre</w:t>
                  </w:r>
                  <w:r w:rsidR="00524648">
                    <w:t>school program in the year before</w:t>
                  </w:r>
                  <w:r>
                    <w:t xml:space="preserve"> full time schooling, 2014</w:t>
                  </w:r>
                </w:p>
              </w:tc>
            </w:tr>
            <w:tr w:rsidR="00100522" w:rsidTr="005100D5">
              <w:tc>
                <w:tcPr>
                  <w:tcW w:w="5000" w:type="pct"/>
                  <w:gridSpan w:val="10"/>
                </w:tcPr>
                <w:p w:rsidR="00100522" w:rsidRDefault="00100522" w:rsidP="00CE10AD">
                  <w:pPr>
                    <w:pStyle w:val="TableBodyText"/>
                    <w:ind w:left="113" w:right="28"/>
                    <w:jc w:val="left"/>
                  </w:pPr>
                  <w:r w:rsidRPr="00C47D6F">
                    <w:rPr>
                      <w:sz w:val="16"/>
                      <w:szCs w:val="16"/>
                    </w:rPr>
                    <w:t>Most recent data for this measure are comparable and complete, subject to caveats (chapter 3)</w:t>
                  </w:r>
                </w:p>
              </w:tc>
            </w:tr>
            <w:tr w:rsidR="00100522" w:rsidTr="000E3728">
              <w:tc>
                <w:tcPr>
                  <w:tcW w:w="652" w:type="pct"/>
                </w:tcPr>
                <w:p w:rsidR="00100522" w:rsidRDefault="00100522" w:rsidP="00CE10AD">
                  <w:pPr>
                    <w:pStyle w:val="TableBodyText"/>
                  </w:pPr>
                  <w:r>
                    <w:t>%</w:t>
                  </w:r>
                </w:p>
              </w:tc>
              <w:tc>
                <w:tcPr>
                  <w:tcW w:w="484" w:type="pct"/>
                  <w:vAlign w:val="bottom"/>
                </w:tcPr>
                <w:p w:rsidR="00100522" w:rsidRPr="00100522" w:rsidRDefault="00100522" w:rsidP="00100522">
                  <w:pPr>
                    <w:pStyle w:val="TableBodyText"/>
                  </w:pPr>
                  <w:r w:rsidRPr="00100522">
                    <w:t xml:space="preserve">  74.0</w:t>
                  </w:r>
                </w:p>
              </w:tc>
              <w:tc>
                <w:tcPr>
                  <w:tcW w:w="484" w:type="pct"/>
                  <w:vAlign w:val="bottom"/>
                </w:tcPr>
                <w:p w:rsidR="00100522" w:rsidRPr="00100522" w:rsidRDefault="00100522" w:rsidP="00100522">
                  <w:pPr>
                    <w:pStyle w:val="TableBodyText"/>
                  </w:pPr>
                  <w:r w:rsidRPr="00100522">
                    <w:t xml:space="preserve">  109.3</w:t>
                  </w:r>
                </w:p>
              </w:tc>
              <w:tc>
                <w:tcPr>
                  <w:tcW w:w="484" w:type="pct"/>
                  <w:vAlign w:val="bottom"/>
                </w:tcPr>
                <w:p w:rsidR="00100522" w:rsidRPr="00100522" w:rsidRDefault="00100522" w:rsidP="00100522">
                  <w:pPr>
                    <w:pStyle w:val="TableBodyText"/>
                  </w:pPr>
                  <w:r w:rsidRPr="00100522">
                    <w:t xml:space="preserve">  102.4</w:t>
                  </w:r>
                </w:p>
              </w:tc>
              <w:tc>
                <w:tcPr>
                  <w:tcW w:w="484" w:type="pct"/>
                  <w:vAlign w:val="bottom"/>
                </w:tcPr>
                <w:p w:rsidR="00100522" w:rsidRPr="00100522" w:rsidRDefault="00100522" w:rsidP="00100522">
                  <w:pPr>
                    <w:pStyle w:val="TableBodyText"/>
                  </w:pPr>
                  <w:r w:rsidRPr="00100522">
                    <w:t xml:space="preserve">  100.8</w:t>
                  </w:r>
                </w:p>
              </w:tc>
              <w:tc>
                <w:tcPr>
                  <w:tcW w:w="484" w:type="pct"/>
                  <w:vAlign w:val="bottom"/>
                </w:tcPr>
                <w:p w:rsidR="00100522" w:rsidRPr="00100522" w:rsidRDefault="00100522" w:rsidP="00100522">
                  <w:pPr>
                    <w:pStyle w:val="TableBodyText"/>
                  </w:pPr>
                  <w:r w:rsidRPr="00100522">
                    <w:t xml:space="preserve">  105.0</w:t>
                  </w:r>
                </w:p>
              </w:tc>
              <w:tc>
                <w:tcPr>
                  <w:tcW w:w="484" w:type="pct"/>
                  <w:vAlign w:val="bottom"/>
                </w:tcPr>
                <w:p w:rsidR="00100522" w:rsidRPr="00100522" w:rsidRDefault="00100522" w:rsidP="00100522">
                  <w:pPr>
                    <w:pStyle w:val="TableBodyText"/>
                  </w:pPr>
                  <w:r w:rsidRPr="00100522">
                    <w:t xml:space="preserve">  105.8</w:t>
                  </w:r>
                </w:p>
              </w:tc>
              <w:tc>
                <w:tcPr>
                  <w:tcW w:w="485" w:type="pct"/>
                  <w:vAlign w:val="bottom"/>
                </w:tcPr>
                <w:p w:rsidR="00100522" w:rsidRPr="00100522" w:rsidRDefault="00100522" w:rsidP="00100522">
                  <w:pPr>
                    <w:pStyle w:val="TableBodyText"/>
                  </w:pPr>
                  <w:r w:rsidRPr="00100522">
                    <w:t xml:space="preserve">  112.5</w:t>
                  </w:r>
                </w:p>
              </w:tc>
              <w:tc>
                <w:tcPr>
                  <w:tcW w:w="480" w:type="pct"/>
                  <w:vAlign w:val="bottom"/>
                </w:tcPr>
                <w:p w:rsidR="00100522" w:rsidRPr="00100522" w:rsidRDefault="00100522" w:rsidP="00100522">
                  <w:pPr>
                    <w:pStyle w:val="TableBodyText"/>
                  </w:pPr>
                  <w:r w:rsidRPr="00100522">
                    <w:t xml:space="preserve">  89.7</w:t>
                  </w:r>
                </w:p>
              </w:tc>
              <w:tc>
                <w:tcPr>
                  <w:tcW w:w="479" w:type="pct"/>
                  <w:vAlign w:val="bottom"/>
                </w:tcPr>
                <w:p w:rsidR="00100522" w:rsidRPr="00100522" w:rsidRDefault="00100522" w:rsidP="00100522">
                  <w:pPr>
                    <w:pStyle w:val="TableBodyText"/>
                  </w:pPr>
                  <w:r w:rsidRPr="00100522">
                    <w:t xml:space="preserve">  95.1</w:t>
                  </w:r>
                </w:p>
              </w:tc>
            </w:tr>
            <w:tr w:rsidR="00100522" w:rsidTr="005100D5">
              <w:tc>
                <w:tcPr>
                  <w:tcW w:w="5000" w:type="pct"/>
                  <w:gridSpan w:val="10"/>
                </w:tcPr>
                <w:p w:rsidR="00100522" w:rsidRDefault="00100522" w:rsidP="006E26DB">
                  <w:pPr>
                    <w:pStyle w:val="Source"/>
                    <w:spacing w:before="0" w:after="80"/>
                    <w:ind w:left="113"/>
                  </w:pPr>
                  <w:r w:rsidRPr="00253B66">
                    <w:rPr>
                      <w:i/>
                    </w:rPr>
                    <w:t>Source:</w:t>
                  </w:r>
                  <w:r w:rsidRPr="0046068B">
                    <w:rPr>
                      <w:i/>
                    </w:rPr>
                    <w:t xml:space="preserve"> </w:t>
                  </w:r>
                  <w:r>
                    <w:t xml:space="preserve">Attachment table </w:t>
                  </w:r>
                  <w:proofErr w:type="spellStart"/>
                  <w:r>
                    <w:t>3A.25</w:t>
                  </w:r>
                  <w:proofErr w:type="spellEnd"/>
                </w:p>
              </w:tc>
            </w:tr>
            <w:tr w:rsidR="00100522" w:rsidTr="00D54903">
              <w:tc>
                <w:tcPr>
                  <w:tcW w:w="5000" w:type="pct"/>
                  <w:gridSpan w:val="10"/>
                </w:tcPr>
                <w:p w:rsidR="00100522" w:rsidRDefault="00100522" w:rsidP="00CE10AD">
                  <w:pPr>
                    <w:pStyle w:val="TableBodyText"/>
                    <w:ind w:left="113" w:right="28"/>
                    <w:jc w:val="left"/>
                  </w:pPr>
                  <w:r>
                    <w:t>Proportion of 4 year old Aboriginal and Torres Strait Islander children who are enrolled in a pres</w:t>
                  </w:r>
                  <w:r w:rsidR="00524648">
                    <w:t xml:space="preserve">chool program in the year before </w:t>
                  </w:r>
                  <w:r>
                    <w:t>full time schooling, 2014</w:t>
                  </w:r>
                </w:p>
              </w:tc>
            </w:tr>
            <w:tr w:rsidR="00100522" w:rsidTr="00D54903">
              <w:tc>
                <w:tcPr>
                  <w:tcW w:w="5000" w:type="pct"/>
                  <w:gridSpan w:val="10"/>
                </w:tcPr>
                <w:p w:rsidR="00100522" w:rsidRDefault="00100522" w:rsidP="00CE10AD">
                  <w:pPr>
                    <w:pStyle w:val="TableBodyText"/>
                    <w:ind w:left="113" w:right="28"/>
                    <w:jc w:val="left"/>
                  </w:pPr>
                  <w:r w:rsidRPr="00C47D6F">
                    <w:rPr>
                      <w:sz w:val="16"/>
                      <w:szCs w:val="16"/>
                    </w:rPr>
                    <w:t>Most recent data for this measure are comparable and complete, subject to caveats (chapter 3)</w:t>
                  </w:r>
                </w:p>
              </w:tc>
            </w:tr>
            <w:tr w:rsidR="00100522" w:rsidTr="000E3728">
              <w:tc>
                <w:tcPr>
                  <w:tcW w:w="652" w:type="pct"/>
                </w:tcPr>
                <w:p w:rsidR="00100522" w:rsidRDefault="00100522" w:rsidP="00CE10AD">
                  <w:pPr>
                    <w:pStyle w:val="TableBodyText"/>
                  </w:pPr>
                  <w:r>
                    <w:t>%</w:t>
                  </w:r>
                </w:p>
              </w:tc>
              <w:tc>
                <w:tcPr>
                  <w:tcW w:w="484" w:type="pct"/>
                  <w:vAlign w:val="center"/>
                </w:tcPr>
                <w:p w:rsidR="00100522" w:rsidRPr="00100522" w:rsidRDefault="00100522" w:rsidP="00100522">
                  <w:pPr>
                    <w:pStyle w:val="TableBodyText"/>
                  </w:pPr>
                  <w:r w:rsidRPr="00100522">
                    <w:t xml:space="preserve">  64.5</w:t>
                  </w:r>
                </w:p>
              </w:tc>
              <w:tc>
                <w:tcPr>
                  <w:tcW w:w="484" w:type="pct"/>
                  <w:vAlign w:val="center"/>
                </w:tcPr>
                <w:p w:rsidR="00100522" w:rsidRPr="00100522" w:rsidRDefault="00100522" w:rsidP="00100522">
                  <w:pPr>
                    <w:pStyle w:val="TableBodyText"/>
                  </w:pPr>
                  <w:r w:rsidRPr="00100522">
                    <w:t xml:space="preserve">  92.6</w:t>
                  </w:r>
                </w:p>
              </w:tc>
              <w:tc>
                <w:tcPr>
                  <w:tcW w:w="484" w:type="pct"/>
                  <w:vAlign w:val="center"/>
                </w:tcPr>
                <w:p w:rsidR="00100522" w:rsidRPr="00100522" w:rsidRDefault="00100522" w:rsidP="00100522">
                  <w:pPr>
                    <w:pStyle w:val="TableBodyText"/>
                  </w:pPr>
                  <w:r w:rsidRPr="00100522">
                    <w:t xml:space="preserve">  63.2</w:t>
                  </w:r>
                </w:p>
              </w:tc>
              <w:tc>
                <w:tcPr>
                  <w:tcW w:w="484" w:type="pct"/>
                  <w:vAlign w:val="center"/>
                </w:tcPr>
                <w:p w:rsidR="00100522" w:rsidRPr="00100522" w:rsidRDefault="00100522" w:rsidP="00100522">
                  <w:pPr>
                    <w:pStyle w:val="TableBodyText"/>
                  </w:pPr>
                  <w:r w:rsidRPr="00100522">
                    <w:t xml:space="preserve">  102.2</w:t>
                  </w:r>
                </w:p>
              </w:tc>
              <w:tc>
                <w:tcPr>
                  <w:tcW w:w="484" w:type="pct"/>
                  <w:vAlign w:val="center"/>
                </w:tcPr>
                <w:p w:rsidR="00100522" w:rsidRPr="00100522" w:rsidRDefault="00100522" w:rsidP="00100522">
                  <w:pPr>
                    <w:pStyle w:val="TableBodyText"/>
                  </w:pPr>
                  <w:r w:rsidRPr="00100522">
                    <w:t xml:space="preserve">  98.7</w:t>
                  </w:r>
                </w:p>
              </w:tc>
              <w:tc>
                <w:tcPr>
                  <w:tcW w:w="484" w:type="pct"/>
                  <w:vAlign w:val="center"/>
                </w:tcPr>
                <w:p w:rsidR="00100522" w:rsidRPr="00100522" w:rsidRDefault="00100522" w:rsidP="00100522">
                  <w:pPr>
                    <w:pStyle w:val="TableBodyText"/>
                  </w:pPr>
                  <w:r w:rsidRPr="00100522">
                    <w:t xml:space="preserve">  94.8</w:t>
                  </w:r>
                </w:p>
              </w:tc>
              <w:tc>
                <w:tcPr>
                  <w:tcW w:w="485" w:type="pct"/>
                  <w:vAlign w:val="center"/>
                </w:tcPr>
                <w:p w:rsidR="00100522" w:rsidRPr="00100522" w:rsidRDefault="00100522" w:rsidP="00100522">
                  <w:pPr>
                    <w:pStyle w:val="TableBodyText"/>
                  </w:pPr>
                  <w:r w:rsidRPr="00100522">
                    <w:t xml:space="preserve">  95.2</w:t>
                  </w:r>
                </w:p>
              </w:tc>
              <w:tc>
                <w:tcPr>
                  <w:tcW w:w="480" w:type="pct"/>
                  <w:vAlign w:val="center"/>
                </w:tcPr>
                <w:p w:rsidR="00100522" w:rsidRPr="00100522" w:rsidRDefault="00100522" w:rsidP="00100522">
                  <w:pPr>
                    <w:pStyle w:val="TableBodyText"/>
                  </w:pPr>
                  <w:r w:rsidRPr="00100522">
                    <w:t xml:space="preserve">  80.4</w:t>
                  </w:r>
                </w:p>
              </w:tc>
              <w:tc>
                <w:tcPr>
                  <w:tcW w:w="479" w:type="pct"/>
                  <w:vAlign w:val="center"/>
                </w:tcPr>
                <w:p w:rsidR="00100522" w:rsidRPr="00100522" w:rsidRDefault="00100522" w:rsidP="00100522">
                  <w:pPr>
                    <w:pStyle w:val="TableBodyText"/>
                  </w:pPr>
                  <w:r w:rsidRPr="00100522">
                    <w:t xml:space="preserve">  75.4</w:t>
                  </w:r>
                </w:p>
              </w:tc>
            </w:tr>
            <w:tr w:rsidR="00100522" w:rsidTr="00D54903">
              <w:tc>
                <w:tcPr>
                  <w:tcW w:w="5000" w:type="pct"/>
                  <w:gridSpan w:val="10"/>
                </w:tcPr>
                <w:p w:rsidR="00100522" w:rsidRDefault="00100522" w:rsidP="006E26DB">
                  <w:pPr>
                    <w:pStyle w:val="Source"/>
                    <w:spacing w:before="0" w:after="80"/>
                    <w:ind w:left="113"/>
                  </w:pPr>
                  <w:r w:rsidRPr="00253B66">
                    <w:rPr>
                      <w:i/>
                    </w:rPr>
                    <w:t>Source:</w:t>
                  </w:r>
                  <w:r w:rsidRPr="0046068B">
                    <w:rPr>
                      <w:i/>
                    </w:rPr>
                    <w:t xml:space="preserve"> </w:t>
                  </w:r>
                  <w:r>
                    <w:t xml:space="preserve">Attachment table </w:t>
                  </w:r>
                  <w:proofErr w:type="spellStart"/>
                  <w:r>
                    <w:t>3A.28</w:t>
                  </w:r>
                  <w:proofErr w:type="spellEnd"/>
                </w:p>
              </w:tc>
            </w:tr>
            <w:tr w:rsidR="00100522" w:rsidTr="00D54903">
              <w:tc>
                <w:tcPr>
                  <w:tcW w:w="5000" w:type="pct"/>
                  <w:gridSpan w:val="10"/>
                </w:tcPr>
                <w:p w:rsidR="00100522" w:rsidRDefault="00100522" w:rsidP="00FB4374">
                  <w:pPr>
                    <w:pStyle w:val="DQIRowHeadings"/>
                    <w:spacing w:before="80"/>
                  </w:pPr>
                  <w:r>
                    <w:t>Children attending preschool</w:t>
                  </w:r>
                </w:p>
              </w:tc>
            </w:tr>
            <w:tr w:rsidR="00100522" w:rsidTr="00D54903">
              <w:tc>
                <w:tcPr>
                  <w:tcW w:w="5000" w:type="pct"/>
                  <w:gridSpan w:val="10"/>
                </w:tcPr>
                <w:p w:rsidR="00100522" w:rsidRDefault="00100522" w:rsidP="00CE10AD">
                  <w:pPr>
                    <w:pStyle w:val="TableBodyText"/>
                    <w:ind w:left="113" w:right="28"/>
                    <w:jc w:val="left"/>
                  </w:pPr>
                  <w:r>
                    <w:t>Proportion of 4 year old children who are attending a pre</w:t>
                  </w:r>
                  <w:r w:rsidR="00524648">
                    <w:t>school program in the year before</w:t>
                  </w:r>
                  <w:r>
                    <w:t xml:space="preserve"> full time schooling, 2014</w:t>
                  </w:r>
                </w:p>
              </w:tc>
            </w:tr>
            <w:tr w:rsidR="00100522" w:rsidTr="00D54903">
              <w:tc>
                <w:tcPr>
                  <w:tcW w:w="5000" w:type="pct"/>
                  <w:gridSpan w:val="10"/>
                </w:tcPr>
                <w:p w:rsidR="00100522" w:rsidRDefault="00100522" w:rsidP="00CE10AD">
                  <w:pPr>
                    <w:pStyle w:val="TableBodyText"/>
                    <w:ind w:left="113" w:right="28"/>
                    <w:jc w:val="left"/>
                  </w:pPr>
                  <w:r w:rsidRPr="00C47D6F">
                    <w:rPr>
                      <w:sz w:val="16"/>
                      <w:szCs w:val="16"/>
                    </w:rPr>
                    <w:t>Most recent data for this measure are comparable and complete, subject to caveats (chapter 3)</w:t>
                  </w:r>
                </w:p>
              </w:tc>
            </w:tr>
            <w:tr w:rsidR="00971808" w:rsidTr="000E3728">
              <w:tc>
                <w:tcPr>
                  <w:tcW w:w="652" w:type="pct"/>
                </w:tcPr>
                <w:p w:rsidR="00971808" w:rsidRDefault="00971808" w:rsidP="00CE10AD">
                  <w:pPr>
                    <w:pStyle w:val="TableBodyText"/>
                  </w:pPr>
                  <w:r>
                    <w:t>%</w:t>
                  </w:r>
                </w:p>
              </w:tc>
              <w:tc>
                <w:tcPr>
                  <w:tcW w:w="484" w:type="pct"/>
                  <w:vAlign w:val="center"/>
                </w:tcPr>
                <w:p w:rsidR="00971808" w:rsidRPr="00971808" w:rsidRDefault="00971808" w:rsidP="00971808">
                  <w:pPr>
                    <w:pStyle w:val="TableBodyText"/>
                  </w:pPr>
                  <w:r w:rsidRPr="00971808">
                    <w:t>71.3</w:t>
                  </w:r>
                </w:p>
              </w:tc>
              <w:tc>
                <w:tcPr>
                  <w:tcW w:w="484" w:type="pct"/>
                  <w:vAlign w:val="center"/>
                </w:tcPr>
                <w:p w:rsidR="00971808" w:rsidRPr="00971808" w:rsidRDefault="00971808" w:rsidP="00971808">
                  <w:pPr>
                    <w:pStyle w:val="TableBodyText"/>
                  </w:pPr>
                  <w:r w:rsidRPr="00971808">
                    <w:t>103.8</w:t>
                  </w:r>
                </w:p>
              </w:tc>
              <w:tc>
                <w:tcPr>
                  <w:tcW w:w="484" w:type="pct"/>
                  <w:vAlign w:val="center"/>
                </w:tcPr>
                <w:p w:rsidR="00971808" w:rsidRPr="00971808" w:rsidRDefault="00971808" w:rsidP="00971808">
                  <w:pPr>
                    <w:pStyle w:val="TableBodyText"/>
                  </w:pPr>
                  <w:r w:rsidRPr="00971808">
                    <w:t>98.8</w:t>
                  </w:r>
                </w:p>
              </w:tc>
              <w:tc>
                <w:tcPr>
                  <w:tcW w:w="484" w:type="pct"/>
                  <w:vAlign w:val="center"/>
                </w:tcPr>
                <w:p w:rsidR="00971808" w:rsidRPr="00971808" w:rsidRDefault="00971808" w:rsidP="00971808">
                  <w:pPr>
                    <w:pStyle w:val="TableBodyText"/>
                  </w:pPr>
                  <w:r w:rsidRPr="00971808">
                    <w:t>97.1</w:t>
                  </w:r>
                </w:p>
              </w:tc>
              <w:tc>
                <w:tcPr>
                  <w:tcW w:w="484" w:type="pct"/>
                  <w:vAlign w:val="center"/>
                </w:tcPr>
                <w:p w:rsidR="00971808" w:rsidRPr="00971808" w:rsidRDefault="00971808" w:rsidP="00971808">
                  <w:pPr>
                    <w:pStyle w:val="TableBodyText"/>
                  </w:pPr>
                  <w:r w:rsidRPr="00971808">
                    <w:t>103.4</w:t>
                  </w:r>
                </w:p>
              </w:tc>
              <w:tc>
                <w:tcPr>
                  <w:tcW w:w="484" w:type="pct"/>
                  <w:vAlign w:val="center"/>
                </w:tcPr>
                <w:p w:rsidR="00971808" w:rsidRPr="00971808" w:rsidRDefault="00971808" w:rsidP="00971808">
                  <w:pPr>
                    <w:pStyle w:val="TableBodyText"/>
                  </w:pPr>
                  <w:r w:rsidRPr="00971808">
                    <w:t>104.5</w:t>
                  </w:r>
                </w:p>
              </w:tc>
              <w:tc>
                <w:tcPr>
                  <w:tcW w:w="485" w:type="pct"/>
                  <w:vAlign w:val="center"/>
                </w:tcPr>
                <w:p w:rsidR="00971808" w:rsidRPr="00971808" w:rsidRDefault="00971808" w:rsidP="00971808">
                  <w:pPr>
                    <w:pStyle w:val="TableBodyText"/>
                  </w:pPr>
                  <w:r w:rsidRPr="00971808">
                    <w:t>109.9</w:t>
                  </w:r>
                </w:p>
              </w:tc>
              <w:tc>
                <w:tcPr>
                  <w:tcW w:w="480" w:type="pct"/>
                  <w:vAlign w:val="center"/>
                </w:tcPr>
                <w:p w:rsidR="00971808" w:rsidRPr="00971808" w:rsidRDefault="00971808" w:rsidP="00971808">
                  <w:pPr>
                    <w:pStyle w:val="TableBodyText"/>
                  </w:pPr>
                  <w:r w:rsidRPr="00971808">
                    <w:t>81.7</w:t>
                  </w:r>
                </w:p>
              </w:tc>
              <w:tc>
                <w:tcPr>
                  <w:tcW w:w="479" w:type="pct"/>
                  <w:vAlign w:val="center"/>
                </w:tcPr>
                <w:p w:rsidR="00971808" w:rsidRPr="00971808" w:rsidRDefault="00971808" w:rsidP="00971808">
                  <w:pPr>
                    <w:pStyle w:val="TableBodyText"/>
                  </w:pPr>
                  <w:r w:rsidRPr="00971808">
                    <w:t>91.4</w:t>
                  </w:r>
                </w:p>
              </w:tc>
            </w:tr>
            <w:tr w:rsidR="00971808" w:rsidTr="00D54903">
              <w:tc>
                <w:tcPr>
                  <w:tcW w:w="5000" w:type="pct"/>
                  <w:gridSpan w:val="10"/>
                </w:tcPr>
                <w:p w:rsidR="00971808" w:rsidRPr="004066B0" w:rsidRDefault="00971808" w:rsidP="006E26DB">
                  <w:pPr>
                    <w:pStyle w:val="Source"/>
                    <w:spacing w:before="0" w:after="80"/>
                    <w:ind w:left="113"/>
                  </w:pPr>
                  <w:r w:rsidRPr="004066B0">
                    <w:rPr>
                      <w:i/>
                    </w:rPr>
                    <w:t xml:space="preserve">Source: </w:t>
                  </w:r>
                  <w:r>
                    <w:t xml:space="preserve">Attachment table </w:t>
                  </w:r>
                  <w:proofErr w:type="spellStart"/>
                  <w:r>
                    <w:t>3A.31</w:t>
                  </w:r>
                  <w:proofErr w:type="spellEnd"/>
                </w:p>
              </w:tc>
            </w:tr>
            <w:tr w:rsidR="00971808" w:rsidTr="00D54903">
              <w:tc>
                <w:tcPr>
                  <w:tcW w:w="5000" w:type="pct"/>
                  <w:gridSpan w:val="10"/>
                </w:tcPr>
                <w:p w:rsidR="00971808" w:rsidRPr="004066B0" w:rsidRDefault="00971808" w:rsidP="00FB4374">
                  <w:pPr>
                    <w:pStyle w:val="DQIRowHeadings"/>
                    <w:spacing w:before="80"/>
                  </w:pPr>
                  <w:r w:rsidRPr="004066B0">
                    <w:t>Non-standard hours of care in child care services</w:t>
                  </w:r>
                </w:p>
              </w:tc>
            </w:tr>
            <w:tr w:rsidR="00971808" w:rsidTr="00D54903">
              <w:tc>
                <w:tcPr>
                  <w:tcW w:w="5000" w:type="pct"/>
                  <w:gridSpan w:val="10"/>
                </w:tcPr>
                <w:p w:rsidR="00971808" w:rsidRDefault="00971808" w:rsidP="00D54903">
                  <w:pPr>
                    <w:pStyle w:val="TableBodyText"/>
                    <w:ind w:left="113" w:right="28"/>
                    <w:jc w:val="left"/>
                  </w:pPr>
                  <w:r>
                    <w:t xml:space="preserve">Proportion of Australian Government </w:t>
                  </w:r>
                  <w:proofErr w:type="spellStart"/>
                  <w:r>
                    <w:t>CCB</w:t>
                  </w:r>
                  <w:proofErr w:type="spellEnd"/>
                  <w:r>
                    <w:t xml:space="preserve"> approved child care services providing non-standard hours of care, 2015</w:t>
                  </w:r>
                </w:p>
              </w:tc>
            </w:tr>
            <w:tr w:rsidR="00971808" w:rsidTr="00D54903">
              <w:tc>
                <w:tcPr>
                  <w:tcW w:w="5000" w:type="pct"/>
                  <w:gridSpan w:val="10"/>
                </w:tcPr>
                <w:p w:rsidR="00971808" w:rsidRDefault="00971808" w:rsidP="00CE10AD">
                  <w:pPr>
                    <w:pStyle w:val="TableBodyText"/>
                    <w:ind w:left="113" w:right="28"/>
                    <w:jc w:val="left"/>
                  </w:pPr>
                  <w:r w:rsidRPr="00C47D6F">
                    <w:rPr>
                      <w:sz w:val="16"/>
                      <w:szCs w:val="16"/>
                    </w:rPr>
                    <w:t>Most recent data for this measure are comparable and complete, subject to caveats (chapter 3)</w:t>
                  </w:r>
                </w:p>
              </w:tc>
            </w:tr>
            <w:tr w:rsidR="00971808" w:rsidTr="000E3728">
              <w:tc>
                <w:tcPr>
                  <w:tcW w:w="652" w:type="pct"/>
                  <w:shd w:val="clear" w:color="auto" w:fill="auto"/>
                </w:tcPr>
                <w:p w:rsidR="00971808" w:rsidRDefault="00971808" w:rsidP="00CE10AD">
                  <w:pPr>
                    <w:pStyle w:val="TableBodyText"/>
                  </w:pPr>
                  <w:r>
                    <w:t>%</w:t>
                  </w:r>
                </w:p>
              </w:tc>
              <w:tc>
                <w:tcPr>
                  <w:tcW w:w="484" w:type="pct"/>
                  <w:vAlign w:val="center"/>
                </w:tcPr>
                <w:p w:rsidR="00971808" w:rsidRPr="00971808" w:rsidRDefault="00971808" w:rsidP="00971808">
                  <w:pPr>
                    <w:pStyle w:val="TableBodyText"/>
                  </w:pPr>
                  <w:r w:rsidRPr="00971808">
                    <w:t xml:space="preserve">  16.2</w:t>
                  </w:r>
                </w:p>
              </w:tc>
              <w:tc>
                <w:tcPr>
                  <w:tcW w:w="484" w:type="pct"/>
                  <w:vAlign w:val="center"/>
                </w:tcPr>
                <w:p w:rsidR="00971808" w:rsidRPr="00971808" w:rsidRDefault="00971808" w:rsidP="00971808">
                  <w:pPr>
                    <w:pStyle w:val="TableBodyText"/>
                  </w:pPr>
                  <w:r w:rsidRPr="00971808">
                    <w:t xml:space="preserve">  22.6</w:t>
                  </w:r>
                </w:p>
              </w:tc>
              <w:tc>
                <w:tcPr>
                  <w:tcW w:w="484" w:type="pct"/>
                  <w:vAlign w:val="center"/>
                </w:tcPr>
                <w:p w:rsidR="00971808" w:rsidRPr="00971808" w:rsidRDefault="00971808" w:rsidP="00971808">
                  <w:pPr>
                    <w:pStyle w:val="TableBodyText"/>
                  </w:pPr>
                  <w:r w:rsidRPr="00971808">
                    <w:t xml:space="preserve">  52.9</w:t>
                  </w:r>
                </w:p>
              </w:tc>
              <w:tc>
                <w:tcPr>
                  <w:tcW w:w="484" w:type="pct"/>
                  <w:vAlign w:val="center"/>
                </w:tcPr>
                <w:p w:rsidR="00971808" w:rsidRPr="00971808" w:rsidRDefault="00971808" w:rsidP="00971808">
                  <w:pPr>
                    <w:pStyle w:val="TableBodyText"/>
                  </w:pPr>
                  <w:r w:rsidRPr="00971808">
                    <w:t xml:space="preserve">  26.1</w:t>
                  </w:r>
                </w:p>
              </w:tc>
              <w:tc>
                <w:tcPr>
                  <w:tcW w:w="484" w:type="pct"/>
                  <w:vAlign w:val="center"/>
                </w:tcPr>
                <w:p w:rsidR="00971808" w:rsidRPr="00971808" w:rsidRDefault="00971808" w:rsidP="00971808">
                  <w:pPr>
                    <w:pStyle w:val="TableBodyText"/>
                  </w:pPr>
                  <w:r w:rsidRPr="00971808">
                    <w:t xml:space="preserve">  22.2</w:t>
                  </w:r>
                </w:p>
              </w:tc>
              <w:tc>
                <w:tcPr>
                  <w:tcW w:w="484" w:type="pct"/>
                  <w:vAlign w:val="center"/>
                </w:tcPr>
                <w:p w:rsidR="00971808" w:rsidRPr="00971808" w:rsidRDefault="00971808" w:rsidP="00971808">
                  <w:pPr>
                    <w:pStyle w:val="TableBodyText"/>
                  </w:pPr>
                  <w:r w:rsidRPr="00971808">
                    <w:t xml:space="preserve">  15.1</w:t>
                  </w:r>
                </w:p>
              </w:tc>
              <w:tc>
                <w:tcPr>
                  <w:tcW w:w="485" w:type="pct"/>
                  <w:shd w:val="clear" w:color="auto" w:fill="auto"/>
                  <w:vAlign w:val="center"/>
                </w:tcPr>
                <w:p w:rsidR="00971808" w:rsidRPr="00971808" w:rsidRDefault="00971808" w:rsidP="00971808">
                  <w:pPr>
                    <w:pStyle w:val="TableBodyText"/>
                  </w:pPr>
                  <w:r w:rsidRPr="00971808">
                    <w:t xml:space="preserve">  4.8</w:t>
                  </w:r>
                </w:p>
              </w:tc>
              <w:tc>
                <w:tcPr>
                  <w:tcW w:w="480" w:type="pct"/>
                  <w:vAlign w:val="center"/>
                </w:tcPr>
                <w:p w:rsidR="00971808" w:rsidRPr="00971808" w:rsidRDefault="00971808" w:rsidP="00971808">
                  <w:pPr>
                    <w:pStyle w:val="TableBodyText"/>
                  </w:pPr>
                  <w:r w:rsidRPr="00971808">
                    <w:t xml:space="preserve">  16.5</w:t>
                  </w:r>
                </w:p>
              </w:tc>
              <w:tc>
                <w:tcPr>
                  <w:tcW w:w="479" w:type="pct"/>
                  <w:shd w:val="clear" w:color="auto" w:fill="auto"/>
                  <w:vAlign w:val="center"/>
                </w:tcPr>
                <w:p w:rsidR="00971808" w:rsidRPr="00971808" w:rsidRDefault="00971808" w:rsidP="00971808">
                  <w:pPr>
                    <w:pStyle w:val="TableBodyText"/>
                  </w:pPr>
                  <w:r w:rsidRPr="00971808">
                    <w:t xml:space="preserve">  26.3</w:t>
                  </w:r>
                </w:p>
              </w:tc>
            </w:tr>
            <w:tr w:rsidR="003901C7" w:rsidRPr="003901C7" w:rsidTr="003901C7">
              <w:tc>
                <w:tcPr>
                  <w:tcW w:w="5000" w:type="pct"/>
                  <w:gridSpan w:val="10"/>
                  <w:shd w:val="clear" w:color="auto" w:fill="auto"/>
                </w:tcPr>
                <w:p w:rsidR="003901C7" w:rsidRPr="003901C7" w:rsidRDefault="003901C7" w:rsidP="003901C7">
                  <w:pPr>
                    <w:pStyle w:val="Source"/>
                    <w:spacing w:before="0" w:after="80"/>
                    <w:ind w:left="113"/>
                    <w:rPr>
                      <w:i/>
                    </w:rPr>
                  </w:pPr>
                  <w:r w:rsidRPr="00253B66">
                    <w:rPr>
                      <w:i/>
                    </w:rPr>
                    <w:t>Source:</w:t>
                  </w:r>
                  <w:r w:rsidRPr="0046068B">
                    <w:rPr>
                      <w:i/>
                    </w:rPr>
                    <w:t xml:space="preserve"> </w:t>
                  </w:r>
                  <w:r w:rsidRPr="00445B47">
                    <w:t xml:space="preserve">Attachment table </w:t>
                  </w:r>
                  <w:proofErr w:type="spellStart"/>
                  <w:r w:rsidRPr="00445B47">
                    <w:t>3A.38</w:t>
                  </w:r>
                  <w:proofErr w:type="spellEnd"/>
                </w:p>
              </w:tc>
            </w:tr>
            <w:tr w:rsidR="003901C7" w:rsidTr="003901C7">
              <w:tc>
                <w:tcPr>
                  <w:tcW w:w="5000" w:type="pct"/>
                  <w:gridSpan w:val="10"/>
                  <w:shd w:val="clear" w:color="auto" w:fill="auto"/>
                </w:tcPr>
                <w:p w:rsidR="003901C7" w:rsidRPr="00971808" w:rsidRDefault="003901C7" w:rsidP="003901C7">
                  <w:pPr>
                    <w:pStyle w:val="DQIMainRowHeadings"/>
                  </w:pPr>
                  <w:r>
                    <w:t>Effectiveness — Access — Service affordability indicators</w:t>
                  </w:r>
                </w:p>
              </w:tc>
            </w:tr>
            <w:tr w:rsidR="003901C7" w:rsidTr="003901C7">
              <w:tc>
                <w:tcPr>
                  <w:tcW w:w="5000" w:type="pct"/>
                  <w:gridSpan w:val="10"/>
                  <w:shd w:val="clear" w:color="auto" w:fill="auto"/>
                </w:tcPr>
                <w:p w:rsidR="003901C7" w:rsidRPr="00971808" w:rsidRDefault="003901C7" w:rsidP="00DB2C4C">
                  <w:pPr>
                    <w:pStyle w:val="DQIRowHeadings"/>
                    <w:spacing w:before="100"/>
                  </w:pPr>
                  <w:r>
                    <w:t>Child care service costs</w:t>
                  </w:r>
                </w:p>
              </w:tc>
            </w:tr>
            <w:tr w:rsidR="00FE2B1E" w:rsidTr="00FE2B1E">
              <w:tc>
                <w:tcPr>
                  <w:tcW w:w="5000" w:type="pct"/>
                  <w:gridSpan w:val="10"/>
                  <w:shd w:val="clear" w:color="auto" w:fill="auto"/>
                </w:tcPr>
                <w:p w:rsidR="00FE2B1E" w:rsidRPr="0062726A" w:rsidRDefault="00FE2B1E" w:rsidP="00FE2B1E">
                  <w:pPr>
                    <w:pStyle w:val="TableBodyText"/>
                    <w:ind w:left="113" w:right="28"/>
                    <w:jc w:val="left"/>
                  </w:pPr>
                  <w:r>
                    <w:t xml:space="preserve">Median weekly cost for 50 hours of Australian Government </w:t>
                  </w:r>
                  <w:proofErr w:type="spellStart"/>
                  <w:r>
                    <w:t>CCB</w:t>
                  </w:r>
                  <w:proofErr w:type="spellEnd"/>
                  <w:r>
                    <w:t xml:space="preserve"> approved long day care (</w:t>
                  </w:r>
                  <w:proofErr w:type="spellStart"/>
                  <w:r>
                    <w:t>LDC</w:t>
                  </w:r>
                  <w:proofErr w:type="spellEnd"/>
                  <w:r>
                    <w:t>) and family day care (</w:t>
                  </w:r>
                  <w:proofErr w:type="spellStart"/>
                  <w:r>
                    <w:t>FDC</w:t>
                  </w:r>
                  <w:proofErr w:type="spellEnd"/>
                  <w:r>
                    <w:t>), 2015</w:t>
                  </w:r>
                </w:p>
              </w:tc>
            </w:tr>
            <w:tr w:rsidR="003901C7" w:rsidTr="000E3728">
              <w:tc>
                <w:tcPr>
                  <w:tcW w:w="652" w:type="pct"/>
                  <w:shd w:val="clear" w:color="auto" w:fill="auto"/>
                </w:tcPr>
                <w:p w:rsidR="003901C7" w:rsidRDefault="003901C7" w:rsidP="003901C7">
                  <w:pPr>
                    <w:pStyle w:val="TableBodyText"/>
                  </w:pPr>
                  <w:r>
                    <w:t xml:space="preserve">$ </w:t>
                  </w:r>
                  <w:proofErr w:type="spellStart"/>
                  <w:r>
                    <w:t>LDC</w:t>
                  </w:r>
                  <w:proofErr w:type="spellEnd"/>
                </w:p>
              </w:tc>
              <w:tc>
                <w:tcPr>
                  <w:tcW w:w="484" w:type="pct"/>
                  <w:vAlign w:val="center"/>
                </w:tcPr>
                <w:p w:rsidR="003901C7" w:rsidRPr="0062726A" w:rsidRDefault="003901C7" w:rsidP="003901C7">
                  <w:pPr>
                    <w:pStyle w:val="TableBodyText"/>
                  </w:pPr>
                  <w:r w:rsidRPr="0062726A">
                    <w:t xml:space="preserve">  425</w:t>
                  </w:r>
                </w:p>
              </w:tc>
              <w:tc>
                <w:tcPr>
                  <w:tcW w:w="484" w:type="pct"/>
                  <w:vAlign w:val="center"/>
                </w:tcPr>
                <w:p w:rsidR="003901C7" w:rsidRPr="0062726A" w:rsidRDefault="003901C7" w:rsidP="003901C7">
                  <w:pPr>
                    <w:pStyle w:val="TableBodyText"/>
                  </w:pPr>
                  <w:r w:rsidRPr="0062726A">
                    <w:t xml:space="preserve">  420</w:t>
                  </w:r>
                </w:p>
              </w:tc>
              <w:tc>
                <w:tcPr>
                  <w:tcW w:w="484" w:type="pct"/>
                  <w:vAlign w:val="center"/>
                </w:tcPr>
                <w:p w:rsidR="003901C7" w:rsidRPr="0062726A" w:rsidRDefault="003901C7" w:rsidP="003901C7">
                  <w:pPr>
                    <w:pStyle w:val="TableBodyText"/>
                  </w:pPr>
                  <w:r w:rsidRPr="0062726A">
                    <w:t xml:space="preserve">  363</w:t>
                  </w:r>
                </w:p>
              </w:tc>
              <w:tc>
                <w:tcPr>
                  <w:tcW w:w="484" w:type="pct"/>
                  <w:vAlign w:val="center"/>
                </w:tcPr>
                <w:p w:rsidR="003901C7" w:rsidRPr="0062726A" w:rsidRDefault="003901C7" w:rsidP="003901C7">
                  <w:pPr>
                    <w:pStyle w:val="TableBodyText"/>
                  </w:pPr>
                  <w:r w:rsidRPr="0062726A">
                    <w:t xml:space="preserve">  405</w:t>
                  </w:r>
                </w:p>
              </w:tc>
              <w:tc>
                <w:tcPr>
                  <w:tcW w:w="484" w:type="pct"/>
                  <w:vAlign w:val="center"/>
                </w:tcPr>
                <w:p w:rsidR="003901C7" w:rsidRPr="0062726A" w:rsidRDefault="003901C7" w:rsidP="003901C7">
                  <w:pPr>
                    <w:pStyle w:val="TableBodyText"/>
                  </w:pPr>
                  <w:r w:rsidRPr="0062726A">
                    <w:t xml:space="preserve">  383</w:t>
                  </w:r>
                </w:p>
              </w:tc>
              <w:tc>
                <w:tcPr>
                  <w:tcW w:w="484" w:type="pct"/>
                  <w:vAlign w:val="center"/>
                </w:tcPr>
                <w:p w:rsidR="003901C7" w:rsidRPr="0062726A" w:rsidRDefault="003901C7" w:rsidP="003901C7">
                  <w:pPr>
                    <w:pStyle w:val="TableBodyText"/>
                  </w:pPr>
                  <w:r w:rsidRPr="0062726A">
                    <w:t xml:space="preserve">  395</w:t>
                  </w:r>
                </w:p>
              </w:tc>
              <w:tc>
                <w:tcPr>
                  <w:tcW w:w="485" w:type="pct"/>
                  <w:shd w:val="clear" w:color="auto" w:fill="auto"/>
                  <w:vAlign w:val="center"/>
                </w:tcPr>
                <w:p w:rsidR="003901C7" w:rsidRPr="0062726A" w:rsidRDefault="003901C7" w:rsidP="003901C7">
                  <w:pPr>
                    <w:pStyle w:val="TableBodyText"/>
                  </w:pPr>
                  <w:r w:rsidRPr="0062726A">
                    <w:t xml:space="preserve">  493</w:t>
                  </w:r>
                </w:p>
              </w:tc>
              <w:tc>
                <w:tcPr>
                  <w:tcW w:w="480" w:type="pct"/>
                  <w:vAlign w:val="center"/>
                </w:tcPr>
                <w:p w:rsidR="003901C7" w:rsidRPr="0062726A" w:rsidRDefault="003901C7" w:rsidP="003901C7">
                  <w:pPr>
                    <w:pStyle w:val="TableBodyText"/>
                  </w:pPr>
                  <w:r w:rsidRPr="0062726A">
                    <w:t xml:space="preserve">  400</w:t>
                  </w:r>
                </w:p>
              </w:tc>
              <w:tc>
                <w:tcPr>
                  <w:tcW w:w="479" w:type="pct"/>
                  <w:shd w:val="clear" w:color="auto" w:fill="auto"/>
                  <w:vAlign w:val="center"/>
                </w:tcPr>
                <w:p w:rsidR="003901C7" w:rsidRPr="0062726A" w:rsidRDefault="003901C7" w:rsidP="003901C7">
                  <w:pPr>
                    <w:pStyle w:val="TableBodyText"/>
                  </w:pPr>
                  <w:r w:rsidRPr="0062726A">
                    <w:t xml:space="preserve">  400</w:t>
                  </w:r>
                </w:p>
              </w:tc>
            </w:tr>
            <w:tr w:rsidR="003901C7" w:rsidTr="000E3728">
              <w:tc>
                <w:tcPr>
                  <w:tcW w:w="652" w:type="pct"/>
                  <w:shd w:val="clear" w:color="auto" w:fill="auto"/>
                </w:tcPr>
                <w:p w:rsidR="003901C7" w:rsidRDefault="003901C7" w:rsidP="003901C7">
                  <w:pPr>
                    <w:pStyle w:val="TableBodyText"/>
                  </w:pPr>
                  <w:r>
                    <w:t xml:space="preserve">$ </w:t>
                  </w:r>
                  <w:proofErr w:type="spellStart"/>
                  <w:r>
                    <w:t>FDC</w:t>
                  </w:r>
                  <w:proofErr w:type="spellEnd"/>
                </w:p>
              </w:tc>
              <w:tc>
                <w:tcPr>
                  <w:tcW w:w="484" w:type="pct"/>
                  <w:vAlign w:val="center"/>
                </w:tcPr>
                <w:p w:rsidR="003901C7" w:rsidRPr="0062726A" w:rsidRDefault="003901C7" w:rsidP="003901C7">
                  <w:pPr>
                    <w:pStyle w:val="TableBodyText"/>
                  </w:pPr>
                  <w:r w:rsidRPr="0062726A">
                    <w:t xml:space="preserve">  333</w:t>
                  </w:r>
                </w:p>
              </w:tc>
              <w:tc>
                <w:tcPr>
                  <w:tcW w:w="484" w:type="pct"/>
                  <w:vAlign w:val="center"/>
                </w:tcPr>
                <w:p w:rsidR="003901C7" w:rsidRPr="0062726A" w:rsidRDefault="003901C7" w:rsidP="003901C7">
                  <w:pPr>
                    <w:pStyle w:val="TableBodyText"/>
                  </w:pPr>
                  <w:r w:rsidRPr="0062726A">
                    <w:t xml:space="preserve">  344</w:t>
                  </w:r>
                </w:p>
              </w:tc>
              <w:tc>
                <w:tcPr>
                  <w:tcW w:w="484" w:type="pct"/>
                  <w:vAlign w:val="center"/>
                </w:tcPr>
                <w:p w:rsidR="003901C7" w:rsidRPr="0062726A" w:rsidRDefault="003901C7" w:rsidP="003901C7">
                  <w:pPr>
                    <w:pStyle w:val="TableBodyText"/>
                  </w:pPr>
                  <w:r w:rsidRPr="0062726A">
                    <w:t xml:space="preserve">  362</w:t>
                  </w:r>
                </w:p>
              </w:tc>
              <w:tc>
                <w:tcPr>
                  <w:tcW w:w="484" w:type="pct"/>
                  <w:vAlign w:val="center"/>
                </w:tcPr>
                <w:p w:rsidR="003901C7" w:rsidRPr="0062726A" w:rsidRDefault="003901C7" w:rsidP="003901C7">
                  <w:pPr>
                    <w:pStyle w:val="TableBodyText"/>
                  </w:pPr>
                  <w:r w:rsidRPr="0062726A">
                    <w:t xml:space="preserve">  375</w:t>
                  </w:r>
                </w:p>
              </w:tc>
              <w:tc>
                <w:tcPr>
                  <w:tcW w:w="484" w:type="pct"/>
                  <w:vAlign w:val="center"/>
                </w:tcPr>
                <w:p w:rsidR="003901C7" w:rsidRPr="0062726A" w:rsidRDefault="003901C7" w:rsidP="003901C7">
                  <w:pPr>
                    <w:pStyle w:val="TableBodyText"/>
                  </w:pPr>
                  <w:r w:rsidRPr="0062726A">
                    <w:t xml:space="preserve">  335</w:t>
                  </w:r>
                </w:p>
              </w:tc>
              <w:tc>
                <w:tcPr>
                  <w:tcW w:w="484" w:type="pct"/>
                  <w:vAlign w:val="center"/>
                </w:tcPr>
                <w:p w:rsidR="003901C7" w:rsidRPr="0062726A" w:rsidRDefault="003901C7" w:rsidP="003901C7">
                  <w:pPr>
                    <w:pStyle w:val="TableBodyText"/>
                  </w:pPr>
                  <w:r w:rsidRPr="0062726A">
                    <w:t xml:space="preserve">  435</w:t>
                  </w:r>
                </w:p>
              </w:tc>
              <w:tc>
                <w:tcPr>
                  <w:tcW w:w="485" w:type="pct"/>
                  <w:shd w:val="clear" w:color="auto" w:fill="auto"/>
                  <w:vAlign w:val="center"/>
                </w:tcPr>
                <w:p w:rsidR="003901C7" w:rsidRPr="0062726A" w:rsidRDefault="003901C7" w:rsidP="003901C7">
                  <w:pPr>
                    <w:pStyle w:val="TableBodyText"/>
                  </w:pPr>
                  <w:r w:rsidRPr="0062726A">
                    <w:t xml:space="preserve">  398</w:t>
                  </w:r>
                </w:p>
              </w:tc>
              <w:tc>
                <w:tcPr>
                  <w:tcW w:w="480" w:type="pct"/>
                  <w:vAlign w:val="center"/>
                </w:tcPr>
                <w:p w:rsidR="003901C7" w:rsidRPr="0062726A" w:rsidRDefault="003901C7" w:rsidP="003901C7">
                  <w:pPr>
                    <w:pStyle w:val="TableBodyText"/>
                  </w:pPr>
                  <w:r w:rsidRPr="0062726A">
                    <w:t xml:space="preserve">  450</w:t>
                  </w:r>
                </w:p>
              </w:tc>
              <w:tc>
                <w:tcPr>
                  <w:tcW w:w="479" w:type="pct"/>
                  <w:shd w:val="clear" w:color="auto" w:fill="auto"/>
                  <w:vAlign w:val="center"/>
                </w:tcPr>
                <w:p w:rsidR="003901C7" w:rsidRPr="0062726A" w:rsidRDefault="003901C7" w:rsidP="003901C7">
                  <w:pPr>
                    <w:pStyle w:val="TableBodyText"/>
                  </w:pPr>
                  <w:r w:rsidRPr="0062726A">
                    <w:t xml:space="preserve">  341</w:t>
                  </w:r>
                </w:p>
              </w:tc>
            </w:tr>
            <w:tr w:rsidR="000E3728" w:rsidTr="000E3728">
              <w:tc>
                <w:tcPr>
                  <w:tcW w:w="5000" w:type="pct"/>
                  <w:gridSpan w:val="10"/>
                  <w:shd w:val="clear" w:color="auto" w:fill="auto"/>
                </w:tcPr>
                <w:p w:rsidR="000E3728" w:rsidRPr="0062726A" w:rsidRDefault="000E3728" w:rsidP="000E3728">
                  <w:pPr>
                    <w:pStyle w:val="Source"/>
                    <w:spacing w:before="0" w:after="80"/>
                    <w:ind w:left="113"/>
                  </w:pPr>
                  <w:r w:rsidRPr="00253B66">
                    <w:rPr>
                      <w:i/>
                    </w:rPr>
                    <w:t>Source:</w:t>
                  </w:r>
                  <w:r w:rsidRPr="0046068B">
                    <w:rPr>
                      <w:i/>
                    </w:rPr>
                    <w:t xml:space="preserve"> </w:t>
                  </w:r>
                  <w:r w:rsidRPr="000E3728">
                    <w:t xml:space="preserve">Attachment table </w:t>
                  </w:r>
                  <w:proofErr w:type="spellStart"/>
                  <w:r w:rsidRPr="000E3728">
                    <w:t>3A.39</w:t>
                  </w:r>
                  <w:proofErr w:type="spellEnd"/>
                </w:p>
              </w:tc>
            </w:tr>
            <w:tr w:rsidR="000E3728" w:rsidTr="000E3728">
              <w:tc>
                <w:tcPr>
                  <w:tcW w:w="5000" w:type="pct"/>
                  <w:gridSpan w:val="10"/>
                  <w:shd w:val="clear" w:color="auto" w:fill="auto"/>
                </w:tcPr>
                <w:p w:rsidR="000E3728" w:rsidRPr="0062726A" w:rsidRDefault="000E3728" w:rsidP="00DB2C4C">
                  <w:pPr>
                    <w:pStyle w:val="DQIRowHeadings"/>
                    <w:spacing w:before="100"/>
                  </w:pPr>
                  <w:r>
                    <w:t>Preschool service costs</w:t>
                  </w:r>
                </w:p>
              </w:tc>
            </w:tr>
            <w:tr w:rsidR="000E3728" w:rsidTr="000E3728">
              <w:tc>
                <w:tcPr>
                  <w:tcW w:w="5000" w:type="pct"/>
                  <w:gridSpan w:val="10"/>
                  <w:shd w:val="clear" w:color="auto" w:fill="auto"/>
                </w:tcPr>
                <w:p w:rsidR="000E3728" w:rsidRPr="0062726A" w:rsidRDefault="000E3728" w:rsidP="000E3728">
                  <w:pPr>
                    <w:pStyle w:val="TableBodyText"/>
                    <w:ind w:left="113" w:right="28"/>
                    <w:jc w:val="left"/>
                  </w:pPr>
                  <w:r>
                    <w:t>Median per hour preschool program cost after subsidies per child enrolled aged 4 and 5 years, 2014</w:t>
                  </w:r>
                </w:p>
              </w:tc>
            </w:tr>
            <w:tr w:rsidR="000E3728" w:rsidTr="000E3728">
              <w:tc>
                <w:tcPr>
                  <w:tcW w:w="5000" w:type="pct"/>
                  <w:gridSpan w:val="10"/>
                  <w:shd w:val="clear" w:color="auto" w:fill="auto"/>
                </w:tcPr>
                <w:p w:rsidR="000E3728" w:rsidRPr="0062726A" w:rsidRDefault="000E3728" w:rsidP="000E3728">
                  <w:pPr>
                    <w:pStyle w:val="TableBodyText"/>
                    <w:ind w:left="113" w:right="28"/>
                    <w:jc w:val="left"/>
                  </w:pPr>
                  <w:r w:rsidRPr="00C47D6F">
                    <w:rPr>
                      <w:sz w:val="16"/>
                      <w:szCs w:val="16"/>
                    </w:rPr>
                    <w:t>Most recent data for this measure are comparable and complete, subject to caveats (chapter 3)</w:t>
                  </w:r>
                </w:p>
              </w:tc>
            </w:tr>
            <w:tr w:rsidR="000E3728" w:rsidTr="00F14060">
              <w:tc>
                <w:tcPr>
                  <w:tcW w:w="652" w:type="pct"/>
                  <w:shd w:val="clear" w:color="auto" w:fill="auto"/>
                  <w:vAlign w:val="center"/>
                </w:tcPr>
                <w:p w:rsidR="000E3728" w:rsidRPr="00357189" w:rsidRDefault="000E3728" w:rsidP="00F14060">
                  <w:pPr>
                    <w:pStyle w:val="TableBodyText"/>
                  </w:pPr>
                  <w:r>
                    <w:t>$</w:t>
                  </w:r>
                </w:p>
              </w:tc>
              <w:tc>
                <w:tcPr>
                  <w:tcW w:w="484" w:type="pct"/>
                  <w:vAlign w:val="center"/>
                </w:tcPr>
                <w:p w:rsidR="000E3728" w:rsidRPr="00182B4C" w:rsidRDefault="000E3728" w:rsidP="00F14060">
                  <w:pPr>
                    <w:pStyle w:val="TableBodyText"/>
                  </w:pPr>
                  <w:r w:rsidRPr="00182B4C">
                    <w:t xml:space="preserve">  3.60</w:t>
                  </w:r>
                </w:p>
              </w:tc>
              <w:tc>
                <w:tcPr>
                  <w:tcW w:w="484" w:type="pct"/>
                  <w:vAlign w:val="center"/>
                </w:tcPr>
                <w:p w:rsidR="000E3728" w:rsidRPr="00182B4C" w:rsidRDefault="000E3728" w:rsidP="00F14060">
                  <w:pPr>
                    <w:pStyle w:val="TableBodyText"/>
                  </w:pPr>
                  <w:r w:rsidRPr="00182B4C">
                    <w:t xml:space="preserve">  2.20</w:t>
                  </w:r>
                </w:p>
              </w:tc>
              <w:tc>
                <w:tcPr>
                  <w:tcW w:w="484" w:type="pct"/>
                  <w:vAlign w:val="center"/>
                </w:tcPr>
                <w:p w:rsidR="000E3728" w:rsidRPr="00182B4C" w:rsidRDefault="000E3728" w:rsidP="00F14060">
                  <w:pPr>
                    <w:pStyle w:val="TableBodyText"/>
                  </w:pPr>
                  <w:r w:rsidRPr="00182B4C">
                    <w:t xml:space="preserve">  1.90</w:t>
                  </w:r>
                </w:p>
              </w:tc>
              <w:tc>
                <w:tcPr>
                  <w:tcW w:w="484" w:type="pct"/>
                  <w:vAlign w:val="center"/>
                </w:tcPr>
                <w:p w:rsidR="000E3728" w:rsidRPr="00182B4C" w:rsidRDefault="000E3728" w:rsidP="00F14060">
                  <w:pPr>
                    <w:pStyle w:val="TableBodyText"/>
                  </w:pPr>
                  <w:r w:rsidRPr="00182B4C">
                    <w:t>–</w:t>
                  </w:r>
                </w:p>
              </w:tc>
              <w:tc>
                <w:tcPr>
                  <w:tcW w:w="484" w:type="pct"/>
                  <w:vAlign w:val="center"/>
                </w:tcPr>
                <w:p w:rsidR="000E3728" w:rsidRPr="00182B4C" w:rsidRDefault="000E3728" w:rsidP="00F14060">
                  <w:pPr>
                    <w:pStyle w:val="TableBodyText"/>
                  </w:pPr>
                  <w:r w:rsidRPr="00182B4C">
                    <w:t>–</w:t>
                  </w:r>
                </w:p>
              </w:tc>
              <w:tc>
                <w:tcPr>
                  <w:tcW w:w="484" w:type="pct"/>
                  <w:vAlign w:val="center"/>
                </w:tcPr>
                <w:p w:rsidR="000E3728" w:rsidRPr="00182B4C" w:rsidRDefault="000E3728" w:rsidP="00F14060">
                  <w:pPr>
                    <w:pStyle w:val="TableBodyText"/>
                  </w:pPr>
                  <w:r w:rsidRPr="00182B4C">
                    <w:t>–</w:t>
                  </w:r>
                </w:p>
              </w:tc>
              <w:tc>
                <w:tcPr>
                  <w:tcW w:w="485" w:type="pct"/>
                  <w:shd w:val="clear" w:color="auto" w:fill="auto"/>
                  <w:vAlign w:val="center"/>
                </w:tcPr>
                <w:p w:rsidR="000E3728" w:rsidRPr="00182B4C" w:rsidRDefault="000E3728" w:rsidP="00F14060">
                  <w:pPr>
                    <w:pStyle w:val="TableBodyText"/>
                  </w:pPr>
                  <w:r w:rsidRPr="00182B4C">
                    <w:t>–</w:t>
                  </w:r>
                </w:p>
              </w:tc>
              <w:tc>
                <w:tcPr>
                  <w:tcW w:w="480" w:type="pct"/>
                  <w:vAlign w:val="center"/>
                </w:tcPr>
                <w:p w:rsidR="000E3728" w:rsidRPr="00182B4C" w:rsidRDefault="000E3728" w:rsidP="00F14060">
                  <w:pPr>
                    <w:pStyle w:val="TableBodyText"/>
                  </w:pPr>
                  <w:r w:rsidRPr="00182B4C">
                    <w:t>–</w:t>
                  </w:r>
                </w:p>
              </w:tc>
              <w:tc>
                <w:tcPr>
                  <w:tcW w:w="479" w:type="pct"/>
                  <w:shd w:val="clear" w:color="auto" w:fill="auto"/>
                  <w:vAlign w:val="center"/>
                </w:tcPr>
                <w:p w:rsidR="000E3728" w:rsidRPr="00182B4C" w:rsidRDefault="000E3728" w:rsidP="00F14060">
                  <w:pPr>
                    <w:pStyle w:val="TableBodyText"/>
                  </w:pPr>
                  <w:r w:rsidRPr="00182B4C">
                    <w:t xml:space="preserve">  2.20</w:t>
                  </w:r>
                </w:p>
              </w:tc>
            </w:tr>
            <w:tr w:rsidR="000E3728" w:rsidTr="00D54903">
              <w:tc>
                <w:tcPr>
                  <w:tcW w:w="5000" w:type="pct"/>
                  <w:gridSpan w:val="10"/>
                  <w:tcBorders>
                    <w:bottom w:val="single" w:sz="6" w:space="0" w:color="BFBFBF"/>
                  </w:tcBorders>
                  <w:shd w:val="clear" w:color="auto" w:fill="auto"/>
                </w:tcPr>
                <w:p w:rsidR="000E3728" w:rsidRDefault="000E3728" w:rsidP="006E26DB">
                  <w:pPr>
                    <w:pStyle w:val="Source"/>
                    <w:spacing w:before="0" w:after="80"/>
                    <w:ind w:left="113"/>
                  </w:pPr>
                  <w:r w:rsidRPr="00253B66">
                    <w:rPr>
                      <w:i/>
                    </w:rPr>
                    <w:t>Source:</w:t>
                  </w:r>
                  <w:r w:rsidRPr="0046068B">
                    <w:rPr>
                      <w:i/>
                    </w:rPr>
                    <w:t xml:space="preserve"> </w:t>
                  </w:r>
                  <w:r>
                    <w:t xml:space="preserve">Attachment table </w:t>
                  </w:r>
                  <w:proofErr w:type="spellStart"/>
                  <w:r>
                    <w:t>3A.41</w:t>
                  </w:r>
                  <w:proofErr w:type="spellEnd"/>
                </w:p>
              </w:tc>
            </w:tr>
          </w:tbl>
          <w:p w:rsidR="00FA6691" w:rsidRDefault="00FA6691" w:rsidP="00CE10AD">
            <w:pPr>
              <w:pStyle w:val="Box"/>
            </w:pPr>
          </w:p>
        </w:tc>
      </w:tr>
      <w:tr w:rsidR="00FA6691" w:rsidTr="00CE10AD">
        <w:trPr>
          <w:cantSplit/>
        </w:trPr>
        <w:tc>
          <w:tcPr>
            <w:tcW w:w="8771" w:type="dxa"/>
            <w:tcBorders>
              <w:top w:val="nil"/>
              <w:left w:val="nil"/>
              <w:bottom w:val="nil"/>
              <w:right w:val="nil"/>
            </w:tcBorders>
            <w:shd w:val="clear" w:color="auto" w:fill="auto"/>
          </w:tcPr>
          <w:p w:rsidR="00FA6691" w:rsidRPr="00C23135" w:rsidRDefault="00C23135" w:rsidP="00C23135">
            <w:pPr>
              <w:pStyle w:val="TableBodyText"/>
            </w:pPr>
            <w:r>
              <w:t>(continued next page)</w:t>
            </w:r>
          </w:p>
        </w:tc>
      </w:tr>
      <w:tr w:rsidR="00FA6691" w:rsidTr="00CE10AD">
        <w:trPr>
          <w:cantSplit/>
        </w:trPr>
        <w:tc>
          <w:tcPr>
            <w:tcW w:w="8771" w:type="dxa"/>
            <w:tcBorders>
              <w:top w:val="nil"/>
              <w:left w:val="nil"/>
              <w:bottom w:val="single" w:sz="6" w:space="0" w:color="78A22F"/>
              <w:right w:val="nil"/>
            </w:tcBorders>
            <w:shd w:val="clear" w:color="auto" w:fill="auto"/>
          </w:tcPr>
          <w:p w:rsidR="00FA6691" w:rsidRDefault="00FA6691" w:rsidP="00CE10AD">
            <w:pPr>
              <w:pStyle w:val="Box"/>
              <w:spacing w:before="0" w:line="120" w:lineRule="exact"/>
            </w:pPr>
          </w:p>
        </w:tc>
      </w:tr>
      <w:tr w:rsidR="00FA6691" w:rsidRPr="000863A5" w:rsidTr="00CE10AD">
        <w:tc>
          <w:tcPr>
            <w:tcW w:w="8771" w:type="dxa"/>
            <w:tcBorders>
              <w:top w:val="single" w:sz="6" w:space="0" w:color="78A22F"/>
              <w:left w:val="nil"/>
              <w:bottom w:val="nil"/>
              <w:right w:val="nil"/>
            </w:tcBorders>
          </w:tcPr>
          <w:p w:rsidR="00FA6691" w:rsidRPr="00626D32" w:rsidRDefault="00FA6691" w:rsidP="00CE10AD">
            <w:pPr>
              <w:pStyle w:val="BoxSpaceBelow"/>
            </w:pPr>
          </w:p>
        </w:tc>
      </w:tr>
    </w:tbl>
    <w:p w:rsidR="00C42545" w:rsidRDefault="00C42545" w:rsidP="00CE10A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42545" w:rsidTr="00CE10AD">
        <w:tc>
          <w:tcPr>
            <w:tcW w:w="8771" w:type="dxa"/>
            <w:tcBorders>
              <w:top w:val="single" w:sz="6" w:space="0" w:color="78A22F"/>
              <w:left w:val="nil"/>
              <w:bottom w:val="nil"/>
              <w:right w:val="nil"/>
            </w:tcBorders>
            <w:shd w:val="clear" w:color="auto" w:fill="auto"/>
          </w:tcPr>
          <w:p w:rsidR="00C42545" w:rsidRPr="00784A05" w:rsidRDefault="00C42545" w:rsidP="00BE6A0A">
            <w:pPr>
              <w:pStyle w:val="TableTitle"/>
            </w:pPr>
            <w:r>
              <w:rPr>
                <w:b w:val="0"/>
              </w:rPr>
              <w:t xml:space="preserve">Table </w:t>
            </w:r>
            <w:proofErr w:type="spellStart"/>
            <w:r>
              <w:rPr>
                <w:b w:val="0"/>
              </w:rPr>
              <w:t>B.</w:t>
            </w:r>
            <w:r w:rsidR="00BE6A0A" w:rsidRPr="00BE6A0A">
              <w:rPr>
                <w:b w:val="0"/>
              </w:rPr>
              <w:t>1</w:t>
            </w:r>
            <w:proofErr w:type="spellEnd"/>
            <w:r>
              <w:tab/>
            </w:r>
            <w:r w:rsidRPr="00FA6691">
              <w:rPr>
                <w:b w:val="0"/>
                <w:sz w:val="18"/>
                <w:szCs w:val="18"/>
              </w:rPr>
              <w:t>(continued)</w:t>
            </w:r>
          </w:p>
        </w:tc>
      </w:tr>
      <w:tr w:rsidR="00C42545" w:rsidTr="00CE10A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49"/>
              <w:gridCol w:w="850"/>
              <w:gridCol w:w="850"/>
              <w:gridCol w:w="850"/>
              <w:gridCol w:w="850"/>
              <w:gridCol w:w="850"/>
              <w:gridCol w:w="849"/>
              <w:gridCol w:w="849"/>
              <w:gridCol w:w="839"/>
            </w:tblGrid>
            <w:tr w:rsidR="00C42545" w:rsidTr="00C42545">
              <w:tc>
                <w:tcPr>
                  <w:tcW w:w="501" w:type="pct"/>
                  <w:tcBorders>
                    <w:top w:val="single" w:sz="6" w:space="0" w:color="BFBFBF"/>
                    <w:bottom w:val="single" w:sz="6" w:space="0" w:color="BFBFBF"/>
                  </w:tcBorders>
                  <w:shd w:val="clear" w:color="auto" w:fill="auto"/>
                  <w:tcMar>
                    <w:top w:w="28" w:type="dxa"/>
                  </w:tcMar>
                </w:tcPr>
                <w:p w:rsidR="00C42545" w:rsidRDefault="00C42545" w:rsidP="00CE10AD">
                  <w:pPr>
                    <w:pStyle w:val="TableColumnHeading"/>
                    <w:jc w:val="left"/>
                  </w:pPr>
                </w:p>
              </w:tc>
              <w:tc>
                <w:tcPr>
                  <w:tcW w:w="500" w:type="pct"/>
                  <w:tcBorders>
                    <w:top w:val="single" w:sz="6" w:space="0" w:color="BFBFBF"/>
                    <w:bottom w:val="single" w:sz="6" w:space="0" w:color="BFBFBF"/>
                  </w:tcBorders>
                </w:tcPr>
                <w:p w:rsidR="00C42545" w:rsidRDefault="00C42545" w:rsidP="00CE10AD">
                  <w:pPr>
                    <w:pStyle w:val="TableColumnHeading"/>
                  </w:pPr>
                  <w:r>
                    <w:t>NSW</w:t>
                  </w:r>
                </w:p>
              </w:tc>
              <w:tc>
                <w:tcPr>
                  <w:tcW w:w="501" w:type="pct"/>
                  <w:tcBorders>
                    <w:top w:val="single" w:sz="6" w:space="0" w:color="BFBFBF"/>
                    <w:bottom w:val="single" w:sz="6" w:space="0" w:color="BFBFBF"/>
                  </w:tcBorders>
                  <w:shd w:val="clear" w:color="auto" w:fill="auto"/>
                  <w:tcMar>
                    <w:top w:w="28" w:type="dxa"/>
                  </w:tcMar>
                </w:tcPr>
                <w:p w:rsidR="00C42545" w:rsidRDefault="00C42545" w:rsidP="00CE10AD">
                  <w:pPr>
                    <w:pStyle w:val="TableColumnHeading"/>
                  </w:pPr>
                  <w:r>
                    <w:t>Vic</w:t>
                  </w:r>
                </w:p>
              </w:tc>
              <w:tc>
                <w:tcPr>
                  <w:tcW w:w="501" w:type="pct"/>
                  <w:tcBorders>
                    <w:top w:val="single" w:sz="6" w:space="0" w:color="BFBFBF"/>
                    <w:bottom w:val="single" w:sz="6" w:space="0" w:color="BFBFBF"/>
                  </w:tcBorders>
                </w:tcPr>
                <w:p w:rsidR="00C42545" w:rsidRDefault="00C42545" w:rsidP="00CE10AD">
                  <w:pPr>
                    <w:pStyle w:val="TableColumnHeading"/>
                  </w:pPr>
                  <w:r>
                    <w:t>Qld</w:t>
                  </w:r>
                </w:p>
              </w:tc>
              <w:tc>
                <w:tcPr>
                  <w:tcW w:w="501" w:type="pct"/>
                  <w:tcBorders>
                    <w:top w:val="single" w:sz="6" w:space="0" w:color="BFBFBF"/>
                    <w:bottom w:val="single" w:sz="6" w:space="0" w:color="BFBFBF"/>
                  </w:tcBorders>
                </w:tcPr>
                <w:p w:rsidR="00C42545" w:rsidRDefault="00C42545" w:rsidP="00CE10AD">
                  <w:pPr>
                    <w:pStyle w:val="TableColumnHeading"/>
                  </w:pPr>
                  <w:r>
                    <w:t>WA</w:t>
                  </w:r>
                </w:p>
              </w:tc>
              <w:tc>
                <w:tcPr>
                  <w:tcW w:w="501" w:type="pct"/>
                  <w:tcBorders>
                    <w:top w:val="single" w:sz="6" w:space="0" w:color="BFBFBF"/>
                    <w:bottom w:val="single" w:sz="6" w:space="0" w:color="BFBFBF"/>
                  </w:tcBorders>
                </w:tcPr>
                <w:p w:rsidR="00C42545" w:rsidRDefault="00C42545" w:rsidP="00CE10AD">
                  <w:pPr>
                    <w:pStyle w:val="TableColumnHeading"/>
                  </w:pPr>
                  <w:r>
                    <w:t>SA</w:t>
                  </w:r>
                </w:p>
              </w:tc>
              <w:tc>
                <w:tcPr>
                  <w:tcW w:w="501" w:type="pct"/>
                  <w:tcBorders>
                    <w:top w:val="single" w:sz="6" w:space="0" w:color="BFBFBF"/>
                    <w:bottom w:val="single" w:sz="6" w:space="0" w:color="BFBFBF"/>
                  </w:tcBorders>
                </w:tcPr>
                <w:p w:rsidR="00C42545" w:rsidRDefault="00C42545" w:rsidP="00CE10AD">
                  <w:pPr>
                    <w:pStyle w:val="TableColumnHeading"/>
                  </w:pPr>
                  <w:proofErr w:type="spellStart"/>
                  <w:r>
                    <w:t>Tas</w:t>
                  </w:r>
                  <w:proofErr w:type="spellEnd"/>
                </w:p>
              </w:tc>
              <w:tc>
                <w:tcPr>
                  <w:tcW w:w="500" w:type="pct"/>
                  <w:tcBorders>
                    <w:top w:val="single" w:sz="6" w:space="0" w:color="BFBFBF"/>
                    <w:bottom w:val="single" w:sz="6" w:space="0" w:color="BFBFBF"/>
                  </w:tcBorders>
                </w:tcPr>
                <w:p w:rsidR="00C42545" w:rsidRDefault="00C42545" w:rsidP="00CE10AD">
                  <w:pPr>
                    <w:pStyle w:val="TableColumnHeading"/>
                  </w:pPr>
                  <w:r>
                    <w:t>ACT</w:t>
                  </w:r>
                </w:p>
              </w:tc>
              <w:tc>
                <w:tcPr>
                  <w:tcW w:w="500" w:type="pct"/>
                  <w:tcBorders>
                    <w:top w:val="single" w:sz="6" w:space="0" w:color="BFBFBF"/>
                    <w:bottom w:val="single" w:sz="6" w:space="0" w:color="BFBFBF"/>
                  </w:tcBorders>
                </w:tcPr>
                <w:p w:rsidR="00C42545" w:rsidRDefault="00C42545" w:rsidP="00CE10AD">
                  <w:pPr>
                    <w:pStyle w:val="TableColumnHeading"/>
                  </w:pPr>
                  <w:r>
                    <w:t>NT</w:t>
                  </w:r>
                </w:p>
              </w:tc>
              <w:tc>
                <w:tcPr>
                  <w:tcW w:w="494" w:type="pct"/>
                  <w:tcBorders>
                    <w:top w:val="single" w:sz="6" w:space="0" w:color="BFBFBF"/>
                    <w:bottom w:val="single" w:sz="6" w:space="0" w:color="BFBFBF"/>
                  </w:tcBorders>
                  <w:shd w:val="clear" w:color="auto" w:fill="auto"/>
                  <w:tcMar>
                    <w:top w:w="28" w:type="dxa"/>
                  </w:tcMar>
                </w:tcPr>
                <w:p w:rsidR="00C42545" w:rsidRDefault="00C42545" w:rsidP="00CE10AD">
                  <w:pPr>
                    <w:pStyle w:val="TableColumnHeading"/>
                  </w:pPr>
                  <w:proofErr w:type="spellStart"/>
                  <w:r>
                    <w:t>Aust</w:t>
                  </w:r>
                  <w:proofErr w:type="spellEnd"/>
                </w:p>
              </w:tc>
            </w:tr>
            <w:tr w:rsidR="00182B4C" w:rsidTr="00143F3D">
              <w:tc>
                <w:tcPr>
                  <w:tcW w:w="5000" w:type="pct"/>
                  <w:gridSpan w:val="10"/>
                </w:tcPr>
                <w:p w:rsidR="00182B4C" w:rsidRDefault="00182B4C" w:rsidP="00672360">
                  <w:pPr>
                    <w:pStyle w:val="DQIMainRowHeadings"/>
                  </w:pPr>
                  <w:r>
                    <w:t>Effectiveness — Quality — Staff indicators</w:t>
                  </w:r>
                </w:p>
              </w:tc>
            </w:tr>
            <w:tr w:rsidR="00182B4C" w:rsidTr="00143F3D">
              <w:tc>
                <w:tcPr>
                  <w:tcW w:w="5000" w:type="pct"/>
                  <w:gridSpan w:val="10"/>
                </w:tcPr>
                <w:p w:rsidR="00182B4C" w:rsidRDefault="00182B4C" w:rsidP="00CE10AD">
                  <w:pPr>
                    <w:pStyle w:val="DQIRowHeadings"/>
                  </w:pPr>
                  <w:r>
                    <w:t xml:space="preserve">Staff quality in </w:t>
                  </w:r>
                  <w:proofErr w:type="spellStart"/>
                  <w:r>
                    <w:t>ECEC</w:t>
                  </w:r>
                  <w:proofErr w:type="spellEnd"/>
                </w:p>
              </w:tc>
            </w:tr>
            <w:tr w:rsidR="00182B4C" w:rsidTr="00143F3D">
              <w:tc>
                <w:tcPr>
                  <w:tcW w:w="5000" w:type="pct"/>
                  <w:gridSpan w:val="10"/>
                </w:tcPr>
                <w:p w:rsidR="00182B4C" w:rsidRDefault="00182B4C" w:rsidP="00CE10AD">
                  <w:pPr>
                    <w:pStyle w:val="TableBodyText"/>
                    <w:ind w:left="113" w:right="28"/>
                    <w:jc w:val="left"/>
                  </w:pPr>
                  <w:r>
                    <w:t xml:space="preserve">Proportion of paid primary contact staff employed by </w:t>
                  </w:r>
                  <w:proofErr w:type="spellStart"/>
                  <w:r>
                    <w:t>CCB</w:t>
                  </w:r>
                  <w:proofErr w:type="spellEnd"/>
                  <w:r>
                    <w:t xml:space="preserve"> approved child care services with a relevant formal qualification at or above Certificate III level, 2013</w:t>
                  </w:r>
                </w:p>
              </w:tc>
            </w:tr>
            <w:tr w:rsidR="00182B4C" w:rsidTr="00143F3D">
              <w:tc>
                <w:tcPr>
                  <w:tcW w:w="5000" w:type="pct"/>
                  <w:gridSpan w:val="10"/>
                </w:tcPr>
                <w:p w:rsidR="00182B4C" w:rsidRDefault="00182B4C" w:rsidP="00CE10AD">
                  <w:pPr>
                    <w:pStyle w:val="TableBodyText"/>
                    <w:ind w:left="113" w:right="28"/>
                    <w:jc w:val="left"/>
                  </w:pPr>
                  <w:r w:rsidRPr="00C47D6F">
                    <w:rPr>
                      <w:sz w:val="16"/>
                      <w:szCs w:val="16"/>
                    </w:rPr>
                    <w:t>Most recent data for this measure are comparable and complete, subject to caveats (chapter 3)</w:t>
                  </w:r>
                </w:p>
              </w:tc>
            </w:tr>
            <w:tr w:rsidR="00182B4C" w:rsidTr="00CE10AD">
              <w:tc>
                <w:tcPr>
                  <w:tcW w:w="501" w:type="pct"/>
                  <w:vAlign w:val="center"/>
                </w:tcPr>
                <w:p w:rsidR="00182B4C" w:rsidRPr="00357189" w:rsidRDefault="00182B4C" w:rsidP="00CE10AD">
                  <w:pPr>
                    <w:pStyle w:val="TableBodyText"/>
                  </w:pPr>
                  <w:r w:rsidRPr="00357189">
                    <w:t>%</w:t>
                  </w:r>
                </w:p>
              </w:tc>
              <w:tc>
                <w:tcPr>
                  <w:tcW w:w="500" w:type="pct"/>
                </w:tcPr>
                <w:p w:rsidR="00182B4C" w:rsidRPr="00491E51" w:rsidRDefault="00182B4C" w:rsidP="00CE10AD">
                  <w:pPr>
                    <w:pStyle w:val="TableBodyText"/>
                  </w:pPr>
                  <w:r w:rsidRPr="00491E51">
                    <w:t>73.5</w:t>
                  </w:r>
                </w:p>
              </w:tc>
              <w:tc>
                <w:tcPr>
                  <w:tcW w:w="501" w:type="pct"/>
                </w:tcPr>
                <w:p w:rsidR="00182B4C" w:rsidRPr="00491E51" w:rsidRDefault="00182B4C" w:rsidP="00CE10AD">
                  <w:pPr>
                    <w:pStyle w:val="TableBodyText"/>
                  </w:pPr>
                  <w:r w:rsidRPr="00491E51">
                    <w:t>79.8</w:t>
                  </w:r>
                </w:p>
              </w:tc>
              <w:tc>
                <w:tcPr>
                  <w:tcW w:w="501" w:type="pct"/>
                </w:tcPr>
                <w:p w:rsidR="00182B4C" w:rsidRPr="00491E51" w:rsidRDefault="00182B4C" w:rsidP="00CE10AD">
                  <w:pPr>
                    <w:pStyle w:val="TableBodyText"/>
                  </w:pPr>
                  <w:r w:rsidRPr="00491E51">
                    <w:t>76.5</w:t>
                  </w:r>
                </w:p>
              </w:tc>
              <w:tc>
                <w:tcPr>
                  <w:tcW w:w="501" w:type="pct"/>
                </w:tcPr>
                <w:p w:rsidR="00182B4C" w:rsidRPr="00491E51" w:rsidRDefault="00182B4C" w:rsidP="00CE10AD">
                  <w:pPr>
                    <w:pStyle w:val="TableBodyText"/>
                  </w:pPr>
                  <w:r w:rsidRPr="00491E51">
                    <w:t>68.9</w:t>
                  </w:r>
                </w:p>
              </w:tc>
              <w:tc>
                <w:tcPr>
                  <w:tcW w:w="501" w:type="pct"/>
                </w:tcPr>
                <w:p w:rsidR="00182B4C" w:rsidRPr="00491E51" w:rsidRDefault="00182B4C" w:rsidP="00CE10AD">
                  <w:pPr>
                    <w:pStyle w:val="TableBodyText"/>
                  </w:pPr>
                  <w:r w:rsidRPr="00491E51">
                    <w:t>70.1</w:t>
                  </w:r>
                </w:p>
              </w:tc>
              <w:tc>
                <w:tcPr>
                  <w:tcW w:w="501" w:type="pct"/>
                </w:tcPr>
                <w:p w:rsidR="00182B4C" w:rsidRPr="00491E51" w:rsidRDefault="00182B4C" w:rsidP="00CE10AD">
                  <w:pPr>
                    <w:pStyle w:val="TableBodyText"/>
                  </w:pPr>
                  <w:r w:rsidRPr="00491E51">
                    <w:t>75.4</w:t>
                  </w:r>
                </w:p>
              </w:tc>
              <w:tc>
                <w:tcPr>
                  <w:tcW w:w="500" w:type="pct"/>
                </w:tcPr>
                <w:p w:rsidR="00182B4C" w:rsidRPr="00491E51" w:rsidRDefault="00182B4C" w:rsidP="00CE10AD">
                  <w:pPr>
                    <w:pStyle w:val="TableBodyText"/>
                  </w:pPr>
                  <w:r w:rsidRPr="00491E51">
                    <w:t>50.6</w:t>
                  </w:r>
                </w:p>
              </w:tc>
              <w:tc>
                <w:tcPr>
                  <w:tcW w:w="500" w:type="pct"/>
                </w:tcPr>
                <w:p w:rsidR="00182B4C" w:rsidRPr="00491E51" w:rsidRDefault="00182B4C" w:rsidP="00CE10AD">
                  <w:pPr>
                    <w:pStyle w:val="TableBodyText"/>
                  </w:pPr>
                  <w:r w:rsidRPr="00491E51">
                    <w:t>53.2</w:t>
                  </w:r>
                </w:p>
              </w:tc>
              <w:tc>
                <w:tcPr>
                  <w:tcW w:w="494" w:type="pct"/>
                </w:tcPr>
                <w:p w:rsidR="00182B4C" w:rsidRPr="00491E51" w:rsidRDefault="00182B4C" w:rsidP="00CE10AD">
                  <w:pPr>
                    <w:pStyle w:val="TableBodyText"/>
                  </w:pPr>
                  <w:r w:rsidRPr="00491E51">
                    <w:t>74.1</w:t>
                  </w:r>
                </w:p>
              </w:tc>
            </w:tr>
            <w:tr w:rsidR="00182B4C" w:rsidTr="00143F3D">
              <w:tc>
                <w:tcPr>
                  <w:tcW w:w="5000" w:type="pct"/>
                  <w:gridSpan w:val="10"/>
                </w:tcPr>
                <w:p w:rsidR="00182B4C" w:rsidRDefault="00182B4C" w:rsidP="006E26DB">
                  <w:pPr>
                    <w:pStyle w:val="Source"/>
                    <w:spacing w:before="0" w:after="80"/>
                    <w:ind w:left="113"/>
                  </w:pPr>
                  <w:r w:rsidRPr="00253B66">
                    <w:rPr>
                      <w:i/>
                    </w:rPr>
                    <w:t>Source:</w:t>
                  </w:r>
                  <w:r w:rsidRPr="0046068B">
                    <w:rPr>
                      <w:i/>
                    </w:rPr>
                    <w:t xml:space="preserve"> </w:t>
                  </w:r>
                  <w:r w:rsidR="005E630C">
                    <w:t xml:space="preserve">Attachment table </w:t>
                  </w:r>
                  <w:proofErr w:type="spellStart"/>
                  <w:r w:rsidR="005E630C">
                    <w:t>3A.45</w:t>
                  </w:r>
                  <w:proofErr w:type="spellEnd"/>
                </w:p>
              </w:tc>
            </w:tr>
            <w:tr w:rsidR="00182B4C" w:rsidTr="007067EF">
              <w:tc>
                <w:tcPr>
                  <w:tcW w:w="5000" w:type="pct"/>
                  <w:gridSpan w:val="10"/>
                </w:tcPr>
                <w:p w:rsidR="00182B4C" w:rsidRDefault="00182B4C" w:rsidP="00672360">
                  <w:pPr>
                    <w:pStyle w:val="DQIMainRowHeadings"/>
                  </w:pPr>
                  <w:r>
                    <w:t>Effectiveness — Quality — Standards indicators</w:t>
                  </w:r>
                </w:p>
              </w:tc>
            </w:tr>
            <w:tr w:rsidR="00182B4C" w:rsidTr="007067EF">
              <w:tc>
                <w:tcPr>
                  <w:tcW w:w="5000" w:type="pct"/>
                  <w:gridSpan w:val="10"/>
                </w:tcPr>
                <w:p w:rsidR="00182B4C" w:rsidRDefault="00182B4C" w:rsidP="00CE10AD">
                  <w:pPr>
                    <w:pStyle w:val="DQIRowHeadings"/>
                  </w:pPr>
                  <w:r>
                    <w:t>Achievement of the</w:t>
                  </w:r>
                  <w:r w:rsidR="00257825">
                    <w:t xml:space="preserve"> National Quality Standard </w:t>
                  </w:r>
                </w:p>
              </w:tc>
            </w:tr>
            <w:tr w:rsidR="00182B4C" w:rsidTr="007067EF">
              <w:tc>
                <w:tcPr>
                  <w:tcW w:w="5000" w:type="pct"/>
                  <w:gridSpan w:val="10"/>
                </w:tcPr>
                <w:p w:rsidR="00182B4C" w:rsidRDefault="00BF407F" w:rsidP="00BF407F">
                  <w:pPr>
                    <w:pStyle w:val="TableBodyText"/>
                    <w:ind w:left="113" w:right="28"/>
                    <w:jc w:val="left"/>
                  </w:pPr>
                  <w:r>
                    <w:t>Proportion o</w:t>
                  </w:r>
                  <w:r w:rsidR="00182B4C">
                    <w:t xml:space="preserve">f </w:t>
                  </w:r>
                  <w:r w:rsidR="00A13453">
                    <w:t xml:space="preserve">National Quality Framework </w:t>
                  </w:r>
                  <w:r w:rsidR="00182B4C">
                    <w:t xml:space="preserve"> approved </w:t>
                  </w:r>
                  <w:r>
                    <w:t>services with a quality rating who met or exceeded t</w:t>
                  </w:r>
                  <w:r w:rsidR="00257825">
                    <w:t>he National Quality Standard</w:t>
                  </w:r>
                  <w:r>
                    <w:t xml:space="preserve"> overall</w:t>
                  </w:r>
                  <w:r w:rsidR="00182B4C">
                    <w:t>, 30 June 2015</w:t>
                  </w:r>
                </w:p>
              </w:tc>
            </w:tr>
            <w:tr w:rsidR="00182B4C" w:rsidTr="007067EF">
              <w:tc>
                <w:tcPr>
                  <w:tcW w:w="5000" w:type="pct"/>
                  <w:gridSpan w:val="10"/>
                </w:tcPr>
                <w:p w:rsidR="00182B4C" w:rsidRDefault="00182B4C" w:rsidP="00CE10AD">
                  <w:pPr>
                    <w:pStyle w:val="TableBodyText"/>
                    <w:ind w:left="113" w:right="28"/>
                    <w:jc w:val="left"/>
                  </w:pPr>
                  <w:r w:rsidRPr="00C47D6F">
                    <w:rPr>
                      <w:sz w:val="16"/>
                      <w:szCs w:val="16"/>
                    </w:rPr>
                    <w:t>Most recent data for this measure are comparable and complete, subject to caveats (chapter 3)</w:t>
                  </w:r>
                </w:p>
              </w:tc>
            </w:tr>
            <w:tr w:rsidR="00BF407F" w:rsidTr="00FE7252">
              <w:tc>
                <w:tcPr>
                  <w:tcW w:w="501" w:type="pct"/>
                  <w:vAlign w:val="center"/>
                </w:tcPr>
                <w:p w:rsidR="00BF407F" w:rsidRPr="00357189" w:rsidRDefault="00BF407F" w:rsidP="00CE10AD">
                  <w:pPr>
                    <w:pStyle w:val="TableBodyText"/>
                  </w:pPr>
                  <w:r w:rsidRPr="00357189">
                    <w:t>%</w:t>
                  </w:r>
                </w:p>
              </w:tc>
              <w:tc>
                <w:tcPr>
                  <w:tcW w:w="500" w:type="pct"/>
                </w:tcPr>
                <w:p w:rsidR="00BF407F" w:rsidRPr="00BF407F" w:rsidRDefault="00BF407F" w:rsidP="00BF407F">
                  <w:pPr>
                    <w:pStyle w:val="TableBodyText"/>
                  </w:pPr>
                  <w:r w:rsidRPr="00BF407F">
                    <w:t xml:space="preserve">  57.3</w:t>
                  </w:r>
                </w:p>
              </w:tc>
              <w:tc>
                <w:tcPr>
                  <w:tcW w:w="501" w:type="pct"/>
                </w:tcPr>
                <w:p w:rsidR="00BF407F" w:rsidRPr="00BF407F" w:rsidRDefault="00BF407F" w:rsidP="00BF407F">
                  <w:pPr>
                    <w:pStyle w:val="TableBodyText"/>
                  </w:pPr>
                  <w:r w:rsidRPr="00BF407F">
                    <w:t xml:space="preserve">  78.7</w:t>
                  </w:r>
                </w:p>
              </w:tc>
              <w:tc>
                <w:tcPr>
                  <w:tcW w:w="501" w:type="pct"/>
                </w:tcPr>
                <w:p w:rsidR="00BF407F" w:rsidRPr="00BF407F" w:rsidRDefault="00BF407F" w:rsidP="00BF407F">
                  <w:pPr>
                    <w:pStyle w:val="TableBodyText"/>
                  </w:pPr>
                  <w:r w:rsidRPr="00BF407F">
                    <w:t xml:space="preserve">  72.5</w:t>
                  </w:r>
                </w:p>
              </w:tc>
              <w:tc>
                <w:tcPr>
                  <w:tcW w:w="501" w:type="pct"/>
                </w:tcPr>
                <w:p w:rsidR="00BF407F" w:rsidRPr="00BF407F" w:rsidRDefault="00BF407F" w:rsidP="00BF407F">
                  <w:pPr>
                    <w:pStyle w:val="TableBodyText"/>
                  </w:pPr>
                  <w:r w:rsidRPr="00BF407F">
                    <w:t xml:space="preserve">  56.1</w:t>
                  </w:r>
                </w:p>
              </w:tc>
              <w:tc>
                <w:tcPr>
                  <w:tcW w:w="501" w:type="pct"/>
                </w:tcPr>
                <w:p w:rsidR="00BF407F" w:rsidRPr="00BF407F" w:rsidRDefault="00BF407F" w:rsidP="00BF407F">
                  <w:pPr>
                    <w:pStyle w:val="TableBodyText"/>
                  </w:pPr>
                  <w:r w:rsidRPr="00BF407F">
                    <w:t xml:space="preserve">  71.4</w:t>
                  </w:r>
                </w:p>
              </w:tc>
              <w:tc>
                <w:tcPr>
                  <w:tcW w:w="501" w:type="pct"/>
                </w:tcPr>
                <w:p w:rsidR="00BF407F" w:rsidRPr="00BF407F" w:rsidRDefault="00BF407F" w:rsidP="00BF407F">
                  <w:pPr>
                    <w:pStyle w:val="TableBodyText"/>
                  </w:pPr>
                  <w:r w:rsidRPr="00BF407F">
                    <w:t xml:space="preserve">  58.3</w:t>
                  </w:r>
                </w:p>
              </w:tc>
              <w:tc>
                <w:tcPr>
                  <w:tcW w:w="500" w:type="pct"/>
                </w:tcPr>
                <w:p w:rsidR="00BF407F" w:rsidRPr="00BF407F" w:rsidRDefault="00BF407F" w:rsidP="00BF407F">
                  <w:pPr>
                    <w:pStyle w:val="TableBodyText"/>
                  </w:pPr>
                  <w:r w:rsidRPr="00BF407F">
                    <w:t xml:space="preserve">  46.9</w:t>
                  </w:r>
                </w:p>
              </w:tc>
              <w:tc>
                <w:tcPr>
                  <w:tcW w:w="500" w:type="pct"/>
                </w:tcPr>
                <w:p w:rsidR="00BF407F" w:rsidRPr="00BF407F" w:rsidRDefault="00BF407F" w:rsidP="00BF407F">
                  <w:pPr>
                    <w:pStyle w:val="TableBodyText"/>
                  </w:pPr>
                  <w:r w:rsidRPr="00BF407F">
                    <w:t xml:space="preserve">  20.5</w:t>
                  </w:r>
                </w:p>
              </w:tc>
              <w:tc>
                <w:tcPr>
                  <w:tcW w:w="494" w:type="pct"/>
                </w:tcPr>
                <w:p w:rsidR="00BF407F" w:rsidRPr="00BF407F" w:rsidRDefault="00BF407F" w:rsidP="00BF407F">
                  <w:pPr>
                    <w:pStyle w:val="TableBodyText"/>
                  </w:pPr>
                  <w:r w:rsidRPr="00BF407F">
                    <w:t xml:space="preserve">  66.5</w:t>
                  </w:r>
                </w:p>
              </w:tc>
            </w:tr>
            <w:tr w:rsidR="00445B47" w:rsidTr="00445B47">
              <w:tc>
                <w:tcPr>
                  <w:tcW w:w="5000" w:type="pct"/>
                  <w:gridSpan w:val="10"/>
                  <w:vAlign w:val="center"/>
                </w:tcPr>
                <w:p w:rsidR="00445B47" w:rsidRPr="00BF407F" w:rsidRDefault="00445B47" w:rsidP="00445B47">
                  <w:pPr>
                    <w:pStyle w:val="Source"/>
                    <w:spacing w:before="0" w:after="80"/>
                    <w:ind w:left="113"/>
                  </w:pPr>
                  <w:r w:rsidRPr="00253B66">
                    <w:rPr>
                      <w:i/>
                    </w:rPr>
                    <w:t>Source:</w:t>
                  </w:r>
                  <w:r w:rsidRPr="0046068B">
                    <w:rPr>
                      <w:i/>
                    </w:rPr>
                    <w:t xml:space="preserve"> </w:t>
                  </w:r>
                  <w:r w:rsidRPr="00445B47">
                    <w:t xml:space="preserve">Attachment table </w:t>
                  </w:r>
                  <w:proofErr w:type="spellStart"/>
                  <w:r w:rsidRPr="00445B47">
                    <w:t>3A.53</w:t>
                  </w:r>
                  <w:proofErr w:type="spellEnd"/>
                </w:p>
              </w:tc>
            </w:tr>
            <w:tr w:rsidR="00445B47" w:rsidTr="00445B47">
              <w:tc>
                <w:tcPr>
                  <w:tcW w:w="5000" w:type="pct"/>
                  <w:gridSpan w:val="10"/>
                  <w:vAlign w:val="center"/>
                </w:tcPr>
                <w:p w:rsidR="00445B47" w:rsidRPr="00BF407F" w:rsidRDefault="00733437" w:rsidP="00672360">
                  <w:pPr>
                    <w:pStyle w:val="DQIRowHeadings"/>
                  </w:pPr>
                  <w:r>
                    <w:t>Substantiated breaches arising from complaints</w:t>
                  </w:r>
                </w:p>
              </w:tc>
            </w:tr>
            <w:tr w:rsidR="00445B47" w:rsidTr="00445B47">
              <w:tc>
                <w:tcPr>
                  <w:tcW w:w="5000" w:type="pct"/>
                  <w:gridSpan w:val="10"/>
                  <w:vAlign w:val="center"/>
                </w:tcPr>
                <w:p w:rsidR="00445B47" w:rsidRPr="00BF407F" w:rsidRDefault="00445B47" w:rsidP="00445B47">
                  <w:pPr>
                    <w:pStyle w:val="TableBodyText"/>
                    <w:ind w:left="113" w:right="28"/>
                    <w:jc w:val="left"/>
                  </w:pPr>
                  <w:r w:rsidRPr="00C47D6F">
                    <w:rPr>
                      <w:sz w:val="16"/>
                      <w:szCs w:val="16"/>
                    </w:rPr>
                    <w:t>Most recent data for this measure are comparable and complete, subject to caveats (chapter 3)</w:t>
                  </w:r>
                </w:p>
              </w:tc>
            </w:tr>
            <w:tr w:rsidR="00733437" w:rsidTr="00733437">
              <w:tc>
                <w:tcPr>
                  <w:tcW w:w="5000" w:type="pct"/>
                  <w:gridSpan w:val="10"/>
                  <w:vAlign w:val="center"/>
                </w:tcPr>
                <w:p w:rsidR="00733437" w:rsidRPr="00BF407F" w:rsidRDefault="00733437" w:rsidP="00733437">
                  <w:pPr>
                    <w:pStyle w:val="TableBodyText"/>
                    <w:ind w:left="113" w:right="28"/>
                    <w:jc w:val="left"/>
                  </w:pPr>
                  <w:r>
                    <w:t xml:space="preserve">Number of substantiated breaches arising from complaints per 100 </w:t>
                  </w:r>
                  <w:proofErr w:type="spellStart"/>
                  <w:r>
                    <w:t>NQF</w:t>
                  </w:r>
                  <w:proofErr w:type="spellEnd"/>
                  <w:r>
                    <w:t xml:space="preserve"> approved services, 2014-15</w:t>
                  </w:r>
                </w:p>
              </w:tc>
            </w:tr>
            <w:tr w:rsidR="00445B47" w:rsidTr="00FE7252">
              <w:tc>
                <w:tcPr>
                  <w:tcW w:w="501" w:type="pct"/>
                  <w:vAlign w:val="center"/>
                </w:tcPr>
                <w:p w:rsidR="00445B47" w:rsidRPr="00357189" w:rsidRDefault="00733437" w:rsidP="00CE10AD">
                  <w:pPr>
                    <w:pStyle w:val="TableBodyText"/>
                  </w:pPr>
                  <w:r>
                    <w:t xml:space="preserve">No. </w:t>
                  </w:r>
                </w:p>
              </w:tc>
              <w:tc>
                <w:tcPr>
                  <w:tcW w:w="500" w:type="pct"/>
                </w:tcPr>
                <w:p w:rsidR="00445B47" w:rsidRPr="00BF407F" w:rsidRDefault="00733437" w:rsidP="00BF407F">
                  <w:pPr>
                    <w:pStyle w:val="TableBodyText"/>
                  </w:pPr>
                  <w:r>
                    <w:t>23</w:t>
                  </w:r>
                </w:p>
              </w:tc>
              <w:tc>
                <w:tcPr>
                  <w:tcW w:w="501" w:type="pct"/>
                </w:tcPr>
                <w:p w:rsidR="00445B47" w:rsidRPr="00BF407F" w:rsidRDefault="00733437" w:rsidP="00BF407F">
                  <w:pPr>
                    <w:pStyle w:val="TableBodyText"/>
                  </w:pPr>
                  <w:r>
                    <w:t>9</w:t>
                  </w:r>
                </w:p>
              </w:tc>
              <w:tc>
                <w:tcPr>
                  <w:tcW w:w="501" w:type="pct"/>
                </w:tcPr>
                <w:p w:rsidR="00445B47" w:rsidRPr="00BF407F" w:rsidRDefault="00733437" w:rsidP="00BF407F">
                  <w:pPr>
                    <w:pStyle w:val="TableBodyText"/>
                  </w:pPr>
                  <w:r>
                    <w:t>9</w:t>
                  </w:r>
                </w:p>
              </w:tc>
              <w:tc>
                <w:tcPr>
                  <w:tcW w:w="501" w:type="pct"/>
                </w:tcPr>
                <w:p w:rsidR="00445B47" w:rsidRPr="00BF407F" w:rsidRDefault="00733437" w:rsidP="00BF407F">
                  <w:pPr>
                    <w:pStyle w:val="TableBodyText"/>
                  </w:pPr>
                  <w:r>
                    <w:t>11</w:t>
                  </w:r>
                </w:p>
              </w:tc>
              <w:tc>
                <w:tcPr>
                  <w:tcW w:w="501" w:type="pct"/>
                </w:tcPr>
                <w:p w:rsidR="00445B47" w:rsidRPr="00BF407F" w:rsidRDefault="00733437" w:rsidP="00BF407F">
                  <w:pPr>
                    <w:pStyle w:val="TableBodyText"/>
                  </w:pPr>
                  <w:r>
                    <w:t>5</w:t>
                  </w:r>
                </w:p>
              </w:tc>
              <w:tc>
                <w:tcPr>
                  <w:tcW w:w="501" w:type="pct"/>
                </w:tcPr>
                <w:p w:rsidR="00445B47" w:rsidRPr="00BF407F" w:rsidRDefault="00733437" w:rsidP="00BF407F">
                  <w:pPr>
                    <w:pStyle w:val="TableBodyText"/>
                  </w:pPr>
                  <w:r>
                    <w:t>–</w:t>
                  </w:r>
                </w:p>
              </w:tc>
              <w:tc>
                <w:tcPr>
                  <w:tcW w:w="500" w:type="pct"/>
                </w:tcPr>
                <w:p w:rsidR="00445B47" w:rsidRPr="00BF407F" w:rsidRDefault="00733437" w:rsidP="00BF407F">
                  <w:pPr>
                    <w:pStyle w:val="TableBodyText"/>
                  </w:pPr>
                  <w:r>
                    <w:t>8</w:t>
                  </w:r>
                </w:p>
              </w:tc>
              <w:tc>
                <w:tcPr>
                  <w:tcW w:w="500" w:type="pct"/>
                </w:tcPr>
                <w:p w:rsidR="00445B47" w:rsidRPr="00BF407F" w:rsidRDefault="00733437" w:rsidP="00BF407F">
                  <w:pPr>
                    <w:pStyle w:val="TableBodyText"/>
                  </w:pPr>
                  <w:r>
                    <w:t>5</w:t>
                  </w:r>
                </w:p>
              </w:tc>
              <w:tc>
                <w:tcPr>
                  <w:tcW w:w="494" w:type="pct"/>
                </w:tcPr>
                <w:p w:rsidR="00445B47" w:rsidRPr="00BF407F" w:rsidRDefault="00733437" w:rsidP="00BF407F">
                  <w:pPr>
                    <w:pStyle w:val="TableBodyText"/>
                  </w:pPr>
                  <w:r>
                    <w:t>13</w:t>
                  </w:r>
                </w:p>
              </w:tc>
            </w:tr>
            <w:tr w:rsidR="0013718B" w:rsidTr="0013718B">
              <w:tc>
                <w:tcPr>
                  <w:tcW w:w="5000" w:type="pct"/>
                  <w:gridSpan w:val="10"/>
                  <w:vAlign w:val="center"/>
                </w:tcPr>
                <w:p w:rsidR="0013718B" w:rsidRDefault="0013718B" w:rsidP="0013718B">
                  <w:pPr>
                    <w:pStyle w:val="Source"/>
                    <w:spacing w:before="0" w:after="80"/>
                    <w:ind w:left="113"/>
                  </w:pPr>
                  <w:r w:rsidRPr="00253B66">
                    <w:rPr>
                      <w:i/>
                    </w:rPr>
                    <w:t>Source:</w:t>
                  </w:r>
                  <w:r w:rsidRPr="0046068B">
                    <w:rPr>
                      <w:i/>
                    </w:rPr>
                    <w:t xml:space="preserve"> </w:t>
                  </w:r>
                  <w:r w:rsidRPr="0013718B">
                    <w:t xml:space="preserve">Attachment table </w:t>
                  </w:r>
                  <w:proofErr w:type="spellStart"/>
                  <w:r w:rsidRPr="0013718B">
                    <w:t>3A.61</w:t>
                  </w:r>
                  <w:proofErr w:type="spellEnd"/>
                </w:p>
              </w:tc>
            </w:tr>
            <w:tr w:rsidR="0013718B" w:rsidTr="0013718B">
              <w:tc>
                <w:tcPr>
                  <w:tcW w:w="5000" w:type="pct"/>
                  <w:gridSpan w:val="10"/>
                  <w:vAlign w:val="center"/>
                </w:tcPr>
                <w:p w:rsidR="0013718B" w:rsidRDefault="0013718B" w:rsidP="00672360">
                  <w:pPr>
                    <w:pStyle w:val="DQIMainRowHeadings"/>
                  </w:pPr>
                  <w:r>
                    <w:t>Eff</w:t>
                  </w:r>
                  <w:r w:rsidR="007A7633">
                    <w:t>ectiveness — Quality — Health and safety</w:t>
                  </w:r>
                  <w:r>
                    <w:t xml:space="preserve"> indicators</w:t>
                  </w:r>
                </w:p>
              </w:tc>
            </w:tr>
            <w:tr w:rsidR="0013718B" w:rsidTr="0013718B">
              <w:tc>
                <w:tcPr>
                  <w:tcW w:w="5000" w:type="pct"/>
                  <w:gridSpan w:val="10"/>
                  <w:vAlign w:val="center"/>
                </w:tcPr>
                <w:p w:rsidR="0013718B" w:rsidRDefault="0013718B" w:rsidP="0013718B">
                  <w:pPr>
                    <w:pStyle w:val="DQIRowHeadings"/>
                  </w:pPr>
                  <w:r>
                    <w:t>Hospital separations for external causes of injury</w:t>
                  </w:r>
                </w:p>
              </w:tc>
            </w:tr>
            <w:tr w:rsidR="0013718B" w:rsidTr="0013718B">
              <w:tc>
                <w:tcPr>
                  <w:tcW w:w="5000" w:type="pct"/>
                  <w:gridSpan w:val="10"/>
                  <w:vAlign w:val="center"/>
                </w:tcPr>
                <w:p w:rsidR="0013718B" w:rsidRDefault="0013718B" w:rsidP="0013718B">
                  <w:pPr>
                    <w:pStyle w:val="TableBodyText"/>
                    <w:ind w:left="113" w:right="28"/>
                    <w:jc w:val="left"/>
                  </w:pPr>
                  <w:r w:rsidRPr="00C47D6F">
                    <w:rPr>
                      <w:sz w:val="16"/>
                      <w:szCs w:val="16"/>
                    </w:rPr>
                    <w:t>Most recent data for this measure are comparable and complete, subject to caveats (chapter 3)</w:t>
                  </w:r>
                </w:p>
              </w:tc>
            </w:tr>
            <w:tr w:rsidR="001C3A07" w:rsidTr="001C3A07">
              <w:tc>
                <w:tcPr>
                  <w:tcW w:w="5000" w:type="pct"/>
                  <w:gridSpan w:val="10"/>
                  <w:vAlign w:val="center"/>
                </w:tcPr>
                <w:p w:rsidR="001C3A07" w:rsidRDefault="001C3A07" w:rsidP="001C3A07">
                  <w:pPr>
                    <w:pStyle w:val="TableBodyText"/>
                    <w:ind w:left="113" w:right="28"/>
                    <w:jc w:val="left"/>
                  </w:pPr>
                  <w:r>
                    <w:t>Proportion of hospital separations for children aged 0–4 years resulting from an external cause of injury occurring in ‘school’, 2013-14</w:t>
                  </w:r>
                </w:p>
              </w:tc>
            </w:tr>
            <w:tr w:rsidR="007A7633" w:rsidTr="00FE7252">
              <w:tc>
                <w:tcPr>
                  <w:tcW w:w="501" w:type="pct"/>
                  <w:vAlign w:val="center"/>
                </w:tcPr>
                <w:p w:rsidR="007A7633" w:rsidRPr="00357189" w:rsidRDefault="007A7633" w:rsidP="00F14060">
                  <w:pPr>
                    <w:pStyle w:val="TableBodyText"/>
                  </w:pPr>
                  <w:r w:rsidRPr="00357189">
                    <w:t>%</w:t>
                  </w:r>
                </w:p>
              </w:tc>
              <w:tc>
                <w:tcPr>
                  <w:tcW w:w="500" w:type="pct"/>
                </w:tcPr>
                <w:p w:rsidR="007A7633" w:rsidRPr="00BF407F" w:rsidRDefault="007A7633" w:rsidP="00F14060">
                  <w:pPr>
                    <w:pStyle w:val="TableBodyText"/>
                  </w:pPr>
                  <w:r>
                    <w:t xml:space="preserve">  2.7</w:t>
                  </w:r>
                </w:p>
              </w:tc>
              <w:tc>
                <w:tcPr>
                  <w:tcW w:w="501" w:type="pct"/>
                </w:tcPr>
                <w:p w:rsidR="007A7633" w:rsidRPr="00BF407F" w:rsidRDefault="007A7633" w:rsidP="00F14060">
                  <w:pPr>
                    <w:pStyle w:val="TableBodyText"/>
                  </w:pPr>
                  <w:r>
                    <w:t xml:space="preserve">  2.3</w:t>
                  </w:r>
                </w:p>
              </w:tc>
              <w:tc>
                <w:tcPr>
                  <w:tcW w:w="501" w:type="pct"/>
                </w:tcPr>
                <w:p w:rsidR="007A7633" w:rsidRPr="00BF407F" w:rsidRDefault="007A7633" w:rsidP="00F14060">
                  <w:pPr>
                    <w:pStyle w:val="TableBodyText"/>
                  </w:pPr>
                  <w:r>
                    <w:t xml:space="preserve">  3.1</w:t>
                  </w:r>
                </w:p>
              </w:tc>
              <w:tc>
                <w:tcPr>
                  <w:tcW w:w="501" w:type="pct"/>
                </w:tcPr>
                <w:p w:rsidR="007A7633" w:rsidRPr="00BF407F" w:rsidRDefault="007A7633" w:rsidP="00F14060">
                  <w:pPr>
                    <w:pStyle w:val="TableBodyText"/>
                  </w:pPr>
                  <w:r>
                    <w:t xml:space="preserve">  2.1</w:t>
                  </w:r>
                </w:p>
              </w:tc>
              <w:tc>
                <w:tcPr>
                  <w:tcW w:w="501" w:type="pct"/>
                </w:tcPr>
                <w:p w:rsidR="007A7633" w:rsidRPr="00BF407F" w:rsidRDefault="007A7633" w:rsidP="00F14060">
                  <w:pPr>
                    <w:pStyle w:val="TableBodyText"/>
                  </w:pPr>
                  <w:r>
                    <w:t xml:space="preserve">  2.8</w:t>
                  </w:r>
                </w:p>
              </w:tc>
              <w:tc>
                <w:tcPr>
                  <w:tcW w:w="501" w:type="pct"/>
                </w:tcPr>
                <w:p w:rsidR="007A7633" w:rsidRPr="00BF407F" w:rsidRDefault="007A7633" w:rsidP="00F14060">
                  <w:pPr>
                    <w:pStyle w:val="TableBodyText"/>
                  </w:pPr>
                  <w:r>
                    <w:t xml:space="preserve">  1.7</w:t>
                  </w:r>
                </w:p>
              </w:tc>
              <w:tc>
                <w:tcPr>
                  <w:tcW w:w="500" w:type="pct"/>
                </w:tcPr>
                <w:p w:rsidR="007A7633" w:rsidRPr="00BF407F" w:rsidRDefault="007A7633" w:rsidP="00F14060">
                  <w:pPr>
                    <w:pStyle w:val="TableBodyText"/>
                  </w:pPr>
                  <w:r>
                    <w:t xml:space="preserve">  5.2</w:t>
                  </w:r>
                </w:p>
              </w:tc>
              <w:tc>
                <w:tcPr>
                  <w:tcW w:w="500" w:type="pct"/>
                </w:tcPr>
                <w:p w:rsidR="007A7633" w:rsidRPr="00BF407F" w:rsidRDefault="007A7633" w:rsidP="00F14060">
                  <w:pPr>
                    <w:pStyle w:val="TableBodyText"/>
                  </w:pPr>
                  <w:r>
                    <w:t xml:space="preserve">  1.4</w:t>
                  </w:r>
                </w:p>
              </w:tc>
              <w:tc>
                <w:tcPr>
                  <w:tcW w:w="494" w:type="pct"/>
                </w:tcPr>
                <w:p w:rsidR="007A7633" w:rsidRPr="00BF407F" w:rsidRDefault="007A7633" w:rsidP="00F14060">
                  <w:pPr>
                    <w:pStyle w:val="TableBodyText"/>
                  </w:pPr>
                  <w:r>
                    <w:t xml:space="preserve">  2.6</w:t>
                  </w:r>
                </w:p>
              </w:tc>
            </w:tr>
            <w:tr w:rsidR="007A7633" w:rsidTr="007067EF">
              <w:tc>
                <w:tcPr>
                  <w:tcW w:w="5000" w:type="pct"/>
                  <w:gridSpan w:val="10"/>
                </w:tcPr>
                <w:p w:rsidR="007A7633" w:rsidRDefault="007A7633" w:rsidP="006E26DB">
                  <w:pPr>
                    <w:pStyle w:val="Source"/>
                    <w:spacing w:before="0" w:after="80"/>
                    <w:ind w:left="113"/>
                  </w:pPr>
                  <w:r w:rsidRPr="00253B66">
                    <w:rPr>
                      <w:i/>
                    </w:rPr>
                    <w:t>Source:</w:t>
                  </w:r>
                  <w:r w:rsidRPr="0046068B">
                    <w:rPr>
                      <w:i/>
                    </w:rPr>
                    <w:t xml:space="preserve"> </w:t>
                  </w:r>
                  <w:r>
                    <w:t xml:space="preserve">Attachment table </w:t>
                  </w:r>
                  <w:proofErr w:type="spellStart"/>
                  <w:r>
                    <w:t>3A.63</w:t>
                  </w:r>
                  <w:proofErr w:type="spellEnd"/>
                </w:p>
              </w:tc>
            </w:tr>
            <w:tr w:rsidR="007A7633" w:rsidTr="003060DC">
              <w:tc>
                <w:tcPr>
                  <w:tcW w:w="5000" w:type="pct"/>
                  <w:gridSpan w:val="10"/>
                </w:tcPr>
                <w:p w:rsidR="007A7633" w:rsidRDefault="007A7633" w:rsidP="00672360">
                  <w:pPr>
                    <w:pStyle w:val="DQIMainRowHeadings"/>
                  </w:pPr>
                  <w:r>
                    <w:t>Efficiency — Inputs per output unit — Dollars per child indicators</w:t>
                  </w:r>
                </w:p>
              </w:tc>
            </w:tr>
            <w:tr w:rsidR="007A7633" w:rsidTr="003060DC">
              <w:tc>
                <w:tcPr>
                  <w:tcW w:w="5000" w:type="pct"/>
                  <w:gridSpan w:val="10"/>
                </w:tcPr>
                <w:p w:rsidR="007A7633" w:rsidRDefault="007A7633" w:rsidP="00CE10AD">
                  <w:pPr>
                    <w:pStyle w:val="DQIRowHeadings"/>
                  </w:pPr>
                  <w:r>
                    <w:t xml:space="preserve">Total government recurrent expenditure on </w:t>
                  </w:r>
                  <w:proofErr w:type="spellStart"/>
                  <w:r>
                    <w:t>ECEC</w:t>
                  </w:r>
                  <w:proofErr w:type="spellEnd"/>
                  <w:r>
                    <w:t xml:space="preserve"> per child in the community </w:t>
                  </w:r>
                </w:p>
              </w:tc>
            </w:tr>
            <w:tr w:rsidR="007A7633" w:rsidTr="003060DC">
              <w:tc>
                <w:tcPr>
                  <w:tcW w:w="5000" w:type="pct"/>
                  <w:gridSpan w:val="10"/>
                </w:tcPr>
                <w:p w:rsidR="007A7633" w:rsidRDefault="007A7633" w:rsidP="003060DC">
                  <w:pPr>
                    <w:pStyle w:val="TableBodyText"/>
                    <w:ind w:left="113" w:right="28"/>
                    <w:jc w:val="left"/>
                  </w:pPr>
                  <w:r>
                    <w:t xml:space="preserve">Australian Government and State and Territory government recurrent expenditure on </w:t>
                  </w:r>
                  <w:proofErr w:type="spellStart"/>
                  <w:r>
                    <w:t>ECEC</w:t>
                  </w:r>
                  <w:proofErr w:type="spellEnd"/>
                  <w:r>
                    <w:t xml:space="preserve"> per child aged 0–12 years in the community, 2014-15</w:t>
                  </w:r>
                </w:p>
              </w:tc>
            </w:tr>
            <w:tr w:rsidR="007A7633" w:rsidTr="003060DC">
              <w:tc>
                <w:tcPr>
                  <w:tcW w:w="5000" w:type="pct"/>
                  <w:gridSpan w:val="10"/>
                </w:tcPr>
                <w:p w:rsidR="007A7633" w:rsidRDefault="007A7633" w:rsidP="00CE10AD">
                  <w:pPr>
                    <w:pStyle w:val="TableBodyText"/>
                    <w:ind w:left="113" w:right="28"/>
                    <w:jc w:val="left"/>
                  </w:pPr>
                  <w:r w:rsidRPr="00C47D6F">
                    <w:rPr>
                      <w:sz w:val="16"/>
                      <w:szCs w:val="16"/>
                    </w:rPr>
                    <w:t xml:space="preserve">Most recent data for this measure are </w:t>
                  </w:r>
                  <w:r>
                    <w:rPr>
                      <w:sz w:val="16"/>
                      <w:szCs w:val="16"/>
                    </w:rPr>
                    <w:t xml:space="preserve">not comparable but are </w:t>
                  </w:r>
                  <w:r w:rsidRPr="00C47D6F">
                    <w:rPr>
                      <w:sz w:val="16"/>
                      <w:szCs w:val="16"/>
                    </w:rPr>
                    <w:t>complete, subject to caveats (chapter 3)</w:t>
                  </w:r>
                </w:p>
              </w:tc>
            </w:tr>
            <w:tr w:rsidR="007A7633" w:rsidTr="00CE10AD">
              <w:tc>
                <w:tcPr>
                  <w:tcW w:w="501" w:type="pct"/>
                </w:tcPr>
                <w:p w:rsidR="007A7633" w:rsidRPr="00B3665C" w:rsidRDefault="007A7633" w:rsidP="00CE10AD">
                  <w:pPr>
                    <w:pStyle w:val="TableBodyText"/>
                  </w:pPr>
                  <w:r>
                    <w:t>$</w:t>
                  </w:r>
                </w:p>
              </w:tc>
              <w:tc>
                <w:tcPr>
                  <w:tcW w:w="500" w:type="pct"/>
                  <w:vAlign w:val="center"/>
                </w:tcPr>
                <w:p w:rsidR="007A7633" w:rsidRPr="00DA4559" w:rsidRDefault="005735E0" w:rsidP="00DA4559">
                  <w:pPr>
                    <w:pStyle w:val="TableBodyText"/>
                  </w:pPr>
                  <w:r>
                    <w:t xml:space="preserve"> 2 078</w:t>
                  </w:r>
                </w:p>
              </w:tc>
              <w:tc>
                <w:tcPr>
                  <w:tcW w:w="501" w:type="pct"/>
                  <w:vAlign w:val="center"/>
                </w:tcPr>
                <w:p w:rsidR="007A7633" w:rsidRPr="00DA4559" w:rsidRDefault="005735E0" w:rsidP="00DA4559">
                  <w:pPr>
                    <w:pStyle w:val="TableBodyText"/>
                  </w:pPr>
                  <w:r>
                    <w:t>2 157</w:t>
                  </w:r>
                </w:p>
              </w:tc>
              <w:tc>
                <w:tcPr>
                  <w:tcW w:w="501" w:type="pct"/>
                  <w:vAlign w:val="center"/>
                </w:tcPr>
                <w:p w:rsidR="007A7633" w:rsidRPr="00DA4559" w:rsidRDefault="005735E0" w:rsidP="00DA4559">
                  <w:pPr>
                    <w:pStyle w:val="TableBodyText"/>
                  </w:pPr>
                  <w:r>
                    <w:t>2 298</w:t>
                  </w:r>
                </w:p>
              </w:tc>
              <w:tc>
                <w:tcPr>
                  <w:tcW w:w="501" w:type="pct"/>
                  <w:vAlign w:val="center"/>
                </w:tcPr>
                <w:p w:rsidR="007A7633" w:rsidRPr="00DA4559" w:rsidRDefault="005735E0" w:rsidP="00DA4559">
                  <w:pPr>
                    <w:pStyle w:val="TableBodyText"/>
                  </w:pPr>
                  <w:r>
                    <w:t>1 922</w:t>
                  </w:r>
                </w:p>
              </w:tc>
              <w:tc>
                <w:tcPr>
                  <w:tcW w:w="501" w:type="pct"/>
                  <w:vAlign w:val="center"/>
                </w:tcPr>
                <w:p w:rsidR="007A7633" w:rsidRPr="00DA4559" w:rsidRDefault="005735E0" w:rsidP="00DA4559">
                  <w:pPr>
                    <w:pStyle w:val="TableBodyText"/>
                  </w:pPr>
                  <w:r>
                    <w:t>2 590</w:t>
                  </w:r>
                </w:p>
              </w:tc>
              <w:tc>
                <w:tcPr>
                  <w:tcW w:w="501" w:type="pct"/>
                  <w:vAlign w:val="center"/>
                </w:tcPr>
                <w:p w:rsidR="007A7633" w:rsidRPr="00DA4559" w:rsidRDefault="005735E0" w:rsidP="00DA4559">
                  <w:pPr>
                    <w:pStyle w:val="TableBodyText"/>
                  </w:pPr>
                  <w:r>
                    <w:t>2 353</w:t>
                  </w:r>
                </w:p>
              </w:tc>
              <w:tc>
                <w:tcPr>
                  <w:tcW w:w="500" w:type="pct"/>
                  <w:vAlign w:val="center"/>
                </w:tcPr>
                <w:p w:rsidR="007A7633" w:rsidRPr="00DA4559" w:rsidRDefault="005735E0" w:rsidP="00DA4559">
                  <w:pPr>
                    <w:pStyle w:val="TableBodyText"/>
                  </w:pPr>
                  <w:r>
                    <w:t>2 851</w:t>
                  </w:r>
                </w:p>
              </w:tc>
              <w:tc>
                <w:tcPr>
                  <w:tcW w:w="500" w:type="pct"/>
                  <w:vAlign w:val="center"/>
                </w:tcPr>
                <w:p w:rsidR="007A7633" w:rsidRPr="00DA4559" w:rsidRDefault="005735E0" w:rsidP="00DA4559">
                  <w:pPr>
                    <w:pStyle w:val="TableBodyText"/>
                  </w:pPr>
                  <w:r>
                    <w:t>2 862</w:t>
                  </w:r>
                </w:p>
              </w:tc>
              <w:tc>
                <w:tcPr>
                  <w:tcW w:w="494" w:type="pct"/>
                  <w:vAlign w:val="center"/>
                </w:tcPr>
                <w:p w:rsidR="007A7633" w:rsidRPr="00DA4559" w:rsidRDefault="007A7633" w:rsidP="00DA4559">
                  <w:pPr>
                    <w:pStyle w:val="TableBodyText"/>
                  </w:pPr>
                  <w:r w:rsidRPr="00DA4559">
                    <w:t xml:space="preserve"> 2 188</w:t>
                  </w:r>
                </w:p>
              </w:tc>
            </w:tr>
            <w:tr w:rsidR="007A7633" w:rsidTr="003060DC">
              <w:tc>
                <w:tcPr>
                  <w:tcW w:w="5000" w:type="pct"/>
                  <w:gridSpan w:val="10"/>
                </w:tcPr>
                <w:p w:rsidR="007A7633" w:rsidRDefault="007A7633" w:rsidP="006E26DB">
                  <w:pPr>
                    <w:pStyle w:val="Source"/>
                    <w:spacing w:before="0" w:after="80"/>
                    <w:ind w:left="113"/>
                  </w:pPr>
                  <w:r w:rsidRPr="00253B66">
                    <w:rPr>
                      <w:i/>
                    </w:rPr>
                    <w:t>Source:</w:t>
                  </w:r>
                  <w:r w:rsidRPr="0046068B">
                    <w:rPr>
                      <w:i/>
                    </w:rPr>
                    <w:t xml:space="preserve"> </w:t>
                  </w:r>
                  <w:r>
                    <w:t xml:space="preserve">Attachment table </w:t>
                  </w:r>
                  <w:proofErr w:type="spellStart"/>
                  <w:r>
                    <w:t>3A.66</w:t>
                  </w:r>
                  <w:proofErr w:type="spellEnd"/>
                </w:p>
              </w:tc>
            </w:tr>
            <w:tr w:rsidR="007A7633" w:rsidTr="00A41F11">
              <w:tc>
                <w:tcPr>
                  <w:tcW w:w="5000" w:type="pct"/>
                  <w:gridSpan w:val="10"/>
                </w:tcPr>
                <w:p w:rsidR="007A7633" w:rsidRDefault="007A7633" w:rsidP="00672360">
                  <w:pPr>
                    <w:pStyle w:val="DQIRowHeadings"/>
                  </w:pPr>
                  <w:r>
                    <w:t xml:space="preserve">Australian Government recurrent expenditure per child attending </w:t>
                  </w:r>
                  <w:proofErr w:type="spellStart"/>
                  <w:r>
                    <w:t>CCB</w:t>
                  </w:r>
                  <w:proofErr w:type="spellEnd"/>
                  <w:r>
                    <w:t xml:space="preserve"> approved child care</w:t>
                  </w:r>
                </w:p>
              </w:tc>
            </w:tr>
            <w:tr w:rsidR="007A7633" w:rsidTr="00A41F11">
              <w:tc>
                <w:tcPr>
                  <w:tcW w:w="5000" w:type="pct"/>
                  <w:gridSpan w:val="10"/>
                </w:tcPr>
                <w:p w:rsidR="007A7633" w:rsidRDefault="007A7633" w:rsidP="00A41F11">
                  <w:pPr>
                    <w:pStyle w:val="TableBodyText"/>
                    <w:ind w:left="113" w:right="28"/>
                    <w:jc w:val="left"/>
                  </w:pPr>
                  <w:r>
                    <w:t xml:space="preserve">Australian Government recurrent expenditure per child aged 0–12 years attending </w:t>
                  </w:r>
                  <w:proofErr w:type="spellStart"/>
                  <w:r>
                    <w:t>CCB</w:t>
                  </w:r>
                  <w:proofErr w:type="spellEnd"/>
                  <w:r>
                    <w:t xml:space="preserve"> approved child care, 2014-15</w:t>
                  </w:r>
                </w:p>
              </w:tc>
            </w:tr>
            <w:tr w:rsidR="007A7633" w:rsidTr="00EF7A28">
              <w:tc>
                <w:tcPr>
                  <w:tcW w:w="5000" w:type="pct"/>
                  <w:gridSpan w:val="10"/>
                  <w:shd w:val="clear" w:color="auto" w:fill="auto"/>
                </w:tcPr>
                <w:p w:rsidR="007A7633" w:rsidRPr="00EF7A28" w:rsidRDefault="007A7633" w:rsidP="00B20A19">
                  <w:pPr>
                    <w:pStyle w:val="TableBodyText"/>
                    <w:ind w:left="113" w:right="28"/>
                    <w:jc w:val="left"/>
                  </w:pPr>
                  <w:r w:rsidRPr="00EF7A28">
                    <w:rPr>
                      <w:sz w:val="16"/>
                      <w:szCs w:val="16"/>
                    </w:rPr>
                    <w:t>Most recent data for this measure are comparable (subject to caveats) but not complete (chapter 3)</w:t>
                  </w:r>
                </w:p>
              </w:tc>
            </w:tr>
            <w:tr w:rsidR="00F14060" w:rsidTr="00EF7A28">
              <w:tc>
                <w:tcPr>
                  <w:tcW w:w="501" w:type="pct"/>
                  <w:shd w:val="clear" w:color="auto" w:fill="auto"/>
                </w:tcPr>
                <w:p w:rsidR="00F14060" w:rsidRPr="00F14060" w:rsidRDefault="00F14060" w:rsidP="00CE10AD">
                  <w:pPr>
                    <w:pStyle w:val="TableBodyText"/>
                  </w:pPr>
                  <w:r w:rsidRPr="00F14060">
                    <w:t>$</w:t>
                  </w:r>
                </w:p>
              </w:tc>
              <w:tc>
                <w:tcPr>
                  <w:tcW w:w="500" w:type="pct"/>
                  <w:shd w:val="clear" w:color="auto" w:fill="auto"/>
                  <w:vAlign w:val="center"/>
                </w:tcPr>
                <w:p w:rsidR="00F14060" w:rsidRPr="00EF7A28" w:rsidRDefault="00F14060" w:rsidP="00F14060">
                  <w:pPr>
                    <w:pStyle w:val="TableBodyText"/>
                  </w:pPr>
                  <w:r w:rsidRPr="00EF7A28">
                    <w:t xml:space="preserve"> 5 830</w:t>
                  </w:r>
                </w:p>
              </w:tc>
              <w:tc>
                <w:tcPr>
                  <w:tcW w:w="501" w:type="pct"/>
                  <w:shd w:val="clear" w:color="auto" w:fill="auto"/>
                  <w:vAlign w:val="center"/>
                </w:tcPr>
                <w:p w:rsidR="00F14060" w:rsidRPr="00EF7A28" w:rsidRDefault="00F14060" w:rsidP="00F14060">
                  <w:pPr>
                    <w:pStyle w:val="TableBodyText"/>
                  </w:pPr>
                  <w:r w:rsidRPr="00EF7A28">
                    <w:t xml:space="preserve"> 5 787</w:t>
                  </w:r>
                </w:p>
              </w:tc>
              <w:tc>
                <w:tcPr>
                  <w:tcW w:w="501" w:type="pct"/>
                  <w:shd w:val="clear" w:color="auto" w:fill="auto"/>
                  <w:vAlign w:val="center"/>
                </w:tcPr>
                <w:p w:rsidR="00F14060" w:rsidRPr="00EF7A28" w:rsidRDefault="00F14060" w:rsidP="00F14060">
                  <w:pPr>
                    <w:pStyle w:val="TableBodyText"/>
                  </w:pPr>
                  <w:r w:rsidRPr="00EF7A28">
                    <w:t xml:space="preserve"> 6 050</w:t>
                  </w:r>
                </w:p>
              </w:tc>
              <w:tc>
                <w:tcPr>
                  <w:tcW w:w="501" w:type="pct"/>
                  <w:shd w:val="clear" w:color="auto" w:fill="auto"/>
                  <w:vAlign w:val="center"/>
                </w:tcPr>
                <w:p w:rsidR="00F14060" w:rsidRPr="00EF7A28" w:rsidRDefault="00F14060" w:rsidP="00F14060">
                  <w:pPr>
                    <w:pStyle w:val="TableBodyText"/>
                  </w:pPr>
                  <w:r w:rsidRPr="00EF7A28">
                    <w:t xml:space="preserve"> 5 784</w:t>
                  </w:r>
                </w:p>
              </w:tc>
              <w:tc>
                <w:tcPr>
                  <w:tcW w:w="501" w:type="pct"/>
                  <w:shd w:val="clear" w:color="auto" w:fill="auto"/>
                  <w:vAlign w:val="center"/>
                </w:tcPr>
                <w:p w:rsidR="00F14060" w:rsidRPr="00EF7A28" w:rsidRDefault="00F14060" w:rsidP="00F14060">
                  <w:pPr>
                    <w:pStyle w:val="TableBodyText"/>
                  </w:pPr>
                  <w:r w:rsidRPr="00EF7A28">
                    <w:t xml:space="preserve"> 6 070</w:t>
                  </w:r>
                </w:p>
              </w:tc>
              <w:tc>
                <w:tcPr>
                  <w:tcW w:w="501" w:type="pct"/>
                  <w:shd w:val="clear" w:color="auto" w:fill="auto"/>
                  <w:vAlign w:val="center"/>
                </w:tcPr>
                <w:p w:rsidR="00F14060" w:rsidRPr="00EF7A28" w:rsidRDefault="00F14060" w:rsidP="00F14060">
                  <w:pPr>
                    <w:pStyle w:val="TableBodyText"/>
                  </w:pPr>
                  <w:r w:rsidRPr="00EF7A28">
                    <w:t xml:space="preserve"> 6 344</w:t>
                  </w:r>
                </w:p>
              </w:tc>
              <w:tc>
                <w:tcPr>
                  <w:tcW w:w="500" w:type="pct"/>
                  <w:shd w:val="clear" w:color="auto" w:fill="auto"/>
                  <w:vAlign w:val="center"/>
                </w:tcPr>
                <w:p w:rsidR="00F14060" w:rsidRPr="00EF7A28" w:rsidRDefault="00F14060" w:rsidP="00F14060">
                  <w:pPr>
                    <w:pStyle w:val="TableBodyText"/>
                  </w:pPr>
                  <w:r w:rsidRPr="00EF7A28">
                    <w:t xml:space="preserve"> 5 515</w:t>
                  </w:r>
                </w:p>
              </w:tc>
              <w:tc>
                <w:tcPr>
                  <w:tcW w:w="500" w:type="pct"/>
                  <w:shd w:val="clear" w:color="auto" w:fill="auto"/>
                  <w:vAlign w:val="center"/>
                </w:tcPr>
                <w:p w:rsidR="00F14060" w:rsidRPr="00EF7A28" w:rsidRDefault="00F14060" w:rsidP="00F14060">
                  <w:pPr>
                    <w:pStyle w:val="TableBodyText"/>
                  </w:pPr>
                  <w:r w:rsidRPr="00EF7A28">
                    <w:t xml:space="preserve"> 8 987</w:t>
                  </w:r>
                </w:p>
              </w:tc>
              <w:tc>
                <w:tcPr>
                  <w:tcW w:w="494" w:type="pct"/>
                  <w:shd w:val="clear" w:color="auto" w:fill="auto"/>
                  <w:vAlign w:val="center"/>
                </w:tcPr>
                <w:p w:rsidR="00F14060" w:rsidRPr="00EF7A28" w:rsidRDefault="00F14060" w:rsidP="00F14060">
                  <w:pPr>
                    <w:pStyle w:val="TableBodyText"/>
                  </w:pPr>
                  <w:r w:rsidRPr="00EF7A28">
                    <w:t xml:space="preserve"> 5 951</w:t>
                  </w:r>
                </w:p>
              </w:tc>
            </w:tr>
            <w:tr w:rsidR="007A7633" w:rsidTr="00A41F11">
              <w:tc>
                <w:tcPr>
                  <w:tcW w:w="5000" w:type="pct"/>
                  <w:gridSpan w:val="10"/>
                  <w:tcBorders>
                    <w:bottom w:val="single" w:sz="6" w:space="0" w:color="BFBFBF"/>
                  </w:tcBorders>
                  <w:shd w:val="clear" w:color="auto" w:fill="auto"/>
                </w:tcPr>
                <w:p w:rsidR="007A7633" w:rsidRDefault="007A7633" w:rsidP="006E26DB">
                  <w:pPr>
                    <w:pStyle w:val="Source"/>
                    <w:spacing w:before="0" w:after="80"/>
                    <w:ind w:left="113"/>
                  </w:pPr>
                  <w:r w:rsidRPr="00253B66">
                    <w:rPr>
                      <w:i/>
                    </w:rPr>
                    <w:t>Source:</w:t>
                  </w:r>
                  <w:r w:rsidRPr="0046068B">
                    <w:rPr>
                      <w:i/>
                    </w:rPr>
                    <w:t xml:space="preserve"> </w:t>
                  </w:r>
                  <w:r>
                    <w:t xml:space="preserve">Attachment table </w:t>
                  </w:r>
                  <w:proofErr w:type="spellStart"/>
                  <w:r>
                    <w:t>3A.67</w:t>
                  </w:r>
                  <w:proofErr w:type="spellEnd"/>
                </w:p>
              </w:tc>
            </w:tr>
          </w:tbl>
          <w:p w:rsidR="00C42545" w:rsidRDefault="00C42545" w:rsidP="00CE10AD">
            <w:pPr>
              <w:pStyle w:val="Box"/>
            </w:pPr>
          </w:p>
        </w:tc>
      </w:tr>
      <w:tr w:rsidR="00C42545" w:rsidTr="00CE10AD">
        <w:trPr>
          <w:cantSplit/>
        </w:trPr>
        <w:tc>
          <w:tcPr>
            <w:tcW w:w="8771" w:type="dxa"/>
            <w:tcBorders>
              <w:top w:val="nil"/>
              <w:left w:val="nil"/>
              <w:bottom w:val="nil"/>
              <w:right w:val="nil"/>
            </w:tcBorders>
            <w:shd w:val="clear" w:color="auto" w:fill="auto"/>
          </w:tcPr>
          <w:p w:rsidR="00C42545" w:rsidRDefault="00C23135" w:rsidP="00C23135">
            <w:pPr>
              <w:pStyle w:val="TableBodyText"/>
              <w:rPr>
                <w:i/>
              </w:rPr>
            </w:pPr>
            <w:r>
              <w:t xml:space="preserve"> (continued next page)</w:t>
            </w:r>
          </w:p>
        </w:tc>
      </w:tr>
      <w:tr w:rsidR="00C42545" w:rsidTr="00CE10AD">
        <w:trPr>
          <w:cantSplit/>
        </w:trPr>
        <w:tc>
          <w:tcPr>
            <w:tcW w:w="8771" w:type="dxa"/>
            <w:tcBorders>
              <w:top w:val="nil"/>
              <w:left w:val="nil"/>
              <w:bottom w:val="single" w:sz="6" w:space="0" w:color="78A22F"/>
              <w:right w:val="nil"/>
            </w:tcBorders>
            <w:shd w:val="clear" w:color="auto" w:fill="auto"/>
          </w:tcPr>
          <w:p w:rsidR="00C42545" w:rsidRDefault="00C42545" w:rsidP="00CE10AD">
            <w:pPr>
              <w:pStyle w:val="Box"/>
              <w:spacing w:before="0" w:line="120" w:lineRule="exact"/>
            </w:pPr>
          </w:p>
        </w:tc>
      </w:tr>
      <w:tr w:rsidR="00C42545" w:rsidRPr="000863A5" w:rsidTr="00CE10AD">
        <w:tc>
          <w:tcPr>
            <w:tcW w:w="8771" w:type="dxa"/>
            <w:tcBorders>
              <w:top w:val="single" w:sz="6" w:space="0" w:color="78A22F"/>
              <w:left w:val="nil"/>
              <w:bottom w:val="nil"/>
              <w:right w:val="nil"/>
            </w:tcBorders>
          </w:tcPr>
          <w:p w:rsidR="00C42545" w:rsidRPr="00626D32" w:rsidRDefault="00C42545" w:rsidP="00CE10AD">
            <w:pPr>
              <w:pStyle w:val="BoxSpaceBelow"/>
            </w:pPr>
          </w:p>
        </w:tc>
      </w:tr>
    </w:tbl>
    <w:p w:rsidR="00AC0CAA" w:rsidRDefault="00AC0CAA" w:rsidP="00CE10A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C0CAA" w:rsidTr="00CE10AD">
        <w:tc>
          <w:tcPr>
            <w:tcW w:w="8771" w:type="dxa"/>
            <w:tcBorders>
              <w:top w:val="single" w:sz="6" w:space="0" w:color="78A22F"/>
              <w:left w:val="nil"/>
              <w:bottom w:val="nil"/>
              <w:right w:val="nil"/>
            </w:tcBorders>
            <w:shd w:val="clear" w:color="auto" w:fill="auto"/>
          </w:tcPr>
          <w:p w:rsidR="00AC0CAA" w:rsidRPr="00784A05" w:rsidRDefault="00AC0CAA" w:rsidP="00BE6A0A">
            <w:pPr>
              <w:pStyle w:val="TableTitle"/>
            </w:pPr>
            <w:r>
              <w:rPr>
                <w:b w:val="0"/>
              </w:rPr>
              <w:t xml:space="preserve">Table </w:t>
            </w:r>
            <w:proofErr w:type="spellStart"/>
            <w:r w:rsidR="003775F9">
              <w:rPr>
                <w:b w:val="0"/>
              </w:rPr>
              <w:t>B.</w:t>
            </w:r>
            <w:r w:rsidR="00BE6A0A" w:rsidRPr="00BE6A0A">
              <w:rPr>
                <w:b w:val="0"/>
              </w:rPr>
              <w:t>1</w:t>
            </w:r>
            <w:proofErr w:type="spellEnd"/>
            <w:r w:rsidR="003775F9">
              <w:tab/>
            </w:r>
            <w:r w:rsidR="003775F9" w:rsidRPr="003775F9">
              <w:rPr>
                <w:b w:val="0"/>
                <w:sz w:val="18"/>
                <w:szCs w:val="18"/>
              </w:rPr>
              <w:t>(continued)</w:t>
            </w:r>
          </w:p>
        </w:tc>
      </w:tr>
      <w:tr w:rsidR="00AC0CAA" w:rsidTr="00CE10A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49"/>
              <w:gridCol w:w="845"/>
              <w:gridCol w:w="840"/>
            </w:tblGrid>
            <w:tr w:rsidR="00CE10AD" w:rsidTr="000D7FCC">
              <w:tc>
                <w:tcPr>
                  <w:tcW w:w="501" w:type="pct"/>
                  <w:tcBorders>
                    <w:top w:val="single" w:sz="6" w:space="0" w:color="BFBFBF"/>
                    <w:bottom w:val="single" w:sz="6" w:space="0" w:color="BFBFBF"/>
                  </w:tcBorders>
                  <w:shd w:val="clear" w:color="auto" w:fill="auto"/>
                  <w:tcMar>
                    <w:top w:w="28" w:type="dxa"/>
                  </w:tcMar>
                </w:tcPr>
                <w:p w:rsidR="00CE10AD" w:rsidRDefault="00CE10AD" w:rsidP="00CE10AD">
                  <w:pPr>
                    <w:pStyle w:val="TableColumnHeading"/>
                    <w:jc w:val="left"/>
                  </w:pPr>
                </w:p>
              </w:tc>
              <w:tc>
                <w:tcPr>
                  <w:tcW w:w="501" w:type="pct"/>
                  <w:tcBorders>
                    <w:top w:val="single" w:sz="6" w:space="0" w:color="BFBFBF"/>
                    <w:bottom w:val="single" w:sz="6" w:space="0" w:color="BFBFBF"/>
                  </w:tcBorders>
                  <w:shd w:val="clear" w:color="auto" w:fill="auto"/>
                  <w:tcMar>
                    <w:top w:w="28" w:type="dxa"/>
                  </w:tcMar>
                </w:tcPr>
                <w:p w:rsidR="00CE10AD" w:rsidRDefault="00CE10AD" w:rsidP="00CE10AD">
                  <w:pPr>
                    <w:pStyle w:val="TableColumnHeading"/>
                  </w:pPr>
                  <w:r>
                    <w:t>NSW</w:t>
                  </w:r>
                </w:p>
              </w:tc>
              <w:tc>
                <w:tcPr>
                  <w:tcW w:w="501" w:type="pct"/>
                  <w:tcBorders>
                    <w:top w:val="single" w:sz="6" w:space="0" w:color="BFBFBF"/>
                    <w:bottom w:val="single" w:sz="6" w:space="0" w:color="BFBFBF"/>
                  </w:tcBorders>
                </w:tcPr>
                <w:p w:rsidR="00CE10AD" w:rsidRDefault="00CE10AD" w:rsidP="00CE10AD">
                  <w:pPr>
                    <w:pStyle w:val="TableColumnHeading"/>
                  </w:pPr>
                  <w:r>
                    <w:t>Vic</w:t>
                  </w:r>
                </w:p>
              </w:tc>
              <w:tc>
                <w:tcPr>
                  <w:tcW w:w="501" w:type="pct"/>
                  <w:tcBorders>
                    <w:top w:val="single" w:sz="6" w:space="0" w:color="BFBFBF"/>
                    <w:bottom w:val="single" w:sz="6" w:space="0" w:color="BFBFBF"/>
                  </w:tcBorders>
                </w:tcPr>
                <w:p w:rsidR="00CE10AD" w:rsidRDefault="00CE10AD" w:rsidP="00CE10AD">
                  <w:pPr>
                    <w:pStyle w:val="TableColumnHeading"/>
                  </w:pPr>
                  <w:r>
                    <w:t>Qld</w:t>
                  </w:r>
                </w:p>
              </w:tc>
              <w:tc>
                <w:tcPr>
                  <w:tcW w:w="501" w:type="pct"/>
                  <w:tcBorders>
                    <w:top w:val="single" w:sz="6" w:space="0" w:color="BFBFBF"/>
                    <w:bottom w:val="single" w:sz="6" w:space="0" w:color="BFBFBF"/>
                  </w:tcBorders>
                </w:tcPr>
                <w:p w:rsidR="00CE10AD" w:rsidRDefault="00CE10AD" w:rsidP="00CE10AD">
                  <w:pPr>
                    <w:pStyle w:val="TableColumnHeading"/>
                  </w:pPr>
                  <w:r>
                    <w:t>WA</w:t>
                  </w:r>
                </w:p>
              </w:tc>
              <w:tc>
                <w:tcPr>
                  <w:tcW w:w="501" w:type="pct"/>
                  <w:tcBorders>
                    <w:top w:val="single" w:sz="6" w:space="0" w:color="BFBFBF"/>
                    <w:bottom w:val="single" w:sz="6" w:space="0" w:color="BFBFBF"/>
                  </w:tcBorders>
                </w:tcPr>
                <w:p w:rsidR="00CE10AD" w:rsidRDefault="00CE10AD" w:rsidP="00CE10AD">
                  <w:pPr>
                    <w:pStyle w:val="TableColumnHeading"/>
                  </w:pPr>
                  <w:r>
                    <w:t>SA</w:t>
                  </w:r>
                </w:p>
              </w:tc>
              <w:tc>
                <w:tcPr>
                  <w:tcW w:w="501" w:type="pct"/>
                  <w:tcBorders>
                    <w:top w:val="single" w:sz="6" w:space="0" w:color="BFBFBF"/>
                    <w:bottom w:val="single" w:sz="6" w:space="0" w:color="BFBFBF"/>
                  </w:tcBorders>
                </w:tcPr>
                <w:p w:rsidR="00CE10AD" w:rsidRDefault="00CE10AD" w:rsidP="00CE10AD">
                  <w:pPr>
                    <w:pStyle w:val="TableColumnHeading"/>
                  </w:pPr>
                  <w:proofErr w:type="spellStart"/>
                  <w:r>
                    <w:t>Tas</w:t>
                  </w:r>
                  <w:proofErr w:type="spellEnd"/>
                </w:p>
              </w:tc>
              <w:tc>
                <w:tcPr>
                  <w:tcW w:w="500" w:type="pct"/>
                  <w:tcBorders>
                    <w:top w:val="single" w:sz="6" w:space="0" w:color="BFBFBF"/>
                    <w:bottom w:val="single" w:sz="6" w:space="0" w:color="BFBFBF"/>
                  </w:tcBorders>
                </w:tcPr>
                <w:p w:rsidR="00CE10AD" w:rsidRDefault="00CE10AD" w:rsidP="00CE10AD">
                  <w:pPr>
                    <w:pStyle w:val="TableColumnHeading"/>
                  </w:pPr>
                  <w:r>
                    <w:t>ACT</w:t>
                  </w:r>
                </w:p>
              </w:tc>
              <w:tc>
                <w:tcPr>
                  <w:tcW w:w="498" w:type="pct"/>
                  <w:tcBorders>
                    <w:top w:val="single" w:sz="6" w:space="0" w:color="BFBFBF"/>
                    <w:bottom w:val="single" w:sz="6" w:space="0" w:color="BFBFBF"/>
                  </w:tcBorders>
                </w:tcPr>
                <w:p w:rsidR="00CE10AD" w:rsidRDefault="00CE10AD" w:rsidP="00CE10AD">
                  <w:pPr>
                    <w:pStyle w:val="TableColumnHeading"/>
                  </w:pPr>
                  <w:r>
                    <w:t>NT</w:t>
                  </w:r>
                </w:p>
              </w:tc>
              <w:tc>
                <w:tcPr>
                  <w:tcW w:w="495" w:type="pct"/>
                  <w:tcBorders>
                    <w:top w:val="single" w:sz="6" w:space="0" w:color="BFBFBF"/>
                    <w:bottom w:val="single" w:sz="6" w:space="0" w:color="BFBFBF"/>
                  </w:tcBorders>
                  <w:shd w:val="clear" w:color="auto" w:fill="auto"/>
                  <w:tcMar>
                    <w:top w:w="28" w:type="dxa"/>
                  </w:tcMar>
                </w:tcPr>
                <w:p w:rsidR="00CE10AD" w:rsidRDefault="00CE10AD" w:rsidP="00CE10AD">
                  <w:pPr>
                    <w:pStyle w:val="TableColumnHeading"/>
                  </w:pPr>
                  <w:proofErr w:type="spellStart"/>
                  <w:r>
                    <w:t>Aust</w:t>
                  </w:r>
                  <w:proofErr w:type="spellEnd"/>
                </w:p>
              </w:tc>
            </w:tr>
            <w:tr w:rsidR="000D7FCC" w:rsidTr="000D7FCC">
              <w:tc>
                <w:tcPr>
                  <w:tcW w:w="5000" w:type="pct"/>
                  <w:gridSpan w:val="10"/>
                  <w:tcBorders>
                    <w:top w:val="single" w:sz="6" w:space="0" w:color="BFBFBF"/>
                  </w:tcBorders>
                </w:tcPr>
                <w:p w:rsidR="000D7FCC" w:rsidRDefault="000D7FCC" w:rsidP="00AE7A8F">
                  <w:pPr>
                    <w:pStyle w:val="DQIMainRowHeadings"/>
                  </w:pPr>
                  <w:r>
                    <w:t>Outcome indicators</w:t>
                  </w:r>
                </w:p>
              </w:tc>
            </w:tr>
            <w:tr w:rsidR="000D7FCC" w:rsidTr="000D7FCC">
              <w:tc>
                <w:tcPr>
                  <w:tcW w:w="5000" w:type="pct"/>
                  <w:gridSpan w:val="10"/>
                </w:tcPr>
                <w:p w:rsidR="000D7FCC" w:rsidRDefault="000D7FCC" w:rsidP="00AE7A8F">
                  <w:pPr>
                    <w:pStyle w:val="DQIRowHeadings"/>
                  </w:pPr>
                  <w:r>
                    <w:t>Family work-related needs for child care</w:t>
                  </w:r>
                </w:p>
              </w:tc>
            </w:tr>
            <w:tr w:rsidR="000D7FCC" w:rsidTr="000D7FCC">
              <w:tc>
                <w:tcPr>
                  <w:tcW w:w="5000" w:type="pct"/>
                  <w:gridSpan w:val="10"/>
                </w:tcPr>
                <w:p w:rsidR="000D7FCC" w:rsidRDefault="000D7FCC" w:rsidP="000D7FCC">
                  <w:pPr>
                    <w:pStyle w:val="TableBodyText"/>
                    <w:ind w:left="113" w:right="28"/>
                    <w:jc w:val="left"/>
                  </w:pPr>
                  <w:r>
                    <w:t>Proportion of children aged 0–12 years in families for whom additional formal child care was currently required for work-related reasons, 2014</w:t>
                  </w:r>
                </w:p>
              </w:tc>
            </w:tr>
            <w:tr w:rsidR="000D7FCC" w:rsidTr="000D7FCC">
              <w:tc>
                <w:tcPr>
                  <w:tcW w:w="5000" w:type="pct"/>
                  <w:gridSpan w:val="10"/>
                </w:tcPr>
                <w:p w:rsidR="000D7FCC" w:rsidRDefault="000D7FCC" w:rsidP="00AE7A8F">
                  <w:pPr>
                    <w:pStyle w:val="TableBodyText"/>
                    <w:ind w:left="113" w:right="28"/>
                    <w:jc w:val="left"/>
                  </w:pPr>
                  <w:r w:rsidRPr="00C47D6F">
                    <w:rPr>
                      <w:sz w:val="16"/>
                      <w:szCs w:val="16"/>
                    </w:rPr>
                    <w:t>Most recent data for this measure are comparable and complete, subject to caveats (chapter 3)</w:t>
                  </w:r>
                </w:p>
              </w:tc>
            </w:tr>
            <w:tr w:rsidR="000D7FCC" w:rsidTr="00AE7A8F">
              <w:tc>
                <w:tcPr>
                  <w:tcW w:w="501" w:type="pct"/>
                </w:tcPr>
                <w:p w:rsidR="000D7FCC" w:rsidRPr="00B3665C" w:rsidRDefault="000D7FCC" w:rsidP="00AE7A8F">
                  <w:pPr>
                    <w:pStyle w:val="TableBodyText"/>
                  </w:pPr>
                  <w:r w:rsidRPr="000C3A95">
                    <w:t>%</w:t>
                  </w:r>
                </w:p>
              </w:tc>
              <w:tc>
                <w:tcPr>
                  <w:tcW w:w="501" w:type="pct"/>
                  <w:vAlign w:val="center"/>
                </w:tcPr>
                <w:p w:rsidR="000D7FCC" w:rsidRPr="00880A65" w:rsidRDefault="00880A65" w:rsidP="00AE7A8F">
                  <w:pPr>
                    <w:pStyle w:val="TableBodyText"/>
                  </w:pPr>
                  <w:r w:rsidRPr="00880A65">
                    <w:t>4.0 ± 1.2</w:t>
                  </w:r>
                </w:p>
              </w:tc>
              <w:tc>
                <w:tcPr>
                  <w:tcW w:w="501" w:type="pct"/>
                  <w:vAlign w:val="center"/>
                </w:tcPr>
                <w:p w:rsidR="000D7FCC" w:rsidRPr="00880A65" w:rsidRDefault="00880A65" w:rsidP="00AE7A8F">
                  <w:pPr>
                    <w:pStyle w:val="TableBodyText"/>
                  </w:pPr>
                  <w:r w:rsidRPr="00880A65">
                    <w:t>2.7 ± 0.9</w:t>
                  </w:r>
                </w:p>
              </w:tc>
              <w:tc>
                <w:tcPr>
                  <w:tcW w:w="501" w:type="pct"/>
                  <w:vAlign w:val="center"/>
                </w:tcPr>
                <w:p w:rsidR="000D7FCC" w:rsidRPr="00880A65" w:rsidRDefault="00880A65" w:rsidP="00AE7A8F">
                  <w:pPr>
                    <w:pStyle w:val="TableBodyText"/>
                  </w:pPr>
                  <w:r w:rsidRPr="00880A65">
                    <w:t>3.1 ± 1.5</w:t>
                  </w:r>
                </w:p>
              </w:tc>
              <w:tc>
                <w:tcPr>
                  <w:tcW w:w="501" w:type="pct"/>
                  <w:vAlign w:val="center"/>
                </w:tcPr>
                <w:p w:rsidR="000D7FCC" w:rsidRPr="00880A65" w:rsidRDefault="00880A65" w:rsidP="00AE7A8F">
                  <w:pPr>
                    <w:pStyle w:val="TableBodyText"/>
                  </w:pPr>
                  <w:r w:rsidRPr="00880A65">
                    <w:t>3.0 ± 1.3</w:t>
                  </w:r>
                </w:p>
              </w:tc>
              <w:tc>
                <w:tcPr>
                  <w:tcW w:w="501" w:type="pct"/>
                  <w:vAlign w:val="center"/>
                </w:tcPr>
                <w:p w:rsidR="000D7FCC" w:rsidRPr="00880A65" w:rsidRDefault="00880A65" w:rsidP="00AE7A8F">
                  <w:pPr>
                    <w:pStyle w:val="TableBodyText"/>
                  </w:pPr>
                  <w:r w:rsidRPr="00880A65">
                    <w:t>3.5 ± 1.6</w:t>
                  </w:r>
                </w:p>
              </w:tc>
              <w:tc>
                <w:tcPr>
                  <w:tcW w:w="501" w:type="pct"/>
                  <w:vAlign w:val="center"/>
                </w:tcPr>
                <w:p w:rsidR="000D7FCC" w:rsidRPr="00880A65" w:rsidRDefault="00880A65" w:rsidP="00AE7A8F">
                  <w:pPr>
                    <w:pStyle w:val="TableBodyText"/>
                  </w:pPr>
                  <w:r w:rsidRPr="00880A65">
                    <w:t>5.0 ± 2.9</w:t>
                  </w:r>
                </w:p>
              </w:tc>
              <w:tc>
                <w:tcPr>
                  <w:tcW w:w="500" w:type="pct"/>
                  <w:vAlign w:val="center"/>
                </w:tcPr>
                <w:p w:rsidR="000D7FCC" w:rsidRPr="00880A65" w:rsidRDefault="00880A65" w:rsidP="00AE7A8F">
                  <w:pPr>
                    <w:pStyle w:val="TableBodyText"/>
                  </w:pPr>
                  <w:r w:rsidRPr="00880A65">
                    <w:t>np</w:t>
                  </w:r>
                </w:p>
              </w:tc>
              <w:tc>
                <w:tcPr>
                  <w:tcW w:w="498" w:type="pct"/>
                  <w:vAlign w:val="center"/>
                </w:tcPr>
                <w:p w:rsidR="000D7FCC" w:rsidRPr="00880A65" w:rsidRDefault="00880A65" w:rsidP="00AE7A8F">
                  <w:pPr>
                    <w:pStyle w:val="TableBodyText"/>
                  </w:pPr>
                  <w:r w:rsidRPr="00880A65">
                    <w:t>4.7 ± 3.1</w:t>
                  </w:r>
                </w:p>
              </w:tc>
              <w:tc>
                <w:tcPr>
                  <w:tcW w:w="495" w:type="pct"/>
                  <w:vAlign w:val="center"/>
                </w:tcPr>
                <w:p w:rsidR="000D7FCC" w:rsidRPr="00880A65" w:rsidRDefault="00880A65" w:rsidP="00AE7A8F">
                  <w:pPr>
                    <w:pStyle w:val="TableBodyText"/>
                  </w:pPr>
                  <w:r w:rsidRPr="00880A65">
                    <w:t>3.6 ± 0.6</w:t>
                  </w:r>
                </w:p>
              </w:tc>
            </w:tr>
            <w:tr w:rsidR="00016AF8" w:rsidTr="00016AF8">
              <w:tc>
                <w:tcPr>
                  <w:tcW w:w="5000" w:type="pct"/>
                  <w:gridSpan w:val="10"/>
                </w:tcPr>
                <w:p w:rsidR="00016AF8" w:rsidRPr="00880A65" w:rsidRDefault="00016AF8" w:rsidP="006E26DB">
                  <w:pPr>
                    <w:pStyle w:val="TableBodyText"/>
                    <w:spacing w:after="80"/>
                    <w:jc w:val="left"/>
                  </w:pPr>
                  <w:r w:rsidRPr="00253B66">
                    <w:rPr>
                      <w:i/>
                    </w:rPr>
                    <w:t>Source:</w:t>
                  </w:r>
                  <w:r w:rsidRPr="0046068B">
                    <w:rPr>
                      <w:i/>
                    </w:rPr>
                    <w:t xml:space="preserve"> </w:t>
                  </w:r>
                  <w:r w:rsidR="005E630C">
                    <w:t xml:space="preserve">Attachment table </w:t>
                  </w:r>
                  <w:proofErr w:type="spellStart"/>
                  <w:r w:rsidR="005E630C">
                    <w:t>3A.68</w:t>
                  </w:r>
                  <w:proofErr w:type="spellEnd"/>
                </w:p>
              </w:tc>
            </w:tr>
            <w:tr w:rsidR="00016AF8" w:rsidTr="00016AF8">
              <w:tc>
                <w:tcPr>
                  <w:tcW w:w="5000" w:type="pct"/>
                  <w:gridSpan w:val="10"/>
                </w:tcPr>
                <w:p w:rsidR="00016AF8" w:rsidRPr="00880A65" w:rsidRDefault="00016AF8" w:rsidP="008466C0">
                  <w:pPr>
                    <w:pStyle w:val="TableBodyText"/>
                    <w:ind w:left="113" w:right="28"/>
                    <w:jc w:val="left"/>
                  </w:pPr>
                  <w:r>
                    <w:t>P</w:t>
                  </w:r>
                  <w:r w:rsidRPr="00016AF8">
                    <w:t xml:space="preserve">roportion of people aged 15 years or over not in the labour force due to caring for </w:t>
                  </w:r>
                  <w:r>
                    <w:t xml:space="preserve">children </w:t>
                  </w:r>
                  <w:r w:rsidR="008466C0">
                    <w:t xml:space="preserve">whose main reason is </w:t>
                  </w:r>
                  <w:r w:rsidRPr="00016AF8">
                    <w:t xml:space="preserve">child care service </w:t>
                  </w:r>
                  <w:r w:rsidR="008466C0">
                    <w:t>related</w:t>
                  </w:r>
                </w:p>
              </w:tc>
            </w:tr>
            <w:tr w:rsidR="00016AF8" w:rsidTr="00016AF8">
              <w:tc>
                <w:tcPr>
                  <w:tcW w:w="5000" w:type="pct"/>
                  <w:gridSpan w:val="10"/>
                </w:tcPr>
                <w:p w:rsidR="00016AF8" w:rsidRPr="00880A65" w:rsidRDefault="00016AF8" w:rsidP="00016AF8">
                  <w:pPr>
                    <w:pStyle w:val="TableBodyText"/>
                    <w:ind w:left="113" w:right="28"/>
                    <w:jc w:val="left"/>
                  </w:pPr>
                  <w:r w:rsidRPr="00C47D6F">
                    <w:rPr>
                      <w:sz w:val="16"/>
                      <w:szCs w:val="16"/>
                    </w:rPr>
                    <w:t>Most recent data for this measure are comparable and complete, subject to caveats (chapter 3)</w:t>
                  </w:r>
                </w:p>
              </w:tc>
            </w:tr>
            <w:tr w:rsidR="00016AF8" w:rsidTr="00AE7A8F">
              <w:tc>
                <w:tcPr>
                  <w:tcW w:w="501" w:type="pct"/>
                </w:tcPr>
                <w:p w:rsidR="00016AF8" w:rsidRPr="000C3A95" w:rsidRDefault="00016AF8" w:rsidP="00AE7A8F">
                  <w:pPr>
                    <w:pStyle w:val="TableBodyText"/>
                  </w:pPr>
                  <w:r w:rsidRPr="000C3A95">
                    <w:t>%</w:t>
                  </w:r>
                </w:p>
              </w:tc>
              <w:tc>
                <w:tcPr>
                  <w:tcW w:w="501" w:type="pct"/>
                  <w:vAlign w:val="center"/>
                </w:tcPr>
                <w:p w:rsidR="00016AF8" w:rsidRPr="00880A65" w:rsidRDefault="00016AF8" w:rsidP="00FE7252">
                  <w:pPr>
                    <w:pStyle w:val="TableBodyText"/>
                  </w:pPr>
                  <w:r>
                    <w:t xml:space="preserve">49.6 </w:t>
                  </w:r>
                  <w:r w:rsidR="00EB1C5F">
                    <w:t xml:space="preserve">     </w:t>
                  </w:r>
                  <w:r>
                    <w:t>± 6.0</w:t>
                  </w:r>
                </w:p>
              </w:tc>
              <w:tc>
                <w:tcPr>
                  <w:tcW w:w="501" w:type="pct"/>
                  <w:vAlign w:val="center"/>
                </w:tcPr>
                <w:p w:rsidR="00016AF8" w:rsidRPr="00880A65" w:rsidRDefault="00016AF8" w:rsidP="00FE7252">
                  <w:pPr>
                    <w:pStyle w:val="TableBodyText"/>
                  </w:pPr>
                  <w:r>
                    <w:t xml:space="preserve">49.4 </w:t>
                  </w:r>
                  <w:r w:rsidR="00EB1C5F">
                    <w:t xml:space="preserve">     </w:t>
                  </w:r>
                  <w:r>
                    <w:t>± 6.0</w:t>
                  </w:r>
                </w:p>
              </w:tc>
              <w:tc>
                <w:tcPr>
                  <w:tcW w:w="501" w:type="pct"/>
                  <w:vAlign w:val="center"/>
                </w:tcPr>
                <w:p w:rsidR="00016AF8" w:rsidRPr="00880A65" w:rsidRDefault="00016AF8" w:rsidP="00FE7252">
                  <w:pPr>
                    <w:pStyle w:val="TableBodyText"/>
                  </w:pPr>
                  <w:r>
                    <w:t>54.8</w:t>
                  </w:r>
                  <w:r w:rsidRPr="00880A65">
                    <w:t xml:space="preserve"> </w:t>
                  </w:r>
                  <w:r w:rsidR="00EB1C5F">
                    <w:t xml:space="preserve">     </w:t>
                  </w:r>
                  <w:r w:rsidRPr="00880A65">
                    <w:t>± 1</w:t>
                  </w:r>
                  <w:r>
                    <w:t>0</w:t>
                  </w:r>
                  <w:r w:rsidRPr="00880A65">
                    <w:t>.5</w:t>
                  </w:r>
                </w:p>
              </w:tc>
              <w:tc>
                <w:tcPr>
                  <w:tcW w:w="501" w:type="pct"/>
                  <w:vAlign w:val="center"/>
                </w:tcPr>
                <w:p w:rsidR="00016AF8" w:rsidRPr="00880A65" w:rsidRDefault="00016AF8" w:rsidP="00FE7252">
                  <w:pPr>
                    <w:pStyle w:val="TableBodyText"/>
                  </w:pPr>
                  <w:r>
                    <w:t xml:space="preserve">44.1 </w:t>
                  </w:r>
                  <w:r w:rsidR="00EB1C5F">
                    <w:t xml:space="preserve">      </w:t>
                  </w:r>
                  <w:r>
                    <w:t>± 7.8</w:t>
                  </w:r>
                </w:p>
              </w:tc>
              <w:tc>
                <w:tcPr>
                  <w:tcW w:w="501" w:type="pct"/>
                  <w:vAlign w:val="center"/>
                </w:tcPr>
                <w:p w:rsidR="00016AF8" w:rsidRPr="00880A65" w:rsidRDefault="00016AF8" w:rsidP="00FE7252">
                  <w:pPr>
                    <w:pStyle w:val="TableBodyText"/>
                  </w:pPr>
                  <w:r>
                    <w:t xml:space="preserve">52.5 </w:t>
                  </w:r>
                  <w:r w:rsidR="00EB1C5F">
                    <w:t xml:space="preserve">     </w:t>
                  </w:r>
                  <w:r>
                    <w:t>± 11.9</w:t>
                  </w:r>
                </w:p>
              </w:tc>
              <w:tc>
                <w:tcPr>
                  <w:tcW w:w="501" w:type="pct"/>
                  <w:vAlign w:val="center"/>
                </w:tcPr>
                <w:p w:rsidR="00016AF8" w:rsidRPr="00880A65" w:rsidRDefault="00016AF8" w:rsidP="00FE7252">
                  <w:pPr>
                    <w:pStyle w:val="TableBodyText"/>
                  </w:pPr>
                  <w:proofErr w:type="spellStart"/>
                  <w:r>
                    <w:t>na</w:t>
                  </w:r>
                  <w:proofErr w:type="spellEnd"/>
                </w:p>
              </w:tc>
              <w:tc>
                <w:tcPr>
                  <w:tcW w:w="500" w:type="pct"/>
                  <w:vAlign w:val="center"/>
                </w:tcPr>
                <w:p w:rsidR="00016AF8" w:rsidRPr="00880A65" w:rsidRDefault="00016AF8" w:rsidP="00FE7252">
                  <w:pPr>
                    <w:pStyle w:val="TableBodyText"/>
                  </w:pPr>
                  <w:proofErr w:type="spellStart"/>
                  <w:r>
                    <w:t>na</w:t>
                  </w:r>
                  <w:proofErr w:type="spellEnd"/>
                </w:p>
              </w:tc>
              <w:tc>
                <w:tcPr>
                  <w:tcW w:w="498" w:type="pct"/>
                  <w:vAlign w:val="center"/>
                </w:tcPr>
                <w:p w:rsidR="00016AF8" w:rsidRPr="00880A65" w:rsidRDefault="00016AF8" w:rsidP="00FE7252">
                  <w:pPr>
                    <w:pStyle w:val="TableBodyText"/>
                  </w:pPr>
                  <w:r>
                    <w:t xml:space="preserve">60.6 </w:t>
                  </w:r>
                  <w:r w:rsidR="00EB1C5F">
                    <w:t xml:space="preserve">     </w:t>
                  </w:r>
                  <w:r>
                    <w:t>± 12.9</w:t>
                  </w:r>
                </w:p>
              </w:tc>
              <w:tc>
                <w:tcPr>
                  <w:tcW w:w="495" w:type="pct"/>
                  <w:vAlign w:val="center"/>
                </w:tcPr>
                <w:p w:rsidR="00016AF8" w:rsidRPr="00880A65" w:rsidRDefault="00016AF8" w:rsidP="00FE7252">
                  <w:pPr>
                    <w:pStyle w:val="TableBodyText"/>
                  </w:pPr>
                  <w:r>
                    <w:t xml:space="preserve">49.0 </w:t>
                  </w:r>
                  <w:r w:rsidR="00EB1C5F">
                    <w:t xml:space="preserve">      </w:t>
                  </w:r>
                  <w:r>
                    <w:t>± 3</w:t>
                  </w:r>
                  <w:r w:rsidRPr="00880A65">
                    <w:t>.6</w:t>
                  </w:r>
                </w:p>
              </w:tc>
            </w:tr>
            <w:tr w:rsidR="00016AF8" w:rsidTr="000D7FCC">
              <w:tc>
                <w:tcPr>
                  <w:tcW w:w="5000" w:type="pct"/>
                  <w:gridSpan w:val="10"/>
                </w:tcPr>
                <w:p w:rsidR="00016AF8" w:rsidRDefault="00016AF8" w:rsidP="00D402D0">
                  <w:pPr>
                    <w:pStyle w:val="Source"/>
                    <w:spacing w:before="0" w:after="80"/>
                    <w:ind w:left="113"/>
                    <w:jc w:val="left"/>
                  </w:pPr>
                  <w:r w:rsidRPr="00253B66">
                    <w:rPr>
                      <w:i/>
                    </w:rPr>
                    <w:t>Source:</w:t>
                  </w:r>
                  <w:r w:rsidRPr="0046068B">
                    <w:rPr>
                      <w:i/>
                    </w:rPr>
                    <w:t xml:space="preserve"> </w:t>
                  </w:r>
                  <w:r w:rsidR="005E630C">
                    <w:t xml:space="preserve">Attachment table </w:t>
                  </w:r>
                  <w:proofErr w:type="spellStart"/>
                  <w:r w:rsidR="005E630C">
                    <w:t>3A.69</w:t>
                  </w:r>
                  <w:proofErr w:type="spellEnd"/>
                </w:p>
              </w:tc>
            </w:tr>
            <w:tr w:rsidR="00016AF8" w:rsidTr="00BC010D">
              <w:tc>
                <w:tcPr>
                  <w:tcW w:w="5000" w:type="pct"/>
                  <w:gridSpan w:val="10"/>
                </w:tcPr>
                <w:p w:rsidR="00016AF8" w:rsidRDefault="00016AF8" w:rsidP="00AE7A8F">
                  <w:pPr>
                    <w:pStyle w:val="DQIRowHeadings"/>
                  </w:pPr>
                  <w:r>
                    <w:t xml:space="preserve">Demand for </w:t>
                  </w:r>
                  <w:proofErr w:type="spellStart"/>
                  <w:r>
                    <w:t>ECEC</w:t>
                  </w:r>
                  <w:proofErr w:type="spellEnd"/>
                </w:p>
              </w:tc>
            </w:tr>
            <w:tr w:rsidR="00016AF8" w:rsidTr="00BC010D">
              <w:tc>
                <w:tcPr>
                  <w:tcW w:w="5000" w:type="pct"/>
                  <w:gridSpan w:val="10"/>
                </w:tcPr>
                <w:p w:rsidR="00016AF8" w:rsidRDefault="00016AF8" w:rsidP="00880A65">
                  <w:pPr>
                    <w:pStyle w:val="TableBodyText"/>
                    <w:ind w:left="113" w:right="28"/>
                    <w:jc w:val="left"/>
                  </w:pPr>
                  <w:r>
                    <w:t>Proportion of children aged 0–12 years for whom additional formal child care or preschool was currently required, 2014</w:t>
                  </w:r>
                </w:p>
              </w:tc>
            </w:tr>
            <w:tr w:rsidR="00016AF8" w:rsidTr="00BC010D">
              <w:tc>
                <w:tcPr>
                  <w:tcW w:w="5000" w:type="pct"/>
                  <w:gridSpan w:val="10"/>
                </w:tcPr>
                <w:p w:rsidR="00016AF8" w:rsidRDefault="00016AF8" w:rsidP="00AE7A8F">
                  <w:pPr>
                    <w:pStyle w:val="TableBodyText"/>
                    <w:ind w:left="113" w:right="28"/>
                    <w:jc w:val="left"/>
                  </w:pPr>
                  <w:r w:rsidRPr="00C47D6F">
                    <w:rPr>
                      <w:sz w:val="16"/>
                      <w:szCs w:val="16"/>
                    </w:rPr>
                    <w:t>Most recent data for this measure are comparable and complete, subject to caveats (chapter 3)</w:t>
                  </w:r>
                </w:p>
              </w:tc>
            </w:tr>
            <w:tr w:rsidR="00016AF8" w:rsidTr="00AE7A8F">
              <w:tc>
                <w:tcPr>
                  <w:tcW w:w="501" w:type="pct"/>
                  <w:vAlign w:val="center"/>
                </w:tcPr>
                <w:p w:rsidR="00016AF8" w:rsidRPr="00FE600D" w:rsidRDefault="00016AF8" w:rsidP="00AE7A8F">
                  <w:pPr>
                    <w:pStyle w:val="TableBodyText"/>
                  </w:pPr>
                  <w:r w:rsidRPr="00FE600D">
                    <w:t>%</w:t>
                  </w:r>
                </w:p>
              </w:tc>
              <w:tc>
                <w:tcPr>
                  <w:tcW w:w="501" w:type="pct"/>
                  <w:vAlign w:val="center"/>
                </w:tcPr>
                <w:p w:rsidR="00016AF8" w:rsidRPr="00880A65" w:rsidRDefault="00016AF8" w:rsidP="00AE7A8F">
                  <w:pPr>
                    <w:pStyle w:val="TableBodyText"/>
                  </w:pPr>
                  <w:r w:rsidRPr="00880A65">
                    <w:t xml:space="preserve">10.9 </w:t>
                  </w:r>
                  <w:r w:rsidR="00C074A8">
                    <w:t xml:space="preserve">     </w:t>
                  </w:r>
                  <w:r w:rsidRPr="00880A65">
                    <w:t>± 1.7</w:t>
                  </w:r>
                </w:p>
              </w:tc>
              <w:tc>
                <w:tcPr>
                  <w:tcW w:w="501" w:type="pct"/>
                  <w:vAlign w:val="center"/>
                </w:tcPr>
                <w:p w:rsidR="00016AF8" w:rsidRPr="00880A65" w:rsidRDefault="00016AF8" w:rsidP="00AE7A8F">
                  <w:pPr>
                    <w:pStyle w:val="TableBodyText"/>
                  </w:pPr>
                  <w:r w:rsidRPr="00880A65">
                    <w:t xml:space="preserve">9.5 </w:t>
                  </w:r>
                  <w:r w:rsidR="00DF0856">
                    <w:t xml:space="preserve"> </w:t>
                  </w:r>
                  <w:r w:rsidR="00C074A8">
                    <w:t xml:space="preserve">       </w:t>
                  </w:r>
                  <w:r w:rsidRPr="00880A65">
                    <w:t>± 1.6</w:t>
                  </w:r>
                </w:p>
              </w:tc>
              <w:tc>
                <w:tcPr>
                  <w:tcW w:w="501" w:type="pct"/>
                  <w:vAlign w:val="center"/>
                </w:tcPr>
                <w:p w:rsidR="00016AF8" w:rsidRPr="00880A65" w:rsidRDefault="00016AF8" w:rsidP="00AE7A8F">
                  <w:pPr>
                    <w:pStyle w:val="TableBodyText"/>
                  </w:pPr>
                  <w:r w:rsidRPr="00880A65">
                    <w:t xml:space="preserve">8.4 </w:t>
                  </w:r>
                  <w:r w:rsidR="00DF0856">
                    <w:t xml:space="preserve"> </w:t>
                  </w:r>
                  <w:r w:rsidR="00C074A8">
                    <w:t xml:space="preserve">      </w:t>
                  </w:r>
                  <w:r w:rsidRPr="00880A65">
                    <w:t>± 2.0</w:t>
                  </w:r>
                </w:p>
              </w:tc>
              <w:tc>
                <w:tcPr>
                  <w:tcW w:w="501" w:type="pct"/>
                  <w:vAlign w:val="center"/>
                </w:tcPr>
                <w:p w:rsidR="00016AF8" w:rsidRPr="00880A65" w:rsidRDefault="00016AF8" w:rsidP="00AE7A8F">
                  <w:pPr>
                    <w:pStyle w:val="TableBodyText"/>
                  </w:pPr>
                  <w:r w:rsidRPr="00880A65">
                    <w:t xml:space="preserve">10.1 </w:t>
                  </w:r>
                  <w:r w:rsidR="00C074A8">
                    <w:t xml:space="preserve">      </w:t>
                  </w:r>
                  <w:r w:rsidRPr="00880A65">
                    <w:t>± 2.4</w:t>
                  </w:r>
                </w:p>
              </w:tc>
              <w:tc>
                <w:tcPr>
                  <w:tcW w:w="501" w:type="pct"/>
                  <w:vAlign w:val="center"/>
                </w:tcPr>
                <w:p w:rsidR="00016AF8" w:rsidRPr="00880A65" w:rsidRDefault="00016AF8" w:rsidP="00AE7A8F">
                  <w:pPr>
                    <w:pStyle w:val="TableBodyText"/>
                  </w:pPr>
                  <w:r w:rsidRPr="00880A65">
                    <w:t xml:space="preserve">10.5 </w:t>
                  </w:r>
                  <w:r w:rsidR="00C074A8">
                    <w:t xml:space="preserve">     </w:t>
                  </w:r>
                  <w:r w:rsidRPr="00880A65">
                    <w:t>± 2.5</w:t>
                  </w:r>
                </w:p>
              </w:tc>
              <w:tc>
                <w:tcPr>
                  <w:tcW w:w="501" w:type="pct"/>
                  <w:vAlign w:val="center"/>
                </w:tcPr>
                <w:p w:rsidR="00016AF8" w:rsidRPr="00880A65" w:rsidRDefault="00016AF8" w:rsidP="00AE7A8F">
                  <w:pPr>
                    <w:pStyle w:val="TableBodyText"/>
                  </w:pPr>
                  <w:r w:rsidRPr="00880A65">
                    <w:t xml:space="preserve">11.0 </w:t>
                  </w:r>
                  <w:r w:rsidR="00C074A8">
                    <w:t xml:space="preserve">     </w:t>
                  </w:r>
                  <w:r w:rsidRPr="00880A65">
                    <w:t>± 3.6</w:t>
                  </w:r>
                </w:p>
              </w:tc>
              <w:tc>
                <w:tcPr>
                  <w:tcW w:w="500" w:type="pct"/>
                  <w:vAlign w:val="center"/>
                </w:tcPr>
                <w:p w:rsidR="00016AF8" w:rsidRPr="00880A65" w:rsidRDefault="00016AF8" w:rsidP="00AE7A8F">
                  <w:pPr>
                    <w:pStyle w:val="TableBodyText"/>
                  </w:pPr>
                  <w:r w:rsidRPr="00880A65">
                    <w:t xml:space="preserve">13.4 </w:t>
                  </w:r>
                  <w:r w:rsidR="00C074A8">
                    <w:t xml:space="preserve">     </w:t>
                  </w:r>
                  <w:r w:rsidRPr="00880A65">
                    <w:t>± 3.4</w:t>
                  </w:r>
                </w:p>
              </w:tc>
              <w:tc>
                <w:tcPr>
                  <w:tcW w:w="498" w:type="pct"/>
                  <w:vAlign w:val="center"/>
                </w:tcPr>
                <w:p w:rsidR="00016AF8" w:rsidRPr="00880A65" w:rsidRDefault="00016AF8" w:rsidP="00AE7A8F">
                  <w:pPr>
                    <w:pStyle w:val="TableBodyText"/>
                  </w:pPr>
                  <w:r w:rsidRPr="00880A65">
                    <w:t xml:space="preserve">11.8 </w:t>
                  </w:r>
                  <w:r w:rsidR="00C074A8">
                    <w:t xml:space="preserve">     </w:t>
                  </w:r>
                  <w:r w:rsidRPr="00880A65">
                    <w:t>± 4.4</w:t>
                  </w:r>
                </w:p>
              </w:tc>
              <w:tc>
                <w:tcPr>
                  <w:tcW w:w="495" w:type="pct"/>
                  <w:vAlign w:val="center"/>
                </w:tcPr>
                <w:p w:rsidR="00016AF8" w:rsidRPr="00880A65" w:rsidRDefault="00016AF8" w:rsidP="00AE7A8F">
                  <w:pPr>
                    <w:pStyle w:val="TableBodyText"/>
                  </w:pPr>
                  <w:r w:rsidRPr="00880A65">
                    <w:t xml:space="preserve">10.0 </w:t>
                  </w:r>
                  <w:r w:rsidR="00C074A8">
                    <w:t xml:space="preserve">     </w:t>
                  </w:r>
                  <w:r w:rsidRPr="00880A65">
                    <w:t>± 0.8</w:t>
                  </w:r>
                </w:p>
              </w:tc>
            </w:tr>
            <w:tr w:rsidR="00016AF8" w:rsidTr="00BC010D">
              <w:tc>
                <w:tcPr>
                  <w:tcW w:w="5000" w:type="pct"/>
                  <w:gridSpan w:val="10"/>
                </w:tcPr>
                <w:p w:rsidR="00016AF8" w:rsidRDefault="00016AF8" w:rsidP="006E26DB">
                  <w:pPr>
                    <w:pStyle w:val="Source"/>
                    <w:spacing w:before="0" w:after="80"/>
                    <w:ind w:left="113"/>
                  </w:pPr>
                  <w:r w:rsidRPr="00253B66">
                    <w:rPr>
                      <w:i/>
                    </w:rPr>
                    <w:t>Source:</w:t>
                  </w:r>
                  <w:r w:rsidRPr="0046068B">
                    <w:rPr>
                      <w:i/>
                    </w:rPr>
                    <w:t xml:space="preserve"> </w:t>
                  </w:r>
                  <w:r w:rsidR="005E630C">
                    <w:t xml:space="preserve">Attachment table </w:t>
                  </w:r>
                  <w:proofErr w:type="spellStart"/>
                  <w:r w:rsidR="005E630C">
                    <w:t>3A.70</w:t>
                  </w:r>
                  <w:proofErr w:type="spellEnd"/>
                </w:p>
              </w:tc>
            </w:tr>
            <w:tr w:rsidR="00016AF8" w:rsidTr="00B06495">
              <w:tc>
                <w:tcPr>
                  <w:tcW w:w="5000" w:type="pct"/>
                  <w:gridSpan w:val="10"/>
                </w:tcPr>
                <w:p w:rsidR="00016AF8" w:rsidRDefault="00016AF8" w:rsidP="00AE7A8F">
                  <w:pPr>
                    <w:pStyle w:val="DQIRowHeadings"/>
                  </w:pPr>
                  <w:r>
                    <w:t>Out-of-pocket costs of child care</w:t>
                  </w:r>
                </w:p>
              </w:tc>
            </w:tr>
            <w:tr w:rsidR="00016AF8" w:rsidTr="00B06495">
              <w:tc>
                <w:tcPr>
                  <w:tcW w:w="5000" w:type="pct"/>
                  <w:gridSpan w:val="10"/>
                </w:tcPr>
                <w:p w:rsidR="00016AF8" w:rsidRDefault="00016AF8" w:rsidP="00FB19AB">
                  <w:pPr>
                    <w:pStyle w:val="TableBodyText"/>
                    <w:ind w:left="113" w:right="28"/>
                    <w:jc w:val="left"/>
                  </w:pPr>
                  <w:r>
                    <w:t>Proportion of weekly disposable income that families with $75 000 gross annual income spend on one child for 50 hours long day care, after child subsidies, 2015</w:t>
                  </w:r>
                </w:p>
              </w:tc>
            </w:tr>
            <w:tr w:rsidR="00016AF8" w:rsidTr="00B06495">
              <w:tc>
                <w:tcPr>
                  <w:tcW w:w="5000" w:type="pct"/>
                  <w:gridSpan w:val="10"/>
                </w:tcPr>
                <w:p w:rsidR="00016AF8" w:rsidRDefault="00016AF8" w:rsidP="00AE7A8F">
                  <w:pPr>
                    <w:pStyle w:val="TableBodyText"/>
                    <w:ind w:left="113" w:right="28"/>
                    <w:jc w:val="left"/>
                  </w:pPr>
                  <w:r w:rsidRPr="00C47D6F">
                    <w:rPr>
                      <w:sz w:val="16"/>
                      <w:szCs w:val="16"/>
                    </w:rPr>
                    <w:t>Most recent data for this measure are comparable and complete, subject to caveats (chapter 3)</w:t>
                  </w:r>
                </w:p>
              </w:tc>
            </w:tr>
            <w:tr w:rsidR="00C03E73" w:rsidTr="00AE7A8F">
              <w:tc>
                <w:tcPr>
                  <w:tcW w:w="501" w:type="pct"/>
                  <w:vAlign w:val="center"/>
                </w:tcPr>
                <w:p w:rsidR="00C03E73" w:rsidRPr="00357189" w:rsidRDefault="00C03E73" w:rsidP="00AE7A8F">
                  <w:pPr>
                    <w:pStyle w:val="TableBodyText"/>
                  </w:pPr>
                  <w:r w:rsidRPr="00357189">
                    <w:t>%</w:t>
                  </w:r>
                </w:p>
              </w:tc>
              <w:tc>
                <w:tcPr>
                  <w:tcW w:w="501" w:type="pct"/>
                  <w:vAlign w:val="center"/>
                </w:tcPr>
                <w:p w:rsidR="00C03E73" w:rsidRPr="00C03E73" w:rsidRDefault="00C03E73" w:rsidP="00C03E73">
                  <w:pPr>
                    <w:pStyle w:val="TableBodyText"/>
                  </w:pPr>
                  <w:r w:rsidRPr="00C03E73">
                    <w:t xml:space="preserve">  11.2</w:t>
                  </w:r>
                </w:p>
              </w:tc>
              <w:tc>
                <w:tcPr>
                  <w:tcW w:w="501" w:type="pct"/>
                  <w:vAlign w:val="center"/>
                </w:tcPr>
                <w:p w:rsidR="00C03E73" w:rsidRPr="00C03E73" w:rsidRDefault="00C03E73" w:rsidP="00C03E73">
                  <w:pPr>
                    <w:pStyle w:val="TableBodyText"/>
                  </w:pPr>
                  <w:r w:rsidRPr="00C03E73">
                    <w:t xml:space="preserve">  11.1</w:t>
                  </w:r>
                </w:p>
              </w:tc>
              <w:tc>
                <w:tcPr>
                  <w:tcW w:w="501" w:type="pct"/>
                  <w:vAlign w:val="center"/>
                </w:tcPr>
                <w:p w:rsidR="00C03E73" w:rsidRPr="00C03E73" w:rsidRDefault="00C03E73" w:rsidP="00C03E73">
                  <w:pPr>
                    <w:pStyle w:val="TableBodyText"/>
                  </w:pPr>
                  <w:r w:rsidRPr="00C03E73">
                    <w:t xml:space="preserve">  8.3</w:t>
                  </w:r>
                </w:p>
              </w:tc>
              <w:tc>
                <w:tcPr>
                  <w:tcW w:w="501" w:type="pct"/>
                  <w:vAlign w:val="center"/>
                </w:tcPr>
                <w:p w:rsidR="00C03E73" w:rsidRPr="00C03E73" w:rsidRDefault="00C03E73" w:rsidP="00C03E73">
                  <w:pPr>
                    <w:pStyle w:val="TableBodyText"/>
                  </w:pPr>
                  <w:r w:rsidRPr="00C03E73">
                    <w:t xml:space="preserve">  10.8</w:t>
                  </w:r>
                </w:p>
              </w:tc>
              <w:tc>
                <w:tcPr>
                  <w:tcW w:w="501" w:type="pct"/>
                  <w:vAlign w:val="center"/>
                </w:tcPr>
                <w:p w:rsidR="00C03E73" w:rsidRPr="00C03E73" w:rsidRDefault="00C03E73" w:rsidP="00C03E73">
                  <w:pPr>
                    <w:pStyle w:val="TableBodyText"/>
                  </w:pPr>
                  <w:r w:rsidRPr="00C03E73">
                    <w:t xml:space="preserve">  9.5</w:t>
                  </w:r>
                </w:p>
              </w:tc>
              <w:tc>
                <w:tcPr>
                  <w:tcW w:w="501" w:type="pct"/>
                  <w:vAlign w:val="center"/>
                </w:tcPr>
                <w:p w:rsidR="00C03E73" w:rsidRPr="00C03E73" w:rsidRDefault="00C03E73" w:rsidP="00C03E73">
                  <w:pPr>
                    <w:pStyle w:val="TableBodyText"/>
                  </w:pPr>
                  <w:r w:rsidRPr="00C03E73">
                    <w:t xml:space="preserve">  9.2</w:t>
                  </w:r>
                </w:p>
              </w:tc>
              <w:tc>
                <w:tcPr>
                  <w:tcW w:w="500" w:type="pct"/>
                  <w:vAlign w:val="center"/>
                </w:tcPr>
                <w:p w:rsidR="00C03E73" w:rsidRPr="00C03E73" w:rsidRDefault="00C03E73" w:rsidP="00C03E73">
                  <w:pPr>
                    <w:pStyle w:val="TableBodyText"/>
                  </w:pPr>
                  <w:r w:rsidRPr="00C03E73">
                    <w:t xml:space="preserve">  13.8</w:t>
                  </w:r>
                </w:p>
              </w:tc>
              <w:tc>
                <w:tcPr>
                  <w:tcW w:w="498" w:type="pct"/>
                  <w:vAlign w:val="center"/>
                </w:tcPr>
                <w:p w:rsidR="00C03E73" w:rsidRPr="00C03E73" w:rsidRDefault="00C03E73" w:rsidP="00C03E73">
                  <w:pPr>
                    <w:pStyle w:val="TableBodyText"/>
                  </w:pPr>
                  <w:r w:rsidRPr="00C03E73">
                    <w:t xml:space="preserve">  10.2</w:t>
                  </w:r>
                </w:p>
              </w:tc>
              <w:tc>
                <w:tcPr>
                  <w:tcW w:w="495" w:type="pct"/>
                  <w:vAlign w:val="center"/>
                </w:tcPr>
                <w:p w:rsidR="00C03E73" w:rsidRPr="00C03E73" w:rsidRDefault="00C03E73" w:rsidP="00C03E73">
                  <w:pPr>
                    <w:pStyle w:val="TableBodyText"/>
                  </w:pPr>
                  <w:r w:rsidRPr="00C03E73">
                    <w:t xml:space="preserve">  10.4</w:t>
                  </w:r>
                </w:p>
              </w:tc>
            </w:tr>
            <w:tr w:rsidR="00C03E73" w:rsidTr="00B06495">
              <w:tc>
                <w:tcPr>
                  <w:tcW w:w="5000" w:type="pct"/>
                  <w:gridSpan w:val="10"/>
                </w:tcPr>
                <w:p w:rsidR="00C03E73" w:rsidRDefault="00C03E73" w:rsidP="006E26DB">
                  <w:pPr>
                    <w:pStyle w:val="Source"/>
                    <w:spacing w:before="0" w:after="80"/>
                    <w:ind w:left="113"/>
                    <w:jc w:val="left"/>
                  </w:pPr>
                  <w:r w:rsidRPr="00253B66">
                    <w:rPr>
                      <w:i/>
                    </w:rPr>
                    <w:t>Source:</w:t>
                  </w:r>
                  <w:r w:rsidRPr="0046068B">
                    <w:rPr>
                      <w:i/>
                    </w:rPr>
                    <w:t xml:space="preserve"> </w:t>
                  </w:r>
                  <w:r w:rsidR="005E630C">
                    <w:t xml:space="preserve">Attachment table </w:t>
                  </w:r>
                  <w:proofErr w:type="spellStart"/>
                  <w:r w:rsidR="005E630C">
                    <w:t>3A.72</w:t>
                  </w:r>
                  <w:proofErr w:type="spellEnd"/>
                </w:p>
              </w:tc>
            </w:tr>
            <w:tr w:rsidR="00C03E73" w:rsidTr="00B06495">
              <w:tc>
                <w:tcPr>
                  <w:tcW w:w="5000" w:type="pct"/>
                  <w:gridSpan w:val="10"/>
                </w:tcPr>
                <w:p w:rsidR="00C03E73" w:rsidRDefault="00C03E73" w:rsidP="00FB19AB">
                  <w:pPr>
                    <w:pStyle w:val="TableBodyText"/>
                    <w:ind w:left="113" w:right="28"/>
                    <w:jc w:val="left"/>
                  </w:pPr>
                  <w:r>
                    <w:t>Proportion of weekly disposable income that families with $75 000 gross annual income spend on one child for 30 hours long day care, after child subsidies, 2015</w:t>
                  </w:r>
                </w:p>
              </w:tc>
            </w:tr>
            <w:tr w:rsidR="00C03E73" w:rsidTr="00B06495">
              <w:tc>
                <w:tcPr>
                  <w:tcW w:w="5000" w:type="pct"/>
                  <w:gridSpan w:val="10"/>
                </w:tcPr>
                <w:p w:rsidR="00C03E73" w:rsidRDefault="00C03E73" w:rsidP="00AE7A8F">
                  <w:pPr>
                    <w:pStyle w:val="TableBodyText"/>
                    <w:ind w:left="113" w:right="28"/>
                    <w:jc w:val="left"/>
                  </w:pPr>
                  <w:r w:rsidRPr="00C47D6F">
                    <w:rPr>
                      <w:sz w:val="16"/>
                      <w:szCs w:val="16"/>
                    </w:rPr>
                    <w:t>Most recent data for this measure are comparable and complete, subject to caveats (chapter 3)</w:t>
                  </w:r>
                </w:p>
              </w:tc>
            </w:tr>
            <w:tr w:rsidR="00C03E73" w:rsidTr="00AE7A8F">
              <w:tc>
                <w:tcPr>
                  <w:tcW w:w="501" w:type="pct"/>
                  <w:vAlign w:val="center"/>
                </w:tcPr>
                <w:p w:rsidR="00C03E73" w:rsidRPr="00357189" w:rsidRDefault="00C03E73" w:rsidP="00AE7A8F">
                  <w:pPr>
                    <w:pStyle w:val="TableBodyText"/>
                  </w:pPr>
                  <w:r w:rsidRPr="00357189">
                    <w:t>%</w:t>
                  </w:r>
                </w:p>
              </w:tc>
              <w:tc>
                <w:tcPr>
                  <w:tcW w:w="501" w:type="pct"/>
                  <w:vAlign w:val="center"/>
                </w:tcPr>
                <w:p w:rsidR="00C03E73" w:rsidRPr="00C03E73" w:rsidRDefault="00C03E73" w:rsidP="00C03E73">
                  <w:pPr>
                    <w:pStyle w:val="TableBodyText"/>
                  </w:pPr>
                  <w:r w:rsidRPr="00C03E73">
                    <w:t xml:space="preserve">  6.4</w:t>
                  </w:r>
                </w:p>
              </w:tc>
              <w:tc>
                <w:tcPr>
                  <w:tcW w:w="501" w:type="pct"/>
                  <w:vAlign w:val="center"/>
                </w:tcPr>
                <w:p w:rsidR="00C03E73" w:rsidRPr="00C03E73" w:rsidRDefault="00C03E73" w:rsidP="00C03E73">
                  <w:pPr>
                    <w:pStyle w:val="TableBodyText"/>
                  </w:pPr>
                  <w:r w:rsidRPr="00C03E73">
                    <w:t xml:space="preserve">  6.3</w:t>
                  </w:r>
                </w:p>
              </w:tc>
              <w:tc>
                <w:tcPr>
                  <w:tcW w:w="501" w:type="pct"/>
                  <w:vAlign w:val="center"/>
                </w:tcPr>
                <w:p w:rsidR="00C03E73" w:rsidRPr="00C03E73" w:rsidRDefault="00C03E73" w:rsidP="00C03E73">
                  <w:pPr>
                    <w:pStyle w:val="TableBodyText"/>
                  </w:pPr>
                  <w:r w:rsidRPr="00C03E73">
                    <w:t xml:space="preserve">  4.6</w:t>
                  </w:r>
                </w:p>
              </w:tc>
              <w:tc>
                <w:tcPr>
                  <w:tcW w:w="501" w:type="pct"/>
                  <w:vAlign w:val="center"/>
                </w:tcPr>
                <w:p w:rsidR="00C03E73" w:rsidRPr="00C03E73" w:rsidRDefault="00C03E73" w:rsidP="00C03E73">
                  <w:pPr>
                    <w:pStyle w:val="TableBodyText"/>
                  </w:pPr>
                  <w:r w:rsidRPr="00C03E73">
                    <w:t xml:space="preserve">  6.2</w:t>
                  </w:r>
                </w:p>
              </w:tc>
              <w:tc>
                <w:tcPr>
                  <w:tcW w:w="501" w:type="pct"/>
                  <w:vAlign w:val="center"/>
                </w:tcPr>
                <w:p w:rsidR="00C03E73" w:rsidRPr="00C03E73" w:rsidRDefault="00C03E73" w:rsidP="00C03E73">
                  <w:pPr>
                    <w:pStyle w:val="TableBodyText"/>
                  </w:pPr>
                  <w:r w:rsidRPr="00C03E73">
                    <w:t xml:space="preserve">  5.3</w:t>
                  </w:r>
                </w:p>
              </w:tc>
              <w:tc>
                <w:tcPr>
                  <w:tcW w:w="501" w:type="pct"/>
                  <w:vAlign w:val="center"/>
                </w:tcPr>
                <w:p w:rsidR="00C03E73" w:rsidRPr="00C03E73" w:rsidRDefault="00C03E73" w:rsidP="00C03E73">
                  <w:pPr>
                    <w:pStyle w:val="TableBodyText"/>
                  </w:pPr>
                  <w:r w:rsidRPr="00C03E73">
                    <w:t xml:space="preserve">  5.3</w:t>
                  </w:r>
                </w:p>
              </w:tc>
              <w:tc>
                <w:tcPr>
                  <w:tcW w:w="500" w:type="pct"/>
                  <w:vAlign w:val="center"/>
                </w:tcPr>
                <w:p w:rsidR="00C03E73" w:rsidRPr="00C03E73" w:rsidRDefault="00C03E73" w:rsidP="00C03E73">
                  <w:pPr>
                    <w:pStyle w:val="TableBodyText"/>
                  </w:pPr>
                  <w:r w:rsidRPr="00C03E73">
                    <w:t xml:space="preserve">  7.9</w:t>
                  </w:r>
                </w:p>
              </w:tc>
              <w:tc>
                <w:tcPr>
                  <w:tcW w:w="498" w:type="pct"/>
                  <w:vAlign w:val="center"/>
                </w:tcPr>
                <w:p w:rsidR="00C03E73" w:rsidRPr="00C03E73" w:rsidRDefault="00C03E73" w:rsidP="00C03E73">
                  <w:pPr>
                    <w:pStyle w:val="TableBodyText"/>
                  </w:pPr>
                  <w:r w:rsidRPr="00C03E73">
                    <w:t xml:space="preserve">  5.7</w:t>
                  </w:r>
                </w:p>
              </w:tc>
              <w:tc>
                <w:tcPr>
                  <w:tcW w:w="495" w:type="pct"/>
                  <w:vAlign w:val="center"/>
                </w:tcPr>
                <w:p w:rsidR="00C03E73" w:rsidRPr="00C03E73" w:rsidRDefault="00C03E73" w:rsidP="00C03E73">
                  <w:pPr>
                    <w:pStyle w:val="TableBodyText"/>
                  </w:pPr>
                  <w:r w:rsidRPr="00C03E73">
                    <w:t xml:space="preserve">  5.9</w:t>
                  </w:r>
                </w:p>
              </w:tc>
            </w:tr>
            <w:tr w:rsidR="00C03E73" w:rsidTr="00B06495">
              <w:tc>
                <w:tcPr>
                  <w:tcW w:w="5000" w:type="pct"/>
                  <w:gridSpan w:val="10"/>
                </w:tcPr>
                <w:p w:rsidR="00C03E73" w:rsidRDefault="00C03E73" w:rsidP="006E26DB">
                  <w:pPr>
                    <w:pStyle w:val="Source"/>
                    <w:spacing w:before="0" w:after="80"/>
                    <w:ind w:left="113"/>
                    <w:jc w:val="left"/>
                  </w:pPr>
                  <w:r w:rsidRPr="00253B66">
                    <w:rPr>
                      <w:i/>
                    </w:rPr>
                    <w:t>Source:</w:t>
                  </w:r>
                  <w:r w:rsidRPr="0046068B">
                    <w:rPr>
                      <w:i/>
                    </w:rPr>
                    <w:t xml:space="preserve"> </w:t>
                  </w:r>
                  <w:r w:rsidR="005E630C">
                    <w:t xml:space="preserve">Attachment table </w:t>
                  </w:r>
                  <w:proofErr w:type="spellStart"/>
                  <w:r w:rsidR="005E630C">
                    <w:t>3A.74</w:t>
                  </w:r>
                  <w:proofErr w:type="spellEnd"/>
                </w:p>
              </w:tc>
            </w:tr>
            <w:tr w:rsidR="00C03E73" w:rsidTr="00B06495">
              <w:tc>
                <w:tcPr>
                  <w:tcW w:w="5000" w:type="pct"/>
                  <w:gridSpan w:val="10"/>
                </w:tcPr>
                <w:p w:rsidR="00C03E73" w:rsidRDefault="00C03E73" w:rsidP="00AE7A8F">
                  <w:pPr>
                    <w:pStyle w:val="DQIRowHeadings"/>
                  </w:pPr>
                  <w:proofErr w:type="spellStart"/>
                  <w:r>
                    <w:t>ECEC</w:t>
                  </w:r>
                  <w:proofErr w:type="spellEnd"/>
                  <w:r>
                    <w:t xml:space="preserve"> outcomes</w:t>
                  </w:r>
                </w:p>
              </w:tc>
            </w:tr>
            <w:tr w:rsidR="00C03E73" w:rsidTr="00B06495">
              <w:tc>
                <w:tcPr>
                  <w:tcW w:w="5000" w:type="pct"/>
                  <w:gridSpan w:val="10"/>
                </w:tcPr>
                <w:p w:rsidR="00C03E73" w:rsidRDefault="00C03E73" w:rsidP="00B06495">
                  <w:pPr>
                    <w:pStyle w:val="TableBodyText"/>
                    <w:ind w:left="113" w:right="28"/>
                    <w:jc w:val="left"/>
                  </w:pPr>
                  <w:r>
                    <w:t xml:space="preserve">Proportion of children who have had </w:t>
                  </w:r>
                  <w:proofErr w:type="spellStart"/>
                  <w:r>
                    <w:t>ECEC</w:t>
                  </w:r>
                  <w:proofErr w:type="spellEnd"/>
                  <w:r>
                    <w:t xml:space="preserve"> experience that are developmentally vulnerable on one or more domains of the </w:t>
                  </w:r>
                  <w:proofErr w:type="spellStart"/>
                  <w:r>
                    <w:t>AEDC</w:t>
                  </w:r>
                  <w:proofErr w:type="spellEnd"/>
                  <w:r>
                    <w:t>, 2012</w:t>
                  </w:r>
                </w:p>
              </w:tc>
            </w:tr>
            <w:tr w:rsidR="00C03E73" w:rsidTr="00B06495">
              <w:tc>
                <w:tcPr>
                  <w:tcW w:w="5000" w:type="pct"/>
                  <w:gridSpan w:val="10"/>
                </w:tcPr>
                <w:p w:rsidR="00C03E73" w:rsidRDefault="00C03E73" w:rsidP="00AE7A8F">
                  <w:pPr>
                    <w:pStyle w:val="TableBodyText"/>
                    <w:ind w:left="113" w:right="28"/>
                    <w:jc w:val="left"/>
                  </w:pPr>
                  <w:r w:rsidRPr="00C47D6F">
                    <w:rPr>
                      <w:sz w:val="16"/>
                      <w:szCs w:val="16"/>
                    </w:rPr>
                    <w:t>Most recent data for this measure are comparable and complete, subject to caveats (chapter 3)</w:t>
                  </w:r>
                </w:p>
              </w:tc>
            </w:tr>
            <w:tr w:rsidR="00C03E73" w:rsidTr="00D44CBF">
              <w:tc>
                <w:tcPr>
                  <w:tcW w:w="501" w:type="pct"/>
                  <w:vAlign w:val="center"/>
                </w:tcPr>
                <w:p w:rsidR="00C03E73" w:rsidRPr="00002716" w:rsidRDefault="00C03E73" w:rsidP="00AE7A8F">
                  <w:pPr>
                    <w:pStyle w:val="TableBodyText"/>
                    <w:rPr>
                      <w:color w:val="FF0000"/>
                    </w:rPr>
                  </w:pPr>
                  <w:r w:rsidRPr="00606397">
                    <w:t>%</w:t>
                  </w:r>
                </w:p>
              </w:tc>
              <w:tc>
                <w:tcPr>
                  <w:tcW w:w="501" w:type="pct"/>
                  <w:vAlign w:val="center"/>
                </w:tcPr>
                <w:p w:rsidR="00C03E73" w:rsidRPr="00C03E73" w:rsidRDefault="00C03E73" w:rsidP="00C03E73">
                  <w:pPr>
                    <w:pStyle w:val="TableBodyText"/>
                  </w:pPr>
                  <w:r w:rsidRPr="00C03E73">
                    <w:t>19.9</w:t>
                  </w:r>
                </w:p>
              </w:tc>
              <w:tc>
                <w:tcPr>
                  <w:tcW w:w="501" w:type="pct"/>
                  <w:vAlign w:val="center"/>
                </w:tcPr>
                <w:p w:rsidR="00C03E73" w:rsidRPr="00C03E73" w:rsidRDefault="00C03E73" w:rsidP="00C03E73">
                  <w:pPr>
                    <w:pStyle w:val="TableBodyText"/>
                  </w:pPr>
                  <w:r w:rsidRPr="00C03E73">
                    <w:t>19.5</w:t>
                  </w:r>
                </w:p>
              </w:tc>
              <w:tc>
                <w:tcPr>
                  <w:tcW w:w="501" w:type="pct"/>
                  <w:vAlign w:val="center"/>
                </w:tcPr>
                <w:p w:rsidR="00C03E73" w:rsidRPr="00C03E73" w:rsidRDefault="00C03E73" w:rsidP="00C03E73">
                  <w:pPr>
                    <w:pStyle w:val="TableBodyText"/>
                  </w:pPr>
                  <w:r w:rsidRPr="00C03E73">
                    <w:t>26.2</w:t>
                  </w:r>
                </w:p>
              </w:tc>
              <w:tc>
                <w:tcPr>
                  <w:tcW w:w="501" w:type="pct"/>
                  <w:vAlign w:val="center"/>
                </w:tcPr>
                <w:p w:rsidR="00C03E73" w:rsidRPr="00C03E73" w:rsidRDefault="00C03E73" w:rsidP="00C03E73">
                  <w:pPr>
                    <w:pStyle w:val="TableBodyText"/>
                  </w:pPr>
                  <w:r w:rsidRPr="00C03E73">
                    <w:t>23.0</w:t>
                  </w:r>
                </w:p>
              </w:tc>
              <w:tc>
                <w:tcPr>
                  <w:tcW w:w="501" w:type="pct"/>
                  <w:vAlign w:val="center"/>
                </w:tcPr>
                <w:p w:rsidR="00C03E73" w:rsidRPr="00C03E73" w:rsidRDefault="00C03E73" w:rsidP="00C03E73">
                  <w:pPr>
                    <w:pStyle w:val="TableBodyText"/>
                  </w:pPr>
                  <w:r w:rsidRPr="00C03E73">
                    <w:t>23.7</w:t>
                  </w:r>
                </w:p>
              </w:tc>
              <w:tc>
                <w:tcPr>
                  <w:tcW w:w="501" w:type="pct"/>
                  <w:vAlign w:val="center"/>
                </w:tcPr>
                <w:p w:rsidR="00C03E73" w:rsidRPr="00C03E73" w:rsidRDefault="00C03E73" w:rsidP="00C03E73">
                  <w:pPr>
                    <w:pStyle w:val="TableBodyText"/>
                  </w:pPr>
                  <w:r w:rsidRPr="00C03E73">
                    <w:t>21.5</w:t>
                  </w:r>
                </w:p>
              </w:tc>
              <w:tc>
                <w:tcPr>
                  <w:tcW w:w="500" w:type="pct"/>
                  <w:vAlign w:val="center"/>
                </w:tcPr>
                <w:p w:rsidR="00C03E73" w:rsidRPr="00C03E73" w:rsidRDefault="00C03E73" w:rsidP="00C03E73">
                  <w:pPr>
                    <w:pStyle w:val="TableBodyText"/>
                  </w:pPr>
                  <w:r w:rsidRPr="00C03E73">
                    <w:t>22.0</w:t>
                  </w:r>
                </w:p>
              </w:tc>
              <w:tc>
                <w:tcPr>
                  <w:tcW w:w="498" w:type="pct"/>
                  <w:vAlign w:val="center"/>
                </w:tcPr>
                <w:p w:rsidR="00C03E73" w:rsidRPr="00C03E73" w:rsidRDefault="00C03E73" w:rsidP="00C03E73">
                  <w:pPr>
                    <w:pStyle w:val="TableBodyText"/>
                  </w:pPr>
                  <w:r w:rsidRPr="00C03E73">
                    <w:t>35.5</w:t>
                  </w:r>
                </w:p>
              </w:tc>
              <w:tc>
                <w:tcPr>
                  <w:tcW w:w="495" w:type="pct"/>
                  <w:vAlign w:val="center"/>
                </w:tcPr>
                <w:p w:rsidR="00C03E73" w:rsidRPr="00C03E73" w:rsidRDefault="00C03E73" w:rsidP="00C03E73">
                  <w:pPr>
                    <w:pStyle w:val="TableBodyText"/>
                  </w:pPr>
                  <w:r w:rsidRPr="00C03E73">
                    <w:t>22.0</w:t>
                  </w:r>
                </w:p>
              </w:tc>
            </w:tr>
            <w:tr w:rsidR="00C03E73" w:rsidTr="00D44CBF">
              <w:tc>
                <w:tcPr>
                  <w:tcW w:w="5000" w:type="pct"/>
                  <w:gridSpan w:val="10"/>
                  <w:tcBorders>
                    <w:bottom w:val="single" w:sz="6" w:space="0" w:color="BFBFBF"/>
                  </w:tcBorders>
                </w:tcPr>
                <w:p w:rsidR="00C03E73" w:rsidRDefault="00C03E73" w:rsidP="006E26DB">
                  <w:pPr>
                    <w:pStyle w:val="Source"/>
                    <w:spacing w:before="0" w:after="80"/>
                    <w:ind w:left="113"/>
                  </w:pPr>
                  <w:r w:rsidRPr="00253B66">
                    <w:rPr>
                      <w:i/>
                    </w:rPr>
                    <w:t>Source:</w:t>
                  </w:r>
                  <w:r w:rsidRPr="0046068B">
                    <w:rPr>
                      <w:i/>
                    </w:rPr>
                    <w:t xml:space="preserve"> </w:t>
                  </w:r>
                  <w:r w:rsidR="005E630C">
                    <w:t xml:space="preserve">Attachment table </w:t>
                  </w:r>
                  <w:proofErr w:type="spellStart"/>
                  <w:r w:rsidR="005E630C">
                    <w:t>3A.76</w:t>
                  </w:r>
                  <w:proofErr w:type="spellEnd"/>
                </w:p>
              </w:tc>
            </w:tr>
          </w:tbl>
          <w:p w:rsidR="00AC0CAA" w:rsidRDefault="00AC0CAA" w:rsidP="00CE10AD">
            <w:pPr>
              <w:pStyle w:val="Box"/>
            </w:pPr>
          </w:p>
        </w:tc>
      </w:tr>
      <w:tr w:rsidR="00AC0CAA" w:rsidTr="00CE10AD">
        <w:trPr>
          <w:cantSplit/>
        </w:trPr>
        <w:tc>
          <w:tcPr>
            <w:tcW w:w="8771" w:type="dxa"/>
            <w:tcBorders>
              <w:top w:val="nil"/>
              <w:left w:val="nil"/>
              <w:bottom w:val="nil"/>
              <w:right w:val="nil"/>
            </w:tcBorders>
            <w:shd w:val="clear" w:color="auto" w:fill="auto"/>
          </w:tcPr>
          <w:p w:rsidR="00AC0CAA" w:rsidRDefault="00AC0CAA" w:rsidP="00CE10AD">
            <w:pPr>
              <w:pStyle w:val="Note"/>
              <w:rPr>
                <w:i/>
              </w:rPr>
            </w:pPr>
            <w:r w:rsidRPr="008E77FE">
              <w:rPr>
                <w:rStyle w:val="NoteLabel"/>
              </w:rPr>
              <w:t>a</w:t>
            </w:r>
            <w:r>
              <w:t xml:space="preserve"> Caveats for these data are available in chapter 3 and attachment </w:t>
            </w:r>
            <w:proofErr w:type="spellStart"/>
            <w:r>
              <w:t>3A</w:t>
            </w:r>
            <w:proofErr w:type="spellEnd"/>
            <w:r>
              <w:t xml:space="preserve">. Refer to the indicator interpretation boxes in chapter 3 for information to assist with the interpretation of data presented in this table. </w:t>
            </w:r>
            <w:r>
              <w:rPr>
                <w:rStyle w:val="NoteLabel"/>
              </w:rPr>
              <w:t>b</w:t>
            </w:r>
            <w:r>
              <w:t xml:space="preserve"> These data are derived from detailed data in chapter 3 and attachment </w:t>
            </w:r>
            <w:proofErr w:type="spellStart"/>
            <w:r>
              <w:t>3A</w:t>
            </w:r>
            <w:proofErr w:type="spellEnd"/>
            <w:r>
              <w:t xml:space="preserve">. </w:t>
            </w:r>
            <w:r>
              <w:rPr>
                <w:rStyle w:val="NoteLabel"/>
              </w:rPr>
              <w:t xml:space="preserve">c </w:t>
            </w:r>
            <w:r>
              <w:t xml:space="preserve">Some percentages reported in this table include 95 per cent confidence intervals (for example, 80 per cent </w:t>
            </w:r>
            <w:r>
              <w:rPr>
                <w:rFonts w:cs="Arial"/>
              </w:rPr>
              <w:t>±</w:t>
            </w:r>
            <w:r>
              <w:t xml:space="preserve"> 2.7 per cent).</w:t>
            </w:r>
            <w:r w:rsidR="008832A9">
              <w:t xml:space="preserve"> </w:t>
            </w:r>
            <w:proofErr w:type="spellStart"/>
            <w:r w:rsidR="008832A9" w:rsidRPr="008832A9">
              <w:rPr>
                <w:b/>
              </w:rPr>
              <w:t>na</w:t>
            </w:r>
            <w:proofErr w:type="spellEnd"/>
            <w:r w:rsidR="008832A9" w:rsidRPr="008832A9">
              <w:rPr>
                <w:b/>
              </w:rPr>
              <w:t xml:space="preserve"> </w:t>
            </w:r>
            <w:r w:rsidR="008832A9">
              <w:t>Not available. .. Not applicable.</w:t>
            </w:r>
            <w:r w:rsidR="008832A9" w:rsidRPr="004275EF">
              <w:rPr>
                <w:b/>
              </w:rPr>
              <w:t xml:space="preserve"> </w:t>
            </w:r>
            <w:r w:rsidR="008832A9" w:rsidRPr="008C6808">
              <w:t>–</w:t>
            </w:r>
            <w:r w:rsidR="008832A9" w:rsidRPr="004275EF">
              <w:t xml:space="preserve"> Nil or rounded to zero</w:t>
            </w:r>
            <w:r w:rsidR="008832A9">
              <w:t>.</w:t>
            </w:r>
            <w:r w:rsidR="008832A9" w:rsidRPr="004275EF">
              <w:t xml:space="preserve"> </w:t>
            </w:r>
            <w:r w:rsidR="008832A9" w:rsidRPr="0018259F">
              <w:rPr>
                <w:b/>
              </w:rPr>
              <w:t>np</w:t>
            </w:r>
            <w:r w:rsidR="008832A9">
              <w:t xml:space="preserve"> Not published.</w:t>
            </w:r>
          </w:p>
        </w:tc>
      </w:tr>
      <w:tr w:rsidR="00AC0CAA" w:rsidTr="00CE10AD">
        <w:trPr>
          <w:cantSplit/>
        </w:trPr>
        <w:tc>
          <w:tcPr>
            <w:tcW w:w="8771" w:type="dxa"/>
            <w:tcBorders>
              <w:top w:val="nil"/>
              <w:left w:val="nil"/>
              <w:bottom w:val="nil"/>
              <w:right w:val="nil"/>
            </w:tcBorders>
            <w:shd w:val="clear" w:color="auto" w:fill="auto"/>
          </w:tcPr>
          <w:p w:rsidR="00AC0CAA" w:rsidRDefault="00AC0CAA" w:rsidP="00CE10AD">
            <w:pPr>
              <w:pStyle w:val="Source"/>
            </w:pPr>
            <w:r>
              <w:rPr>
                <w:i/>
              </w:rPr>
              <w:t>Source</w:t>
            </w:r>
            <w:r w:rsidRPr="00167F06">
              <w:t xml:space="preserve">: </w:t>
            </w:r>
            <w:r>
              <w:t xml:space="preserve">Chapter 3 and attachment </w:t>
            </w:r>
            <w:proofErr w:type="spellStart"/>
            <w:r>
              <w:t>3A</w:t>
            </w:r>
            <w:proofErr w:type="spellEnd"/>
            <w:r>
              <w:t>.</w:t>
            </w:r>
          </w:p>
        </w:tc>
      </w:tr>
      <w:tr w:rsidR="00AC0CAA" w:rsidTr="00CE10AD">
        <w:trPr>
          <w:cantSplit/>
        </w:trPr>
        <w:tc>
          <w:tcPr>
            <w:tcW w:w="8771" w:type="dxa"/>
            <w:tcBorders>
              <w:top w:val="nil"/>
              <w:left w:val="nil"/>
              <w:bottom w:val="single" w:sz="6" w:space="0" w:color="78A22F"/>
              <w:right w:val="nil"/>
            </w:tcBorders>
            <w:shd w:val="clear" w:color="auto" w:fill="auto"/>
          </w:tcPr>
          <w:p w:rsidR="00AC0CAA" w:rsidRDefault="00AC0CAA" w:rsidP="00CE10AD">
            <w:pPr>
              <w:pStyle w:val="Box"/>
              <w:spacing w:before="0" w:line="120" w:lineRule="exact"/>
            </w:pPr>
          </w:p>
        </w:tc>
      </w:tr>
      <w:tr w:rsidR="00AC0CAA" w:rsidRPr="000863A5" w:rsidTr="00CE10AD">
        <w:tc>
          <w:tcPr>
            <w:tcW w:w="8771" w:type="dxa"/>
            <w:tcBorders>
              <w:top w:val="single" w:sz="6" w:space="0" w:color="78A22F"/>
              <w:left w:val="nil"/>
              <w:bottom w:val="nil"/>
              <w:right w:val="nil"/>
            </w:tcBorders>
          </w:tcPr>
          <w:p w:rsidR="00AC0CAA" w:rsidRPr="00626D32" w:rsidRDefault="00AC0CAA" w:rsidP="00CE10AD">
            <w:pPr>
              <w:pStyle w:val="BoxSpaceBelow"/>
            </w:pPr>
          </w:p>
        </w:tc>
      </w:tr>
    </w:tbl>
    <w:p w:rsidR="005E7069" w:rsidRDefault="005E7069" w:rsidP="005E7069">
      <w:pPr>
        <w:pStyle w:val="Heading4"/>
      </w:pPr>
      <w:r>
        <w:lastRenderedPageBreak/>
        <w:t>School education</w:t>
      </w:r>
    </w:p>
    <w:p w:rsidR="00D60DD8" w:rsidRDefault="00D60DD8" w:rsidP="00D60DD8">
      <w:pPr>
        <w:pStyle w:val="BodyText"/>
        <w:rPr>
          <w:color w:val="000000"/>
        </w:rPr>
      </w:pPr>
      <w:r>
        <w:t>The performance indicator framework for school education is presented in figure </w:t>
      </w:r>
      <w:proofErr w:type="spellStart"/>
      <w:r>
        <w:t>B.2</w:t>
      </w:r>
      <w:r w:rsidR="00EF7008">
        <w:t>1</w:t>
      </w:r>
      <w:proofErr w:type="spellEnd"/>
      <w:r>
        <w:t>.</w:t>
      </w:r>
      <w:r w:rsidR="007125E1" w:rsidRPr="007125E1">
        <w:t xml:space="preserve"> </w:t>
      </w:r>
      <w:r w:rsidR="007125E1" w:rsidRPr="006E14D5">
        <w:t xml:space="preserve">An overview of the </w:t>
      </w:r>
      <w:r w:rsidR="007125E1">
        <w:t>school education</w:t>
      </w:r>
      <w:r w:rsidR="007125E1" w:rsidRPr="006E14D5">
        <w:t xml:space="preserve"> performance indicator results are presented</w:t>
      </w:r>
      <w:r w:rsidR="007125E1">
        <w:t xml:space="preserve"> </w:t>
      </w:r>
      <w:r w:rsidR="007125E1" w:rsidRPr="006E14D5">
        <w:t xml:space="preserve">in table </w:t>
      </w:r>
      <w:proofErr w:type="spellStart"/>
      <w:r w:rsidR="007125E1">
        <w:t>B.2</w:t>
      </w:r>
      <w:proofErr w:type="spellEnd"/>
      <w:r w:rsidR="00FF488C">
        <w:rPr>
          <w:color w:val="000000"/>
        </w:rPr>
        <w:t>.</w:t>
      </w:r>
    </w:p>
    <w:p w:rsidR="00291348" w:rsidRDefault="00291348"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1348" w:rsidTr="00F95957">
        <w:tc>
          <w:tcPr>
            <w:tcW w:w="8771" w:type="dxa"/>
            <w:tcBorders>
              <w:top w:val="single" w:sz="6" w:space="0" w:color="78A22F"/>
              <w:left w:val="nil"/>
              <w:bottom w:val="nil"/>
              <w:right w:val="nil"/>
            </w:tcBorders>
            <w:shd w:val="clear" w:color="auto" w:fill="auto"/>
          </w:tcPr>
          <w:p w:rsidR="00291348" w:rsidRPr="00176D3F" w:rsidRDefault="00291348" w:rsidP="00291348">
            <w:pPr>
              <w:pStyle w:val="FigureTitle"/>
            </w:pPr>
            <w:r w:rsidRPr="00784A05">
              <w:rPr>
                <w:b w:val="0"/>
              </w:rPr>
              <w:t>Figure</w:t>
            </w:r>
            <w:r>
              <w:rPr>
                <w:b w:val="0"/>
              </w:rPr>
              <w:t xml:space="preserve"> </w:t>
            </w:r>
            <w:proofErr w:type="spellStart"/>
            <w:r>
              <w:rPr>
                <w:b w:val="0"/>
              </w:rPr>
              <w:t>B.21</w:t>
            </w:r>
            <w:proofErr w:type="spellEnd"/>
            <w:r>
              <w:tab/>
              <w:t>School education</w:t>
            </w:r>
            <w:r w:rsidRPr="000214D6">
              <w:t xml:space="preserve"> </w:t>
            </w:r>
            <w:r>
              <w:t>performance indicator framework</w:t>
            </w:r>
          </w:p>
        </w:tc>
      </w:tr>
      <w:tr w:rsidR="00291348"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91348" w:rsidTr="00D27860">
              <w:trPr>
                <w:jc w:val="center"/>
              </w:trPr>
              <w:tc>
                <w:tcPr>
                  <w:tcW w:w="5000" w:type="pct"/>
                  <w:tcBorders>
                    <w:top w:val="nil"/>
                    <w:bottom w:val="nil"/>
                  </w:tcBorders>
                </w:tcPr>
                <w:p w:rsidR="00291348" w:rsidRDefault="00291348" w:rsidP="007C17A6">
                  <w:pPr>
                    <w:pStyle w:val="Figure"/>
                    <w:spacing w:before="60" w:after="60"/>
                  </w:pPr>
                  <w:r>
                    <w:rPr>
                      <w:noProof/>
                    </w:rPr>
                    <w:drawing>
                      <wp:inline distT="0" distB="0" distL="0" distR="0" wp14:anchorId="55E24094" wp14:editId="63D44AE6">
                        <wp:extent cx="5367647" cy="3669060"/>
                        <wp:effectExtent l="0" t="0" r="5080" b="7620"/>
                        <wp:docPr id="2" name="Picture 2" descr="Figure B.21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Chapter 4_Schools.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7610" cy="3669035"/>
                                </a:xfrm>
                                <a:prstGeom prst="rect">
                                  <a:avLst/>
                                </a:prstGeom>
                                <a:noFill/>
                                <a:ln>
                                  <a:noFill/>
                                </a:ln>
                              </pic:spPr>
                            </pic:pic>
                          </a:graphicData>
                        </a:graphic>
                      </wp:inline>
                    </w:drawing>
                  </w:r>
                </w:p>
              </w:tc>
            </w:tr>
          </w:tbl>
          <w:p w:rsidR="00291348" w:rsidRDefault="00291348" w:rsidP="00176D3F">
            <w:pPr>
              <w:pStyle w:val="Figure"/>
            </w:pPr>
          </w:p>
        </w:tc>
      </w:tr>
      <w:tr w:rsidR="00291348" w:rsidTr="00F95957">
        <w:tc>
          <w:tcPr>
            <w:tcW w:w="8771" w:type="dxa"/>
            <w:tcBorders>
              <w:top w:val="nil"/>
              <w:left w:val="nil"/>
              <w:bottom w:val="single" w:sz="6" w:space="0" w:color="78A22F"/>
              <w:right w:val="nil"/>
            </w:tcBorders>
            <w:shd w:val="clear" w:color="auto" w:fill="auto"/>
          </w:tcPr>
          <w:p w:rsidR="00291348" w:rsidRDefault="00291348" w:rsidP="00176D3F">
            <w:pPr>
              <w:pStyle w:val="Figurespace"/>
            </w:pPr>
          </w:p>
        </w:tc>
      </w:tr>
      <w:tr w:rsidR="00291348" w:rsidRPr="000863A5" w:rsidTr="00215A8A">
        <w:tc>
          <w:tcPr>
            <w:tcW w:w="8771" w:type="dxa"/>
            <w:tcBorders>
              <w:top w:val="single" w:sz="6" w:space="0" w:color="78A22F"/>
              <w:left w:val="nil"/>
              <w:bottom w:val="nil"/>
              <w:right w:val="nil"/>
            </w:tcBorders>
          </w:tcPr>
          <w:p w:rsidR="00291348" w:rsidRPr="00626D32" w:rsidRDefault="00291348" w:rsidP="00176D3F">
            <w:pPr>
              <w:pStyle w:val="BoxSpaceBelow"/>
            </w:pPr>
          </w:p>
        </w:tc>
      </w:tr>
    </w:tbl>
    <w:p w:rsidR="00291348" w:rsidRDefault="00291348" w:rsidP="00D60DD8">
      <w:pPr>
        <w:pStyle w:val="BodyText"/>
        <w:rPr>
          <w:color w:val="000000"/>
        </w:rPr>
      </w:pPr>
    </w:p>
    <w:p w:rsidR="009A47FF" w:rsidRDefault="009A47FF" w:rsidP="009A47F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A47FF" w:rsidRPr="009A47FF" w:rsidTr="00AE7A8F">
        <w:tc>
          <w:tcPr>
            <w:tcW w:w="8771" w:type="dxa"/>
            <w:tcBorders>
              <w:top w:val="single" w:sz="6" w:space="0" w:color="78A22F"/>
              <w:left w:val="nil"/>
              <w:bottom w:val="nil"/>
              <w:right w:val="nil"/>
            </w:tcBorders>
            <w:shd w:val="clear" w:color="auto" w:fill="auto"/>
          </w:tcPr>
          <w:p w:rsidR="009A47FF" w:rsidRPr="009A47FF" w:rsidRDefault="009A47FF" w:rsidP="006C5FA4">
            <w:pPr>
              <w:pStyle w:val="TableTitle"/>
              <w:rPr>
                <w:color w:val="FF0000"/>
              </w:rPr>
            </w:pPr>
            <w:r w:rsidRPr="009A47FF">
              <w:rPr>
                <w:b w:val="0"/>
              </w:rPr>
              <w:t xml:space="preserve">Table </w:t>
            </w:r>
            <w:proofErr w:type="spellStart"/>
            <w:r w:rsidRPr="009A47FF">
              <w:rPr>
                <w:b w:val="0"/>
              </w:rPr>
              <w:t>B.</w:t>
            </w:r>
            <w:bookmarkStart w:id="35" w:name="OLE_LINK2"/>
            <w:r w:rsidR="00501FB3">
              <w:rPr>
                <w:b w:val="0"/>
                <w:noProof/>
              </w:rPr>
              <w:t>2</w:t>
            </w:r>
            <w:bookmarkEnd w:id="35"/>
            <w:proofErr w:type="spellEnd"/>
            <w:r w:rsidRPr="009A47FF">
              <w:tab/>
              <w:t xml:space="preserve">Performance indicator results for </w:t>
            </w:r>
            <w:r>
              <w:t>s</w:t>
            </w:r>
            <w:r w:rsidRPr="009A47FF">
              <w:t>chool education</w:t>
            </w:r>
            <w:r w:rsidRPr="009A47FF">
              <w:rPr>
                <w:rStyle w:val="NoteLabel"/>
                <w:b/>
              </w:rPr>
              <w:t>a, b, c</w:t>
            </w:r>
            <w:r w:rsidR="00151A61" w:rsidRPr="00151A61">
              <w:rPr>
                <w:rStyle w:val="NoteLabel"/>
                <w:b/>
                <w:color w:val="FF0000"/>
              </w:rPr>
              <w:t xml:space="preserve"> </w:t>
            </w:r>
            <w:r w:rsidR="006F1B66">
              <w:rPr>
                <w:rStyle w:val="NoteLabel"/>
                <w:b/>
                <w:color w:val="FF0000"/>
              </w:rPr>
              <w:t xml:space="preserve">       </w:t>
            </w:r>
          </w:p>
        </w:tc>
      </w:tr>
      <w:tr w:rsidR="009A47FF" w:rsidRPr="007322B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50"/>
              <w:gridCol w:w="842"/>
              <w:gridCol w:w="842"/>
            </w:tblGrid>
            <w:tr w:rsidR="007322BC" w:rsidRPr="007322BC" w:rsidTr="00AE7A8F">
              <w:tc>
                <w:tcPr>
                  <w:tcW w:w="501" w:type="pct"/>
                  <w:tcBorders>
                    <w:top w:val="single" w:sz="6" w:space="0" w:color="BFBFBF"/>
                    <w:bottom w:val="single" w:sz="6" w:space="0" w:color="BFBFBF"/>
                  </w:tcBorders>
                  <w:shd w:val="clear" w:color="auto" w:fill="auto"/>
                  <w:tcMar>
                    <w:top w:w="28" w:type="dxa"/>
                  </w:tcMar>
                </w:tcPr>
                <w:p w:rsidR="009A47FF" w:rsidRPr="007322BC" w:rsidRDefault="009A47FF" w:rsidP="00AE7A8F">
                  <w:pPr>
                    <w:pStyle w:val="TableColumnHeading"/>
                    <w:jc w:val="left"/>
                  </w:pPr>
                </w:p>
              </w:tc>
              <w:tc>
                <w:tcPr>
                  <w:tcW w:w="501" w:type="pct"/>
                  <w:tcBorders>
                    <w:top w:val="single" w:sz="6" w:space="0" w:color="BFBFBF"/>
                    <w:bottom w:val="single" w:sz="6" w:space="0" w:color="BFBFBF"/>
                  </w:tcBorders>
                </w:tcPr>
                <w:p w:rsidR="009A47FF" w:rsidRPr="007322BC" w:rsidRDefault="009A47FF" w:rsidP="00AE7A8F">
                  <w:pPr>
                    <w:pStyle w:val="TableColumnHeading"/>
                  </w:pPr>
                  <w:r w:rsidRPr="007322BC">
                    <w:t>NSW</w:t>
                  </w:r>
                </w:p>
              </w:tc>
              <w:tc>
                <w:tcPr>
                  <w:tcW w:w="501" w:type="pct"/>
                  <w:tcBorders>
                    <w:top w:val="single" w:sz="6" w:space="0" w:color="BFBFBF"/>
                    <w:bottom w:val="single" w:sz="6" w:space="0" w:color="BFBFBF"/>
                  </w:tcBorders>
                </w:tcPr>
                <w:p w:rsidR="009A47FF" w:rsidRPr="007322BC" w:rsidRDefault="009A47FF" w:rsidP="00AE7A8F">
                  <w:pPr>
                    <w:pStyle w:val="TableColumnHeading"/>
                  </w:pPr>
                  <w:r w:rsidRPr="007322BC">
                    <w:t>Vic</w:t>
                  </w:r>
                </w:p>
              </w:tc>
              <w:tc>
                <w:tcPr>
                  <w:tcW w:w="501" w:type="pct"/>
                  <w:tcBorders>
                    <w:top w:val="single" w:sz="6" w:space="0" w:color="BFBFBF"/>
                    <w:bottom w:val="single" w:sz="6" w:space="0" w:color="BFBFBF"/>
                  </w:tcBorders>
                </w:tcPr>
                <w:p w:rsidR="009A47FF" w:rsidRPr="007322BC" w:rsidRDefault="009A47FF" w:rsidP="00AE7A8F">
                  <w:pPr>
                    <w:pStyle w:val="TableColumnHeading"/>
                  </w:pPr>
                  <w:r w:rsidRPr="007322BC">
                    <w:t>Qld</w:t>
                  </w:r>
                </w:p>
              </w:tc>
              <w:tc>
                <w:tcPr>
                  <w:tcW w:w="501" w:type="pct"/>
                  <w:tcBorders>
                    <w:top w:val="single" w:sz="6" w:space="0" w:color="BFBFBF"/>
                    <w:bottom w:val="single" w:sz="6" w:space="0" w:color="BFBFBF"/>
                  </w:tcBorders>
                </w:tcPr>
                <w:p w:rsidR="009A47FF" w:rsidRPr="007322BC" w:rsidRDefault="009A47FF" w:rsidP="00AE7A8F">
                  <w:pPr>
                    <w:pStyle w:val="TableColumnHeading"/>
                  </w:pPr>
                  <w:r w:rsidRPr="007322BC">
                    <w:t>WA</w:t>
                  </w:r>
                </w:p>
              </w:tc>
              <w:tc>
                <w:tcPr>
                  <w:tcW w:w="501" w:type="pct"/>
                  <w:tcBorders>
                    <w:top w:val="single" w:sz="6" w:space="0" w:color="BFBFBF"/>
                    <w:bottom w:val="single" w:sz="6" w:space="0" w:color="BFBFBF"/>
                  </w:tcBorders>
                </w:tcPr>
                <w:p w:rsidR="009A47FF" w:rsidRPr="007322BC" w:rsidRDefault="009A47FF" w:rsidP="00AE7A8F">
                  <w:pPr>
                    <w:pStyle w:val="TableColumnHeading"/>
                  </w:pPr>
                  <w:r w:rsidRPr="007322BC">
                    <w:t>SA</w:t>
                  </w:r>
                </w:p>
              </w:tc>
              <w:tc>
                <w:tcPr>
                  <w:tcW w:w="501" w:type="pct"/>
                  <w:tcBorders>
                    <w:top w:val="single" w:sz="6" w:space="0" w:color="BFBFBF"/>
                    <w:bottom w:val="single" w:sz="6" w:space="0" w:color="BFBFBF"/>
                  </w:tcBorders>
                </w:tcPr>
                <w:p w:rsidR="009A47FF" w:rsidRPr="007322BC" w:rsidRDefault="009A47FF" w:rsidP="00AE7A8F">
                  <w:pPr>
                    <w:pStyle w:val="TableColumnHeading"/>
                  </w:pPr>
                  <w:proofErr w:type="spellStart"/>
                  <w:r w:rsidRPr="007322BC">
                    <w:t>Tas</w:t>
                  </w:r>
                  <w:proofErr w:type="spellEnd"/>
                </w:p>
              </w:tc>
              <w:tc>
                <w:tcPr>
                  <w:tcW w:w="501" w:type="pct"/>
                  <w:tcBorders>
                    <w:top w:val="single" w:sz="6" w:space="0" w:color="BFBFBF"/>
                    <w:bottom w:val="single" w:sz="6" w:space="0" w:color="BFBFBF"/>
                  </w:tcBorders>
                  <w:shd w:val="clear" w:color="auto" w:fill="auto"/>
                  <w:tcMar>
                    <w:top w:w="28" w:type="dxa"/>
                  </w:tcMar>
                </w:tcPr>
                <w:p w:rsidR="009A47FF" w:rsidRPr="007322BC" w:rsidRDefault="009A47FF" w:rsidP="00AE7A8F">
                  <w:pPr>
                    <w:pStyle w:val="TableColumnHeading"/>
                  </w:pPr>
                  <w:r w:rsidRPr="007322BC">
                    <w:t>ACT</w:t>
                  </w:r>
                </w:p>
              </w:tc>
              <w:tc>
                <w:tcPr>
                  <w:tcW w:w="496" w:type="pct"/>
                  <w:tcBorders>
                    <w:top w:val="single" w:sz="6" w:space="0" w:color="BFBFBF"/>
                    <w:bottom w:val="single" w:sz="6" w:space="0" w:color="BFBFBF"/>
                  </w:tcBorders>
                </w:tcPr>
                <w:p w:rsidR="009A47FF" w:rsidRPr="007322BC" w:rsidRDefault="009A47FF" w:rsidP="00AE7A8F">
                  <w:pPr>
                    <w:pStyle w:val="TableColumnHeading"/>
                  </w:pPr>
                  <w:r w:rsidRPr="007322BC">
                    <w:t>NT</w:t>
                  </w:r>
                </w:p>
              </w:tc>
              <w:tc>
                <w:tcPr>
                  <w:tcW w:w="496" w:type="pct"/>
                  <w:tcBorders>
                    <w:top w:val="single" w:sz="6" w:space="0" w:color="BFBFBF"/>
                    <w:bottom w:val="single" w:sz="6" w:space="0" w:color="BFBFBF"/>
                  </w:tcBorders>
                  <w:shd w:val="clear" w:color="auto" w:fill="auto"/>
                  <w:tcMar>
                    <w:top w:w="28" w:type="dxa"/>
                  </w:tcMar>
                </w:tcPr>
                <w:p w:rsidR="009A47FF" w:rsidRPr="007322BC" w:rsidRDefault="009A47FF" w:rsidP="00AE7A8F">
                  <w:pPr>
                    <w:pStyle w:val="TableColumnHeading"/>
                  </w:pPr>
                  <w:proofErr w:type="spellStart"/>
                  <w:r w:rsidRPr="007322BC">
                    <w:t>Aust</w:t>
                  </w:r>
                  <w:proofErr w:type="spellEnd"/>
                </w:p>
              </w:tc>
            </w:tr>
            <w:tr w:rsidR="007322BC" w:rsidRPr="007322BC" w:rsidTr="00AE7A8F">
              <w:tc>
                <w:tcPr>
                  <w:tcW w:w="5000" w:type="pct"/>
                  <w:gridSpan w:val="10"/>
                  <w:tcBorders>
                    <w:top w:val="single" w:sz="6" w:space="0" w:color="BFBFBF"/>
                  </w:tcBorders>
                </w:tcPr>
                <w:p w:rsidR="009A47FF" w:rsidRPr="007322BC" w:rsidRDefault="009A47FF" w:rsidP="00AE7A8F">
                  <w:pPr>
                    <w:pStyle w:val="DQIMainRowHeadings"/>
                  </w:pPr>
                  <w:r w:rsidRPr="007322BC">
                    <w:t>Equity — Access indicators</w:t>
                  </w:r>
                </w:p>
              </w:tc>
            </w:tr>
            <w:tr w:rsidR="007322BC" w:rsidRPr="007322BC" w:rsidTr="00AE7A8F">
              <w:tc>
                <w:tcPr>
                  <w:tcW w:w="5000" w:type="pct"/>
                  <w:gridSpan w:val="10"/>
                </w:tcPr>
                <w:p w:rsidR="009A47FF" w:rsidRPr="007322BC" w:rsidRDefault="009A47FF" w:rsidP="00AE7A8F">
                  <w:pPr>
                    <w:pStyle w:val="DQIRowHeadings"/>
                  </w:pPr>
                  <w:r w:rsidRPr="007322BC">
                    <w:t>Attendance and participation</w:t>
                  </w:r>
                </w:p>
              </w:tc>
            </w:tr>
            <w:tr w:rsidR="007322BC" w:rsidRPr="007322BC" w:rsidTr="00AE7A8F">
              <w:tc>
                <w:tcPr>
                  <w:tcW w:w="5000" w:type="pct"/>
                  <w:gridSpan w:val="10"/>
                </w:tcPr>
                <w:p w:rsidR="009A47FF" w:rsidRPr="007322BC" w:rsidRDefault="009A47FF" w:rsidP="006C5FA4">
                  <w:pPr>
                    <w:pStyle w:val="TableBodyText"/>
                    <w:ind w:left="113" w:right="28"/>
                    <w:jc w:val="left"/>
                  </w:pPr>
                  <w:r w:rsidRPr="007322BC">
                    <w:t>Year</w:t>
                  </w:r>
                  <w:r w:rsidR="007322BC" w:rsidRPr="007322BC">
                    <w:t xml:space="preserve">s </w:t>
                  </w:r>
                  <w:r w:rsidR="006C5FA4">
                    <w:t>7</w:t>
                  </w:r>
                  <w:r w:rsidR="007322BC" w:rsidRPr="007322BC">
                    <w:t xml:space="preserve">–10 </w:t>
                  </w:r>
                  <w:r w:rsidRPr="007322BC">
                    <w:t>attendance rate, all st</w:t>
                  </w:r>
                  <w:r w:rsidR="007322BC" w:rsidRPr="007322BC">
                    <w:t>udents, government schools, 2015</w:t>
                  </w:r>
                </w:p>
              </w:tc>
            </w:tr>
            <w:tr w:rsidR="007322BC" w:rsidRPr="007322BC" w:rsidTr="00AE7A8F">
              <w:tc>
                <w:tcPr>
                  <w:tcW w:w="5000" w:type="pct"/>
                  <w:gridSpan w:val="10"/>
                </w:tcPr>
                <w:p w:rsidR="009A47FF" w:rsidRPr="007322BC" w:rsidRDefault="009A47FF" w:rsidP="00AE7A8F">
                  <w:pPr>
                    <w:pStyle w:val="TableBodyText"/>
                    <w:ind w:left="113" w:right="28"/>
                    <w:jc w:val="left"/>
                    <w:rPr>
                      <w:sz w:val="16"/>
                      <w:szCs w:val="16"/>
                    </w:rPr>
                  </w:pPr>
                  <w:r w:rsidRPr="007322BC">
                    <w:rPr>
                      <w:sz w:val="16"/>
                      <w:szCs w:val="16"/>
                    </w:rPr>
                    <w:t>Most recent data for this measure are comparable and complet</w:t>
                  </w:r>
                  <w:r w:rsidR="006158F6" w:rsidRPr="007322BC">
                    <w:rPr>
                      <w:sz w:val="16"/>
                      <w:szCs w:val="16"/>
                    </w:rPr>
                    <w:t>e, subject to caveats (chapter 4</w:t>
                  </w:r>
                  <w:r w:rsidRPr="007322BC">
                    <w:rPr>
                      <w:sz w:val="16"/>
                      <w:szCs w:val="16"/>
                    </w:rPr>
                    <w:t>)</w:t>
                  </w:r>
                </w:p>
              </w:tc>
            </w:tr>
            <w:tr w:rsidR="007322BC" w:rsidRPr="007322BC" w:rsidTr="00AE7A8F">
              <w:tc>
                <w:tcPr>
                  <w:tcW w:w="501" w:type="pct"/>
                </w:tcPr>
                <w:p w:rsidR="007322BC" w:rsidRPr="007322BC" w:rsidRDefault="007322BC" w:rsidP="00AE7A8F">
                  <w:pPr>
                    <w:pStyle w:val="TableBodyText"/>
                  </w:pPr>
                  <w:r w:rsidRPr="007322BC">
                    <w:t>%</w:t>
                  </w:r>
                </w:p>
              </w:tc>
              <w:tc>
                <w:tcPr>
                  <w:tcW w:w="501" w:type="pct"/>
                </w:tcPr>
                <w:p w:rsidR="007322BC" w:rsidRPr="007322BC" w:rsidRDefault="006C5FA4" w:rsidP="00AE7A8F">
                  <w:pPr>
                    <w:pStyle w:val="TableBodyText"/>
                  </w:pPr>
                  <w:r>
                    <w:t>90.0</w:t>
                  </w:r>
                </w:p>
              </w:tc>
              <w:tc>
                <w:tcPr>
                  <w:tcW w:w="501" w:type="pct"/>
                </w:tcPr>
                <w:p w:rsidR="007322BC" w:rsidRDefault="006C5FA4" w:rsidP="006C5FA4">
                  <w:pPr>
                    <w:pStyle w:val="TableBodyText"/>
                  </w:pPr>
                  <w:r>
                    <w:t>91.6</w:t>
                  </w:r>
                </w:p>
              </w:tc>
              <w:tc>
                <w:tcPr>
                  <w:tcW w:w="501" w:type="pct"/>
                </w:tcPr>
                <w:p w:rsidR="007322BC" w:rsidRDefault="006C5FA4" w:rsidP="007322BC">
                  <w:pPr>
                    <w:pStyle w:val="TableBodyText"/>
                  </w:pPr>
                  <w:r>
                    <w:t>89.7</w:t>
                  </w:r>
                </w:p>
              </w:tc>
              <w:tc>
                <w:tcPr>
                  <w:tcW w:w="501" w:type="pct"/>
                </w:tcPr>
                <w:p w:rsidR="007322BC" w:rsidRDefault="006C5FA4" w:rsidP="007322BC">
                  <w:pPr>
                    <w:pStyle w:val="TableBodyText"/>
                  </w:pPr>
                  <w:r>
                    <w:t>87.9</w:t>
                  </w:r>
                </w:p>
              </w:tc>
              <w:tc>
                <w:tcPr>
                  <w:tcW w:w="501" w:type="pct"/>
                </w:tcPr>
                <w:p w:rsidR="007322BC" w:rsidRDefault="006C5FA4" w:rsidP="007322BC">
                  <w:pPr>
                    <w:pStyle w:val="TableBodyText"/>
                  </w:pPr>
                  <w:r>
                    <w:t>89.3</w:t>
                  </w:r>
                </w:p>
              </w:tc>
              <w:tc>
                <w:tcPr>
                  <w:tcW w:w="501" w:type="pct"/>
                </w:tcPr>
                <w:p w:rsidR="007322BC" w:rsidRDefault="006C5FA4" w:rsidP="006C5FA4">
                  <w:pPr>
                    <w:pStyle w:val="TableBodyText"/>
                  </w:pPr>
                  <w:r>
                    <w:t>87.7</w:t>
                  </w:r>
                </w:p>
              </w:tc>
              <w:tc>
                <w:tcPr>
                  <w:tcW w:w="501" w:type="pct"/>
                </w:tcPr>
                <w:p w:rsidR="007322BC" w:rsidRDefault="006C5FA4" w:rsidP="007322BC">
                  <w:pPr>
                    <w:pStyle w:val="TableBodyText"/>
                  </w:pPr>
                  <w:r>
                    <w:t>89.3</w:t>
                  </w:r>
                </w:p>
              </w:tc>
              <w:tc>
                <w:tcPr>
                  <w:tcW w:w="496" w:type="pct"/>
                </w:tcPr>
                <w:p w:rsidR="007322BC" w:rsidRDefault="006C5FA4" w:rsidP="007322BC">
                  <w:pPr>
                    <w:pStyle w:val="TableBodyText"/>
                  </w:pPr>
                  <w:r>
                    <w:t>77.0</w:t>
                  </w:r>
                </w:p>
              </w:tc>
              <w:tc>
                <w:tcPr>
                  <w:tcW w:w="496" w:type="pct"/>
                </w:tcPr>
                <w:p w:rsidR="007322BC" w:rsidRPr="007322BC" w:rsidRDefault="0003610F" w:rsidP="00AE7A8F">
                  <w:pPr>
                    <w:pStyle w:val="TableBodyText"/>
                  </w:pPr>
                  <w:r>
                    <w:t>89.8</w:t>
                  </w:r>
                </w:p>
              </w:tc>
            </w:tr>
            <w:tr w:rsidR="007322BC" w:rsidRPr="007322BC" w:rsidTr="00AE7A8F">
              <w:tc>
                <w:tcPr>
                  <w:tcW w:w="5000" w:type="pct"/>
                  <w:gridSpan w:val="10"/>
                </w:tcPr>
                <w:p w:rsidR="009A47FF" w:rsidRPr="007322BC" w:rsidRDefault="009A47FF" w:rsidP="00D402D0">
                  <w:pPr>
                    <w:pStyle w:val="Source"/>
                    <w:spacing w:before="100" w:beforeAutospacing="1" w:after="80"/>
                    <w:ind w:left="113"/>
                  </w:pPr>
                  <w:r w:rsidRPr="007322BC">
                    <w:rPr>
                      <w:i/>
                    </w:rPr>
                    <w:t>Source:</w:t>
                  </w:r>
                  <w:r w:rsidR="00CE064A">
                    <w:t xml:space="preserve"> Attachment table </w:t>
                  </w:r>
                  <w:proofErr w:type="spellStart"/>
                  <w:r w:rsidR="00CE064A">
                    <w:t>4A.131</w:t>
                  </w:r>
                  <w:proofErr w:type="spellEnd"/>
                </w:p>
              </w:tc>
            </w:tr>
            <w:tr w:rsidR="007322BC" w:rsidRPr="007322BC" w:rsidTr="00AE7A8F">
              <w:tc>
                <w:tcPr>
                  <w:tcW w:w="5000" w:type="pct"/>
                  <w:gridSpan w:val="10"/>
                </w:tcPr>
                <w:p w:rsidR="009A47FF" w:rsidRPr="007322BC" w:rsidRDefault="007322BC" w:rsidP="006C5FA4">
                  <w:pPr>
                    <w:pStyle w:val="TableBodyText"/>
                    <w:ind w:left="113"/>
                    <w:jc w:val="left"/>
                  </w:pPr>
                  <w:r w:rsidRPr="007322BC">
                    <w:t xml:space="preserve">Years </w:t>
                  </w:r>
                  <w:r w:rsidR="006C5FA4">
                    <w:t>7</w:t>
                  </w:r>
                  <w:r w:rsidRPr="007322BC">
                    <w:t>–10</w:t>
                  </w:r>
                  <w:r w:rsidR="009A47FF" w:rsidRPr="007322BC">
                    <w:t xml:space="preserve"> attendance rate, Aboriginal and Torres Strait Islander st</w:t>
                  </w:r>
                  <w:r w:rsidRPr="007322BC">
                    <w:t>udents, government schools, 2015</w:t>
                  </w:r>
                </w:p>
              </w:tc>
            </w:tr>
            <w:tr w:rsidR="007322BC" w:rsidRPr="007322BC" w:rsidTr="00AE7A8F">
              <w:tc>
                <w:tcPr>
                  <w:tcW w:w="5000" w:type="pct"/>
                  <w:gridSpan w:val="10"/>
                </w:tcPr>
                <w:p w:rsidR="009A47FF" w:rsidRPr="007322BC" w:rsidRDefault="009A47FF" w:rsidP="00AE7A8F">
                  <w:pPr>
                    <w:pStyle w:val="TableBodyText"/>
                    <w:ind w:left="113" w:right="28"/>
                    <w:jc w:val="left"/>
                  </w:pPr>
                  <w:r w:rsidRPr="007322BC">
                    <w:rPr>
                      <w:sz w:val="16"/>
                      <w:szCs w:val="16"/>
                    </w:rPr>
                    <w:t>Most recent data for this measure are comparable and complet</w:t>
                  </w:r>
                  <w:r w:rsidR="006158F6" w:rsidRPr="007322BC">
                    <w:rPr>
                      <w:sz w:val="16"/>
                      <w:szCs w:val="16"/>
                    </w:rPr>
                    <w:t>e, subject to caveats (chapter 4</w:t>
                  </w:r>
                  <w:r w:rsidRPr="007322BC">
                    <w:rPr>
                      <w:sz w:val="16"/>
                      <w:szCs w:val="16"/>
                    </w:rPr>
                    <w:t>)</w:t>
                  </w:r>
                </w:p>
              </w:tc>
            </w:tr>
            <w:tr w:rsidR="007322BC" w:rsidRPr="007322BC" w:rsidTr="00AE7A8F">
              <w:tc>
                <w:tcPr>
                  <w:tcW w:w="501" w:type="pct"/>
                </w:tcPr>
                <w:p w:rsidR="007322BC" w:rsidRPr="007322BC" w:rsidRDefault="007322BC" w:rsidP="00AE7A8F">
                  <w:pPr>
                    <w:pStyle w:val="TableBodyText"/>
                  </w:pPr>
                  <w:r w:rsidRPr="007322BC">
                    <w:t>%</w:t>
                  </w:r>
                </w:p>
              </w:tc>
              <w:tc>
                <w:tcPr>
                  <w:tcW w:w="501" w:type="pct"/>
                </w:tcPr>
                <w:p w:rsidR="007322BC" w:rsidRPr="007322BC" w:rsidRDefault="006C5FA4" w:rsidP="007E1A54">
                  <w:pPr>
                    <w:pStyle w:val="TableBodyText"/>
                  </w:pPr>
                  <w:r>
                    <w:t>80.6</w:t>
                  </w:r>
                </w:p>
              </w:tc>
              <w:tc>
                <w:tcPr>
                  <w:tcW w:w="501" w:type="pct"/>
                </w:tcPr>
                <w:p w:rsidR="007322BC" w:rsidRDefault="006C5FA4" w:rsidP="007E1A54">
                  <w:pPr>
                    <w:pStyle w:val="TableBodyText"/>
                  </w:pPr>
                  <w:r>
                    <w:t>83.3</w:t>
                  </w:r>
                </w:p>
              </w:tc>
              <w:tc>
                <w:tcPr>
                  <w:tcW w:w="501" w:type="pct"/>
                </w:tcPr>
                <w:p w:rsidR="007322BC" w:rsidRDefault="006C5FA4" w:rsidP="007E1A54">
                  <w:pPr>
                    <w:pStyle w:val="TableBodyText"/>
                  </w:pPr>
                  <w:r>
                    <w:t>81.7</w:t>
                  </w:r>
                </w:p>
              </w:tc>
              <w:tc>
                <w:tcPr>
                  <w:tcW w:w="501" w:type="pct"/>
                </w:tcPr>
                <w:p w:rsidR="007322BC" w:rsidRDefault="006C5FA4" w:rsidP="007E1A54">
                  <w:pPr>
                    <w:pStyle w:val="TableBodyText"/>
                  </w:pPr>
                  <w:r>
                    <w:t>68.0</w:t>
                  </w:r>
                </w:p>
              </w:tc>
              <w:tc>
                <w:tcPr>
                  <w:tcW w:w="501" w:type="pct"/>
                </w:tcPr>
                <w:p w:rsidR="007322BC" w:rsidRDefault="006C5FA4" w:rsidP="007E1A54">
                  <w:pPr>
                    <w:pStyle w:val="TableBodyText"/>
                  </w:pPr>
                  <w:r>
                    <w:t>76.1</w:t>
                  </w:r>
                </w:p>
              </w:tc>
              <w:tc>
                <w:tcPr>
                  <w:tcW w:w="501" w:type="pct"/>
                </w:tcPr>
                <w:p w:rsidR="007322BC" w:rsidRDefault="006C5FA4" w:rsidP="007E1A54">
                  <w:pPr>
                    <w:pStyle w:val="TableBodyText"/>
                  </w:pPr>
                  <w:r>
                    <w:t>82.0</w:t>
                  </w:r>
                </w:p>
              </w:tc>
              <w:tc>
                <w:tcPr>
                  <w:tcW w:w="501" w:type="pct"/>
                </w:tcPr>
                <w:p w:rsidR="007322BC" w:rsidRDefault="006C5FA4" w:rsidP="007E1A54">
                  <w:pPr>
                    <w:pStyle w:val="TableBodyText"/>
                  </w:pPr>
                  <w:r>
                    <w:t>79.8</w:t>
                  </w:r>
                </w:p>
              </w:tc>
              <w:tc>
                <w:tcPr>
                  <w:tcW w:w="496" w:type="pct"/>
                </w:tcPr>
                <w:p w:rsidR="007322BC" w:rsidRDefault="006C5FA4" w:rsidP="007E1A54">
                  <w:pPr>
                    <w:pStyle w:val="TableBodyText"/>
                  </w:pPr>
                  <w:r>
                    <w:t>62.9</w:t>
                  </w:r>
                </w:p>
              </w:tc>
              <w:tc>
                <w:tcPr>
                  <w:tcW w:w="496" w:type="pct"/>
                </w:tcPr>
                <w:p w:rsidR="007322BC" w:rsidRPr="007322BC" w:rsidRDefault="006C5FA4" w:rsidP="007E1A54">
                  <w:pPr>
                    <w:pStyle w:val="TableBodyText"/>
                  </w:pPr>
                  <w:r>
                    <w:t>77.8</w:t>
                  </w:r>
                </w:p>
              </w:tc>
            </w:tr>
            <w:tr w:rsidR="00494EF8" w:rsidRPr="007322BC" w:rsidTr="00494EF8">
              <w:tc>
                <w:tcPr>
                  <w:tcW w:w="5000" w:type="pct"/>
                  <w:gridSpan w:val="10"/>
                </w:tcPr>
                <w:p w:rsidR="00494EF8" w:rsidRDefault="00494EF8" w:rsidP="00D402D0">
                  <w:pPr>
                    <w:pStyle w:val="Source"/>
                    <w:spacing w:before="0" w:after="80"/>
                    <w:ind w:left="113"/>
                  </w:pPr>
                  <w:r w:rsidRPr="007322BC">
                    <w:rPr>
                      <w:i/>
                    </w:rPr>
                    <w:t>Source:</w:t>
                  </w:r>
                  <w:r w:rsidRPr="00494EF8">
                    <w:rPr>
                      <w:i/>
                    </w:rPr>
                    <w:t xml:space="preserve"> </w:t>
                  </w:r>
                  <w:r w:rsidR="00CE064A">
                    <w:t xml:space="preserve">Attachment table </w:t>
                  </w:r>
                  <w:proofErr w:type="spellStart"/>
                  <w:r w:rsidR="00CE064A">
                    <w:t>4A.131</w:t>
                  </w:r>
                  <w:proofErr w:type="spellEnd"/>
                </w:p>
              </w:tc>
            </w:tr>
            <w:tr w:rsidR="00494EF8" w:rsidRPr="007322BC" w:rsidTr="00494EF8">
              <w:tc>
                <w:tcPr>
                  <w:tcW w:w="5000" w:type="pct"/>
                  <w:gridSpan w:val="10"/>
                </w:tcPr>
                <w:p w:rsidR="00494EF8" w:rsidRDefault="00494EF8" w:rsidP="006C5FA4">
                  <w:pPr>
                    <w:pStyle w:val="TableBodyText"/>
                    <w:ind w:left="113" w:right="28"/>
                    <w:jc w:val="left"/>
                  </w:pPr>
                  <w:r w:rsidRPr="007322BC">
                    <w:t xml:space="preserve">Years </w:t>
                  </w:r>
                  <w:r w:rsidR="006C5FA4">
                    <w:t>7</w:t>
                  </w:r>
                  <w:r w:rsidRPr="007322BC">
                    <w:t xml:space="preserve">–10 </w:t>
                  </w:r>
                  <w:r>
                    <w:t>attendance level</w:t>
                  </w:r>
                  <w:r w:rsidRPr="007322BC">
                    <w:t>, all students, government schools, 2015</w:t>
                  </w:r>
                </w:p>
              </w:tc>
            </w:tr>
            <w:tr w:rsidR="00494EF8" w:rsidRPr="007322BC" w:rsidTr="00494EF8">
              <w:tc>
                <w:tcPr>
                  <w:tcW w:w="5000" w:type="pct"/>
                  <w:gridSpan w:val="10"/>
                </w:tcPr>
                <w:p w:rsidR="00494EF8" w:rsidRDefault="00494EF8" w:rsidP="006C5FA4">
                  <w:pPr>
                    <w:pStyle w:val="TableBodyText"/>
                    <w:ind w:left="113" w:right="28"/>
                    <w:jc w:val="left"/>
                  </w:pPr>
                  <w:r w:rsidRPr="007322BC">
                    <w:rPr>
                      <w:sz w:val="16"/>
                      <w:szCs w:val="16"/>
                    </w:rPr>
                    <w:t>Most recent data for this measure are comparable, subject to caveats</w:t>
                  </w:r>
                  <w:r w:rsidR="006C5FA4">
                    <w:rPr>
                      <w:sz w:val="16"/>
                      <w:szCs w:val="16"/>
                    </w:rPr>
                    <w:t xml:space="preserve">, but </w:t>
                  </w:r>
                  <w:r w:rsidR="005443D8">
                    <w:rPr>
                      <w:sz w:val="16"/>
                      <w:szCs w:val="16"/>
                    </w:rPr>
                    <w:t xml:space="preserve">are </w:t>
                  </w:r>
                  <w:r w:rsidR="006C5FA4">
                    <w:rPr>
                      <w:sz w:val="16"/>
                      <w:szCs w:val="16"/>
                    </w:rPr>
                    <w:t>not complete</w:t>
                  </w:r>
                  <w:r w:rsidRPr="007322BC">
                    <w:rPr>
                      <w:sz w:val="16"/>
                      <w:szCs w:val="16"/>
                    </w:rPr>
                    <w:t xml:space="preserve"> (chapter 4)</w:t>
                  </w:r>
                </w:p>
              </w:tc>
            </w:tr>
            <w:tr w:rsidR="00494EF8" w:rsidRPr="007322BC" w:rsidTr="00AE7A8F">
              <w:tc>
                <w:tcPr>
                  <w:tcW w:w="501" w:type="pct"/>
                </w:tcPr>
                <w:p w:rsidR="00494EF8" w:rsidRPr="007322BC" w:rsidRDefault="00494EF8" w:rsidP="007E1A54">
                  <w:pPr>
                    <w:pStyle w:val="TableBodyText"/>
                  </w:pPr>
                  <w:r w:rsidRPr="007322BC">
                    <w:t>%</w:t>
                  </w:r>
                </w:p>
              </w:tc>
              <w:tc>
                <w:tcPr>
                  <w:tcW w:w="501" w:type="pct"/>
                </w:tcPr>
                <w:p w:rsidR="00494EF8" w:rsidRPr="007322BC" w:rsidRDefault="006C5FA4" w:rsidP="007E1A54">
                  <w:pPr>
                    <w:pStyle w:val="TableBodyText"/>
                  </w:pPr>
                  <w:proofErr w:type="spellStart"/>
                  <w:r>
                    <w:t>na</w:t>
                  </w:r>
                  <w:proofErr w:type="spellEnd"/>
                </w:p>
              </w:tc>
              <w:tc>
                <w:tcPr>
                  <w:tcW w:w="501" w:type="pct"/>
                </w:tcPr>
                <w:p w:rsidR="00494EF8" w:rsidRDefault="0003610F" w:rsidP="007E1A54">
                  <w:pPr>
                    <w:pStyle w:val="TableBodyText"/>
                  </w:pPr>
                  <w:r>
                    <w:t>74.7</w:t>
                  </w:r>
                </w:p>
              </w:tc>
              <w:tc>
                <w:tcPr>
                  <w:tcW w:w="501" w:type="pct"/>
                </w:tcPr>
                <w:p w:rsidR="00494EF8" w:rsidRDefault="006C5FA4" w:rsidP="007E1A54">
                  <w:pPr>
                    <w:pStyle w:val="TableBodyText"/>
                  </w:pPr>
                  <w:r>
                    <w:t>66.3</w:t>
                  </w:r>
                </w:p>
              </w:tc>
              <w:tc>
                <w:tcPr>
                  <w:tcW w:w="501" w:type="pct"/>
                </w:tcPr>
                <w:p w:rsidR="00494EF8" w:rsidRDefault="006C5FA4" w:rsidP="007E1A54">
                  <w:pPr>
                    <w:pStyle w:val="TableBodyText"/>
                  </w:pPr>
                  <w:r>
                    <w:t>63.8</w:t>
                  </w:r>
                </w:p>
              </w:tc>
              <w:tc>
                <w:tcPr>
                  <w:tcW w:w="501" w:type="pct"/>
                </w:tcPr>
                <w:p w:rsidR="00494EF8" w:rsidRDefault="006C5FA4" w:rsidP="007E1A54">
                  <w:pPr>
                    <w:pStyle w:val="TableBodyText"/>
                  </w:pPr>
                  <w:r>
                    <w:t>67.3</w:t>
                  </w:r>
                </w:p>
              </w:tc>
              <w:tc>
                <w:tcPr>
                  <w:tcW w:w="501" w:type="pct"/>
                </w:tcPr>
                <w:p w:rsidR="00494EF8" w:rsidRDefault="006C5FA4" w:rsidP="007E1A54">
                  <w:pPr>
                    <w:pStyle w:val="TableBodyText"/>
                  </w:pPr>
                  <w:r>
                    <w:t>64.7</w:t>
                  </w:r>
                </w:p>
              </w:tc>
              <w:tc>
                <w:tcPr>
                  <w:tcW w:w="501" w:type="pct"/>
                </w:tcPr>
                <w:p w:rsidR="00494EF8" w:rsidRDefault="006C5FA4" w:rsidP="007E1A54">
                  <w:pPr>
                    <w:pStyle w:val="TableBodyText"/>
                  </w:pPr>
                  <w:r>
                    <w:t>66.4</w:t>
                  </w:r>
                </w:p>
              </w:tc>
              <w:tc>
                <w:tcPr>
                  <w:tcW w:w="496" w:type="pct"/>
                </w:tcPr>
                <w:p w:rsidR="00494EF8" w:rsidRDefault="006C5FA4" w:rsidP="007E1A54">
                  <w:pPr>
                    <w:pStyle w:val="TableBodyText"/>
                  </w:pPr>
                  <w:r>
                    <w:t>44.1</w:t>
                  </w:r>
                </w:p>
              </w:tc>
              <w:tc>
                <w:tcPr>
                  <w:tcW w:w="496" w:type="pct"/>
                </w:tcPr>
                <w:p w:rsidR="00494EF8" w:rsidRPr="007322BC" w:rsidRDefault="006C5FA4" w:rsidP="007E1A54">
                  <w:pPr>
                    <w:pStyle w:val="TableBodyText"/>
                  </w:pPr>
                  <w:r>
                    <w:t>68.5</w:t>
                  </w:r>
                </w:p>
              </w:tc>
            </w:tr>
            <w:tr w:rsidR="00494EF8" w:rsidRPr="007322BC" w:rsidTr="00494EF8">
              <w:tc>
                <w:tcPr>
                  <w:tcW w:w="5000" w:type="pct"/>
                  <w:gridSpan w:val="10"/>
                </w:tcPr>
                <w:p w:rsidR="00494EF8" w:rsidRPr="007322BC" w:rsidRDefault="00494EF8" w:rsidP="00D402D0">
                  <w:pPr>
                    <w:pStyle w:val="TableBodyText"/>
                    <w:spacing w:after="80"/>
                    <w:ind w:left="113" w:right="28"/>
                    <w:jc w:val="left"/>
                  </w:pPr>
                  <w:r w:rsidRPr="007322BC">
                    <w:rPr>
                      <w:i/>
                    </w:rPr>
                    <w:t>Source:</w:t>
                  </w:r>
                  <w:r w:rsidRPr="007322BC">
                    <w:t xml:space="preserve"> Attachment table </w:t>
                  </w:r>
                  <w:proofErr w:type="spellStart"/>
                  <w:r w:rsidRPr="007322BC">
                    <w:t>4A.</w:t>
                  </w:r>
                  <w:r w:rsidR="00CE064A">
                    <w:t>137</w:t>
                  </w:r>
                  <w:proofErr w:type="spellEnd"/>
                </w:p>
              </w:tc>
            </w:tr>
            <w:tr w:rsidR="00494EF8" w:rsidRPr="007322BC" w:rsidTr="00494EF8">
              <w:tc>
                <w:tcPr>
                  <w:tcW w:w="5000" w:type="pct"/>
                  <w:gridSpan w:val="10"/>
                </w:tcPr>
                <w:p w:rsidR="00494EF8" w:rsidRDefault="00494EF8" w:rsidP="006C5FA4">
                  <w:pPr>
                    <w:pStyle w:val="TableBodyText"/>
                    <w:ind w:left="113" w:right="28"/>
                    <w:jc w:val="left"/>
                  </w:pPr>
                  <w:r w:rsidRPr="007322BC">
                    <w:t xml:space="preserve">Years </w:t>
                  </w:r>
                  <w:r w:rsidR="006C5FA4">
                    <w:t>7</w:t>
                  </w:r>
                  <w:r w:rsidRPr="007322BC">
                    <w:t>–10</w:t>
                  </w:r>
                  <w:r>
                    <w:t xml:space="preserve"> attendance level</w:t>
                  </w:r>
                  <w:r w:rsidRPr="007322BC">
                    <w:t>, Aboriginal and Torres Strait Islander students, government schools, 2015</w:t>
                  </w:r>
                </w:p>
              </w:tc>
            </w:tr>
            <w:tr w:rsidR="00494EF8" w:rsidRPr="007322BC" w:rsidTr="00494EF8">
              <w:tc>
                <w:tcPr>
                  <w:tcW w:w="5000" w:type="pct"/>
                  <w:gridSpan w:val="10"/>
                </w:tcPr>
                <w:p w:rsidR="00494EF8" w:rsidRDefault="006C5FA4" w:rsidP="00494EF8">
                  <w:pPr>
                    <w:pStyle w:val="TableBodyText"/>
                    <w:ind w:left="113" w:right="28"/>
                    <w:jc w:val="left"/>
                  </w:pPr>
                  <w:r w:rsidRPr="007322BC">
                    <w:rPr>
                      <w:sz w:val="16"/>
                      <w:szCs w:val="16"/>
                    </w:rPr>
                    <w:t>Most recent data for this measure are comparable, subject to caveats</w:t>
                  </w:r>
                  <w:r>
                    <w:rPr>
                      <w:sz w:val="16"/>
                      <w:szCs w:val="16"/>
                    </w:rPr>
                    <w:t xml:space="preserve">, but </w:t>
                  </w:r>
                  <w:r w:rsidR="005443D8">
                    <w:rPr>
                      <w:sz w:val="16"/>
                      <w:szCs w:val="16"/>
                    </w:rPr>
                    <w:t xml:space="preserve">are </w:t>
                  </w:r>
                  <w:r>
                    <w:rPr>
                      <w:sz w:val="16"/>
                      <w:szCs w:val="16"/>
                    </w:rPr>
                    <w:t>not complete</w:t>
                  </w:r>
                  <w:r w:rsidRPr="007322BC">
                    <w:rPr>
                      <w:sz w:val="16"/>
                      <w:szCs w:val="16"/>
                    </w:rPr>
                    <w:t xml:space="preserve"> </w:t>
                  </w:r>
                  <w:r w:rsidR="00494EF8" w:rsidRPr="007322BC">
                    <w:rPr>
                      <w:sz w:val="16"/>
                      <w:szCs w:val="16"/>
                    </w:rPr>
                    <w:t>(chapter 4)</w:t>
                  </w:r>
                </w:p>
              </w:tc>
            </w:tr>
            <w:tr w:rsidR="00494EF8" w:rsidRPr="007322BC" w:rsidTr="00AE7A8F">
              <w:tc>
                <w:tcPr>
                  <w:tcW w:w="501" w:type="pct"/>
                </w:tcPr>
                <w:p w:rsidR="00494EF8" w:rsidRPr="007322BC" w:rsidRDefault="00494EF8" w:rsidP="007E1A54">
                  <w:pPr>
                    <w:pStyle w:val="TableBodyText"/>
                  </w:pPr>
                  <w:r w:rsidRPr="007322BC">
                    <w:t>%</w:t>
                  </w:r>
                </w:p>
              </w:tc>
              <w:tc>
                <w:tcPr>
                  <w:tcW w:w="501" w:type="pct"/>
                </w:tcPr>
                <w:p w:rsidR="00494EF8" w:rsidRPr="007322BC" w:rsidRDefault="006C5FA4" w:rsidP="007E1A54">
                  <w:pPr>
                    <w:pStyle w:val="TableBodyText"/>
                  </w:pPr>
                  <w:proofErr w:type="spellStart"/>
                  <w:r>
                    <w:t>na</w:t>
                  </w:r>
                  <w:proofErr w:type="spellEnd"/>
                </w:p>
              </w:tc>
              <w:tc>
                <w:tcPr>
                  <w:tcW w:w="501" w:type="pct"/>
                </w:tcPr>
                <w:p w:rsidR="00494EF8" w:rsidRDefault="006C5FA4" w:rsidP="007E1A54">
                  <w:pPr>
                    <w:pStyle w:val="TableBodyText"/>
                  </w:pPr>
                  <w:r>
                    <w:t>50.7</w:t>
                  </w:r>
                </w:p>
              </w:tc>
              <w:tc>
                <w:tcPr>
                  <w:tcW w:w="501" w:type="pct"/>
                </w:tcPr>
                <w:p w:rsidR="00494EF8" w:rsidRDefault="006C5FA4" w:rsidP="007E1A54">
                  <w:pPr>
                    <w:pStyle w:val="TableBodyText"/>
                  </w:pPr>
                  <w:r>
                    <w:t>44.9</w:t>
                  </w:r>
                </w:p>
              </w:tc>
              <w:tc>
                <w:tcPr>
                  <w:tcW w:w="501" w:type="pct"/>
                </w:tcPr>
                <w:p w:rsidR="00494EF8" w:rsidRDefault="006C5FA4" w:rsidP="007E1A54">
                  <w:pPr>
                    <w:pStyle w:val="TableBodyText"/>
                  </w:pPr>
                  <w:r>
                    <w:t>26.8</w:t>
                  </w:r>
                </w:p>
              </w:tc>
              <w:tc>
                <w:tcPr>
                  <w:tcW w:w="501" w:type="pct"/>
                </w:tcPr>
                <w:p w:rsidR="00494EF8" w:rsidRDefault="006C5FA4" w:rsidP="007E1A54">
                  <w:pPr>
                    <w:pStyle w:val="TableBodyText"/>
                  </w:pPr>
                  <w:r>
                    <w:t>35.9</w:t>
                  </w:r>
                </w:p>
              </w:tc>
              <w:tc>
                <w:tcPr>
                  <w:tcW w:w="501" w:type="pct"/>
                </w:tcPr>
                <w:p w:rsidR="00494EF8" w:rsidRDefault="006C5FA4" w:rsidP="007E1A54">
                  <w:pPr>
                    <w:pStyle w:val="TableBodyText"/>
                  </w:pPr>
                  <w:r>
                    <w:t>52.9</w:t>
                  </w:r>
                </w:p>
              </w:tc>
              <w:tc>
                <w:tcPr>
                  <w:tcW w:w="501" w:type="pct"/>
                </w:tcPr>
                <w:p w:rsidR="00494EF8" w:rsidRDefault="006C5FA4" w:rsidP="007E1A54">
                  <w:pPr>
                    <w:pStyle w:val="TableBodyText"/>
                  </w:pPr>
                  <w:r>
                    <w:t>37.6</w:t>
                  </w:r>
                </w:p>
              </w:tc>
              <w:tc>
                <w:tcPr>
                  <w:tcW w:w="496" w:type="pct"/>
                </w:tcPr>
                <w:p w:rsidR="00494EF8" w:rsidRDefault="006C5FA4" w:rsidP="007E1A54">
                  <w:pPr>
                    <w:pStyle w:val="TableBodyText"/>
                  </w:pPr>
                  <w:r>
                    <w:t>21.2</w:t>
                  </w:r>
                </w:p>
              </w:tc>
              <w:tc>
                <w:tcPr>
                  <w:tcW w:w="496" w:type="pct"/>
                </w:tcPr>
                <w:p w:rsidR="00494EF8" w:rsidRPr="007322BC" w:rsidRDefault="006C5FA4" w:rsidP="007E1A54">
                  <w:pPr>
                    <w:pStyle w:val="TableBodyText"/>
                  </w:pPr>
                  <w:r>
                    <w:t>38.7</w:t>
                  </w:r>
                </w:p>
              </w:tc>
            </w:tr>
            <w:tr w:rsidR="00494EF8" w:rsidRPr="007322BC" w:rsidTr="00AE7A8F">
              <w:tc>
                <w:tcPr>
                  <w:tcW w:w="5000" w:type="pct"/>
                  <w:gridSpan w:val="10"/>
                </w:tcPr>
                <w:p w:rsidR="00494EF8" w:rsidRPr="007322BC" w:rsidRDefault="00494EF8" w:rsidP="00D402D0">
                  <w:pPr>
                    <w:pStyle w:val="Source"/>
                    <w:spacing w:before="0" w:after="80"/>
                    <w:ind w:left="113"/>
                  </w:pPr>
                  <w:r w:rsidRPr="007322BC">
                    <w:rPr>
                      <w:i/>
                    </w:rPr>
                    <w:t>Source:</w:t>
                  </w:r>
                  <w:r w:rsidRPr="007322BC">
                    <w:t xml:space="preserve"> Attachment table </w:t>
                  </w:r>
                  <w:proofErr w:type="spellStart"/>
                  <w:r w:rsidRPr="007322BC">
                    <w:t>4A.</w:t>
                  </w:r>
                  <w:r w:rsidR="00CE064A">
                    <w:t>137</w:t>
                  </w:r>
                  <w:proofErr w:type="spellEnd"/>
                </w:p>
              </w:tc>
            </w:tr>
            <w:tr w:rsidR="00494EF8" w:rsidRPr="007322BC" w:rsidTr="00AE7A8F">
              <w:tc>
                <w:tcPr>
                  <w:tcW w:w="5000" w:type="pct"/>
                  <w:gridSpan w:val="10"/>
                </w:tcPr>
                <w:p w:rsidR="00494EF8" w:rsidRPr="00297504" w:rsidRDefault="00494EF8" w:rsidP="009A47FF">
                  <w:pPr>
                    <w:pStyle w:val="TableBodyText"/>
                    <w:ind w:left="113"/>
                    <w:jc w:val="left"/>
                  </w:pPr>
                  <w:r w:rsidRPr="00297504">
                    <w:t>Proportion of all children aged 6–15 years enrolled in school, 2014</w:t>
                  </w:r>
                </w:p>
              </w:tc>
            </w:tr>
            <w:tr w:rsidR="00494EF8" w:rsidRPr="007322BC" w:rsidTr="00AE7A8F">
              <w:tc>
                <w:tcPr>
                  <w:tcW w:w="5000" w:type="pct"/>
                  <w:gridSpan w:val="10"/>
                </w:tcPr>
                <w:p w:rsidR="00494EF8" w:rsidRPr="00297504" w:rsidRDefault="00494EF8" w:rsidP="00AE7A8F">
                  <w:pPr>
                    <w:pStyle w:val="TableBodyText"/>
                    <w:ind w:left="113" w:right="28"/>
                    <w:jc w:val="left"/>
                    <w:rPr>
                      <w:sz w:val="16"/>
                      <w:szCs w:val="16"/>
                    </w:rPr>
                  </w:pPr>
                  <w:r w:rsidRPr="00297504">
                    <w:rPr>
                      <w:sz w:val="16"/>
                      <w:szCs w:val="16"/>
                    </w:rPr>
                    <w:t>Most recent data for this measure are comparable and complete, subject to caveats (chapter 4)</w:t>
                  </w:r>
                </w:p>
              </w:tc>
            </w:tr>
            <w:tr w:rsidR="00494EF8" w:rsidRPr="007322BC" w:rsidTr="00AE7A8F">
              <w:tc>
                <w:tcPr>
                  <w:tcW w:w="501" w:type="pct"/>
                  <w:shd w:val="clear" w:color="auto" w:fill="auto"/>
                </w:tcPr>
                <w:p w:rsidR="00494EF8" w:rsidRPr="007322BC" w:rsidRDefault="00494EF8" w:rsidP="009A47FF">
                  <w:pPr>
                    <w:pStyle w:val="TableBodyText"/>
                    <w:rPr>
                      <w:color w:val="FF0000"/>
                    </w:rPr>
                  </w:pPr>
                  <w:r w:rsidRPr="00297504">
                    <w:t>%</w:t>
                  </w:r>
                </w:p>
              </w:tc>
              <w:tc>
                <w:tcPr>
                  <w:tcW w:w="501" w:type="pct"/>
                </w:tcPr>
                <w:p w:rsidR="00494EF8" w:rsidRPr="00297504" w:rsidRDefault="00297504" w:rsidP="00AE7A8F">
                  <w:pPr>
                    <w:pStyle w:val="TableBodyText"/>
                  </w:pPr>
                  <w:r>
                    <w:t>99.8</w:t>
                  </w:r>
                </w:p>
              </w:tc>
              <w:tc>
                <w:tcPr>
                  <w:tcW w:w="501" w:type="pct"/>
                </w:tcPr>
                <w:p w:rsidR="00494EF8" w:rsidRPr="00297504" w:rsidRDefault="00297504" w:rsidP="00AE7A8F">
                  <w:pPr>
                    <w:pStyle w:val="TableBodyText"/>
                  </w:pPr>
                  <w:r>
                    <w:t>101.2</w:t>
                  </w:r>
                </w:p>
              </w:tc>
              <w:tc>
                <w:tcPr>
                  <w:tcW w:w="501" w:type="pct"/>
                </w:tcPr>
                <w:p w:rsidR="00494EF8" w:rsidRPr="00297504" w:rsidRDefault="00297504" w:rsidP="00AE7A8F">
                  <w:pPr>
                    <w:pStyle w:val="TableBodyText"/>
                  </w:pPr>
                  <w:r>
                    <w:t>100.9</w:t>
                  </w:r>
                </w:p>
              </w:tc>
              <w:tc>
                <w:tcPr>
                  <w:tcW w:w="501" w:type="pct"/>
                </w:tcPr>
                <w:p w:rsidR="00494EF8" w:rsidRPr="00297504" w:rsidRDefault="00297504" w:rsidP="00AE7A8F">
                  <w:pPr>
                    <w:pStyle w:val="TableBodyText"/>
                  </w:pPr>
                  <w:r>
                    <w:t>98.8</w:t>
                  </w:r>
                </w:p>
              </w:tc>
              <w:tc>
                <w:tcPr>
                  <w:tcW w:w="501" w:type="pct"/>
                </w:tcPr>
                <w:p w:rsidR="00494EF8" w:rsidRPr="00297504" w:rsidRDefault="00297504" w:rsidP="00AE7A8F">
                  <w:pPr>
                    <w:pStyle w:val="TableBodyText"/>
                  </w:pPr>
                  <w:r>
                    <w:t>101.0</w:t>
                  </w:r>
                </w:p>
              </w:tc>
              <w:tc>
                <w:tcPr>
                  <w:tcW w:w="501" w:type="pct"/>
                </w:tcPr>
                <w:p w:rsidR="00494EF8" w:rsidRPr="00297504" w:rsidRDefault="00297504" w:rsidP="00AE7A8F">
                  <w:pPr>
                    <w:pStyle w:val="TableBodyText"/>
                  </w:pPr>
                  <w:r>
                    <w:t>99.3</w:t>
                  </w:r>
                </w:p>
              </w:tc>
              <w:tc>
                <w:tcPr>
                  <w:tcW w:w="501" w:type="pct"/>
                  <w:shd w:val="clear" w:color="auto" w:fill="auto"/>
                </w:tcPr>
                <w:p w:rsidR="00494EF8" w:rsidRPr="00297504" w:rsidRDefault="00297504" w:rsidP="00AE7A8F">
                  <w:pPr>
                    <w:pStyle w:val="TableBodyText"/>
                  </w:pPr>
                  <w:r>
                    <w:t>110.7</w:t>
                  </w:r>
                </w:p>
              </w:tc>
              <w:tc>
                <w:tcPr>
                  <w:tcW w:w="496" w:type="pct"/>
                </w:tcPr>
                <w:p w:rsidR="00494EF8" w:rsidRPr="00297504" w:rsidRDefault="00297504" w:rsidP="00AE7A8F">
                  <w:pPr>
                    <w:pStyle w:val="TableBodyText"/>
                  </w:pPr>
                  <w:r>
                    <w:t>95.3</w:t>
                  </w:r>
                </w:p>
              </w:tc>
              <w:tc>
                <w:tcPr>
                  <w:tcW w:w="496" w:type="pct"/>
                  <w:shd w:val="clear" w:color="auto" w:fill="auto"/>
                </w:tcPr>
                <w:p w:rsidR="00494EF8" w:rsidRPr="00297504" w:rsidRDefault="00297504" w:rsidP="00AE7A8F">
                  <w:pPr>
                    <w:pStyle w:val="TableBodyText"/>
                  </w:pPr>
                  <w:r>
                    <w:t>100.4</w:t>
                  </w:r>
                </w:p>
              </w:tc>
            </w:tr>
            <w:tr w:rsidR="00483478" w:rsidRPr="007322BC" w:rsidTr="00483478">
              <w:tc>
                <w:tcPr>
                  <w:tcW w:w="5000" w:type="pct"/>
                  <w:gridSpan w:val="10"/>
                  <w:shd w:val="clear" w:color="auto" w:fill="auto"/>
                </w:tcPr>
                <w:p w:rsidR="00483478" w:rsidRDefault="00483478" w:rsidP="00D402D0">
                  <w:pPr>
                    <w:pStyle w:val="Source"/>
                    <w:spacing w:before="0" w:after="80"/>
                    <w:ind w:left="113"/>
                  </w:pPr>
                  <w:r w:rsidRPr="008E548E">
                    <w:rPr>
                      <w:i/>
                    </w:rPr>
                    <w:t xml:space="preserve">Source: </w:t>
                  </w:r>
                  <w:r w:rsidR="00CE064A">
                    <w:t xml:space="preserve">Attachment table </w:t>
                  </w:r>
                  <w:proofErr w:type="spellStart"/>
                  <w:r w:rsidR="00CE064A">
                    <w:t>4A.116</w:t>
                  </w:r>
                  <w:proofErr w:type="spellEnd"/>
                </w:p>
              </w:tc>
            </w:tr>
            <w:tr w:rsidR="00483478" w:rsidRPr="007322BC" w:rsidTr="00483478">
              <w:tc>
                <w:tcPr>
                  <w:tcW w:w="5000" w:type="pct"/>
                  <w:gridSpan w:val="10"/>
                  <w:shd w:val="clear" w:color="auto" w:fill="auto"/>
                </w:tcPr>
                <w:p w:rsidR="00483478" w:rsidRDefault="00483478" w:rsidP="00483478">
                  <w:pPr>
                    <w:pStyle w:val="TableBodyText"/>
                    <w:ind w:left="113"/>
                    <w:jc w:val="left"/>
                  </w:pPr>
                  <w:r>
                    <w:t>Participation rate, 15–19 year olds, all schools, 2014</w:t>
                  </w:r>
                </w:p>
              </w:tc>
            </w:tr>
            <w:tr w:rsidR="00483478" w:rsidRPr="007322BC" w:rsidTr="00483478">
              <w:tc>
                <w:tcPr>
                  <w:tcW w:w="5000" w:type="pct"/>
                  <w:gridSpan w:val="10"/>
                  <w:shd w:val="clear" w:color="auto" w:fill="auto"/>
                </w:tcPr>
                <w:p w:rsidR="00483478" w:rsidRDefault="00483478" w:rsidP="00483478">
                  <w:pPr>
                    <w:pStyle w:val="TableBodyText"/>
                    <w:ind w:left="113" w:right="28"/>
                    <w:jc w:val="left"/>
                  </w:pPr>
                  <w:r w:rsidRPr="00297504">
                    <w:rPr>
                      <w:sz w:val="16"/>
                      <w:szCs w:val="16"/>
                    </w:rPr>
                    <w:t>Most recent data for this measure are comparable and complete, subject to caveats (chapter 4)</w:t>
                  </w:r>
                </w:p>
              </w:tc>
            </w:tr>
            <w:tr w:rsidR="00483478" w:rsidRPr="007322BC" w:rsidTr="007E1A54">
              <w:tc>
                <w:tcPr>
                  <w:tcW w:w="501" w:type="pct"/>
                  <w:shd w:val="clear" w:color="auto" w:fill="auto"/>
                </w:tcPr>
                <w:p w:rsidR="00483478" w:rsidRPr="00297504" w:rsidRDefault="00483478" w:rsidP="009A47FF">
                  <w:pPr>
                    <w:pStyle w:val="TableBodyText"/>
                  </w:pPr>
                  <w:r>
                    <w:t>%</w:t>
                  </w:r>
                </w:p>
              </w:tc>
              <w:tc>
                <w:tcPr>
                  <w:tcW w:w="501" w:type="pct"/>
                  <w:vAlign w:val="center"/>
                </w:tcPr>
                <w:p w:rsidR="00483478" w:rsidRPr="00483478" w:rsidRDefault="00483478" w:rsidP="00483478">
                  <w:pPr>
                    <w:pStyle w:val="TableBodyText"/>
                  </w:pPr>
                  <w:r w:rsidRPr="00483478">
                    <w:t xml:space="preserve">  57.7</w:t>
                  </w:r>
                </w:p>
              </w:tc>
              <w:tc>
                <w:tcPr>
                  <w:tcW w:w="501" w:type="pct"/>
                  <w:vAlign w:val="center"/>
                </w:tcPr>
                <w:p w:rsidR="00483478" w:rsidRPr="00483478" w:rsidRDefault="00483478" w:rsidP="00483478">
                  <w:pPr>
                    <w:pStyle w:val="TableBodyText"/>
                  </w:pPr>
                  <w:r w:rsidRPr="00483478">
                    <w:t xml:space="preserve">  63.1</w:t>
                  </w:r>
                </w:p>
              </w:tc>
              <w:tc>
                <w:tcPr>
                  <w:tcW w:w="501" w:type="pct"/>
                  <w:vAlign w:val="center"/>
                </w:tcPr>
                <w:p w:rsidR="00483478" w:rsidRPr="00483478" w:rsidRDefault="00483478" w:rsidP="00483478">
                  <w:pPr>
                    <w:pStyle w:val="TableBodyText"/>
                  </w:pPr>
                  <w:r w:rsidRPr="00483478">
                    <w:t xml:space="preserve">  51.1</w:t>
                  </w:r>
                </w:p>
              </w:tc>
              <w:tc>
                <w:tcPr>
                  <w:tcW w:w="501" w:type="pct"/>
                  <w:vAlign w:val="center"/>
                </w:tcPr>
                <w:p w:rsidR="00483478" w:rsidRPr="00483478" w:rsidRDefault="00483478" w:rsidP="00483478">
                  <w:pPr>
                    <w:pStyle w:val="TableBodyText"/>
                  </w:pPr>
                  <w:r w:rsidRPr="00483478">
                    <w:t xml:space="preserve">  47.7</w:t>
                  </w:r>
                </w:p>
              </w:tc>
              <w:tc>
                <w:tcPr>
                  <w:tcW w:w="501" w:type="pct"/>
                  <w:vAlign w:val="center"/>
                </w:tcPr>
                <w:p w:rsidR="00483478" w:rsidRPr="00483478" w:rsidRDefault="00483478" w:rsidP="00483478">
                  <w:pPr>
                    <w:pStyle w:val="TableBodyText"/>
                  </w:pPr>
                  <w:r w:rsidRPr="00483478">
                    <w:t xml:space="preserve">  63.6</w:t>
                  </w:r>
                </w:p>
              </w:tc>
              <w:tc>
                <w:tcPr>
                  <w:tcW w:w="501" w:type="pct"/>
                  <w:vAlign w:val="center"/>
                </w:tcPr>
                <w:p w:rsidR="00483478" w:rsidRPr="00483478" w:rsidRDefault="00483478" w:rsidP="00483478">
                  <w:pPr>
                    <w:pStyle w:val="TableBodyText"/>
                  </w:pPr>
                  <w:r w:rsidRPr="00483478">
                    <w:t xml:space="preserve">  62.6</w:t>
                  </w:r>
                </w:p>
              </w:tc>
              <w:tc>
                <w:tcPr>
                  <w:tcW w:w="501" w:type="pct"/>
                  <w:shd w:val="clear" w:color="auto" w:fill="auto"/>
                  <w:vAlign w:val="center"/>
                </w:tcPr>
                <w:p w:rsidR="00483478" w:rsidRPr="00483478" w:rsidRDefault="00483478" w:rsidP="00483478">
                  <w:pPr>
                    <w:pStyle w:val="TableBodyText"/>
                  </w:pPr>
                  <w:r w:rsidRPr="00483478">
                    <w:t xml:space="preserve">  72.9</w:t>
                  </w:r>
                </w:p>
              </w:tc>
              <w:tc>
                <w:tcPr>
                  <w:tcW w:w="496" w:type="pct"/>
                  <w:vAlign w:val="center"/>
                </w:tcPr>
                <w:p w:rsidR="00483478" w:rsidRPr="00483478" w:rsidRDefault="00483478" w:rsidP="00483478">
                  <w:pPr>
                    <w:pStyle w:val="TableBodyText"/>
                  </w:pPr>
                  <w:r w:rsidRPr="00483478">
                    <w:t xml:space="preserve">  45.1</w:t>
                  </w:r>
                </w:p>
              </w:tc>
              <w:tc>
                <w:tcPr>
                  <w:tcW w:w="496" w:type="pct"/>
                  <w:shd w:val="clear" w:color="auto" w:fill="auto"/>
                  <w:vAlign w:val="center"/>
                </w:tcPr>
                <w:p w:rsidR="00483478" w:rsidRPr="00483478" w:rsidRDefault="00483478" w:rsidP="00483478">
                  <w:pPr>
                    <w:pStyle w:val="TableBodyText"/>
                  </w:pPr>
                  <w:r w:rsidRPr="00483478">
                    <w:t xml:space="preserve">  57.1</w:t>
                  </w:r>
                </w:p>
              </w:tc>
            </w:tr>
            <w:tr w:rsidR="00483478" w:rsidRPr="007322BC" w:rsidTr="00AE7A8F">
              <w:tc>
                <w:tcPr>
                  <w:tcW w:w="5000" w:type="pct"/>
                  <w:gridSpan w:val="10"/>
                  <w:shd w:val="clear" w:color="auto" w:fill="auto"/>
                </w:tcPr>
                <w:p w:rsidR="00483478" w:rsidRPr="00297504" w:rsidRDefault="00483478" w:rsidP="00D402D0">
                  <w:pPr>
                    <w:pStyle w:val="Source"/>
                    <w:spacing w:before="0" w:after="80"/>
                    <w:ind w:left="113"/>
                  </w:pPr>
                  <w:r w:rsidRPr="00297504">
                    <w:rPr>
                      <w:i/>
                    </w:rPr>
                    <w:t xml:space="preserve">Source: </w:t>
                  </w:r>
                  <w:r w:rsidR="00CE064A">
                    <w:t xml:space="preserve">Attachment table </w:t>
                  </w:r>
                  <w:proofErr w:type="spellStart"/>
                  <w:r w:rsidR="00CE064A">
                    <w:t>4A.118</w:t>
                  </w:r>
                  <w:proofErr w:type="spellEnd"/>
                </w:p>
              </w:tc>
            </w:tr>
            <w:tr w:rsidR="00483478" w:rsidRPr="007322BC" w:rsidTr="00AE7A8F">
              <w:tc>
                <w:tcPr>
                  <w:tcW w:w="5000" w:type="pct"/>
                  <w:gridSpan w:val="10"/>
                  <w:shd w:val="clear" w:color="auto" w:fill="auto"/>
                </w:tcPr>
                <w:p w:rsidR="00483478" w:rsidRPr="008E548E" w:rsidRDefault="00483478" w:rsidP="006158F6">
                  <w:pPr>
                    <w:pStyle w:val="TableBodyText"/>
                    <w:ind w:left="113" w:right="28"/>
                    <w:jc w:val="left"/>
                  </w:pPr>
                  <w:r w:rsidRPr="008E548E">
                    <w:t xml:space="preserve">Proportion of the population aged 15–19 years who successfully completed at least one Unit of Competency as part of a VET qualification at </w:t>
                  </w:r>
                  <w:proofErr w:type="spellStart"/>
                  <w:r w:rsidRPr="008E548E">
                    <w:t>AQF</w:t>
                  </w:r>
                  <w:proofErr w:type="spellEnd"/>
                  <w:r w:rsidRPr="008E548E">
                    <w:t xml:space="preserve"> Certificate II or above, 201</w:t>
                  </w:r>
                  <w:r>
                    <w:t>3</w:t>
                  </w:r>
                </w:p>
              </w:tc>
            </w:tr>
            <w:tr w:rsidR="00483478" w:rsidRPr="007322BC" w:rsidTr="00AE7A8F">
              <w:tc>
                <w:tcPr>
                  <w:tcW w:w="5000" w:type="pct"/>
                  <w:gridSpan w:val="10"/>
                  <w:shd w:val="clear" w:color="auto" w:fill="auto"/>
                </w:tcPr>
                <w:p w:rsidR="00483478" w:rsidRPr="008E548E" w:rsidRDefault="00483478" w:rsidP="00AE7A8F">
                  <w:pPr>
                    <w:pStyle w:val="TableBodyText"/>
                    <w:ind w:left="113" w:right="28"/>
                    <w:jc w:val="left"/>
                  </w:pPr>
                  <w:r w:rsidRPr="008E548E">
                    <w:rPr>
                      <w:sz w:val="16"/>
                      <w:szCs w:val="16"/>
                    </w:rPr>
                    <w:t>Most recent data for this measure are comparable and complete, subject to caveats (chapter 4)</w:t>
                  </w:r>
                </w:p>
              </w:tc>
            </w:tr>
            <w:tr w:rsidR="00483478" w:rsidRPr="007322BC" w:rsidTr="00AE7A8F">
              <w:tc>
                <w:tcPr>
                  <w:tcW w:w="501" w:type="pct"/>
                  <w:shd w:val="clear" w:color="auto" w:fill="auto"/>
                </w:tcPr>
                <w:p w:rsidR="00483478" w:rsidRPr="008E548E" w:rsidRDefault="00483478" w:rsidP="00AE7A8F">
                  <w:pPr>
                    <w:pStyle w:val="TableBodyText"/>
                  </w:pPr>
                  <w:r w:rsidRPr="008E548E">
                    <w:t>%</w:t>
                  </w:r>
                </w:p>
              </w:tc>
              <w:tc>
                <w:tcPr>
                  <w:tcW w:w="501" w:type="pct"/>
                </w:tcPr>
                <w:p w:rsidR="00483478" w:rsidRPr="008E548E" w:rsidRDefault="00483478" w:rsidP="00AE7A8F">
                  <w:pPr>
                    <w:pStyle w:val="TableBodyText"/>
                  </w:pPr>
                  <w:r>
                    <w:t xml:space="preserve"> 22.4</w:t>
                  </w:r>
                </w:p>
              </w:tc>
              <w:tc>
                <w:tcPr>
                  <w:tcW w:w="501" w:type="pct"/>
                </w:tcPr>
                <w:p w:rsidR="00483478" w:rsidRPr="008E548E" w:rsidRDefault="00483478" w:rsidP="00AE7A8F">
                  <w:pPr>
                    <w:pStyle w:val="TableBodyText"/>
                  </w:pPr>
                  <w:r>
                    <w:t xml:space="preserve"> 34.1</w:t>
                  </w:r>
                </w:p>
              </w:tc>
              <w:tc>
                <w:tcPr>
                  <w:tcW w:w="501" w:type="pct"/>
                </w:tcPr>
                <w:p w:rsidR="00483478" w:rsidRPr="008E548E" w:rsidRDefault="00483478" w:rsidP="00AE7A8F">
                  <w:pPr>
                    <w:pStyle w:val="TableBodyText"/>
                  </w:pPr>
                  <w:r>
                    <w:t xml:space="preserve"> 26.4</w:t>
                  </w:r>
                </w:p>
              </w:tc>
              <w:tc>
                <w:tcPr>
                  <w:tcW w:w="501" w:type="pct"/>
                </w:tcPr>
                <w:p w:rsidR="00483478" w:rsidRPr="008E548E" w:rsidRDefault="00483478" w:rsidP="00AE7A8F">
                  <w:pPr>
                    <w:pStyle w:val="TableBodyText"/>
                  </w:pPr>
                  <w:r>
                    <w:t xml:space="preserve"> 25.6</w:t>
                  </w:r>
                </w:p>
              </w:tc>
              <w:tc>
                <w:tcPr>
                  <w:tcW w:w="501" w:type="pct"/>
                </w:tcPr>
                <w:p w:rsidR="00483478" w:rsidRPr="008E548E" w:rsidRDefault="00483478" w:rsidP="00AE7A8F">
                  <w:pPr>
                    <w:pStyle w:val="TableBodyText"/>
                  </w:pPr>
                  <w:r>
                    <w:t xml:space="preserve"> 28</w:t>
                  </w:r>
                  <w:r w:rsidRPr="008E548E">
                    <w:t>.</w:t>
                  </w:r>
                  <w:r>
                    <w:t>7</w:t>
                  </w:r>
                </w:p>
              </w:tc>
              <w:tc>
                <w:tcPr>
                  <w:tcW w:w="501" w:type="pct"/>
                </w:tcPr>
                <w:p w:rsidR="00483478" w:rsidRPr="008E548E" w:rsidRDefault="00483478" w:rsidP="00AE7A8F">
                  <w:pPr>
                    <w:pStyle w:val="TableBodyText"/>
                  </w:pPr>
                  <w:r>
                    <w:t xml:space="preserve"> 28.4</w:t>
                  </w:r>
                </w:p>
              </w:tc>
              <w:tc>
                <w:tcPr>
                  <w:tcW w:w="501" w:type="pct"/>
                  <w:shd w:val="clear" w:color="auto" w:fill="auto"/>
                </w:tcPr>
                <w:p w:rsidR="00483478" w:rsidRPr="008E548E" w:rsidRDefault="00483478" w:rsidP="00AE7A8F">
                  <w:pPr>
                    <w:pStyle w:val="TableBodyText"/>
                  </w:pPr>
                  <w:r>
                    <w:t xml:space="preserve"> 26.1</w:t>
                  </w:r>
                </w:p>
              </w:tc>
              <w:tc>
                <w:tcPr>
                  <w:tcW w:w="496" w:type="pct"/>
                </w:tcPr>
                <w:p w:rsidR="00483478" w:rsidRPr="008E548E" w:rsidRDefault="00483478" w:rsidP="00AE7A8F">
                  <w:pPr>
                    <w:pStyle w:val="TableBodyText"/>
                  </w:pPr>
                  <w:r>
                    <w:t xml:space="preserve"> 13</w:t>
                  </w:r>
                  <w:r w:rsidRPr="008E548E">
                    <w:t>.8</w:t>
                  </w:r>
                </w:p>
              </w:tc>
              <w:tc>
                <w:tcPr>
                  <w:tcW w:w="496" w:type="pct"/>
                  <w:shd w:val="clear" w:color="auto" w:fill="auto"/>
                </w:tcPr>
                <w:p w:rsidR="00483478" w:rsidRPr="008E548E" w:rsidRDefault="00483478" w:rsidP="00AE7A8F">
                  <w:pPr>
                    <w:pStyle w:val="TableBodyText"/>
                  </w:pPr>
                  <w:r>
                    <w:t xml:space="preserve"> 27.0</w:t>
                  </w:r>
                </w:p>
              </w:tc>
            </w:tr>
            <w:tr w:rsidR="00483478" w:rsidRPr="007322BC" w:rsidTr="00AE7A8F">
              <w:tc>
                <w:tcPr>
                  <w:tcW w:w="5000" w:type="pct"/>
                  <w:gridSpan w:val="10"/>
                  <w:shd w:val="clear" w:color="auto" w:fill="auto"/>
                </w:tcPr>
                <w:p w:rsidR="00483478" w:rsidRPr="008E548E" w:rsidRDefault="00483478" w:rsidP="00D402D0">
                  <w:pPr>
                    <w:pStyle w:val="Source"/>
                    <w:spacing w:before="0" w:after="80"/>
                    <w:ind w:left="113"/>
                  </w:pPr>
                  <w:r w:rsidRPr="008E548E">
                    <w:rPr>
                      <w:i/>
                    </w:rPr>
                    <w:t xml:space="preserve">Source: </w:t>
                  </w:r>
                  <w:r w:rsidR="00CE064A">
                    <w:t xml:space="preserve">Attachment table </w:t>
                  </w:r>
                  <w:proofErr w:type="spellStart"/>
                  <w:r w:rsidR="00CE064A">
                    <w:t>4A.130</w:t>
                  </w:r>
                  <w:proofErr w:type="spellEnd"/>
                </w:p>
              </w:tc>
            </w:tr>
            <w:tr w:rsidR="00483478" w:rsidRPr="007322BC" w:rsidTr="00AE7A8F">
              <w:tc>
                <w:tcPr>
                  <w:tcW w:w="5000" w:type="pct"/>
                  <w:gridSpan w:val="10"/>
                  <w:shd w:val="clear" w:color="auto" w:fill="auto"/>
                </w:tcPr>
                <w:p w:rsidR="00483478" w:rsidRPr="00D040C2" w:rsidRDefault="00483478" w:rsidP="00AE7A8F">
                  <w:pPr>
                    <w:pStyle w:val="DQIRowHeadings"/>
                  </w:pPr>
                  <w:r w:rsidRPr="00D040C2">
                    <w:t>Retention</w:t>
                  </w:r>
                </w:p>
              </w:tc>
            </w:tr>
            <w:tr w:rsidR="00483478" w:rsidRPr="007322BC" w:rsidTr="00AE7A8F">
              <w:tc>
                <w:tcPr>
                  <w:tcW w:w="5000" w:type="pct"/>
                  <w:gridSpan w:val="10"/>
                  <w:shd w:val="clear" w:color="auto" w:fill="auto"/>
                </w:tcPr>
                <w:p w:rsidR="00483478" w:rsidRPr="00D040C2" w:rsidRDefault="00483478" w:rsidP="006158F6">
                  <w:pPr>
                    <w:pStyle w:val="TableBodyText"/>
                    <w:ind w:left="113" w:right="28"/>
                    <w:jc w:val="left"/>
                  </w:pPr>
                  <w:r w:rsidRPr="00D040C2">
                    <w:t>Apparent retention rate, year 7/8</w:t>
                  </w:r>
                  <w:r w:rsidRPr="00D040C2">
                    <w:noBreakHyphen/>
                    <w:t>10, full time secondary st</w:t>
                  </w:r>
                  <w:r w:rsidR="00CB724F">
                    <w:t>udents, government schools, 2014</w:t>
                  </w:r>
                </w:p>
              </w:tc>
            </w:tr>
            <w:tr w:rsidR="00483478" w:rsidRPr="007322BC" w:rsidTr="00AE7A8F">
              <w:tc>
                <w:tcPr>
                  <w:tcW w:w="5000" w:type="pct"/>
                  <w:gridSpan w:val="10"/>
                  <w:shd w:val="clear" w:color="auto" w:fill="auto"/>
                </w:tcPr>
                <w:p w:rsidR="00483478" w:rsidRPr="00D040C2" w:rsidRDefault="00483478" w:rsidP="00AE7A8F">
                  <w:pPr>
                    <w:pStyle w:val="TableBodyText"/>
                    <w:ind w:left="113" w:right="28"/>
                    <w:jc w:val="left"/>
                  </w:pPr>
                  <w:r w:rsidRPr="00D040C2">
                    <w:rPr>
                      <w:sz w:val="16"/>
                      <w:szCs w:val="16"/>
                    </w:rPr>
                    <w:t>Most recent data for this measure are comparable and complete, subject to caveats (chapter 4)</w:t>
                  </w:r>
                </w:p>
              </w:tc>
            </w:tr>
            <w:tr w:rsidR="00CB724F" w:rsidRPr="007322BC" w:rsidTr="00F14060">
              <w:tc>
                <w:tcPr>
                  <w:tcW w:w="501" w:type="pct"/>
                  <w:shd w:val="clear" w:color="auto" w:fill="auto"/>
                </w:tcPr>
                <w:p w:rsidR="00CB724F" w:rsidRPr="00F14060" w:rsidRDefault="00CB724F" w:rsidP="00AE7A8F">
                  <w:pPr>
                    <w:pStyle w:val="TableBodyText"/>
                  </w:pPr>
                  <w:r w:rsidRPr="00F14060">
                    <w:t>%</w:t>
                  </w:r>
                </w:p>
              </w:tc>
              <w:tc>
                <w:tcPr>
                  <w:tcW w:w="501" w:type="pct"/>
                  <w:shd w:val="clear" w:color="auto" w:fill="auto"/>
                  <w:vAlign w:val="center"/>
                </w:tcPr>
                <w:p w:rsidR="00CB724F" w:rsidRPr="00F14060" w:rsidRDefault="00CB724F" w:rsidP="00CB724F">
                  <w:pPr>
                    <w:pStyle w:val="TableBodyText"/>
                  </w:pPr>
                  <w:r w:rsidRPr="00F14060">
                    <w:t>103.1</w:t>
                  </w:r>
                </w:p>
              </w:tc>
              <w:tc>
                <w:tcPr>
                  <w:tcW w:w="501" w:type="pct"/>
                  <w:shd w:val="clear" w:color="auto" w:fill="auto"/>
                  <w:vAlign w:val="center"/>
                </w:tcPr>
                <w:p w:rsidR="00CB724F" w:rsidRPr="00F14060" w:rsidRDefault="00CB724F" w:rsidP="00CB724F">
                  <w:pPr>
                    <w:pStyle w:val="TableBodyText"/>
                  </w:pPr>
                  <w:r w:rsidRPr="00F14060">
                    <w:t>106.9</w:t>
                  </w:r>
                </w:p>
              </w:tc>
              <w:tc>
                <w:tcPr>
                  <w:tcW w:w="501" w:type="pct"/>
                  <w:shd w:val="clear" w:color="auto" w:fill="auto"/>
                  <w:vAlign w:val="center"/>
                </w:tcPr>
                <w:p w:rsidR="00CB724F" w:rsidRPr="00F14060" w:rsidRDefault="00CB724F" w:rsidP="00CB724F">
                  <w:pPr>
                    <w:pStyle w:val="TableBodyText"/>
                  </w:pPr>
                  <w:r w:rsidRPr="00F14060">
                    <w:t>103.1</w:t>
                  </w:r>
                </w:p>
              </w:tc>
              <w:tc>
                <w:tcPr>
                  <w:tcW w:w="501" w:type="pct"/>
                  <w:shd w:val="clear" w:color="auto" w:fill="auto"/>
                  <w:vAlign w:val="center"/>
                </w:tcPr>
                <w:p w:rsidR="00CB724F" w:rsidRPr="00F14060" w:rsidRDefault="00CB724F" w:rsidP="00CB724F">
                  <w:pPr>
                    <w:pStyle w:val="TableBodyText"/>
                  </w:pPr>
                  <w:r w:rsidRPr="00F14060">
                    <w:t>102.2</w:t>
                  </w:r>
                </w:p>
              </w:tc>
              <w:tc>
                <w:tcPr>
                  <w:tcW w:w="501" w:type="pct"/>
                  <w:shd w:val="clear" w:color="auto" w:fill="auto"/>
                  <w:vAlign w:val="center"/>
                </w:tcPr>
                <w:p w:rsidR="00CB724F" w:rsidRPr="00F14060" w:rsidRDefault="00CB724F" w:rsidP="00CB724F">
                  <w:pPr>
                    <w:pStyle w:val="TableBodyText"/>
                  </w:pPr>
                  <w:r w:rsidRPr="00F14060">
                    <w:t>104.6</w:t>
                  </w:r>
                </w:p>
              </w:tc>
              <w:tc>
                <w:tcPr>
                  <w:tcW w:w="501" w:type="pct"/>
                  <w:shd w:val="clear" w:color="auto" w:fill="auto"/>
                  <w:vAlign w:val="center"/>
                </w:tcPr>
                <w:p w:rsidR="00CB724F" w:rsidRPr="00F14060" w:rsidRDefault="00CB724F" w:rsidP="00CB724F">
                  <w:pPr>
                    <w:pStyle w:val="TableBodyText"/>
                  </w:pPr>
                  <w:r w:rsidRPr="00F14060">
                    <w:t>101.0</w:t>
                  </w:r>
                </w:p>
              </w:tc>
              <w:tc>
                <w:tcPr>
                  <w:tcW w:w="501" w:type="pct"/>
                  <w:shd w:val="clear" w:color="auto" w:fill="auto"/>
                  <w:vAlign w:val="center"/>
                </w:tcPr>
                <w:p w:rsidR="00CB724F" w:rsidRPr="00F14060" w:rsidRDefault="00CB724F" w:rsidP="00CB724F">
                  <w:pPr>
                    <w:pStyle w:val="TableBodyText"/>
                  </w:pPr>
                  <w:r w:rsidRPr="00F14060">
                    <w:t>106.2</w:t>
                  </w:r>
                </w:p>
              </w:tc>
              <w:tc>
                <w:tcPr>
                  <w:tcW w:w="496" w:type="pct"/>
                  <w:shd w:val="clear" w:color="auto" w:fill="auto"/>
                  <w:vAlign w:val="center"/>
                </w:tcPr>
                <w:p w:rsidR="00CB724F" w:rsidRPr="00F14060" w:rsidRDefault="00CE064A" w:rsidP="00CB724F">
                  <w:pPr>
                    <w:pStyle w:val="TableBodyText"/>
                  </w:pPr>
                  <w:r w:rsidRPr="00F14060">
                    <w:t>89.0</w:t>
                  </w:r>
                </w:p>
              </w:tc>
              <w:tc>
                <w:tcPr>
                  <w:tcW w:w="496" w:type="pct"/>
                  <w:shd w:val="clear" w:color="auto" w:fill="auto"/>
                  <w:vAlign w:val="center"/>
                </w:tcPr>
                <w:p w:rsidR="00CB724F" w:rsidRPr="00F14060" w:rsidRDefault="00CB724F" w:rsidP="00CB724F">
                  <w:pPr>
                    <w:pStyle w:val="TableBodyText"/>
                  </w:pPr>
                  <w:r w:rsidRPr="00F14060">
                    <w:t>103.8</w:t>
                  </w:r>
                </w:p>
              </w:tc>
            </w:tr>
            <w:tr w:rsidR="00CB724F" w:rsidRPr="007322BC" w:rsidTr="0007595B">
              <w:tc>
                <w:tcPr>
                  <w:tcW w:w="5000" w:type="pct"/>
                  <w:gridSpan w:val="10"/>
                  <w:shd w:val="clear" w:color="auto" w:fill="auto"/>
                </w:tcPr>
                <w:p w:rsidR="00CB724F" w:rsidRPr="00F14060" w:rsidRDefault="00CB724F" w:rsidP="00D402D0">
                  <w:pPr>
                    <w:pStyle w:val="Source"/>
                    <w:spacing w:before="0" w:after="80"/>
                    <w:ind w:left="113"/>
                  </w:pPr>
                  <w:r w:rsidRPr="00F14060">
                    <w:rPr>
                      <w:i/>
                    </w:rPr>
                    <w:t xml:space="preserve">Source: </w:t>
                  </w:r>
                  <w:r w:rsidR="00CE064A" w:rsidRPr="00F14060">
                    <w:t xml:space="preserve">Attachment table </w:t>
                  </w:r>
                  <w:proofErr w:type="spellStart"/>
                  <w:r w:rsidR="00CE064A" w:rsidRPr="00F14060">
                    <w:t>4A.119</w:t>
                  </w:r>
                  <w:proofErr w:type="spellEnd"/>
                </w:p>
              </w:tc>
            </w:tr>
            <w:tr w:rsidR="00CB724F" w:rsidRPr="007322BC" w:rsidTr="0007595B">
              <w:tc>
                <w:tcPr>
                  <w:tcW w:w="5000" w:type="pct"/>
                  <w:gridSpan w:val="10"/>
                  <w:shd w:val="clear" w:color="auto" w:fill="auto"/>
                </w:tcPr>
                <w:p w:rsidR="00CB724F" w:rsidRPr="00F14060" w:rsidRDefault="00CB724F" w:rsidP="0007595B">
                  <w:pPr>
                    <w:pStyle w:val="TableBodyText"/>
                    <w:ind w:left="113" w:right="28"/>
                    <w:jc w:val="left"/>
                  </w:pPr>
                  <w:r w:rsidRPr="00F14060">
                    <w:t>Apparent retention rate, year 10</w:t>
                  </w:r>
                  <w:r w:rsidRPr="00F14060">
                    <w:noBreakHyphen/>
                    <w:t>12, full time students, government schools, 2014</w:t>
                  </w:r>
                </w:p>
              </w:tc>
            </w:tr>
            <w:tr w:rsidR="00CB724F" w:rsidRPr="007322BC" w:rsidTr="0007595B">
              <w:tc>
                <w:tcPr>
                  <w:tcW w:w="5000" w:type="pct"/>
                  <w:gridSpan w:val="10"/>
                  <w:shd w:val="clear" w:color="auto" w:fill="auto"/>
                </w:tcPr>
                <w:p w:rsidR="00CB724F" w:rsidRPr="00F14060" w:rsidRDefault="00CB724F" w:rsidP="0007595B">
                  <w:pPr>
                    <w:pStyle w:val="TableBodyText"/>
                    <w:ind w:left="113" w:right="28"/>
                    <w:jc w:val="left"/>
                  </w:pPr>
                  <w:r w:rsidRPr="00F14060">
                    <w:rPr>
                      <w:sz w:val="16"/>
                      <w:szCs w:val="16"/>
                    </w:rPr>
                    <w:t>Most recent data for this measure are comparable and complete, subject to caveats (chapter 4)</w:t>
                  </w:r>
                </w:p>
              </w:tc>
            </w:tr>
            <w:tr w:rsidR="00CB724F" w:rsidRPr="007322BC" w:rsidTr="00F14060">
              <w:tc>
                <w:tcPr>
                  <w:tcW w:w="501" w:type="pct"/>
                  <w:shd w:val="clear" w:color="auto" w:fill="auto"/>
                </w:tcPr>
                <w:p w:rsidR="00CB724F" w:rsidRPr="00F14060" w:rsidRDefault="00CB724F" w:rsidP="000C11EA">
                  <w:pPr>
                    <w:pStyle w:val="TableBodyText"/>
                  </w:pPr>
                  <w:r w:rsidRPr="00F14060">
                    <w:t>%</w:t>
                  </w:r>
                </w:p>
              </w:tc>
              <w:tc>
                <w:tcPr>
                  <w:tcW w:w="501" w:type="pct"/>
                  <w:shd w:val="clear" w:color="auto" w:fill="auto"/>
                  <w:vAlign w:val="center"/>
                </w:tcPr>
                <w:p w:rsidR="00CB724F" w:rsidRPr="00F14060" w:rsidRDefault="00CB724F" w:rsidP="00CB724F">
                  <w:pPr>
                    <w:pStyle w:val="TableBodyText"/>
                  </w:pPr>
                  <w:r w:rsidRPr="00F14060">
                    <w:t xml:space="preserve">  72.5</w:t>
                  </w:r>
                </w:p>
              </w:tc>
              <w:tc>
                <w:tcPr>
                  <w:tcW w:w="501" w:type="pct"/>
                  <w:shd w:val="clear" w:color="auto" w:fill="auto"/>
                  <w:vAlign w:val="center"/>
                </w:tcPr>
                <w:p w:rsidR="00CB724F" w:rsidRPr="00F14060" w:rsidRDefault="00CE064A" w:rsidP="00CB724F">
                  <w:pPr>
                    <w:pStyle w:val="TableBodyText"/>
                  </w:pPr>
                  <w:r w:rsidRPr="00F14060">
                    <w:t xml:space="preserve">  79.8</w:t>
                  </w:r>
                </w:p>
              </w:tc>
              <w:tc>
                <w:tcPr>
                  <w:tcW w:w="501" w:type="pct"/>
                  <w:shd w:val="clear" w:color="auto" w:fill="auto"/>
                  <w:vAlign w:val="center"/>
                </w:tcPr>
                <w:p w:rsidR="00CB724F" w:rsidRPr="00F14060" w:rsidRDefault="00CB724F" w:rsidP="00CB724F">
                  <w:pPr>
                    <w:pStyle w:val="TableBodyText"/>
                  </w:pPr>
                  <w:r w:rsidRPr="00F14060">
                    <w:t xml:space="preserve">  80.6</w:t>
                  </w:r>
                </w:p>
              </w:tc>
              <w:tc>
                <w:tcPr>
                  <w:tcW w:w="501" w:type="pct"/>
                  <w:shd w:val="clear" w:color="auto" w:fill="auto"/>
                  <w:vAlign w:val="center"/>
                </w:tcPr>
                <w:p w:rsidR="00CB724F" w:rsidRPr="00F14060" w:rsidRDefault="00CE064A" w:rsidP="00CB724F">
                  <w:pPr>
                    <w:pStyle w:val="TableBodyText"/>
                  </w:pPr>
                  <w:r w:rsidRPr="00F14060">
                    <w:t xml:space="preserve">  87.0</w:t>
                  </w:r>
                </w:p>
              </w:tc>
              <w:tc>
                <w:tcPr>
                  <w:tcW w:w="501" w:type="pct"/>
                  <w:shd w:val="clear" w:color="auto" w:fill="auto"/>
                  <w:vAlign w:val="center"/>
                </w:tcPr>
                <w:p w:rsidR="00CB724F" w:rsidRPr="00F14060" w:rsidRDefault="00CE064A" w:rsidP="00CB724F">
                  <w:pPr>
                    <w:pStyle w:val="TableBodyText"/>
                  </w:pPr>
                  <w:r w:rsidRPr="00F14060">
                    <w:t xml:space="preserve">  86.6</w:t>
                  </w:r>
                </w:p>
              </w:tc>
              <w:tc>
                <w:tcPr>
                  <w:tcW w:w="501" w:type="pct"/>
                  <w:shd w:val="clear" w:color="auto" w:fill="auto"/>
                  <w:vAlign w:val="center"/>
                </w:tcPr>
                <w:p w:rsidR="00CB724F" w:rsidRPr="00F14060" w:rsidRDefault="00CE064A" w:rsidP="00CB724F">
                  <w:pPr>
                    <w:pStyle w:val="TableBodyText"/>
                  </w:pPr>
                  <w:r w:rsidRPr="00F14060">
                    <w:t xml:space="preserve">  70.1</w:t>
                  </w:r>
                </w:p>
              </w:tc>
              <w:tc>
                <w:tcPr>
                  <w:tcW w:w="501" w:type="pct"/>
                  <w:shd w:val="clear" w:color="auto" w:fill="auto"/>
                  <w:vAlign w:val="center"/>
                </w:tcPr>
                <w:p w:rsidR="00CB724F" w:rsidRPr="00F14060" w:rsidRDefault="00CE064A" w:rsidP="00CB724F">
                  <w:pPr>
                    <w:pStyle w:val="TableBodyText"/>
                  </w:pPr>
                  <w:r w:rsidRPr="00F14060">
                    <w:t xml:space="preserve">  107.6</w:t>
                  </w:r>
                </w:p>
              </w:tc>
              <w:tc>
                <w:tcPr>
                  <w:tcW w:w="496" w:type="pct"/>
                  <w:shd w:val="clear" w:color="auto" w:fill="auto"/>
                  <w:vAlign w:val="center"/>
                </w:tcPr>
                <w:p w:rsidR="00CB724F" w:rsidRPr="00F14060" w:rsidRDefault="00CE064A" w:rsidP="00CB724F">
                  <w:pPr>
                    <w:pStyle w:val="TableBodyText"/>
                  </w:pPr>
                  <w:r w:rsidRPr="00F14060">
                    <w:t xml:space="preserve">  68.8</w:t>
                  </w:r>
                </w:p>
              </w:tc>
              <w:tc>
                <w:tcPr>
                  <w:tcW w:w="496" w:type="pct"/>
                  <w:shd w:val="clear" w:color="auto" w:fill="auto"/>
                  <w:vAlign w:val="center"/>
                </w:tcPr>
                <w:p w:rsidR="00CB724F" w:rsidRPr="00F14060" w:rsidRDefault="00CB724F" w:rsidP="00CB724F">
                  <w:pPr>
                    <w:pStyle w:val="TableBodyText"/>
                  </w:pPr>
                  <w:r w:rsidRPr="00F14060">
                    <w:t xml:space="preserve">  78.6</w:t>
                  </w:r>
                </w:p>
              </w:tc>
            </w:tr>
            <w:tr w:rsidR="00CB724F" w:rsidRPr="007322BC" w:rsidTr="00294689">
              <w:tc>
                <w:tcPr>
                  <w:tcW w:w="5000" w:type="pct"/>
                  <w:gridSpan w:val="10"/>
                  <w:tcBorders>
                    <w:bottom w:val="single" w:sz="6" w:space="0" w:color="BFBFBF" w:themeColor="background2"/>
                  </w:tcBorders>
                  <w:shd w:val="clear" w:color="auto" w:fill="auto"/>
                </w:tcPr>
                <w:p w:rsidR="00CB724F" w:rsidRPr="002E1BE0" w:rsidRDefault="00CB724F" w:rsidP="00D402D0">
                  <w:pPr>
                    <w:pStyle w:val="Source"/>
                    <w:spacing w:before="0" w:after="80"/>
                    <w:ind w:left="113"/>
                  </w:pPr>
                  <w:r w:rsidRPr="002E1BE0">
                    <w:rPr>
                      <w:i/>
                    </w:rPr>
                    <w:t xml:space="preserve">Source: </w:t>
                  </w:r>
                  <w:r w:rsidR="00CE064A">
                    <w:t xml:space="preserve">Attachment table </w:t>
                  </w:r>
                  <w:proofErr w:type="spellStart"/>
                  <w:r w:rsidR="00CE064A">
                    <w:t>4A.120</w:t>
                  </w:r>
                  <w:proofErr w:type="spellEnd"/>
                </w:p>
              </w:tc>
            </w:tr>
          </w:tbl>
          <w:p w:rsidR="009A47FF" w:rsidRPr="007322BC" w:rsidRDefault="009A47FF" w:rsidP="00AE7A8F">
            <w:pPr>
              <w:pStyle w:val="Box"/>
              <w:rPr>
                <w:color w:val="FF0000"/>
              </w:rPr>
            </w:pPr>
          </w:p>
        </w:tc>
      </w:tr>
      <w:tr w:rsidR="009A47FF" w:rsidRPr="007322BC" w:rsidTr="00AE7A8F">
        <w:trPr>
          <w:cantSplit/>
        </w:trPr>
        <w:tc>
          <w:tcPr>
            <w:tcW w:w="8771" w:type="dxa"/>
            <w:tcBorders>
              <w:top w:val="nil"/>
              <w:left w:val="nil"/>
              <w:bottom w:val="nil"/>
              <w:right w:val="nil"/>
            </w:tcBorders>
            <w:shd w:val="clear" w:color="auto" w:fill="auto"/>
          </w:tcPr>
          <w:p w:rsidR="009A47FF" w:rsidRPr="007322BC" w:rsidRDefault="009A47FF" w:rsidP="00AE7A8F">
            <w:pPr>
              <w:pStyle w:val="TableBodyText"/>
              <w:rPr>
                <w:color w:val="FF0000"/>
              </w:rPr>
            </w:pPr>
            <w:r w:rsidRPr="002A0FDE">
              <w:t>(continued next page)</w:t>
            </w:r>
          </w:p>
        </w:tc>
      </w:tr>
      <w:tr w:rsidR="009A47FF" w:rsidRPr="007322BC" w:rsidTr="00AE7A8F">
        <w:trPr>
          <w:cantSplit/>
        </w:trPr>
        <w:tc>
          <w:tcPr>
            <w:tcW w:w="8771" w:type="dxa"/>
            <w:tcBorders>
              <w:top w:val="nil"/>
              <w:left w:val="nil"/>
              <w:bottom w:val="single" w:sz="6" w:space="0" w:color="78A22F"/>
              <w:right w:val="nil"/>
            </w:tcBorders>
            <w:shd w:val="clear" w:color="auto" w:fill="auto"/>
          </w:tcPr>
          <w:p w:rsidR="009A47FF" w:rsidRPr="007322BC" w:rsidRDefault="009A47FF" w:rsidP="00AE7A8F">
            <w:pPr>
              <w:pStyle w:val="Box"/>
              <w:spacing w:before="0" w:line="120" w:lineRule="exact"/>
              <w:rPr>
                <w:color w:val="FF0000"/>
              </w:rPr>
            </w:pPr>
          </w:p>
        </w:tc>
      </w:tr>
      <w:tr w:rsidR="009A47FF" w:rsidRPr="007322BC" w:rsidTr="00AE7A8F">
        <w:tc>
          <w:tcPr>
            <w:tcW w:w="8771" w:type="dxa"/>
            <w:tcBorders>
              <w:top w:val="single" w:sz="6" w:space="0" w:color="78A22F"/>
              <w:left w:val="nil"/>
              <w:bottom w:val="nil"/>
              <w:right w:val="nil"/>
            </w:tcBorders>
          </w:tcPr>
          <w:p w:rsidR="009A47FF" w:rsidRPr="007322BC" w:rsidRDefault="009A47FF" w:rsidP="00AE7A8F">
            <w:pPr>
              <w:pStyle w:val="BoxSpaceBelow"/>
              <w:rPr>
                <w:color w:val="FF0000"/>
              </w:rPr>
            </w:pPr>
          </w:p>
        </w:tc>
      </w:tr>
    </w:tbl>
    <w:p w:rsidR="009A47FF" w:rsidRPr="007322BC" w:rsidRDefault="009A47FF" w:rsidP="009A47FF">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A47FF" w:rsidRPr="007322BC" w:rsidTr="00AE7A8F">
        <w:tc>
          <w:tcPr>
            <w:tcW w:w="8771" w:type="dxa"/>
            <w:tcBorders>
              <w:top w:val="single" w:sz="6" w:space="0" w:color="78A22F"/>
              <w:left w:val="nil"/>
              <w:bottom w:val="nil"/>
              <w:right w:val="nil"/>
            </w:tcBorders>
            <w:shd w:val="clear" w:color="auto" w:fill="auto"/>
          </w:tcPr>
          <w:p w:rsidR="009A47FF" w:rsidRPr="007322BC" w:rsidRDefault="009A47FF" w:rsidP="00BE6A0A">
            <w:pPr>
              <w:pStyle w:val="TableTitle"/>
              <w:rPr>
                <w:color w:val="FF0000"/>
              </w:rPr>
            </w:pPr>
            <w:r w:rsidRPr="00FF1037">
              <w:rPr>
                <w:b w:val="0"/>
              </w:rPr>
              <w:t xml:space="preserve">Table </w:t>
            </w:r>
            <w:proofErr w:type="spellStart"/>
            <w:r w:rsidRPr="00FF1037">
              <w:rPr>
                <w:b w:val="0"/>
              </w:rPr>
              <w:t>B.</w:t>
            </w:r>
            <w:r w:rsidR="00BE6A0A" w:rsidRPr="00FF1037">
              <w:rPr>
                <w:b w:val="0"/>
              </w:rPr>
              <w:t>2</w:t>
            </w:r>
            <w:proofErr w:type="spellEnd"/>
            <w:r w:rsidRPr="00FF1037">
              <w:tab/>
            </w:r>
            <w:r w:rsidRPr="00FF1037">
              <w:rPr>
                <w:b w:val="0"/>
                <w:sz w:val="18"/>
                <w:szCs w:val="18"/>
              </w:rPr>
              <w:t>(continued)</w:t>
            </w:r>
          </w:p>
        </w:tc>
      </w:tr>
      <w:tr w:rsidR="009A47FF" w:rsidRPr="007322B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099"/>
              <w:gridCol w:w="824"/>
              <w:gridCol w:w="823"/>
              <w:gridCol w:w="823"/>
              <w:gridCol w:w="823"/>
              <w:gridCol w:w="823"/>
              <w:gridCol w:w="823"/>
              <w:gridCol w:w="825"/>
              <w:gridCol w:w="816"/>
              <w:gridCol w:w="808"/>
            </w:tblGrid>
            <w:tr w:rsidR="00C96A76" w:rsidRPr="007322BC" w:rsidTr="00A40DD4">
              <w:tc>
                <w:tcPr>
                  <w:tcW w:w="647" w:type="pct"/>
                  <w:tcBorders>
                    <w:top w:val="single" w:sz="6" w:space="0" w:color="BFBFBF"/>
                    <w:bottom w:val="single" w:sz="6" w:space="0" w:color="BFBFBF"/>
                  </w:tcBorders>
                  <w:shd w:val="clear" w:color="auto" w:fill="auto"/>
                  <w:tcMar>
                    <w:top w:w="28" w:type="dxa"/>
                  </w:tcMar>
                </w:tcPr>
                <w:p w:rsidR="009A47FF" w:rsidRPr="00FF1037" w:rsidRDefault="009A47FF" w:rsidP="00AE7A8F">
                  <w:pPr>
                    <w:pStyle w:val="TableColumnHeading"/>
                    <w:jc w:val="left"/>
                  </w:pPr>
                </w:p>
              </w:tc>
              <w:tc>
                <w:tcPr>
                  <w:tcW w:w="485" w:type="pct"/>
                  <w:tcBorders>
                    <w:top w:val="single" w:sz="6" w:space="0" w:color="BFBFBF"/>
                    <w:bottom w:val="single" w:sz="6" w:space="0" w:color="BFBFBF"/>
                  </w:tcBorders>
                </w:tcPr>
                <w:p w:rsidR="009A47FF" w:rsidRPr="00FF1037" w:rsidRDefault="009A47FF" w:rsidP="00AE7A8F">
                  <w:pPr>
                    <w:pStyle w:val="TableColumnHeading"/>
                  </w:pPr>
                  <w:r w:rsidRPr="00FF1037">
                    <w:t>NSW</w:t>
                  </w:r>
                </w:p>
              </w:tc>
              <w:tc>
                <w:tcPr>
                  <w:tcW w:w="485" w:type="pct"/>
                  <w:tcBorders>
                    <w:top w:val="single" w:sz="6" w:space="0" w:color="BFBFBF"/>
                    <w:bottom w:val="single" w:sz="6" w:space="0" w:color="BFBFBF"/>
                  </w:tcBorders>
                </w:tcPr>
                <w:p w:rsidR="009A47FF" w:rsidRPr="00FF1037" w:rsidRDefault="009A47FF" w:rsidP="00AE7A8F">
                  <w:pPr>
                    <w:pStyle w:val="TableColumnHeading"/>
                  </w:pPr>
                  <w:r w:rsidRPr="00FF1037">
                    <w:t>Vic</w:t>
                  </w:r>
                </w:p>
              </w:tc>
              <w:tc>
                <w:tcPr>
                  <w:tcW w:w="485" w:type="pct"/>
                  <w:tcBorders>
                    <w:top w:val="single" w:sz="6" w:space="0" w:color="BFBFBF"/>
                    <w:bottom w:val="single" w:sz="6" w:space="0" w:color="BFBFBF"/>
                  </w:tcBorders>
                </w:tcPr>
                <w:p w:rsidR="009A47FF" w:rsidRPr="00FF1037" w:rsidRDefault="009A47FF" w:rsidP="00AE7A8F">
                  <w:pPr>
                    <w:pStyle w:val="TableColumnHeading"/>
                  </w:pPr>
                  <w:r w:rsidRPr="00FF1037">
                    <w:t>Qld</w:t>
                  </w:r>
                </w:p>
              </w:tc>
              <w:tc>
                <w:tcPr>
                  <w:tcW w:w="485" w:type="pct"/>
                  <w:tcBorders>
                    <w:top w:val="single" w:sz="6" w:space="0" w:color="BFBFBF"/>
                    <w:bottom w:val="single" w:sz="6" w:space="0" w:color="BFBFBF"/>
                  </w:tcBorders>
                </w:tcPr>
                <w:p w:rsidR="009A47FF" w:rsidRPr="00FF1037" w:rsidRDefault="009A47FF" w:rsidP="00AE7A8F">
                  <w:pPr>
                    <w:pStyle w:val="TableColumnHeading"/>
                  </w:pPr>
                  <w:r w:rsidRPr="00FF1037">
                    <w:t>WA</w:t>
                  </w:r>
                </w:p>
              </w:tc>
              <w:tc>
                <w:tcPr>
                  <w:tcW w:w="485" w:type="pct"/>
                  <w:tcBorders>
                    <w:top w:val="single" w:sz="6" w:space="0" w:color="BFBFBF"/>
                    <w:bottom w:val="single" w:sz="6" w:space="0" w:color="BFBFBF"/>
                  </w:tcBorders>
                </w:tcPr>
                <w:p w:rsidR="009A47FF" w:rsidRPr="00FF1037" w:rsidRDefault="009A47FF" w:rsidP="00AE7A8F">
                  <w:pPr>
                    <w:pStyle w:val="TableColumnHeading"/>
                  </w:pPr>
                  <w:r w:rsidRPr="00FF1037">
                    <w:t>SA</w:t>
                  </w:r>
                </w:p>
              </w:tc>
              <w:tc>
                <w:tcPr>
                  <w:tcW w:w="485" w:type="pct"/>
                  <w:tcBorders>
                    <w:top w:val="single" w:sz="6" w:space="0" w:color="BFBFBF"/>
                    <w:bottom w:val="single" w:sz="6" w:space="0" w:color="BFBFBF"/>
                  </w:tcBorders>
                </w:tcPr>
                <w:p w:rsidR="009A47FF" w:rsidRPr="00FF1037" w:rsidRDefault="009A47FF" w:rsidP="00AE7A8F">
                  <w:pPr>
                    <w:pStyle w:val="TableColumnHeading"/>
                  </w:pPr>
                  <w:proofErr w:type="spellStart"/>
                  <w:r w:rsidRPr="00FF1037">
                    <w:t>Tas</w:t>
                  </w:r>
                  <w:proofErr w:type="spellEnd"/>
                </w:p>
              </w:tc>
              <w:tc>
                <w:tcPr>
                  <w:tcW w:w="486" w:type="pct"/>
                  <w:tcBorders>
                    <w:top w:val="single" w:sz="6" w:space="0" w:color="BFBFBF"/>
                    <w:bottom w:val="single" w:sz="6" w:space="0" w:color="BFBFBF"/>
                  </w:tcBorders>
                  <w:shd w:val="clear" w:color="auto" w:fill="auto"/>
                  <w:tcMar>
                    <w:top w:w="28" w:type="dxa"/>
                  </w:tcMar>
                </w:tcPr>
                <w:p w:rsidR="009A47FF" w:rsidRPr="00FF1037" w:rsidRDefault="009A47FF" w:rsidP="00AE7A8F">
                  <w:pPr>
                    <w:pStyle w:val="TableColumnHeading"/>
                  </w:pPr>
                  <w:r w:rsidRPr="00FF1037">
                    <w:t>ACT</w:t>
                  </w:r>
                </w:p>
              </w:tc>
              <w:tc>
                <w:tcPr>
                  <w:tcW w:w="481" w:type="pct"/>
                  <w:tcBorders>
                    <w:top w:val="single" w:sz="6" w:space="0" w:color="BFBFBF"/>
                    <w:bottom w:val="single" w:sz="6" w:space="0" w:color="BFBFBF"/>
                  </w:tcBorders>
                </w:tcPr>
                <w:p w:rsidR="009A47FF" w:rsidRPr="00FF1037" w:rsidRDefault="009A47FF" w:rsidP="00AE7A8F">
                  <w:pPr>
                    <w:pStyle w:val="TableColumnHeading"/>
                  </w:pPr>
                  <w:r w:rsidRPr="00FF1037">
                    <w:t>NT</w:t>
                  </w:r>
                </w:p>
              </w:tc>
              <w:tc>
                <w:tcPr>
                  <w:tcW w:w="477" w:type="pct"/>
                  <w:tcBorders>
                    <w:top w:val="single" w:sz="6" w:space="0" w:color="BFBFBF"/>
                    <w:bottom w:val="single" w:sz="6" w:space="0" w:color="BFBFBF"/>
                  </w:tcBorders>
                  <w:shd w:val="clear" w:color="auto" w:fill="auto"/>
                  <w:tcMar>
                    <w:top w:w="28" w:type="dxa"/>
                  </w:tcMar>
                </w:tcPr>
                <w:p w:rsidR="009A47FF" w:rsidRPr="00FF1037" w:rsidRDefault="009A47FF" w:rsidP="00AE7A8F">
                  <w:pPr>
                    <w:pStyle w:val="TableColumnHeading"/>
                  </w:pPr>
                  <w:proofErr w:type="spellStart"/>
                  <w:r w:rsidRPr="00FF1037">
                    <w:t>Aust</w:t>
                  </w:r>
                  <w:proofErr w:type="spellEnd"/>
                </w:p>
              </w:tc>
            </w:tr>
            <w:tr w:rsidR="00E34291" w:rsidRPr="007322BC" w:rsidTr="00E34291">
              <w:tc>
                <w:tcPr>
                  <w:tcW w:w="5000" w:type="pct"/>
                  <w:gridSpan w:val="10"/>
                </w:tcPr>
                <w:p w:rsidR="00E34291" w:rsidRPr="00D13C67" w:rsidRDefault="00E34291" w:rsidP="00E34291">
                  <w:pPr>
                    <w:pStyle w:val="TableBodyText"/>
                    <w:ind w:left="113" w:right="28"/>
                    <w:jc w:val="left"/>
                  </w:pPr>
                  <w:r w:rsidRPr="002E1BE0">
                    <w:t>Apparent retention rate, year 10</w:t>
                  </w:r>
                  <w:r w:rsidRPr="002E1BE0">
                    <w:noBreakHyphen/>
                    <w:t>12, full time Aboriginal and Torres Strait Islander students, government schools</w:t>
                  </w:r>
                  <w:r>
                    <w:t>, 2014</w:t>
                  </w:r>
                </w:p>
              </w:tc>
            </w:tr>
            <w:tr w:rsidR="00E34291" w:rsidRPr="00E34291" w:rsidTr="00E34291">
              <w:tc>
                <w:tcPr>
                  <w:tcW w:w="5000" w:type="pct"/>
                  <w:gridSpan w:val="10"/>
                </w:tcPr>
                <w:p w:rsidR="00E34291" w:rsidRPr="00E34291" w:rsidRDefault="00E34291" w:rsidP="00E34291">
                  <w:pPr>
                    <w:pStyle w:val="TableBodyText"/>
                    <w:ind w:left="113" w:right="28"/>
                    <w:jc w:val="left"/>
                    <w:rPr>
                      <w:sz w:val="16"/>
                      <w:szCs w:val="16"/>
                    </w:rPr>
                  </w:pPr>
                  <w:r w:rsidRPr="002E1BE0">
                    <w:rPr>
                      <w:sz w:val="16"/>
                      <w:szCs w:val="16"/>
                    </w:rPr>
                    <w:t>Most recent data for this measure are comparable and complete, subject to caveats (chapter 4)</w:t>
                  </w:r>
                </w:p>
              </w:tc>
            </w:tr>
            <w:tr w:rsidR="00E34291" w:rsidRPr="007322BC" w:rsidTr="00A40DD4">
              <w:tc>
                <w:tcPr>
                  <w:tcW w:w="647" w:type="pct"/>
                </w:tcPr>
                <w:p w:rsidR="00E34291" w:rsidRPr="00D040C2" w:rsidRDefault="00E34291" w:rsidP="007E1A54">
                  <w:pPr>
                    <w:pStyle w:val="TableBodyText"/>
                  </w:pPr>
                  <w:r w:rsidRPr="00D040C2">
                    <w:t>%</w:t>
                  </w:r>
                </w:p>
              </w:tc>
              <w:tc>
                <w:tcPr>
                  <w:tcW w:w="485" w:type="pct"/>
                  <w:vAlign w:val="center"/>
                </w:tcPr>
                <w:p w:rsidR="00E34291" w:rsidRPr="00816AB9" w:rsidRDefault="00E34291" w:rsidP="007E1A54">
                  <w:pPr>
                    <w:pStyle w:val="TableBodyText"/>
                  </w:pPr>
                  <w:r w:rsidRPr="00816AB9">
                    <w:t>45.6</w:t>
                  </w:r>
                </w:p>
              </w:tc>
              <w:tc>
                <w:tcPr>
                  <w:tcW w:w="485" w:type="pct"/>
                  <w:vAlign w:val="center"/>
                </w:tcPr>
                <w:p w:rsidR="00E34291" w:rsidRPr="00816AB9" w:rsidRDefault="00E34291" w:rsidP="007E1A54">
                  <w:pPr>
                    <w:pStyle w:val="TableBodyText"/>
                  </w:pPr>
                  <w:r w:rsidRPr="00816AB9">
                    <w:t>59.7</w:t>
                  </w:r>
                </w:p>
              </w:tc>
              <w:tc>
                <w:tcPr>
                  <w:tcW w:w="485" w:type="pct"/>
                  <w:vAlign w:val="center"/>
                </w:tcPr>
                <w:p w:rsidR="00E34291" w:rsidRPr="00816AB9" w:rsidRDefault="00E34291" w:rsidP="007E1A54">
                  <w:pPr>
                    <w:pStyle w:val="TableBodyText"/>
                  </w:pPr>
                  <w:r w:rsidRPr="00816AB9">
                    <w:t>64.3</w:t>
                  </w:r>
                </w:p>
              </w:tc>
              <w:tc>
                <w:tcPr>
                  <w:tcW w:w="485" w:type="pct"/>
                  <w:vAlign w:val="center"/>
                </w:tcPr>
                <w:p w:rsidR="00E34291" w:rsidRPr="00816AB9" w:rsidRDefault="00E34291" w:rsidP="007E1A54">
                  <w:pPr>
                    <w:pStyle w:val="TableBodyText"/>
                  </w:pPr>
                  <w:r w:rsidRPr="00816AB9">
                    <w:t>57.4</w:t>
                  </w:r>
                </w:p>
              </w:tc>
              <w:tc>
                <w:tcPr>
                  <w:tcW w:w="485" w:type="pct"/>
                  <w:vAlign w:val="center"/>
                </w:tcPr>
                <w:p w:rsidR="00E34291" w:rsidRPr="00816AB9" w:rsidRDefault="00E34291" w:rsidP="007E1A54">
                  <w:pPr>
                    <w:pStyle w:val="TableBodyText"/>
                  </w:pPr>
                  <w:r w:rsidRPr="00816AB9">
                    <w:t>82.9</w:t>
                  </w:r>
                </w:p>
              </w:tc>
              <w:tc>
                <w:tcPr>
                  <w:tcW w:w="485" w:type="pct"/>
                  <w:vAlign w:val="center"/>
                </w:tcPr>
                <w:p w:rsidR="00E34291" w:rsidRPr="00816AB9" w:rsidRDefault="00E34291" w:rsidP="007E1A54">
                  <w:pPr>
                    <w:pStyle w:val="TableBodyText"/>
                  </w:pPr>
                  <w:r w:rsidRPr="00816AB9">
                    <w:t>53.1</w:t>
                  </w:r>
                </w:p>
              </w:tc>
              <w:tc>
                <w:tcPr>
                  <w:tcW w:w="486" w:type="pct"/>
                  <w:vAlign w:val="center"/>
                </w:tcPr>
                <w:p w:rsidR="00E34291" w:rsidRPr="00816AB9" w:rsidRDefault="00E34291" w:rsidP="007E1A54">
                  <w:pPr>
                    <w:pStyle w:val="TableBodyText"/>
                  </w:pPr>
                  <w:r w:rsidRPr="00816AB9">
                    <w:t>85.3</w:t>
                  </w:r>
                </w:p>
              </w:tc>
              <w:tc>
                <w:tcPr>
                  <w:tcW w:w="481" w:type="pct"/>
                  <w:vAlign w:val="center"/>
                </w:tcPr>
                <w:p w:rsidR="00E34291" w:rsidRPr="00816AB9" w:rsidRDefault="00E34291" w:rsidP="007E1A54">
                  <w:pPr>
                    <w:pStyle w:val="TableBodyText"/>
                  </w:pPr>
                  <w:r w:rsidRPr="00816AB9">
                    <w:t>49.9</w:t>
                  </w:r>
                </w:p>
              </w:tc>
              <w:tc>
                <w:tcPr>
                  <w:tcW w:w="477" w:type="pct"/>
                  <w:vAlign w:val="center"/>
                </w:tcPr>
                <w:p w:rsidR="00E34291" w:rsidRPr="00816AB9" w:rsidRDefault="00E34291" w:rsidP="007E1A54">
                  <w:pPr>
                    <w:pStyle w:val="TableBodyText"/>
                  </w:pPr>
                  <w:r w:rsidRPr="00816AB9">
                    <w:t>56.8</w:t>
                  </w:r>
                </w:p>
              </w:tc>
            </w:tr>
            <w:tr w:rsidR="00E34291" w:rsidRPr="007322BC" w:rsidTr="00E34291">
              <w:tc>
                <w:tcPr>
                  <w:tcW w:w="5000" w:type="pct"/>
                  <w:gridSpan w:val="10"/>
                  <w:vAlign w:val="center"/>
                </w:tcPr>
                <w:p w:rsidR="00E34291" w:rsidRPr="00D13C67" w:rsidRDefault="00E34291" w:rsidP="00D402D0">
                  <w:pPr>
                    <w:pStyle w:val="Source"/>
                    <w:spacing w:before="0" w:after="80"/>
                    <w:ind w:left="113"/>
                  </w:pPr>
                  <w:r w:rsidRPr="00D040C2">
                    <w:rPr>
                      <w:i/>
                    </w:rPr>
                    <w:t xml:space="preserve">Source: </w:t>
                  </w:r>
                  <w:r w:rsidR="00CE064A">
                    <w:t xml:space="preserve">Attachment table </w:t>
                  </w:r>
                  <w:proofErr w:type="spellStart"/>
                  <w:r w:rsidR="00CE064A">
                    <w:t>4A.122</w:t>
                  </w:r>
                  <w:proofErr w:type="spellEnd"/>
                </w:p>
              </w:tc>
            </w:tr>
            <w:tr w:rsidR="00E34291" w:rsidRPr="007322BC" w:rsidTr="007E1A54">
              <w:tc>
                <w:tcPr>
                  <w:tcW w:w="5000" w:type="pct"/>
                  <w:gridSpan w:val="10"/>
                </w:tcPr>
                <w:p w:rsidR="00E34291" w:rsidRPr="00FF1037" w:rsidRDefault="00E34291" w:rsidP="007E1A54">
                  <w:pPr>
                    <w:pStyle w:val="DQIMainRowHeadings"/>
                  </w:pPr>
                  <w:r w:rsidRPr="00FF1037">
                    <w:t>Efficiency — Inputs per output unit indicators</w:t>
                  </w:r>
                </w:p>
              </w:tc>
            </w:tr>
            <w:tr w:rsidR="00E34291" w:rsidRPr="007322BC" w:rsidTr="007E1A54">
              <w:tc>
                <w:tcPr>
                  <w:tcW w:w="5000" w:type="pct"/>
                  <w:gridSpan w:val="10"/>
                </w:tcPr>
                <w:p w:rsidR="00E34291" w:rsidRPr="00FF1037" w:rsidRDefault="00E34291" w:rsidP="007E1A54">
                  <w:pPr>
                    <w:pStyle w:val="DQIRowHeadings"/>
                  </w:pPr>
                  <w:r w:rsidRPr="00FF1037">
                    <w:t>Recurrent expenditure per student</w:t>
                  </w:r>
                </w:p>
              </w:tc>
            </w:tr>
            <w:tr w:rsidR="00E34291" w:rsidRPr="007322BC" w:rsidTr="007E1A54">
              <w:tc>
                <w:tcPr>
                  <w:tcW w:w="5000" w:type="pct"/>
                  <w:gridSpan w:val="10"/>
                </w:tcPr>
                <w:p w:rsidR="00E34291" w:rsidRPr="00FF1037" w:rsidRDefault="00E34291" w:rsidP="007E1A54">
                  <w:pPr>
                    <w:pStyle w:val="TableBodyText"/>
                    <w:ind w:left="113" w:right="28"/>
                    <w:jc w:val="left"/>
                  </w:pPr>
                  <w:r w:rsidRPr="00FF1037">
                    <w:t>Government expenditure per FTE student, government schools, 2013</w:t>
                  </w:r>
                  <w:r w:rsidRPr="00FF1037">
                    <w:noBreakHyphen/>
                    <w:t>14</w:t>
                  </w:r>
                  <w:r w:rsidR="000921A1">
                    <w:t xml:space="preserve"> – Includes user cost of capital</w:t>
                  </w:r>
                </w:p>
              </w:tc>
            </w:tr>
            <w:tr w:rsidR="00E34291" w:rsidRPr="007322BC" w:rsidTr="007E1A54">
              <w:tc>
                <w:tcPr>
                  <w:tcW w:w="5000" w:type="pct"/>
                  <w:gridSpan w:val="10"/>
                </w:tcPr>
                <w:p w:rsidR="00E34291" w:rsidRPr="00FF1037" w:rsidRDefault="00E34291" w:rsidP="007E1A54">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A40DD4">
              <w:tc>
                <w:tcPr>
                  <w:tcW w:w="647" w:type="pct"/>
                  <w:vAlign w:val="center"/>
                </w:tcPr>
                <w:p w:rsidR="00E34291" w:rsidRPr="00FF1037" w:rsidRDefault="00E34291" w:rsidP="00682F4A">
                  <w:pPr>
                    <w:pStyle w:val="TableBodyText"/>
                  </w:pPr>
                  <w:r w:rsidRPr="00FF1037">
                    <w:t>$</w:t>
                  </w:r>
                </w:p>
              </w:tc>
              <w:tc>
                <w:tcPr>
                  <w:tcW w:w="485" w:type="pct"/>
                  <w:vAlign w:val="center"/>
                </w:tcPr>
                <w:p w:rsidR="00E34291" w:rsidRPr="00D13C67" w:rsidRDefault="00E34291" w:rsidP="00D13C67">
                  <w:pPr>
                    <w:pStyle w:val="TableBodyText"/>
                  </w:pPr>
                  <w:r w:rsidRPr="00D13C67">
                    <w:t xml:space="preserve"> 16 449</w:t>
                  </w:r>
                </w:p>
              </w:tc>
              <w:tc>
                <w:tcPr>
                  <w:tcW w:w="485" w:type="pct"/>
                  <w:vAlign w:val="center"/>
                </w:tcPr>
                <w:p w:rsidR="00E34291" w:rsidRPr="00D13C67" w:rsidRDefault="00E34291" w:rsidP="00D13C67">
                  <w:pPr>
                    <w:pStyle w:val="TableBodyText"/>
                  </w:pPr>
                  <w:r w:rsidRPr="00D13C67">
                    <w:t xml:space="preserve"> 13 924</w:t>
                  </w:r>
                </w:p>
              </w:tc>
              <w:tc>
                <w:tcPr>
                  <w:tcW w:w="485" w:type="pct"/>
                  <w:vAlign w:val="center"/>
                </w:tcPr>
                <w:p w:rsidR="00E34291" w:rsidRPr="00D13C67" w:rsidRDefault="00E34291" w:rsidP="00D13C67">
                  <w:pPr>
                    <w:pStyle w:val="TableBodyText"/>
                  </w:pPr>
                  <w:r w:rsidRPr="00D13C67">
                    <w:t xml:space="preserve"> 15 563</w:t>
                  </w:r>
                </w:p>
              </w:tc>
              <w:tc>
                <w:tcPr>
                  <w:tcW w:w="485" w:type="pct"/>
                  <w:vAlign w:val="center"/>
                </w:tcPr>
                <w:p w:rsidR="00E34291" w:rsidRPr="00D13C67" w:rsidRDefault="00E34291" w:rsidP="00D13C67">
                  <w:pPr>
                    <w:pStyle w:val="TableBodyText"/>
                  </w:pPr>
                  <w:r w:rsidRPr="00D13C67">
                    <w:t xml:space="preserve"> 19 462</w:t>
                  </w:r>
                </w:p>
              </w:tc>
              <w:tc>
                <w:tcPr>
                  <w:tcW w:w="485" w:type="pct"/>
                  <w:vAlign w:val="center"/>
                </w:tcPr>
                <w:p w:rsidR="00E34291" w:rsidRPr="00D13C67" w:rsidRDefault="00E34291" w:rsidP="00D13C67">
                  <w:pPr>
                    <w:pStyle w:val="TableBodyText"/>
                  </w:pPr>
                  <w:r w:rsidRPr="00D13C67">
                    <w:t xml:space="preserve"> 16 749</w:t>
                  </w:r>
                </w:p>
              </w:tc>
              <w:tc>
                <w:tcPr>
                  <w:tcW w:w="485" w:type="pct"/>
                  <w:vAlign w:val="center"/>
                </w:tcPr>
                <w:p w:rsidR="00E34291" w:rsidRPr="00D13C67" w:rsidRDefault="00E34291" w:rsidP="00D13C67">
                  <w:pPr>
                    <w:pStyle w:val="TableBodyText"/>
                  </w:pPr>
                  <w:r w:rsidRPr="00D13C67">
                    <w:t xml:space="preserve"> 16 724</w:t>
                  </w:r>
                </w:p>
              </w:tc>
              <w:tc>
                <w:tcPr>
                  <w:tcW w:w="486" w:type="pct"/>
                  <w:vAlign w:val="center"/>
                </w:tcPr>
                <w:p w:rsidR="00E34291" w:rsidRPr="00D13C67" w:rsidRDefault="00E34291" w:rsidP="00D13C67">
                  <w:pPr>
                    <w:pStyle w:val="TableBodyText"/>
                  </w:pPr>
                  <w:r w:rsidRPr="00D13C67">
                    <w:t xml:space="preserve"> 21 112</w:t>
                  </w:r>
                </w:p>
              </w:tc>
              <w:tc>
                <w:tcPr>
                  <w:tcW w:w="481" w:type="pct"/>
                  <w:vAlign w:val="center"/>
                </w:tcPr>
                <w:p w:rsidR="00E34291" w:rsidRPr="00D13C67" w:rsidRDefault="00E34291" w:rsidP="00D13C67">
                  <w:pPr>
                    <w:pStyle w:val="TableBodyText"/>
                  </w:pPr>
                  <w:r w:rsidRPr="00D13C67">
                    <w:t xml:space="preserve"> 23 578</w:t>
                  </w:r>
                </w:p>
              </w:tc>
              <w:tc>
                <w:tcPr>
                  <w:tcW w:w="477" w:type="pct"/>
                  <w:vAlign w:val="center"/>
                </w:tcPr>
                <w:p w:rsidR="00E34291" w:rsidRPr="00D13C67" w:rsidRDefault="00E34291" w:rsidP="00D13C67">
                  <w:pPr>
                    <w:pStyle w:val="TableBodyText"/>
                  </w:pPr>
                  <w:r w:rsidRPr="00D13C67">
                    <w:t xml:space="preserve"> 16 177</w:t>
                  </w:r>
                </w:p>
              </w:tc>
            </w:tr>
            <w:tr w:rsidR="00E34291" w:rsidRPr="007322BC" w:rsidTr="00AE7A8F">
              <w:tc>
                <w:tcPr>
                  <w:tcW w:w="5000" w:type="pct"/>
                  <w:gridSpan w:val="10"/>
                </w:tcPr>
                <w:p w:rsidR="00E34291" w:rsidRPr="00FF1037" w:rsidRDefault="00E34291" w:rsidP="00D402D0">
                  <w:pPr>
                    <w:pStyle w:val="Source"/>
                    <w:spacing w:before="0" w:after="80"/>
                    <w:ind w:left="113"/>
                  </w:pPr>
                  <w:r w:rsidRPr="00FF1037">
                    <w:rPr>
                      <w:i/>
                    </w:rPr>
                    <w:t xml:space="preserve">Source: </w:t>
                  </w:r>
                  <w:r>
                    <w:t xml:space="preserve">Attachment table </w:t>
                  </w:r>
                  <w:proofErr w:type="spellStart"/>
                  <w:r>
                    <w:t>4A.13</w:t>
                  </w:r>
                  <w:proofErr w:type="spellEnd"/>
                  <w:r>
                    <w:t xml:space="preserve"> </w:t>
                  </w:r>
                </w:p>
              </w:tc>
            </w:tr>
            <w:tr w:rsidR="00E34291" w:rsidRPr="007322BC" w:rsidTr="00AE7A8F">
              <w:tc>
                <w:tcPr>
                  <w:tcW w:w="5000" w:type="pct"/>
                  <w:gridSpan w:val="10"/>
                </w:tcPr>
                <w:p w:rsidR="00E34291" w:rsidRPr="00FF1037" w:rsidRDefault="00E34291" w:rsidP="00682F4A">
                  <w:pPr>
                    <w:pStyle w:val="TableBodyText"/>
                    <w:ind w:left="113" w:right="28"/>
                    <w:jc w:val="left"/>
                  </w:pPr>
                  <w:r w:rsidRPr="00FF1037">
                    <w:t>Government expenditure per FTE student, non</w:t>
                  </w:r>
                  <w:r w:rsidRPr="00FF1037">
                    <w:noBreakHyphen/>
                    <w:t>government schools, 2013</w:t>
                  </w:r>
                  <w:r w:rsidRPr="00FF1037">
                    <w:noBreakHyphen/>
                    <w:t>14</w:t>
                  </w:r>
                </w:p>
              </w:tc>
            </w:tr>
            <w:tr w:rsidR="00E34291" w:rsidRPr="007322BC" w:rsidTr="00AE7A8F">
              <w:tc>
                <w:tcPr>
                  <w:tcW w:w="5000" w:type="pct"/>
                  <w:gridSpan w:val="10"/>
                </w:tcPr>
                <w:p w:rsidR="00E34291" w:rsidRPr="00FF1037" w:rsidRDefault="00E34291" w:rsidP="00AE7A8F">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F14060">
              <w:tc>
                <w:tcPr>
                  <w:tcW w:w="647" w:type="pct"/>
                </w:tcPr>
                <w:p w:rsidR="00E34291" w:rsidRPr="00FF1037" w:rsidRDefault="00E34291" w:rsidP="00AE7A8F">
                  <w:pPr>
                    <w:pStyle w:val="TableBodyText"/>
                  </w:pPr>
                  <w:r w:rsidRPr="00FF1037">
                    <w:t>$</w:t>
                  </w:r>
                </w:p>
              </w:tc>
              <w:tc>
                <w:tcPr>
                  <w:tcW w:w="485" w:type="pct"/>
                  <w:shd w:val="clear" w:color="auto" w:fill="auto"/>
                  <w:vAlign w:val="center"/>
                </w:tcPr>
                <w:p w:rsidR="00E34291" w:rsidRPr="00D13C67" w:rsidRDefault="00E34291" w:rsidP="006975FB">
                  <w:pPr>
                    <w:pStyle w:val="TableBodyText"/>
                  </w:pPr>
                  <w:r w:rsidRPr="00D13C67">
                    <w:t xml:space="preserve"> 9 2</w:t>
                  </w:r>
                  <w:r w:rsidR="006975FB">
                    <w:t>75</w:t>
                  </w:r>
                </w:p>
              </w:tc>
              <w:tc>
                <w:tcPr>
                  <w:tcW w:w="485" w:type="pct"/>
                  <w:shd w:val="clear" w:color="auto" w:fill="auto"/>
                  <w:vAlign w:val="center"/>
                </w:tcPr>
                <w:p w:rsidR="00E34291" w:rsidRPr="00D13C67" w:rsidRDefault="00E34291" w:rsidP="006975FB">
                  <w:pPr>
                    <w:pStyle w:val="TableBodyText"/>
                  </w:pPr>
                  <w:r w:rsidRPr="00D13C67">
                    <w:t xml:space="preserve"> 8 6</w:t>
                  </w:r>
                  <w:r w:rsidR="006975FB">
                    <w:t>97</w:t>
                  </w:r>
                </w:p>
              </w:tc>
              <w:tc>
                <w:tcPr>
                  <w:tcW w:w="485" w:type="pct"/>
                  <w:shd w:val="clear" w:color="auto" w:fill="auto"/>
                  <w:vAlign w:val="center"/>
                </w:tcPr>
                <w:p w:rsidR="00E34291" w:rsidRPr="00D13C67" w:rsidRDefault="00E34291" w:rsidP="006975FB">
                  <w:pPr>
                    <w:pStyle w:val="TableBodyText"/>
                  </w:pPr>
                  <w:r w:rsidRPr="00D13C67">
                    <w:t xml:space="preserve"> 9 7</w:t>
                  </w:r>
                  <w:r w:rsidR="006975FB">
                    <w:t>9</w:t>
                  </w:r>
                  <w:r w:rsidRPr="00D13C67">
                    <w:t>0</w:t>
                  </w:r>
                </w:p>
              </w:tc>
              <w:tc>
                <w:tcPr>
                  <w:tcW w:w="485" w:type="pct"/>
                  <w:shd w:val="clear" w:color="auto" w:fill="auto"/>
                  <w:vAlign w:val="center"/>
                </w:tcPr>
                <w:p w:rsidR="00E34291" w:rsidRPr="00D13C67" w:rsidRDefault="00E34291" w:rsidP="006975FB">
                  <w:pPr>
                    <w:pStyle w:val="TableBodyText"/>
                  </w:pPr>
                  <w:r w:rsidRPr="00D13C67">
                    <w:t xml:space="preserve"> 9 9</w:t>
                  </w:r>
                  <w:r w:rsidR="006975FB">
                    <w:t>37</w:t>
                  </w:r>
                </w:p>
              </w:tc>
              <w:tc>
                <w:tcPr>
                  <w:tcW w:w="485" w:type="pct"/>
                  <w:shd w:val="clear" w:color="auto" w:fill="auto"/>
                  <w:vAlign w:val="center"/>
                </w:tcPr>
                <w:p w:rsidR="00E34291" w:rsidRPr="00D13C67" w:rsidRDefault="00E34291" w:rsidP="006975FB">
                  <w:pPr>
                    <w:pStyle w:val="TableBodyText"/>
                  </w:pPr>
                  <w:r w:rsidRPr="00D13C67">
                    <w:t xml:space="preserve"> 9 0</w:t>
                  </w:r>
                  <w:r w:rsidR="006975FB">
                    <w:t>34</w:t>
                  </w:r>
                </w:p>
              </w:tc>
              <w:tc>
                <w:tcPr>
                  <w:tcW w:w="485" w:type="pct"/>
                  <w:shd w:val="clear" w:color="auto" w:fill="auto"/>
                  <w:vAlign w:val="center"/>
                </w:tcPr>
                <w:p w:rsidR="00E34291" w:rsidRPr="00D13C67" w:rsidRDefault="00E34291" w:rsidP="00D13C67">
                  <w:pPr>
                    <w:pStyle w:val="TableBodyText"/>
                  </w:pPr>
                  <w:r w:rsidRPr="00D13C67">
                    <w:t xml:space="preserve"> 9 877</w:t>
                  </w:r>
                </w:p>
              </w:tc>
              <w:tc>
                <w:tcPr>
                  <w:tcW w:w="486" w:type="pct"/>
                  <w:shd w:val="clear" w:color="auto" w:fill="auto"/>
                  <w:vAlign w:val="center"/>
                </w:tcPr>
                <w:p w:rsidR="00E34291" w:rsidRPr="00D13C67" w:rsidRDefault="00E34291" w:rsidP="00D13C67">
                  <w:pPr>
                    <w:pStyle w:val="TableBodyText"/>
                  </w:pPr>
                  <w:r w:rsidRPr="00D13C67">
                    <w:t xml:space="preserve"> 8 163</w:t>
                  </w:r>
                </w:p>
              </w:tc>
              <w:tc>
                <w:tcPr>
                  <w:tcW w:w="481" w:type="pct"/>
                  <w:shd w:val="clear" w:color="auto" w:fill="auto"/>
                  <w:vAlign w:val="center"/>
                </w:tcPr>
                <w:p w:rsidR="00E34291" w:rsidRPr="00D13C67" w:rsidRDefault="00E34291" w:rsidP="00D13C67">
                  <w:pPr>
                    <w:pStyle w:val="TableBodyText"/>
                  </w:pPr>
                  <w:r w:rsidRPr="00D13C67">
                    <w:t xml:space="preserve"> 16 205</w:t>
                  </w:r>
                </w:p>
              </w:tc>
              <w:tc>
                <w:tcPr>
                  <w:tcW w:w="477" w:type="pct"/>
                  <w:shd w:val="clear" w:color="auto" w:fill="auto"/>
                  <w:vAlign w:val="center"/>
                </w:tcPr>
                <w:p w:rsidR="00E34291" w:rsidRPr="00D13C67" w:rsidRDefault="00E34291" w:rsidP="006975FB">
                  <w:pPr>
                    <w:pStyle w:val="TableBodyText"/>
                  </w:pPr>
                  <w:r w:rsidRPr="00D13C67">
                    <w:t xml:space="preserve"> 9 </w:t>
                  </w:r>
                  <w:r w:rsidR="006975FB">
                    <w:t>327</w:t>
                  </w:r>
                </w:p>
              </w:tc>
            </w:tr>
            <w:tr w:rsidR="00E34291" w:rsidRPr="007322BC" w:rsidTr="00AE7A8F">
              <w:tc>
                <w:tcPr>
                  <w:tcW w:w="5000" w:type="pct"/>
                  <w:gridSpan w:val="10"/>
                </w:tcPr>
                <w:p w:rsidR="00E34291" w:rsidRPr="00FF1037" w:rsidRDefault="00E34291" w:rsidP="00D402D0">
                  <w:pPr>
                    <w:pStyle w:val="Source"/>
                    <w:spacing w:before="0" w:after="80"/>
                    <w:ind w:left="113"/>
                  </w:pPr>
                  <w:r w:rsidRPr="00FF1037">
                    <w:rPr>
                      <w:i/>
                    </w:rPr>
                    <w:t xml:space="preserve">Source: </w:t>
                  </w:r>
                  <w:r w:rsidR="00BF4AAC">
                    <w:t xml:space="preserve">Attachment table </w:t>
                  </w:r>
                  <w:proofErr w:type="spellStart"/>
                  <w:r w:rsidR="00BF4AAC">
                    <w:t>4A.</w:t>
                  </w:r>
                  <w:r>
                    <w:t>16</w:t>
                  </w:r>
                  <w:proofErr w:type="spellEnd"/>
                  <w:r w:rsidR="00D858DA">
                    <w:rPr>
                      <w:color w:val="FF0000"/>
                    </w:rPr>
                    <w:t xml:space="preserve"> </w:t>
                  </w:r>
                </w:p>
              </w:tc>
            </w:tr>
            <w:tr w:rsidR="00E34291" w:rsidRPr="007322BC" w:rsidTr="00AE7A8F">
              <w:tc>
                <w:tcPr>
                  <w:tcW w:w="5000" w:type="pct"/>
                  <w:gridSpan w:val="10"/>
                </w:tcPr>
                <w:p w:rsidR="00E34291" w:rsidRPr="00FF1037" w:rsidRDefault="00E34291" w:rsidP="00724457">
                  <w:pPr>
                    <w:pStyle w:val="TableBodyText"/>
                    <w:ind w:left="113" w:right="28"/>
                    <w:jc w:val="left"/>
                  </w:pPr>
                  <w:r w:rsidRPr="00FF1037">
                    <w:t>Government recurrent expenditure on staff per FTE student in government schools, 2013</w:t>
                  </w:r>
                  <w:r w:rsidRPr="00FF1037">
                    <w:noBreakHyphen/>
                    <w:t>14</w:t>
                  </w:r>
                </w:p>
              </w:tc>
            </w:tr>
            <w:tr w:rsidR="00E34291" w:rsidRPr="007322BC" w:rsidTr="00AE7A8F">
              <w:tc>
                <w:tcPr>
                  <w:tcW w:w="5000" w:type="pct"/>
                  <w:gridSpan w:val="10"/>
                </w:tcPr>
                <w:p w:rsidR="00E34291" w:rsidRPr="00FF1037" w:rsidRDefault="00E34291" w:rsidP="00AE7A8F">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A40DD4">
              <w:tc>
                <w:tcPr>
                  <w:tcW w:w="647" w:type="pct"/>
                </w:tcPr>
                <w:p w:rsidR="00E34291" w:rsidRPr="00FF1037" w:rsidRDefault="00E34291" w:rsidP="00AE7A8F">
                  <w:pPr>
                    <w:pStyle w:val="TableBodyText"/>
                  </w:pPr>
                  <w:r w:rsidRPr="00FF1037">
                    <w:t>$</w:t>
                  </w:r>
                </w:p>
              </w:tc>
              <w:tc>
                <w:tcPr>
                  <w:tcW w:w="485" w:type="pct"/>
                  <w:vAlign w:val="center"/>
                </w:tcPr>
                <w:p w:rsidR="00E34291" w:rsidRPr="00595C1D" w:rsidRDefault="00E34291" w:rsidP="00595C1D">
                  <w:pPr>
                    <w:pStyle w:val="TableBodyText"/>
                  </w:pPr>
                  <w:r w:rsidRPr="00595C1D">
                    <w:t xml:space="preserve"> 10 572</w:t>
                  </w:r>
                </w:p>
              </w:tc>
              <w:tc>
                <w:tcPr>
                  <w:tcW w:w="485" w:type="pct"/>
                  <w:vAlign w:val="center"/>
                </w:tcPr>
                <w:p w:rsidR="00E34291" w:rsidRPr="00595C1D" w:rsidRDefault="00E34291" w:rsidP="00595C1D">
                  <w:pPr>
                    <w:pStyle w:val="TableBodyText"/>
                  </w:pPr>
                  <w:r w:rsidRPr="00595C1D">
                    <w:t xml:space="preserve"> 8 937</w:t>
                  </w:r>
                </w:p>
              </w:tc>
              <w:tc>
                <w:tcPr>
                  <w:tcW w:w="485" w:type="pct"/>
                  <w:vAlign w:val="center"/>
                </w:tcPr>
                <w:p w:rsidR="00E34291" w:rsidRPr="00595C1D" w:rsidRDefault="00E34291" w:rsidP="00595C1D">
                  <w:pPr>
                    <w:pStyle w:val="TableBodyText"/>
                  </w:pPr>
                  <w:r w:rsidRPr="00595C1D">
                    <w:t xml:space="preserve"> 10 036</w:t>
                  </w:r>
                </w:p>
              </w:tc>
              <w:tc>
                <w:tcPr>
                  <w:tcW w:w="485" w:type="pct"/>
                  <w:vAlign w:val="center"/>
                </w:tcPr>
                <w:p w:rsidR="00E34291" w:rsidRPr="00595C1D" w:rsidRDefault="00E34291" w:rsidP="00595C1D">
                  <w:pPr>
                    <w:pStyle w:val="TableBodyText"/>
                  </w:pPr>
                  <w:r w:rsidRPr="00595C1D">
                    <w:t xml:space="preserve"> 11 845</w:t>
                  </w:r>
                </w:p>
              </w:tc>
              <w:tc>
                <w:tcPr>
                  <w:tcW w:w="485" w:type="pct"/>
                  <w:vAlign w:val="center"/>
                </w:tcPr>
                <w:p w:rsidR="00E34291" w:rsidRPr="00595C1D" w:rsidRDefault="00E34291" w:rsidP="00595C1D">
                  <w:pPr>
                    <w:pStyle w:val="TableBodyText"/>
                  </w:pPr>
                  <w:r w:rsidRPr="00595C1D">
                    <w:t xml:space="preserve"> 11 227</w:t>
                  </w:r>
                </w:p>
              </w:tc>
              <w:tc>
                <w:tcPr>
                  <w:tcW w:w="485" w:type="pct"/>
                  <w:vAlign w:val="center"/>
                </w:tcPr>
                <w:p w:rsidR="00E34291" w:rsidRPr="00595C1D" w:rsidRDefault="00E34291" w:rsidP="00595C1D">
                  <w:pPr>
                    <w:pStyle w:val="TableBodyText"/>
                  </w:pPr>
                  <w:r w:rsidRPr="00595C1D">
                    <w:t xml:space="preserve"> 10 997</w:t>
                  </w:r>
                </w:p>
              </w:tc>
              <w:tc>
                <w:tcPr>
                  <w:tcW w:w="486" w:type="pct"/>
                  <w:vAlign w:val="center"/>
                </w:tcPr>
                <w:p w:rsidR="00E34291" w:rsidRPr="00595C1D" w:rsidRDefault="00E34291" w:rsidP="00595C1D">
                  <w:pPr>
                    <w:pStyle w:val="TableBodyText"/>
                  </w:pPr>
                  <w:r w:rsidRPr="00595C1D">
                    <w:t xml:space="preserve"> 12 821</w:t>
                  </w:r>
                </w:p>
              </w:tc>
              <w:tc>
                <w:tcPr>
                  <w:tcW w:w="481" w:type="pct"/>
                  <w:vAlign w:val="center"/>
                </w:tcPr>
                <w:p w:rsidR="00E34291" w:rsidRPr="00595C1D" w:rsidRDefault="00E34291" w:rsidP="00595C1D">
                  <w:pPr>
                    <w:pStyle w:val="TableBodyText"/>
                  </w:pPr>
                  <w:r w:rsidRPr="00595C1D">
                    <w:t xml:space="preserve"> 13 567</w:t>
                  </w:r>
                </w:p>
              </w:tc>
              <w:tc>
                <w:tcPr>
                  <w:tcW w:w="477" w:type="pct"/>
                  <w:vAlign w:val="center"/>
                </w:tcPr>
                <w:p w:rsidR="00E34291" w:rsidRPr="00595C1D" w:rsidRDefault="00E34291" w:rsidP="00595C1D">
                  <w:pPr>
                    <w:pStyle w:val="TableBodyText"/>
                  </w:pPr>
                  <w:r w:rsidRPr="00595C1D">
                    <w:t xml:space="preserve"> 10 337</w:t>
                  </w:r>
                </w:p>
              </w:tc>
            </w:tr>
            <w:tr w:rsidR="00E34291" w:rsidRPr="007322BC" w:rsidTr="00AE7A8F">
              <w:tc>
                <w:tcPr>
                  <w:tcW w:w="5000" w:type="pct"/>
                  <w:gridSpan w:val="10"/>
                </w:tcPr>
                <w:p w:rsidR="00E34291" w:rsidRPr="00FF1037" w:rsidRDefault="00E34291" w:rsidP="00D402D0">
                  <w:pPr>
                    <w:pStyle w:val="Source"/>
                    <w:spacing w:before="0" w:after="80"/>
                    <w:ind w:left="113"/>
                  </w:pPr>
                  <w:r w:rsidRPr="00FF1037">
                    <w:rPr>
                      <w:i/>
                    </w:rPr>
                    <w:t xml:space="preserve">Source: </w:t>
                  </w:r>
                  <w:r>
                    <w:t xml:space="preserve">Attachment table </w:t>
                  </w:r>
                  <w:proofErr w:type="spellStart"/>
                  <w:r>
                    <w:t>4A.14</w:t>
                  </w:r>
                  <w:proofErr w:type="spellEnd"/>
                </w:p>
              </w:tc>
            </w:tr>
            <w:tr w:rsidR="00E34291" w:rsidRPr="007322BC" w:rsidTr="00AE7A8F">
              <w:tc>
                <w:tcPr>
                  <w:tcW w:w="5000" w:type="pct"/>
                  <w:gridSpan w:val="10"/>
                </w:tcPr>
                <w:p w:rsidR="00E34291" w:rsidRPr="00FF1037" w:rsidRDefault="00E34291" w:rsidP="00AE7A8F">
                  <w:pPr>
                    <w:pStyle w:val="DQIRowHeadings"/>
                  </w:pPr>
                  <w:r w:rsidRPr="00FF1037">
                    <w:t>User cost of capital per student</w:t>
                  </w:r>
                </w:p>
              </w:tc>
            </w:tr>
            <w:tr w:rsidR="00E34291" w:rsidRPr="007322BC" w:rsidTr="00AE7A8F">
              <w:tc>
                <w:tcPr>
                  <w:tcW w:w="5000" w:type="pct"/>
                  <w:gridSpan w:val="10"/>
                </w:tcPr>
                <w:p w:rsidR="00E34291" w:rsidRPr="00FF1037" w:rsidRDefault="007E1A54" w:rsidP="00724457">
                  <w:pPr>
                    <w:pStyle w:val="TableBodyText"/>
                    <w:ind w:left="113" w:right="28"/>
                    <w:jc w:val="left"/>
                  </w:pPr>
                  <w:r>
                    <w:t>User cost of capital</w:t>
                  </w:r>
                  <w:r w:rsidR="00E34291" w:rsidRPr="00FF1037">
                    <w:t xml:space="preserve"> per FTE student, government schools, 2013-14</w:t>
                  </w:r>
                </w:p>
              </w:tc>
            </w:tr>
            <w:tr w:rsidR="00E34291" w:rsidRPr="007322BC" w:rsidTr="00AE7A8F">
              <w:tc>
                <w:tcPr>
                  <w:tcW w:w="5000" w:type="pct"/>
                  <w:gridSpan w:val="10"/>
                </w:tcPr>
                <w:p w:rsidR="00E34291" w:rsidRPr="00FF1037" w:rsidRDefault="00E34291" w:rsidP="00AE7A8F">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A40DD4">
              <w:tc>
                <w:tcPr>
                  <w:tcW w:w="647" w:type="pct"/>
                </w:tcPr>
                <w:p w:rsidR="00E34291" w:rsidRPr="00FF1037" w:rsidRDefault="00E34291" w:rsidP="00AE7A8F">
                  <w:pPr>
                    <w:pStyle w:val="TableBodyText"/>
                  </w:pPr>
                  <w:r w:rsidRPr="00FF1037">
                    <w:t>$</w:t>
                  </w:r>
                </w:p>
              </w:tc>
              <w:tc>
                <w:tcPr>
                  <w:tcW w:w="485" w:type="pct"/>
                  <w:vAlign w:val="center"/>
                </w:tcPr>
                <w:p w:rsidR="00E34291" w:rsidRPr="008E6CB0" w:rsidRDefault="00E34291" w:rsidP="008E6CB0">
                  <w:pPr>
                    <w:pStyle w:val="TableBodyText"/>
                  </w:pPr>
                  <w:r w:rsidRPr="008E6CB0">
                    <w:t xml:space="preserve"> 2 173</w:t>
                  </w:r>
                </w:p>
              </w:tc>
              <w:tc>
                <w:tcPr>
                  <w:tcW w:w="485" w:type="pct"/>
                  <w:vAlign w:val="center"/>
                </w:tcPr>
                <w:p w:rsidR="00E34291" w:rsidRPr="008E6CB0" w:rsidRDefault="00E34291" w:rsidP="008E6CB0">
                  <w:pPr>
                    <w:pStyle w:val="TableBodyText"/>
                  </w:pPr>
                  <w:r w:rsidRPr="008E6CB0">
                    <w:t xml:space="preserve"> 2 100</w:t>
                  </w:r>
                </w:p>
              </w:tc>
              <w:tc>
                <w:tcPr>
                  <w:tcW w:w="485" w:type="pct"/>
                  <w:vAlign w:val="center"/>
                </w:tcPr>
                <w:p w:rsidR="00E34291" w:rsidRPr="008E6CB0" w:rsidRDefault="00E34291" w:rsidP="008E6CB0">
                  <w:pPr>
                    <w:pStyle w:val="TableBodyText"/>
                  </w:pPr>
                  <w:r w:rsidRPr="008E6CB0">
                    <w:t xml:space="preserve"> 2 433</w:t>
                  </w:r>
                </w:p>
              </w:tc>
              <w:tc>
                <w:tcPr>
                  <w:tcW w:w="485" w:type="pct"/>
                  <w:vAlign w:val="center"/>
                </w:tcPr>
                <w:p w:rsidR="00E34291" w:rsidRPr="008E6CB0" w:rsidRDefault="00E34291" w:rsidP="008E6CB0">
                  <w:pPr>
                    <w:pStyle w:val="TableBodyText"/>
                  </w:pPr>
                  <w:r w:rsidRPr="008E6CB0">
                    <w:t xml:space="preserve"> 3 889</w:t>
                  </w:r>
                </w:p>
              </w:tc>
              <w:tc>
                <w:tcPr>
                  <w:tcW w:w="485" w:type="pct"/>
                  <w:vAlign w:val="center"/>
                </w:tcPr>
                <w:p w:rsidR="00E34291" w:rsidRPr="008E6CB0" w:rsidRDefault="00E34291" w:rsidP="008E6CB0">
                  <w:pPr>
                    <w:pStyle w:val="TableBodyText"/>
                  </w:pPr>
                  <w:r w:rsidRPr="008E6CB0">
                    <w:t xml:space="preserve"> 1 733</w:t>
                  </w:r>
                </w:p>
              </w:tc>
              <w:tc>
                <w:tcPr>
                  <w:tcW w:w="485" w:type="pct"/>
                  <w:vAlign w:val="center"/>
                </w:tcPr>
                <w:p w:rsidR="00E34291" w:rsidRPr="008E6CB0" w:rsidRDefault="00E34291" w:rsidP="008E6CB0">
                  <w:pPr>
                    <w:pStyle w:val="TableBodyText"/>
                  </w:pPr>
                  <w:r w:rsidRPr="008E6CB0">
                    <w:t xml:space="preserve"> 1 794</w:t>
                  </w:r>
                </w:p>
              </w:tc>
              <w:tc>
                <w:tcPr>
                  <w:tcW w:w="486" w:type="pct"/>
                  <w:vAlign w:val="center"/>
                </w:tcPr>
                <w:p w:rsidR="00E34291" w:rsidRPr="008E6CB0" w:rsidRDefault="00E34291" w:rsidP="008E6CB0">
                  <w:pPr>
                    <w:pStyle w:val="TableBodyText"/>
                  </w:pPr>
                  <w:r w:rsidRPr="008E6CB0">
                    <w:t xml:space="preserve"> 3 684</w:t>
                  </w:r>
                </w:p>
              </w:tc>
              <w:tc>
                <w:tcPr>
                  <w:tcW w:w="481" w:type="pct"/>
                  <w:vAlign w:val="center"/>
                </w:tcPr>
                <w:p w:rsidR="00E34291" w:rsidRPr="008E6CB0" w:rsidRDefault="00E34291" w:rsidP="008E6CB0">
                  <w:pPr>
                    <w:pStyle w:val="TableBodyText"/>
                  </w:pPr>
                  <w:r w:rsidRPr="008E6CB0">
                    <w:t xml:space="preserve"> 2 590</w:t>
                  </w:r>
                </w:p>
              </w:tc>
              <w:tc>
                <w:tcPr>
                  <w:tcW w:w="477" w:type="pct"/>
                  <w:vAlign w:val="center"/>
                </w:tcPr>
                <w:p w:rsidR="00E34291" w:rsidRPr="008E6CB0" w:rsidRDefault="00E34291" w:rsidP="008E6CB0">
                  <w:pPr>
                    <w:pStyle w:val="TableBodyText"/>
                  </w:pPr>
                  <w:r w:rsidRPr="008E6CB0">
                    <w:t xml:space="preserve"> 2 386</w:t>
                  </w:r>
                </w:p>
              </w:tc>
            </w:tr>
            <w:tr w:rsidR="00E34291" w:rsidRPr="007322BC" w:rsidTr="00AE7A8F">
              <w:tc>
                <w:tcPr>
                  <w:tcW w:w="5000" w:type="pct"/>
                  <w:gridSpan w:val="10"/>
                </w:tcPr>
                <w:p w:rsidR="00E34291" w:rsidRPr="00FF1037" w:rsidRDefault="00E34291" w:rsidP="00D402D0">
                  <w:pPr>
                    <w:pStyle w:val="Source"/>
                    <w:spacing w:before="0" w:after="80"/>
                    <w:ind w:left="113"/>
                  </w:pPr>
                  <w:r w:rsidRPr="00FF1037">
                    <w:rPr>
                      <w:i/>
                    </w:rPr>
                    <w:t xml:space="preserve">Source: </w:t>
                  </w:r>
                  <w:r w:rsidR="00393438">
                    <w:t xml:space="preserve">Attachment table </w:t>
                  </w:r>
                  <w:proofErr w:type="spellStart"/>
                  <w:r w:rsidR="00393438">
                    <w:t>4A.20</w:t>
                  </w:r>
                  <w:proofErr w:type="spellEnd"/>
                </w:p>
              </w:tc>
            </w:tr>
            <w:tr w:rsidR="00E34291" w:rsidRPr="007322BC" w:rsidTr="00AE7A8F">
              <w:tc>
                <w:tcPr>
                  <w:tcW w:w="5000" w:type="pct"/>
                  <w:gridSpan w:val="10"/>
                </w:tcPr>
                <w:p w:rsidR="00E34291" w:rsidRPr="00FF1037" w:rsidRDefault="00E34291" w:rsidP="00AE7A8F">
                  <w:pPr>
                    <w:pStyle w:val="DQIRowHeadings"/>
                  </w:pPr>
                  <w:r w:rsidRPr="00FF1037">
                    <w:t>Student-to-staff ratio</w:t>
                  </w:r>
                </w:p>
              </w:tc>
            </w:tr>
            <w:tr w:rsidR="00E34291" w:rsidRPr="007322BC" w:rsidTr="00AE7A8F">
              <w:tc>
                <w:tcPr>
                  <w:tcW w:w="5000" w:type="pct"/>
                  <w:gridSpan w:val="10"/>
                </w:tcPr>
                <w:p w:rsidR="00E34291" w:rsidRPr="00FF1037" w:rsidRDefault="00E34291" w:rsidP="00724457">
                  <w:pPr>
                    <w:pStyle w:val="TableBodyText"/>
                    <w:ind w:left="113" w:right="28"/>
                    <w:jc w:val="left"/>
                  </w:pPr>
                  <w:r w:rsidRPr="00FF1037">
                    <w:t>Ratio of FTE students to FTE teaching staff, government primary schools, 2014</w:t>
                  </w:r>
                </w:p>
              </w:tc>
            </w:tr>
            <w:tr w:rsidR="00E34291" w:rsidRPr="007322BC" w:rsidTr="00AE7A8F">
              <w:tc>
                <w:tcPr>
                  <w:tcW w:w="5000" w:type="pct"/>
                  <w:gridSpan w:val="10"/>
                </w:tcPr>
                <w:p w:rsidR="00E34291" w:rsidRPr="00FF1037" w:rsidRDefault="00E34291" w:rsidP="00AE7A8F">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A40DD4">
              <w:tc>
                <w:tcPr>
                  <w:tcW w:w="647" w:type="pct"/>
                  <w:shd w:val="clear" w:color="auto" w:fill="auto"/>
                </w:tcPr>
                <w:p w:rsidR="00E34291" w:rsidRPr="00FF1037" w:rsidRDefault="00E34291" w:rsidP="00AE7A8F">
                  <w:pPr>
                    <w:pStyle w:val="TableBodyText"/>
                  </w:pPr>
                  <w:r w:rsidRPr="00FF1037">
                    <w:t>No.</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15.6</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15.3</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15.3</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16.2</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14.9</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14.8</w:t>
                  </w:r>
                </w:p>
              </w:tc>
              <w:tc>
                <w:tcPr>
                  <w:tcW w:w="486" w:type="pct"/>
                  <w:shd w:val="clear" w:color="auto" w:fill="auto"/>
                  <w:vAlign w:val="center"/>
                </w:tcPr>
                <w:p w:rsidR="00E34291" w:rsidRPr="002F4109" w:rsidRDefault="00E34291" w:rsidP="002F4109">
                  <w:pPr>
                    <w:pStyle w:val="TableBodyText"/>
                    <w:rPr>
                      <w:rFonts w:cs="Arial"/>
                      <w:szCs w:val="18"/>
                    </w:rPr>
                  </w:pPr>
                  <w:r w:rsidRPr="002F4109">
                    <w:rPr>
                      <w:rFonts w:cs="Arial"/>
                      <w:szCs w:val="18"/>
                    </w:rPr>
                    <w:t xml:space="preserve">  13.3</w:t>
                  </w:r>
                </w:p>
              </w:tc>
              <w:tc>
                <w:tcPr>
                  <w:tcW w:w="481" w:type="pct"/>
                  <w:vAlign w:val="center"/>
                </w:tcPr>
                <w:p w:rsidR="00E34291" w:rsidRPr="002F4109" w:rsidRDefault="00E34291" w:rsidP="002F4109">
                  <w:pPr>
                    <w:pStyle w:val="TableBodyText"/>
                    <w:rPr>
                      <w:rFonts w:cs="Arial"/>
                      <w:szCs w:val="18"/>
                    </w:rPr>
                  </w:pPr>
                  <w:r w:rsidRPr="002F4109">
                    <w:rPr>
                      <w:rFonts w:cs="Arial"/>
                      <w:szCs w:val="18"/>
                    </w:rPr>
                    <w:t xml:space="preserve">  12.2</w:t>
                  </w:r>
                </w:p>
              </w:tc>
              <w:tc>
                <w:tcPr>
                  <w:tcW w:w="477" w:type="pct"/>
                  <w:shd w:val="clear" w:color="auto" w:fill="auto"/>
                  <w:vAlign w:val="center"/>
                </w:tcPr>
                <w:p w:rsidR="00E34291" w:rsidRPr="002F4109" w:rsidRDefault="00E34291" w:rsidP="002F4109">
                  <w:pPr>
                    <w:pStyle w:val="TableBodyText"/>
                    <w:rPr>
                      <w:rFonts w:cs="Arial"/>
                      <w:szCs w:val="18"/>
                    </w:rPr>
                  </w:pPr>
                  <w:r w:rsidRPr="002F4109">
                    <w:rPr>
                      <w:rFonts w:cs="Arial"/>
                      <w:szCs w:val="18"/>
                    </w:rPr>
                    <w:t xml:space="preserve">  15.4</w:t>
                  </w:r>
                </w:p>
              </w:tc>
            </w:tr>
            <w:tr w:rsidR="00E34291" w:rsidRPr="007322BC" w:rsidTr="003E1CA0">
              <w:tc>
                <w:tcPr>
                  <w:tcW w:w="5000" w:type="pct"/>
                  <w:gridSpan w:val="10"/>
                  <w:shd w:val="clear" w:color="auto" w:fill="auto"/>
                </w:tcPr>
                <w:p w:rsidR="00E34291" w:rsidRPr="00FF1037" w:rsidRDefault="00E34291" w:rsidP="00D402D0">
                  <w:pPr>
                    <w:pStyle w:val="Source"/>
                    <w:spacing w:before="0" w:after="80"/>
                    <w:ind w:left="113"/>
                  </w:pPr>
                  <w:r w:rsidRPr="00FF1037">
                    <w:rPr>
                      <w:i/>
                    </w:rPr>
                    <w:t xml:space="preserve">Source: </w:t>
                  </w:r>
                  <w:r w:rsidR="00E23361">
                    <w:t xml:space="preserve">Attachment table </w:t>
                  </w:r>
                  <w:proofErr w:type="spellStart"/>
                  <w:r w:rsidR="00E23361">
                    <w:t>4A.23</w:t>
                  </w:r>
                  <w:proofErr w:type="spellEnd"/>
                  <w:r w:rsidR="00393438">
                    <w:rPr>
                      <w:color w:val="FF0000"/>
                    </w:rPr>
                    <w:t xml:space="preserve"> </w:t>
                  </w:r>
                </w:p>
              </w:tc>
            </w:tr>
            <w:tr w:rsidR="00E34291" w:rsidRPr="007322BC" w:rsidTr="002B0A8C">
              <w:tc>
                <w:tcPr>
                  <w:tcW w:w="5000" w:type="pct"/>
                  <w:gridSpan w:val="10"/>
                  <w:shd w:val="clear" w:color="auto" w:fill="auto"/>
                </w:tcPr>
                <w:p w:rsidR="00E34291" w:rsidRPr="00FF1037" w:rsidRDefault="00E34291" w:rsidP="002B0A8C">
                  <w:pPr>
                    <w:pStyle w:val="TableBodyText"/>
                    <w:ind w:left="113" w:right="28"/>
                    <w:jc w:val="left"/>
                  </w:pPr>
                  <w:r w:rsidRPr="00FF1037">
                    <w:t>Ratio of FTE students to FTE teaching staff, government secondary schools, 2014</w:t>
                  </w:r>
                </w:p>
              </w:tc>
            </w:tr>
            <w:tr w:rsidR="00E34291" w:rsidRPr="007322BC" w:rsidTr="002B0A8C">
              <w:tc>
                <w:tcPr>
                  <w:tcW w:w="5000" w:type="pct"/>
                  <w:gridSpan w:val="10"/>
                  <w:shd w:val="clear" w:color="auto" w:fill="auto"/>
                </w:tcPr>
                <w:p w:rsidR="00E34291" w:rsidRPr="00FF1037" w:rsidRDefault="00E34291" w:rsidP="002B0A8C">
                  <w:pPr>
                    <w:pStyle w:val="TableBodyText"/>
                    <w:ind w:left="113" w:right="28"/>
                    <w:jc w:val="left"/>
                  </w:pPr>
                  <w:r w:rsidRPr="00FF1037">
                    <w:rPr>
                      <w:sz w:val="16"/>
                      <w:szCs w:val="16"/>
                    </w:rPr>
                    <w:t>Most recent data for this measure are comparable and complete, subject to caveats (chapter 4)</w:t>
                  </w:r>
                </w:p>
              </w:tc>
            </w:tr>
            <w:tr w:rsidR="00E34291" w:rsidRPr="007322BC" w:rsidTr="00A40DD4">
              <w:tc>
                <w:tcPr>
                  <w:tcW w:w="647" w:type="pct"/>
                  <w:shd w:val="clear" w:color="auto" w:fill="auto"/>
                </w:tcPr>
                <w:p w:rsidR="00E34291" w:rsidRPr="00FF1037" w:rsidRDefault="00E34291" w:rsidP="000C11EA">
                  <w:pPr>
                    <w:pStyle w:val="TableBodyText"/>
                  </w:pPr>
                  <w:r w:rsidRPr="00FF1037">
                    <w:t>No.</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12.4</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12.5</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12.5</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12.6</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13.1</w:t>
                  </w:r>
                </w:p>
              </w:tc>
              <w:tc>
                <w:tcPr>
                  <w:tcW w:w="485" w:type="pct"/>
                  <w:vAlign w:val="center"/>
                </w:tcPr>
                <w:p w:rsidR="00E34291" w:rsidRPr="002F4109" w:rsidRDefault="00E34291" w:rsidP="002F4109">
                  <w:pPr>
                    <w:pStyle w:val="TableBodyText"/>
                    <w:rPr>
                      <w:rFonts w:cs="Arial"/>
                      <w:szCs w:val="18"/>
                    </w:rPr>
                  </w:pPr>
                  <w:r w:rsidRPr="002F4109">
                    <w:rPr>
                      <w:rFonts w:cs="Arial"/>
                      <w:szCs w:val="18"/>
                    </w:rPr>
                    <w:t xml:space="preserve">  13.1</w:t>
                  </w:r>
                </w:p>
              </w:tc>
              <w:tc>
                <w:tcPr>
                  <w:tcW w:w="486" w:type="pct"/>
                  <w:shd w:val="clear" w:color="auto" w:fill="auto"/>
                  <w:vAlign w:val="center"/>
                </w:tcPr>
                <w:p w:rsidR="00E34291" w:rsidRPr="002F4109" w:rsidRDefault="00E34291" w:rsidP="002F4109">
                  <w:pPr>
                    <w:pStyle w:val="TableBodyText"/>
                    <w:rPr>
                      <w:rFonts w:cs="Arial"/>
                      <w:szCs w:val="18"/>
                    </w:rPr>
                  </w:pPr>
                  <w:r w:rsidRPr="002F4109">
                    <w:rPr>
                      <w:rFonts w:cs="Arial"/>
                      <w:szCs w:val="18"/>
                    </w:rPr>
                    <w:t xml:space="preserve">  12.1</w:t>
                  </w:r>
                </w:p>
              </w:tc>
              <w:tc>
                <w:tcPr>
                  <w:tcW w:w="481" w:type="pct"/>
                  <w:vAlign w:val="center"/>
                </w:tcPr>
                <w:p w:rsidR="00E34291" w:rsidRPr="002F4109" w:rsidRDefault="00E34291" w:rsidP="002F4109">
                  <w:pPr>
                    <w:pStyle w:val="TableBodyText"/>
                    <w:rPr>
                      <w:rFonts w:cs="Arial"/>
                      <w:szCs w:val="18"/>
                    </w:rPr>
                  </w:pPr>
                  <w:r w:rsidRPr="002F4109">
                    <w:rPr>
                      <w:rFonts w:cs="Arial"/>
                      <w:szCs w:val="18"/>
                    </w:rPr>
                    <w:t xml:space="preserve">  11.5</w:t>
                  </w:r>
                </w:p>
              </w:tc>
              <w:tc>
                <w:tcPr>
                  <w:tcW w:w="477" w:type="pct"/>
                  <w:shd w:val="clear" w:color="auto" w:fill="auto"/>
                  <w:vAlign w:val="center"/>
                </w:tcPr>
                <w:p w:rsidR="00E34291" w:rsidRPr="002F4109" w:rsidRDefault="00E34291" w:rsidP="002F4109">
                  <w:pPr>
                    <w:pStyle w:val="TableBodyText"/>
                    <w:rPr>
                      <w:rFonts w:cs="Arial"/>
                      <w:szCs w:val="18"/>
                    </w:rPr>
                  </w:pPr>
                  <w:r w:rsidRPr="002F4109">
                    <w:rPr>
                      <w:rFonts w:cs="Arial"/>
                      <w:szCs w:val="18"/>
                    </w:rPr>
                    <w:t xml:space="preserve">  12.5</w:t>
                  </w:r>
                </w:p>
              </w:tc>
            </w:tr>
            <w:tr w:rsidR="00E34291" w:rsidRPr="007322BC" w:rsidTr="002B0A8C">
              <w:tc>
                <w:tcPr>
                  <w:tcW w:w="5000" w:type="pct"/>
                  <w:gridSpan w:val="10"/>
                  <w:shd w:val="clear" w:color="auto" w:fill="auto"/>
                </w:tcPr>
                <w:p w:rsidR="00E34291" w:rsidRPr="00FF1037" w:rsidRDefault="00E34291" w:rsidP="00D402D0">
                  <w:pPr>
                    <w:pStyle w:val="Source"/>
                    <w:spacing w:before="0" w:after="80"/>
                    <w:ind w:left="113"/>
                  </w:pPr>
                  <w:r w:rsidRPr="00FF1037">
                    <w:rPr>
                      <w:i/>
                    </w:rPr>
                    <w:t xml:space="preserve">Source: </w:t>
                  </w:r>
                  <w:r w:rsidR="00E23361">
                    <w:t xml:space="preserve">Attachment table </w:t>
                  </w:r>
                  <w:proofErr w:type="spellStart"/>
                  <w:r w:rsidR="00E23361">
                    <w:t>4A.23</w:t>
                  </w:r>
                  <w:proofErr w:type="spellEnd"/>
                  <w:r w:rsidRPr="0047630E">
                    <w:rPr>
                      <w:color w:val="FF0000"/>
                    </w:rPr>
                    <w:t xml:space="preserve"> </w:t>
                  </w:r>
                </w:p>
              </w:tc>
            </w:tr>
            <w:tr w:rsidR="00E34291" w:rsidRPr="007322BC" w:rsidTr="007C2A7B">
              <w:tc>
                <w:tcPr>
                  <w:tcW w:w="5000" w:type="pct"/>
                  <w:gridSpan w:val="10"/>
                  <w:shd w:val="clear" w:color="auto" w:fill="auto"/>
                </w:tcPr>
                <w:p w:rsidR="00E34291" w:rsidRPr="00BE5E4F" w:rsidRDefault="00E34291" w:rsidP="007C2A7B">
                  <w:pPr>
                    <w:pStyle w:val="DQIMainRowHeadings"/>
                  </w:pPr>
                  <w:r w:rsidRPr="00BE5E4F">
                    <w:t>Outcome indicators</w:t>
                  </w:r>
                </w:p>
              </w:tc>
            </w:tr>
            <w:tr w:rsidR="00E34291" w:rsidRPr="007322BC" w:rsidTr="007C2A7B">
              <w:tc>
                <w:tcPr>
                  <w:tcW w:w="5000" w:type="pct"/>
                  <w:gridSpan w:val="10"/>
                  <w:shd w:val="clear" w:color="auto" w:fill="auto"/>
                </w:tcPr>
                <w:p w:rsidR="00E34291" w:rsidRPr="00BE5E4F" w:rsidRDefault="00E34291" w:rsidP="007C2A7B">
                  <w:pPr>
                    <w:pStyle w:val="DQIRowHeadings"/>
                  </w:pPr>
                  <w:r w:rsidRPr="00BE5E4F">
                    <w:t>Learning outcomes</w:t>
                  </w:r>
                </w:p>
              </w:tc>
            </w:tr>
            <w:tr w:rsidR="00E34291" w:rsidRPr="007322BC" w:rsidTr="007C2A7B">
              <w:tc>
                <w:tcPr>
                  <w:tcW w:w="5000" w:type="pct"/>
                  <w:gridSpan w:val="10"/>
                  <w:shd w:val="clear" w:color="auto" w:fill="auto"/>
                </w:tcPr>
                <w:p w:rsidR="00E34291" w:rsidRPr="00BE5E4F" w:rsidRDefault="00E34291" w:rsidP="007C2A7B">
                  <w:pPr>
                    <w:pStyle w:val="TableBodyText"/>
                    <w:ind w:left="113" w:right="28"/>
                    <w:jc w:val="left"/>
                  </w:pPr>
                  <w:proofErr w:type="spellStart"/>
                  <w:r w:rsidRPr="00BE5E4F">
                    <w:t>NAPLAN</w:t>
                  </w:r>
                  <w:proofErr w:type="spellEnd"/>
                  <w:r w:rsidRPr="00BE5E4F">
                    <w:t xml:space="preserve"> Reading performance – proportion of all year 3 students achieving at or above national minimum standard, 2015</w:t>
                  </w:r>
                </w:p>
              </w:tc>
            </w:tr>
            <w:tr w:rsidR="00E34291" w:rsidRPr="007322BC" w:rsidTr="007C2A7B">
              <w:tc>
                <w:tcPr>
                  <w:tcW w:w="5000" w:type="pct"/>
                  <w:gridSpan w:val="10"/>
                  <w:shd w:val="clear" w:color="auto" w:fill="auto"/>
                </w:tcPr>
                <w:p w:rsidR="00E34291" w:rsidRPr="00BE5E4F" w:rsidRDefault="00E34291" w:rsidP="007C2A7B">
                  <w:pPr>
                    <w:pStyle w:val="TableBodyText"/>
                    <w:ind w:left="113" w:right="28"/>
                    <w:jc w:val="left"/>
                  </w:pPr>
                  <w:r w:rsidRPr="00BE5E4F">
                    <w:rPr>
                      <w:sz w:val="16"/>
                      <w:szCs w:val="16"/>
                    </w:rPr>
                    <w:t>Most recent data for this measure are comparable and complete, subject to caveats (chapter 4)</w:t>
                  </w:r>
                </w:p>
              </w:tc>
            </w:tr>
            <w:tr w:rsidR="00E34291" w:rsidRPr="007322BC" w:rsidTr="00F14060">
              <w:tc>
                <w:tcPr>
                  <w:tcW w:w="647" w:type="pct"/>
                  <w:shd w:val="clear" w:color="auto" w:fill="auto"/>
                  <w:vAlign w:val="center"/>
                </w:tcPr>
                <w:p w:rsidR="00E34291" w:rsidRPr="00BE5E4F" w:rsidRDefault="00E34291" w:rsidP="000C11EA">
                  <w:pPr>
                    <w:pStyle w:val="TableBodyText"/>
                  </w:pPr>
                  <w:r w:rsidRPr="00BE5E4F">
                    <w:t>%</w:t>
                  </w:r>
                </w:p>
              </w:tc>
              <w:tc>
                <w:tcPr>
                  <w:tcW w:w="485" w:type="pct"/>
                  <w:shd w:val="clear" w:color="auto" w:fill="auto"/>
                  <w:vAlign w:val="center"/>
                </w:tcPr>
                <w:p w:rsidR="00E34291" w:rsidRPr="00F14060" w:rsidRDefault="00C074A8" w:rsidP="007E1A54">
                  <w:pPr>
                    <w:pStyle w:val="TableBodyText"/>
                  </w:pPr>
                  <w:r w:rsidRPr="00F14060">
                    <w:t>95.3</w:t>
                  </w:r>
                  <w:r w:rsidR="00E34291" w:rsidRPr="00F14060">
                    <w:t xml:space="preserve"> </w:t>
                  </w:r>
                  <w:r w:rsidR="004C11E9" w:rsidRPr="00F14060">
                    <w:t xml:space="preserve">     </w:t>
                  </w:r>
                  <w:r w:rsidRPr="00F14060">
                    <w:t>± 0.3</w:t>
                  </w:r>
                </w:p>
              </w:tc>
              <w:tc>
                <w:tcPr>
                  <w:tcW w:w="485" w:type="pct"/>
                  <w:shd w:val="clear" w:color="auto" w:fill="auto"/>
                </w:tcPr>
                <w:p w:rsidR="00E34291" w:rsidRPr="00F14060" w:rsidRDefault="00C074A8" w:rsidP="007E1A54">
                  <w:pPr>
                    <w:pStyle w:val="TableBodyText"/>
                  </w:pPr>
                  <w:r w:rsidRPr="00F14060">
                    <w:t xml:space="preserve">95.5 </w:t>
                  </w:r>
                  <w:r w:rsidR="004C11E9" w:rsidRPr="00F14060">
                    <w:t xml:space="preserve">     </w:t>
                  </w:r>
                  <w:r w:rsidRPr="00F14060">
                    <w:t>± 0.4</w:t>
                  </w:r>
                </w:p>
              </w:tc>
              <w:tc>
                <w:tcPr>
                  <w:tcW w:w="485" w:type="pct"/>
                  <w:shd w:val="clear" w:color="auto" w:fill="auto"/>
                </w:tcPr>
                <w:p w:rsidR="00E34291" w:rsidRPr="00F14060" w:rsidRDefault="00C074A8" w:rsidP="007E1A54">
                  <w:pPr>
                    <w:pStyle w:val="TableBodyText"/>
                  </w:pPr>
                  <w:r w:rsidRPr="00F14060">
                    <w:t>95.0</w:t>
                  </w:r>
                  <w:r w:rsidR="00E34291" w:rsidRPr="00F14060">
                    <w:t xml:space="preserve">     </w:t>
                  </w:r>
                  <w:r w:rsidR="004C11E9" w:rsidRPr="00F14060">
                    <w:t xml:space="preserve">  </w:t>
                  </w:r>
                  <w:r w:rsidRPr="00F14060">
                    <w:t>± 0.4</w:t>
                  </w:r>
                </w:p>
              </w:tc>
              <w:tc>
                <w:tcPr>
                  <w:tcW w:w="485" w:type="pct"/>
                  <w:shd w:val="clear" w:color="auto" w:fill="auto"/>
                </w:tcPr>
                <w:p w:rsidR="00E34291" w:rsidRPr="00F14060" w:rsidRDefault="00C074A8" w:rsidP="007E1A54">
                  <w:pPr>
                    <w:pStyle w:val="TableBodyText"/>
                  </w:pPr>
                  <w:r w:rsidRPr="00F14060">
                    <w:t>93.0</w:t>
                  </w:r>
                  <w:r w:rsidR="00E34291" w:rsidRPr="00F14060">
                    <w:t xml:space="preserve">     </w:t>
                  </w:r>
                  <w:r w:rsidR="004C11E9" w:rsidRPr="00F14060">
                    <w:t xml:space="preserve"> </w:t>
                  </w:r>
                  <w:r w:rsidRPr="00F14060">
                    <w:t>± 0.6</w:t>
                  </w:r>
                </w:p>
              </w:tc>
              <w:tc>
                <w:tcPr>
                  <w:tcW w:w="485" w:type="pct"/>
                  <w:shd w:val="clear" w:color="auto" w:fill="auto"/>
                </w:tcPr>
                <w:p w:rsidR="00E34291" w:rsidRPr="00F14060" w:rsidRDefault="00C074A8" w:rsidP="007E1A54">
                  <w:pPr>
                    <w:pStyle w:val="TableBodyText"/>
                  </w:pPr>
                  <w:r w:rsidRPr="00F14060">
                    <w:t>93.4</w:t>
                  </w:r>
                  <w:r w:rsidR="00E34291" w:rsidRPr="00F14060">
                    <w:t xml:space="preserve">     </w:t>
                  </w:r>
                  <w:r w:rsidR="004C11E9" w:rsidRPr="00F14060">
                    <w:t xml:space="preserve"> </w:t>
                  </w:r>
                  <w:r w:rsidRPr="00F14060">
                    <w:t>± 0.8</w:t>
                  </w:r>
                </w:p>
              </w:tc>
              <w:tc>
                <w:tcPr>
                  <w:tcW w:w="485" w:type="pct"/>
                  <w:shd w:val="clear" w:color="auto" w:fill="auto"/>
                </w:tcPr>
                <w:p w:rsidR="00E34291" w:rsidRPr="00F14060" w:rsidRDefault="00C074A8" w:rsidP="007E1A54">
                  <w:pPr>
                    <w:pStyle w:val="TableBodyText"/>
                  </w:pPr>
                  <w:r w:rsidRPr="00F14060">
                    <w:t>92.9</w:t>
                  </w:r>
                  <w:r w:rsidR="00E34291" w:rsidRPr="00F14060">
                    <w:t xml:space="preserve">     </w:t>
                  </w:r>
                  <w:r w:rsidR="004C11E9" w:rsidRPr="00F14060">
                    <w:t xml:space="preserve"> </w:t>
                  </w:r>
                  <w:r w:rsidRPr="00F14060">
                    <w:t>± 1.2</w:t>
                  </w:r>
                </w:p>
              </w:tc>
              <w:tc>
                <w:tcPr>
                  <w:tcW w:w="486" w:type="pct"/>
                  <w:shd w:val="clear" w:color="auto" w:fill="auto"/>
                </w:tcPr>
                <w:p w:rsidR="00E34291" w:rsidRPr="00F14060" w:rsidRDefault="00C074A8" w:rsidP="007E1A54">
                  <w:pPr>
                    <w:pStyle w:val="TableBodyText"/>
                  </w:pPr>
                  <w:r w:rsidRPr="00F14060">
                    <w:t>95.2</w:t>
                  </w:r>
                  <w:r w:rsidR="00E34291" w:rsidRPr="00F14060">
                    <w:t xml:space="preserve">     </w:t>
                  </w:r>
                  <w:r w:rsidR="004C11E9" w:rsidRPr="00F14060">
                    <w:t xml:space="preserve"> </w:t>
                  </w:r>
                  <w:r w:rsidRPr="00F14060">
                    <w:t>± 1.2</w:t>
                  </w:r>
                </w:p>
              </w:tc>
              <w:tc>
                <w:tcPr>
                  <w:tcW w:w="481" w:type="pct"/>
                  <w:shd w:val="clear" w:color="auto" w:fill="auto"/>
                </w:tcPr>
                <w:p w:rsidR="00E34291" w:rsidRPr="00F14060" w:rsidRDefault="00C074A8" w:rsidP="007E1A54">
                  <w:pPr>
                    <w:pStyle w:val="TableBodyText"/>
                  </w:pPr>
                  <w:r w:rsidRPr="00F14060">
                    <w:t>71.1</w:t>
                  </w:r>
                  <w:r w:rsidR="00E34291" w:rsidRPr="00F14060">
                    <w:t xml:space="preserve">     </w:t>
                  </w:r>
                  <w:r w:rsidRPr="00F14060">
                    <w:t>± 5.7</w:t>
                  </w:r>
                </w:p>
              </w:tc>
              <w:tc>
                <w:tcPr>
                  <w:tcW w:w="477" w:type="pct"/>
                  <w:shd w:val="clear" w:color="auto" w:fill="auto"/>
                </w:tcPr>
                <w:p w:rsidR="00E34291" w:rsidRPr="00F14060" w:rsidRDefault="00C074A8" w:rsidP="007E1A54">
                  <w:pPr>
                    <w:pStyle w:val="TableBodyText"/>
                  </w:pPr>
                  <w:r w:rsidRPr="00F14060">
                    <w:t>94.6</w:t>
                  </w:r>
                  <w:r w:rsidR="00E34291" w:rsidRPr="00F14060">
                    <w:t xml:space="preserve">     </w:t>
                  </w:r>
                  <w:r w:rsidRPr="00F14060">
                    <w:t>± 0.2</w:t>
                  </w:r>
                </w:p>
              </w:tc>
            </w:tr>
            <w:tr w:rsidR="00E34291" w:rsidRPr="007322BC" w:rsidTr="00D44CBF">
              <w:tc>
                <w:tcPr>
                  <w:tcW w:w="5000" w:type="pct"/>
                  <w:gridSpan w:val="10"/>
                  <w:tcBorders>
                    <w:bottom w:val="single" w:sz="6" w:space="0" w:color="BFBFBF"/>
                  </w:tcBorders>
                  <w:shd w:val="clear" w:color="auto" w:fill="auto"/>
                </w:tcPr>
                <w:p w:rsidR="00E34291" w:rsidRPr="00BE5E4F" w:rsidRDefault="00E34291" w:rsidP="00D402D0">
                  <w:pPr>
                    <w:pStyle w:val="Source"/>
                    <w:spacing w:before="0" w:after="80"/>
                    <w:ind w:left="113"/>
                  </w:pPr>
                  <w:r w:rsidRPr="00BE5E4F">
                    <w:rPr>
                      <w:i/>
                    </w:rPr>
                    <w:t xml:space="preserve">Source: </w:t>
                  </w:r>
                  <w:r w:rsidRPr="00BE5E4F">
                    <w:t xml:space="preserve">Attachment table </w:t>
                  </w:r>
                  <w:proofErr w:type="spellStart"/>
                  <w:r w:rsidRPr="00BE5E4F">
                    <w:t>4A.36</w:t>
                  </w:r>
                  <w:proofErr w:type="spellEnd"/>
                </w:p>
              </w:tc>
            </w:tr>
          </w:tbl>
          <w:p w:rsidR="009A47FF" w:rsidRPr="007322BC" w:rsidRDefault="009A47FF" w:rsidP="00AE7A8F">
            <w:pPr>
              <w:pStyle w:val="Box"/>
              <w:rPr>
                <w:color w:val="FF0000"/>
              </w:rPr>
            </w:pPr>
          </w:p>
        </w:tc>
      </w:tr>
      <w:tr w:rsidR="009A47FF" w:rsidRPr="007322BC" w:rsidTr="00AE7A8F">
        <w:trPr>
          <w:cantSplit/>
        </w:trPr>
        <w:tc>
          <w:tcPr>
            <w:tcW w:w="8771" w:type="dxa"/>
            <w:tcBorders>
              <w:top w:val="nil"/>
              <w:left w:val="nil"/>
              <w:bottom w:val="nil"/>
              <w:right w:val="nil"/>
            </w:tcBorders>
            <w:shd w:val="clear" w:color="auto" w:fill="auto"/>
          </w:tcPr>
          <w:p w:rsidR="009A47FF" w:rsidRPr="007322BC" w:rsidRDefault="009A47FF" w:rsidP="00AE7A8F">
            <w:pPr>
              <w:pStyle w:val="TableBodyText"/>
              <w:rPr>
                <w:color w:val="FF0000"/>
              </w:rPr>
            </w:pPr>
            <w:r w:rsidRPr="00BE5E4F">
              <w:t>(continued next page)</w:t>
            </w:r>
          </w:p>
        </w:tc>
      </w:tr>
      <w:tr w:rsidR="009A47FF" w:rsidRPr="007322BC" w:rsidTr="00AE7A8F">
        <w:trPr>
          <w:cantSplit/>
        </w:trPr>
        <w:tc>
          <w:tcPr>
            <w:tcW w:w="8771" w:type="dxa"/>
            <w:tcBorders>
              <w:top w:val="nil"/>
              <w:left w:val="nil"/>
              <w:bottom w:val="single" w:sz="6" w:space="0" w:color="78A22F"/>
              <w:right w:val="nil"/>
            </w:tcBorders>
            <w:shd w:val="clear" w:color="auto" w:fill="auto"/>
          </w:tcPr>
          <w:p w:rsidR="009A47FF" w:rsidRPr="007322BC" w:rsidRDefault="009A47FF" w:rsidP="00AE7A8F">
            <w:pPr>
              <w:pStyle w:val="Box"/>
              <w:spacing w:before="0" w:line="120" w:lineRule="exact"/>
              <w:rPr>
                <w:color w:val="FF0000"/>
              </w:rPr>
            </w:pPr>
          </w:p>
        </w:tc>
      </w:tr>
      <w:tr w:rsidR="009A47FF" w:rsidRPr="007322BC" w:rsidTr="00AE7A8F">
        <w:tc>
          <w:tcPr>
            <w:tcW w:w="8771" w:type="dxa"/>
            <w:tcBorders>
              <w:top w:val="single" w:sz="6" w:space="0" w:color="78A22F"/>
              <w:left w:val="nil"/>
              <w:bottom w:val="nil"/>
              <w:right w:val="nil"/>
            </w:tcBorders>
          </w:tcPr>
          <w:p w:rsidR="009A47FF" w:rsidRPr="007322BC" w:rsidRDefault="009A47FF" w:rsidP="00AE7A8F">
            <w:pPr>
              <w:pStyle w:val="BoxSpaceBelow"/>
              <w:rPr>
                <w:color w:val="FF0000"/>
              </w:rPr>
            </w:pPr>
          </w:p>
        </w:tc>
      </w:tr>
    </w:tbl>
    <w:p w:rsidR="009A47FF" w:rsidRPr="007322BC" w:rsidRDefault="009A47FF" w:rsidP="009A47FF">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A47FF" w:rsidRPr="007322BC" w:rsidTr="00AE7A8F">
        <w:tc>
          <w:tcPr>
            <w:tcW w:w="8771" w:type="dxa"/>
            <w:tcBorders>
              <w:top w:val="single" w:sz="6" w:space="0" w:color="78A22F"/>
              <w:left w:val="nil"/>
              <w:bottom w:val="nil"/>
              <w:right w:val="nil"/>
            </w:tcBorders>
            <w:shd w:val="clear" w:color="auto" w:fill="auto"/>
          </w:tcPr>
          <w:p w:rsidR="009A47FF" w:rsidRPr="007322BC" w:rsidRDefault="009A47FF" w:rsidP="00BE6A0A">
            <w:pPr>
              <w:pStyle w:val="TableTitle"/>
              <w:rPr>
                <w:color w:val="FF0000"/>
              </w:rPr>
            </w:pPr>
            <w:r w:rsidRPr="00BE5E4F">
              <w:rPr>
                <w:b w:val="0"/>
              </w:rPr>
              <w:t xml:space="preserve">Table </w:t>
            </w:r>
            <w:proofErr w:type="spellStart"/>
            <w:r w:rsidRPr="00BE5E4F">
              <w:rPr>
                <w:b w:val="0"/>
              </w:rPr>
              <w:t>B.</w:t>
            </w:r>
            <w:r w:rsidR="00BE6A0A" w:rsidRPr="00BE5E4F">
              <w:rPr>
                <w:b w:val="0"/>
              </w:rPr>
              <w:t>2</w:t>
            </w:r>
            <w:proofErr w:type="spellEnd"/>
            <w:r w:rsidRPr="00BE5E4F">
              <w:tab/>
            </w:r>
            <w:r w:rsidRPr="00BE5E4F">
              <w:rPr>
                <w:b w:val="0"/>
                <w:sz w:val="18"/>
                <w:szCs w:val="18"/>
              </w:rPr>
              <w:t>(continued)</w:t>
            </w:r>
          </w:p>
        </w:tc>
      </w:tr>
      <w:tr w:rsidR="009A47FF" w:rsidRPr="007322B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49"/>
              <w:gridCol w:w="850"/>
              <w:gridCol w:w="850"/>
              <w:gridCol w:w="850"/>
              <w:gridCol w:w="850"/>
              <w:gridCol w:w="850"/>
              <w:gridCol w:w="849"/>
              <w:gridCol w:w="849"/>
              <w:gridCol w:w="839"/>
            </w:tblGrid>
            <w:tr w:rsidR="004A59ED" w:rsidRPr="007322BC" w:rsidTr="00AE7A8F">
              <w:tc>
                <w:tcPr>
                  <w:tcW w:w="501" w:type="pct"/>
                  <w:tcBorders>
                    <w:top w:val="single" w:sz="6" w:space="0" w:color="BFBFBF"/>
                    <w:bottom w:val="single" w:sz="6" w:space="0" w:color="BFBFBF"/>
                  </w:tcBorders>
                  <w:shd w:val="clear" w:color="auto" w:fill="auto"/>
                  <w:tcMar>
                    <w:top w:w="28" w:type="dxa"/>
                  </w:tcMar>
                </w:tcPr>
                <w:p w:rsidR="009A47FF" w:rsidRPr="007322BC" w:rsidRDefault="009A47FF" w:rsidP="00AE7A8F">
                  <w:pPr>
                    <w:pStyle w:val="TableColumnHeading"/>
                    <w:jc w:val="left"/>
                    <w:rPr>
                      <w:color w:val="FF0000"/>
                    </w:rPr>
                  </w:pPr>
                </w:p>
              </w:tc>
              <w:tc>
                <w:tcPr>
                  <w:tcW w:w="500" w:type="pct"/>
                  <w:tcBorders>
                    <w:top w:val="single" w:sz="6" w:space="0" w:color="BFBFBF"/>
                    <w:bottom w:val="single" w:sz="6" w:space="0" w:color="BFBFBF"/>
                  </w:tcBorders>
                </w:tcPr>
                <w:p w:rsidR="009A47FF" w:rsidRPr="00BE5E4F" w:rsidRDefault="009A47FF" w:rsidP="00AE7A8F">
                  <w:pPr>
                    <w:pStyle w:val="TableColumnHeading"/>
                  </w:pPr>
                  <w:r w:rsidRPr="00BE5E4F">
                    <w:t>NSW</w:t>
                  </w:r>
                </w:p>
              </w:tc>
              <w:tc>
                <w:tcPr>
                  <w:tcW w:w="501" w:type="pct"/>
                  <w:tcBorders>
                    <w:top w:val="single" w:sz="6" w:space="0" w:color="BFBFBF"/>
                    <w:bottom w:val="single" w:sz="6" w:space="0" w:color="BFBFBF"/>
                  </w:tcBorders>
                  <w:shd w:val="clear" w:color="auto" w:fill="auto"/>
                  <w:tcMar>
                    <w:top w:w="28" w:type="dxa"/>
                  </w:tcMar>
                </w:tcPr>
                <w:p w:rsidR="009A47FF" w:rsidRPr="00BE5E4F" w:rsidRDefault="009A47FF" w:rsidP="00AE7A8F">
                  <w:pPr>
                    <w:pStyle w:val="TableColumnHeading"/>
                  </w:pPr>
                  <w:r w:rsidRPr="00BE5E4F">
                    <w:t>Vic</w:t>
                  </w:r>
                </w:p>
              </w:tc>
              <w:tc>
                <w:tcPr>
                  <w:tcW w:w="501" w:type="pct"/>
                  <w:tcBorders>
                    <w:top w:val="single" w:sz="6" w:space="0" w:color="BFBFBF"/>
                    <w:bottom w:val="single" w:sz="6" w:space="0" w:color="BFBFBF"/>
                  </w:tcBorders>
                </w:tcPr>
                <w:p w:rsidR="009A47FF" w:rsidRPr="00BE5E4F" w:rsidRDefault="009A47FF" w:rsidP="00AE7A8F">
                  <w:pPr>
                    <w:pStyle w:val="TableColumnHeading"/>
                  </w:pPr>
                  <w:r w:rsidRPr="00BE5E4F">
                    <w:t>Qld</w:t>
                  </w:r>
                </w:p>
              </w:tc>
              <w:tc>
                <w:tcPr>
                  <w:tcW w:w="501" w:type="pct"/>
                  <w:tcBorders>
                    <w:top w:val="single" w:sz="6" w:space="0" w:color="BFBFBF"/>
                    <w:bottom w:val="single" w:sz="6" w:space="0" w:color="BFBFBF"/>
                  </w:tcBorders>
                </w:tcPr>
                <w:p w:rsidR="009A47FF" w:rsidRPr="00BE5E4F" w:rsidRDefault="009A47FF" w:rsidP="00AE7A8F">
                  <w:pPr>
                    <w:pStyle w:val="TableColumnHeading"/>
                  </w:pPr>
                  <w:r w:rsidRPr="00BE5E4F">
                    <w:t>WA</w:t>
                  </w:r>
                </w:p>
              </w:tc>
              <w:tc>
                <w:tcPr>
                  <w:tcW w:w="501" w:type="pct"/>
                  <w:tcBorders>
                    <w:top w:val="single" w:sz="6" w:space="0" w:color="BFBFBF"/>
                    <w:bottom w:val="single" w:sz="6" w:space="0" w:color="BFBFBF"/>
                  </w:tcBorders>
                </w:tcPr>
                <w:p w:rsidR="009A47FF" w:rsidRPr="00BE5E4F" w:rsidRDefault="009A47FF" w:rsidP="00AE7A8F">
                  <w:pPr>
                    <w:pStyle w:val="TableColumnHeading"/>
                  </w:pPr>
                  <w:r w:rsidRPr="00BE5E4F">
                    <w:t>SA</w:t>
                  </w:r>
                </w:p>
              </w:tc>
              <w:tc>
                <w:tcPr>
                  <w:tcW w:w="501" w:type="pct"/>
                  <w:tcBorders>
                    <w:top w:val="single" w:sz="6" w:space="0" w:color="BFBFBF"/>
                    <w:bottom w:val="single" w:sz="6" w:space="0" w:color="BFBFBF"/>
                  </w:tcBorders>
                </w:tcPr>
                <w:p w:rsidR="009A47FF" w:rsidRPr="00BE5E4F" w:rsidRDefault="009A47FF" w:rsidP="00AE7A8F">
                  <w:pPr>
                    <w:pStyle w:val="TableColumnHeading"/>
                  </w:pPr>
                  <w:proofErr w:type="spellStart"/>
                  <w:r w:rsidRPr="00BE5E4F">
                    <w:t>Tas</w:t>
                  </w:r>
                  <w:proofErr w:type="spellEnd"/>
                </w:p>
              </w:tc>
              <w:tc>
                <w:tcPr>
                  <w:tcW w:w="500" w:type="pct"/>
                  <w:tcBorders>
                    <w:top w:val="single" w:sz="6" w:space="0" w:color="BFBFBF"/>
                    <w:bottom w:val="single" w:sz="6" w:space="0" w:color="BFBFBF"/>
                  </w:tcBorders>
                </w:tcPr>
                <w:p w:rsidR="009A47FF" w:rsidRPr="00BE5E4F" w:rsidRDefault="009A47FF" w:rsidP="00AE7A8F">
                  <w:pPr>
                    <w:pStyle w:val="TableColumnHeading"/>
                  </w:pPr>
                  <w:r w:rsidRPr="00BE5E4F">
                    <w:t>ACT</w:t>
                  </w:r>
                </w:p>
              </w:tc>
              <w:tc>
                <w:tcPr>
                  <w:tcW w:w="500" w:type="pct"/>
                  <w:tcBorders>
                    <w:top w:val="single" w:sz="6" w:space="0" w:color="BFBFBF"/>
                    <w:bottom w:val="single" w:sz="6" w:space="0" w:color="BFBFBF"/>
                  </w:tcBorders>
                </w:tcPr>
                <w:p w:rsidR="009A47FF" w:rsidRPr="00BE5E4F" w:rsidRDefault="009A47FF" w:rsidP="00AE7A8F">
                  <w:pPr>
                    <w:pStyle w:val="TableColumnHeading"/>
                  </w:pPr>
                  <w:r w:rsidRPr="00BE5E4F">
                    <w:t>NT</w:t>
                  </w:r>
                </w:p>
              </w:tc>
              <w:tc>
                <w:tcPr>
                  <w:tcW w:w="494" w:type="pct"/>
                  <w:tcBorders>
                    <w:top w:val="single" w:sz="6" w:space="0" w:color="BFBFBF"/>
                    <w:bottom w:val="single" w:sz="6" w:space="0" w:color="BFBFBF"/>
                  </w:tcBorders>
                  <w:shd w:val="clear" w:color="auto" w:fill="auto"/>
                  <w:tcMar>
                    <w:top w:w="28" w:type="dxa"/>
                  </w:tcMar>
                </w:tcPr>
                <w:p w:rsidR="009A47FF" w:rsidRPr="00BE5E4F" w:rsidRDefault="009A47FF" w:rsidP="00AE7A8F">
                  <w:pPr>
                    <w:pStyle w:val="TableColumnHeading"/>
                  </w:pPr>
                  <w:proofErr w:type="spellStart"/>
                  <w:r w:rsidRPr="00BE5E4F">
                    <w:t>Aust</w:t>
                  </w:r>
                  <w:proofErr w:type="spellEnd"/>
                </w:p>
              </w:tc>
            </w:tr>
            <w:tr w:rsidR="004A59ED" w:rsidRPr="007322BC" w:rsidTr="00AE7A8F">
              <w:tc>
                <w:tcPr>
                  <w:tcW w:w="5000" w:type="pct"/>
                  <w:gridSpan w:val="10"/>
                </w:tcPr>
                <w:p w:rsidR="00D40112" w:rsidRPr="00BE5E4F" w:rsidRDefault="00D40112" w:rsidP="00D40112">
                  <w:pPr>
                    <w:pStyle w:val="TableBodyText"/>
                    <w:ind w:left="113" w:right="28"/>
                    <w:jc w:val="left"/>
                  </w:pPr>
                  <w:proofErr w:type="spellStart"/>
                  <w:r w:rsidRPr="00BE5E4F">
                    <w:t>NAPLAN</w:t>
                  </w:r>
                  <w:proofErr w:type="spellEnd"/>
                  <w:r w:rsidRPr="00BE5E4F">
                    <w:t xml:space="preserve"> Reading performance – proportion of Aboriginal and Torres Strait Islander year 3 students achieving at or above</w:t>
                  </w:r>
                  <w:r w:rsidR="00C96A76">
                    <w:t xml:space="preserve"> national minimum standard, 2015</w:t>
                  </w:r>
                </w:p>
              </w:tc>
            </w:tr>
            <w:tr w:rsidR="004A59ED" w:rsidRPr="007322BC" w:rsidTr="00AE7A8F">
              <w:tc>
                <w:tcPr>
                  <w:tcW w:w="5000" w:type="pct"/>
                  <w:gridSpan w:val="10"/>
                </w:tcPr>
                <w:p w:rsidR="00D40112" w:rsidRPr="00BE5E4F" w:rsidRDefault="00D40112" w:rsidP="00AE7A8F">
                  <w:pPr>
                    <w:pStyle w:val="TableBodyText"/>
                    <w:ind w:left="113" w:right="28"/>
                    <w:jc w:val="left"/>
                  </w:pPr>
                  <w:r w:rsidRPr="00BE5E4F">
                    <w:rPr>
                      <w:sz w:val="16"/>
                      <w:szCs w:val="16"/>
                    </w:rPr>
                    <w:t>Most recent data for this measure are comparable and complete, subject to caveats (chapter 4)</w:t>
                  </w:r>
                </w:p>
              </w:tc>
            </w:tr>
            <w:tr w:rsidR="00C96A76" w:rsidRPr="007322BC" w:rsidTr="00F14060">
              <w:tc>
                <w:tcPr>
                  <w:tcW w:w="501" w:type="pct"/>
                  <w:vAlign w:val="center"/>
                </w:tcPr>
                <w:p w:rsidR="00C96A76" w:rsidRPr="00BE5E4F" w:rsidRDefault="00C96A76" w:rsidP="00AE7A8F">
                  <w:pPr>
                    <w:pStyle w:val="TableBodyText"/>
                  </w:pPr>
                  <w:r w:rsidRPr="00BE5E4F">
                    <w:t>%</w:t>
                  </w:r>
                </w:p>
              </w:tc>
              <w:tc>
                <w:tcPr>
                  <w:tcW w:w="500" w:type="pct"/>
                  <w:shd w:val="clear" w:color="auto" w:fill="auto"/>
                  <w:vAlign w:val="center"/>
                </w:tcPr>
                <w:p w:rsidR="00C96A76" w:rsidRPr="00F14060" w:rsidRDefault="004C11E9" w:rsidP="007E1A54">
                  <w:pPr>
                    <w:pStyle w:val="TableBodyText"/>
                  </w:pPr>
                  <w:r w:rsidRPr="00F14060">
                    <w:t>86.6</w:t>
                  </w:r>
                  <w:r w:rsidR="00C96A76" w:rsidRPr="00F14060">
                    <w:t xml:space="preserve">     </w:t>
                  </w:r>
                  <w:r w:rsidRPr="00F14060">
                    <w:t xml:space="preserve"> ± 1.3</w:t>
                  </w:r>
                </w:p>
              </w:tc>
              <w:tc>
                <w:tcPr>
                  <w:tcW w:w="501" w:type="pct"/>
                  <w:shd w:val="clear" w:color="auto" w:fill="auto"/>
                </w:tcPr>
                <w:p w:rsidR="00C96A76" w:rsidRPr="00F14060" w:rsidRDefault="004C11E9" w:rsidP="007E1A54">
                  <w:pPr>
                    <w:pStyle w:val="TableBodyText"/>
                  </w:pPr>
                  <w:r w:rsidRPr="00F14060">
                    <w:t>85.6</w:t>
                  </w:r>
                  <w:r w:rsidR="00C96A76" w:rsidRPr="00F14060">
                    <w:t xml:space="preserve">     </w:t>
                  </w:r>
                  <w:r w:rsidRPr="00F14060">
                    <w:t xml:space="preserve"> ± 2.8</w:t>
                  </w:r>
                </w:p>
              </w:tc>
              <w:tc>
                <w:tcPr>
                  <w:tcW w:w="501" w:type="pct"/>
                  <w:shd w:val="clear" w:color="auto" w:fill="auto"/>
                </w:tcPr>
                <w:p w:rsidR="00C96A76" w:rsidRPr="00F14060" w:rsidRDefault="004C11E9" w:rsidP="007E1A54">
                  <w:pPr>
                    <w:pStyle w:val="TableBodyText"/>
                  </w:pPr>
                  <w:r w:rsidRPr="00F14060">
                    <w:t>85.0</w:t>
                  </w:r>
                  <w:r w:rsidR="00C96A76" w:rsidRPr="00F14060">
                    <w:t xml:space="preserve">     </w:t>
                  </w:r>
                  <w:r w:rsidRPr="00F14060">
                    <w:t xml:space="preserve"> ± 1.8</w:t>
                  </w:r>
                </w:p>
              </w:tc>
              <w:tc>
                <w:tcPr>
                  <w:tcW w:w="501" w:type="pct"/>
                  <w:shd w:val="clear" w:color="auto" w:fill="auto"/>
                </w:tcPr>
                <w:p w:rsidR="00C96A76" w:rsidRPr="00F14060" w:rsidRDefault="004C11E9" w:rsidP="007E1A54">
                  <w:pPr>
                    <w:pStyle w:val="TableBodyText"/>
                  </w:pPr>
                  <w:r w:rsidRPr="00F14060">
                    <w:t>66.6</w:t>
                  </w:r>
                  <w:r w:rsidR="00C96A76" w:rsidRPr="00F14060">
                    <w:t xml:space="preserve">     </w:t>
                  </w:r>
                  <w:r w:rsidRPr="00F14060">
                    <w:t xml:space="preserve"> ± 3.4</w:t>
                  </w:r>
                </w:p>
              </w:tc>
              <w:tc>
                <w:tcPr>
                  <w:tcW w:w="501" w:type="pct"/>
                  <w:shd w:val="clear" w:color="auto" w:fill="auto"/>
                </w:tcPr>
                <w:p w:rsidR="00C96A76" w:rsidRPr="00F14060" w:rsidRDefault="004C11E9" w:rsidP="007E1A54">
                  <w:pPr>
                    <w:pStyle w:val="TableBodyText"/>
                  </w:pPr>
                  <w:r w:rsidRPr="00F14060">
                    <w:t>73.4</w:t>
                  </w:r>
                  <w:r w:rsidR="00C96A76" w:rsidRPr="00F14060">
                    <w:t xml:space="preserve">     </w:t>
                  </w:r>
                  <w:r w:rsidRPr="00F14060">
                    <w:t xml:space="preserve"> ± 4.4</w:t>
                  </w:r>
                </w:p>
              </w:tc>
              <w:tc>
                <w:tcPr>
                  <w:tcW w:w="501" w:type="pct"/>
                  <w:shd w:val="clear" w:color="auto" w:fill="auto"/>
                </w:tcPr>
                <w:p w:rsidR="00C96A76" w:rsidRPr="00F14060" w:rsidRDefault="004C11E9" w:rsidP="007E1A54">
                  <w:pPr>
                    <w:pStyle w:val="TableBodyText"/>
                  </w:pPr>
                  <w:r w:rsidRPr="00F14060">
                    <w:t>87.7</w:t>
                  </w:r>
                  <w:r w:rsidR="00C96A76" w:rsidRPr="00F14060">
                    <w:t xml:space="preserve">     </w:t>
                  </w:r>
                  <w:r w:rsidRPr="00F14060">
                    <w:t xml:space="preserve"> ± 3.3</w:t>
                  </w:r>
                </w:p>
              </w:tc>
              <w:tc>
                <w:tcPr>
                  <w:tcW w:w="500" w:type="pct"/>
                  <w:shd w:val="clear" w:color="auto" w:fill="auto"/>
                </w:tcPr>
                <w:p w:rsidR="00C96A76" w:rsidRPr="00F14060" w:rsidRDefault="004C11E9" w:rsidP="007E1A54">
                  <w:pPr>
                    <w:pStyle w:val="TableBodyText"/>
                  </w:pPr>
                  <w:r w:rsidRPr="00F14060">
                    <w:t>85.2</w:t>
                  </w:r>
                  <w:r w:rsidR="00C96A76" w:rsidRPr="00F14060">
                    <w:t xml:space="preserve">     </w:t>
                  </w:r>
                  <w:r w:rsidRPr="00F14060">
                    <w:t xml:space="preserve"> ± 5.9</w:t>
                  </w:r>
                </w:p>
              </w:tc>
              <w:tc>
                <w:tcPr>
                  <w:tcW w:w="500" w:type="pct"/>
                  <w:shd w:val="clear" w:color="auto" w:fill="auto"/>
                </w:tcPr>
                <w:p w:rsidR="00C96A76" w:rsidRPr="00F14060" w:rsidRDefault="004C11E9" w:rsidP="007E1A54">
                  <w:pPr>
                    <w:pStyle w:val="TableBodyText"/>
                  </w:pPr>
                  <w:r w:rsidRPr="00F14060">
                    <w:t>42.5</w:t>
                  </w:r>
                  <w:r w:rsidR="00C96A76" w:rsidRPr="00F14060">
                    <w:t xml:space="preserve">     </w:t>
                  </w:r>
                  <w:r w:rsidRPr="00F14060">
                    <w:t xml:space="preserve"> ± 5.8</w:t>
                  </w:r>
                </w:p>
              </w:tc>
              <w:tc>
                <w:tcPr>
                  <w:tcW w:w="494" w:type="pct"/>
                  <w:shd w:val="clear" w:color="auto" w:fill="auto"/>
                </w:tcPr>
                <w:p w:rsidR="00C96A76" w:rsidRPr="00F14060" w:rsidRDefault="004C11E9" w:rsidP="007E1A54">
                  <w:pPr>
                    <w:pStyle w:val="TableBodyText"/>
                  </w:pPr>
                  <w:r w:rsidRPr="00F14060">
                    <w:t>78.7</w:t>
                  </w:r>
                  <w:r w:rsidR="00C96A76" w:rsidRPr="00F14060">
                    <w:t xml:space="preserve">     </w:t>
                  </w:r>
                  <w:r w:rsidRPr="00F14060">
                    <w:t xml:space="preserve"> ± 1.3</w:t>
                  </w:r>
                </w:p>
              </w:tc>
            </w:tr>
            <w:tr w:rsidR="00C96A76" w:rsidRPr="007322BC" w:rsidTr="00F14060">
              <w:tc>
                <w:tcPr>
                  <w:tcW w:w="5000" w:type="pct"/>
                  <w:gridSpan w:val="10"/>
                  <w:shd w:val="clear" w:color="auto" w:fill="auto"/>
                </w:tcPr>
                <w:p w:rsidR="00C96A76" w:rsidRPr="00F14060" w:rsidRDefault="00C96A76" w:rsidP="00D402D0">
                  <w:pPr>
                    <w:pStyle w:val="Source"/>
                    <w:spacing w:before="0" w:after="80"/>
                    <w:ind w:left="113"/>
                  </w:pPr>
                  <w:r w:rsidRPr="00F14060">
                    <w:rPr>
                      <w:i/>
                    </w:rPr>
                    <w:t xml:space="preserve">Source: </w:t>
                  </w:r>
                  <w:r w:rsidRPr="00F14060">
                    <w:t xml:space="preserve">Attachment table </w:t>
                  </w:r>
                  <w:proofErr w:type="spellStart"/>
                  <w:r w:rsidRPr="00F14060">
                    <w:t>4A.36</w:t>
                  </w:r>
                  <w:proofErr w:type="spellEnd"/>
                </w:p>
              </w:tc>
            </w:tr>
            <w:tr w:rsidR="00C96A76" w:rsidRPr="007322BC" w:rsidTr="00F14060">
              <w:tc>
                <w:tcPr>
                  <w:tcW w:w="5000" w:type="pct"/>
                  <w:gridSpan w:val="10"/>
                  <w:shd w:val="clear" w:color="auto" w:fill="auto"/>
                </w:tcPr>
                <w:p w:rsidR="00C96A76" w:rsidRPr="00F14060" w:rsidRDefault="00C96A76" w:rsidP="00D40112">
                  <w:pPr>
                    <w:pStyle w:val="TableBodyText"/>
                    <w:ind w:left="113" w:right="28"/>
                    <w:jc w:val="left"/>
                  </w:pPr>
                  <w:proofErr w:type="spellStart"/>
                  <w:r w:rsidRPr="00F14060">
                    <w:t>NAPLAN</w:t>
                  </w:r>
                  <w:proofErr w:type="spellEnd"/>
                  <w:r w:rsidRPr="00F14060">
                    <w:t xml:space="preserve"> Reading performance – proportion of all year 9 students achieving at or above national minimum standard, 2015</w:t>
                  </w:r>
                </w:p>
              </w:tc>
            </w:tr>
            <w:tr w:rsidR="00C96A76" w:rsidRPr="007322BC" w:rsidTr="00F14060">
              <w:tc>
                <w:tcPr>
                  <w:tcW w:w="5000" w:type="pct"/>
                  <w:gridSpan w:val="10"/>
                  <w:shd w:val="clear" w:color="auto" w:fill="auto"/>
                </w:tcPr>
                <w:p w:rsidR="00C96A76" w:rsidRPr="00F14060" w:rsidRDefault="00C96A76" w:rsidP="00AE7A8F">
                  <w:pPr>
                    <w:pStyle w:val="TableBodyText"/>
                    <w:ind w:left="113" w:right="28"/>
                    <w:jc w:val="left"/>
                  </w:pPr>
                  <w:r w:rsidRPr="00F14060">
                    <w:rPr>
                      <w:sz w:val="16"/>
                      <w:szCs w:val="16"/>
                    </w:rPr>
                    <w:t>Most recent data for this measure are comparable and complete, subject to caveats (chapter 4)</w:t>
                  </w:r>
                </w:p>
              </w:tc>
            </w:tr>
            <w:tr w:rsidR="004C11E9" w:rsidRPr="007322BC" w:rsidTr="00F14060">
              <w:tc>
                <w:tcPr>
                  <w:tcW w:w="501" w:type="pct"/>
                  <w:vAlign w:val="center"/>
                </w:tcPr>
                <w:p w:rsidR="004C11E9" w:rsidRPr="00BE5E4F" w:rsidRDefault="004C11E9" w:rsidP="00AE7A8F">
                  <w:pPr>
                    <w:pStyle w:val="TableBodyText"/>
                  </w:pPr>
                  <w:r w:rsidRPr="00BE5E4F">
                    <w:t>%</w:t>
                  </w:r>
                </w:p>
              </w:tc>
              <w:tc>
                <w:tcPr>
                  <w:tcW w:w="500" w:type="pct"/>
                  <w:shd w:val="clear" w:color="auto" w:fill="auto"/>
                  <w:vAlign w:val="center"/>
                </w:tcPr>
                <w:p w:rsidR="004C11E9" w:rsidRPr="00F14060" w:rsidRDefault="004C11E9" w:rsidP="004C11E9">
                  <w:pPr>
                    <w:pStyle w:val="TableBodyText"/>
                  </w:pPr>
                  <w:r w:rsidRPr="00F14060">
                    <w:t>92.6      ± 0.6</w:t>
                  </w:r>
                </w:p>
              </w:tc>
              <w:tc>
                <w:tcPr>
                  <w:tcW w:w="501" w:type="pct"/>
                  <w:shd w:val="clear" w:color="auto" w:fill="auto"/>
                </w:tcPr>
                <w:p w:rsidR="004C11E9" w:rsidRPr="00F14060" w:rsidRDefault="004C11E9" w:rsidP="004C11E9">
                  <w:pPr>
                    <w:pStyle w:val="TableBodyText"/>
                  </w:pPr>
                  <w:r w:rsidRPr="00F14060">
                    <w:t>93.5      ± 0.7</w:t>
                  </w:r>
                </w:p>
              </w:tc>
              <w:tc>
                <w:tcPr>
                  <w:tcW w:w="501" w:type="pct"/>
                  <w:shd w:val="clear" w:color="auto" w:fill="auto"/>
                </w:tcPr>
                <w:p w:rsidR="004C11E9" w:rsidRPr="00F14060" w:rsidRDefault="004C11E9" w:rsidP="004C11E9">
                  <w:pPr>
                    <w:pStyle w:val="TableBodyText"/>
                  </w:pPr>
                  <w:r w:rsidRPr="00F14060">
                    <w:t>91.8      ± 0.7</w:t>
                  </w:r>
                </w:p>
              </w:tc>
              <w:tc>
                <w:tcPr>
                  <w:tcW w:w="501" w:type="pct"/>
                  <w:shd w:val="clear" w:color="auto" w:fill="auto"/>
                </w:tcPr>
                <w:p w:rsidR="004C11E9" w:rsidRPr="00F14060" w:rsidRDefault="004C11E9" w:rsidP="004C11E9">
                  <w:pPr>
                    <w:pStyle w:val="TableBodyText"/>
                  </w:pPr>
                  <w:r w:rsidRPr="00F14060">
                    <w:t>93.2      ± 1.0</w:t>
                  </w:r>
                </w:p>
              </w:tc>
              <w:tc>
                <w:tcPr>
                  <w:tcW w:w="501" w:type="pct"/>
                  <w:shd w:val="clear" w:color="auto" w:fill="auto"/>
                </w:tcPr>
                <w:p w:rsidR="004C11E9" w:rsidRPr="00F14060" w:rsidRDefault="004C11E9" w:rsidP="004C11E9">
                  <w:pPr>
                    <w:pStyle w:val="TableBodyText"/>
                  </w:pPr>
                  <w:r w:rsidRPr="00F14060">
                    <w:t>91.6      ± 1.3</w:t>
                  </w:r>
                </w:p>
              </w:tc>
              <w:tc>
                <w:tcPr>
                  <w:tcW w:w="501" w:type="pct"/>
                  <w:shd w:val="clear" w:color="auto" w:fill="auto"/>
                </w:tcPr>
                <w:p w:rsidR="004C11E9" w:rsidRPr="00F14060" w:rsidRDefault="004C11E9" w:rsidP="004C11E9">
                  <w:pPr>
                    <w:pStyle w:val="TableBodyText"/>
                  </w:pPr>
                  <w:r w:rsidRPr="00F14060">
                    <w:t>91.4      ± 1.7</w:t>
                  </w:r>
                </w:p>
              </w:tc>
              <w:tc>
                <w:tcPr>
                  <w:tcW w:w="500" w:type="pct"/>
                  <w:shd w:val="clear" w:color="auto" w:fill="auto"/>
                </w:tcPr>
                <w:p w:rsidR="004C11E9" w:rsidRPr="00F14060" w:rsidRDefault="004C11E9" w:rsidP="004C11E9">
                  <w:pPr>
                    <w:pStyle w:val="TableBodyText"/>
                  </w:pPr>
                  <w:r w:rsidRPr="00F14060">
                    <w:t>94.0      ± 1.8</w:t>
                  </w:r>
                </w:p>
              </w:tc>
              <w:tc>
                <w:tcPr>
                  <w:tcW w:w="500" w:type="pct"/>
                  <w:shd w:val="clear" w:color="auto" w:fill="auto"/>
                </w:tcPr>
                <w:p w:rsidR="004C11E9" w:rsidRPr="00F14060" w:rsidRDefault="004C11E9" w:rsidP="004C11E9">
                  <w:pPr>
                    <w:pStyle w:val="TableBodyText"/>
                  </w:pPr>
                  <w:r w:rsidRPr="00F14060">
                    <w:t>66.2      ± 9.3</w:t>
                  </w:r>
                </w:p>
              </w:tc>
              <w:tc>
                <w:tcPr>
                  <w:tcW w:w="494" w:type="pct"/>
                  <w:shd w:val="clear" w:color="auto" w:fill="auto"/>
                </w:tcPr>
                <w:p w:rsidR="004C11E9" w:rsidRPr="00F14060" w:rsidRDefault="004C11E9" w:rsidP="004C11E9">
                  <w:pPr>
                    <w:pStyle w:val="TableBodyText"/>
                  </w:pPr>
                  <w:r w:rsidRPr="00F14060">
                    <w:t>92.3      ± 0.3</w:t>
                  </w:r>
                </w:p>
              </w:tc>
            </w:tr>
            <w:tr w:rsidR="004C11E9" w:rsidRPr="007322BC" w:rsidTr="00F14060">
              <w:tc>
                <w:tcPr>
                  <w:tcW w:w="5000" w:type="pct"/>
                  <w:gridSpan w:val="10"/>
                  <w:shd w:val="clear" w:color="auto" w:fill="auto"/>
                </w:tcPr>
                <w:p w:rsidR="004C11E9" w:rsidRPr="00F14060" w:rsidRDefault="004C11E9" w:rsidP="00D402D0">
                  <w:pPr>
                    <w:pStyle w:val="Source"/>
                    <w:spacing w:before="0" w:after="80"/>
                    <w:ind w:left="113"/>
                  </w:pPr>
                  <w:r w:rsidRPr="00F14060">
                    <w:rPr>
                      <w:i/>
                    </w:rPr>
                    <w:t xml:space="preserve">Source: </w:t>
                  </w:r>
                  <w:r w:rsidRPr="00F14060">
                    <w:t xml:space="preserve">Attachment table </w:t>
                  </w:r>
                  <w:proofErr w:type="spellStart"/>
                  <w:r w:rsidRPr="00F14060">
                    <w:t>4A.36</w:t>
                  </w:r>
                  <w:proofErr w:type="spellEnd"/>
                </w:p>
              </w:tc>
            </w:tr>
            <w:tr w:rsidR="004C11E9" w:rsidRPr="007322BC" w:rsidTr="00F14060">
              <w:tc>
                <w:tcPr>
                  <w:tcW w:w="5000" w:type="pct"/>
                  <w:gridSpan w:val="10"/>
                  <w:shd w:val="clear" w:color="auto" w:fill="auto"/>
                </w:tcPr>
                <w:p w:rsidR="004C11E9" w:rsidRPr="00F14060" w:rsidRDefault="004C11E9" w:rsidP="00D40112">
                  <w:pPr>
                    <w:pStyle w:val="TableBodyText"/>
                    <w:ind w:left="113" w:right="28"/>
                    <w:jc w:val="left"/>
                  </w:pPr>
                  <w:proofErr w:type="spellStart"/>
                  <w:r w:rsidRPr="00F14060">
                    <w:t>NAPLAN</w:t>
                  </w:r>
                  <w:proofErr w:type="spellEnd"/>
                  <w:r w:rsidRPr="00F14060">
                    <w:t xml:space="preserve"> Reading performance – proportion of Aboriginal and Torres Strait Islander year 9 students achieving at or above national minimum standard, 2015</w:t>
                  </w:r>
                </w:p>
              </w:tc>
            </w:tr>
            <w:tr w:rsidR="004C11E9" w:rsidRPr="007322BC" w:rsidTr="00F14060">
              <w:tc>
                <w:tcPr>
                  <w:tcW w:w="5000" w:type="pct"/>
                  <w:gridSpan w:val="10"/>
                  <w:shd w:val="clear" w:color="auto" w:fill="auto"/>
                </w:tcPr>
                <w:p w:rsidR="004C11E9" w:rsidRPr="00F14060" w:rsidRDefault="004C11E9" w:rsidP="00AE7A8F">
                  <w:pPr>
                    <w:pStyle w:val="TableBodyText"/>
                    <w:ind w:left="113" w:right="28"/>
                    <w:jc w:val="left"/>
                  </w:pPr>
                  <w:r w:rsidRPr="00F14060">
                    <w:rPr>
                      <w:sz w:val="16"/>
                      <w:szCs w:val="16"/>
                    </w:rPr>
                    <w:t>Most recent data for this measure are comparable and complete, subject to caveats (chapter 4)</w:t>
                  </w:r>
                </w:p>
              </w:tc>
            </w:tr>
            <w:tr w:rsidR="004C11E9" w:rsidRPr="007322BC" w:rsidTr="00F14060">
              <w:tc>
                <w:tcPr>
                  <w:tcW w:w="501" w:type="pct"/>
                </w:tcPr>
                <w:p w:rsidR="004C11E9" w:rsidRPr="00BE5E4F" w:rsidRDefault="004C11E9" w:rsidP="00AE7A8F">
                  <w:pPr>
                    <w:pStyle w:val="TableBodyText"/>
                  </w:pPr>
                  <w:r w:rsidRPr="00BE5E4F">
                    <w:t>%</w:t>
                  </w:r>
                </w:p>
              </w:tc>
              <w:tc>
                <w:tcPr>
                  <w:tcW w:w="500" w:type="pct"/>
                  <w:shd w:val="clear" w:color="auto" w:fill="auto"/>
                  <w:vAlign w:val="center"/>
                </w:tcPr>
                <w:p w:rsidR="004C11E9" w:rsidRPr="00F14060" w:rsidRDefault="004B09FC" w:rsidP="004C11E9">
                  <w:pPr>
                    <w:pStyle w:val="TableBodyText"/>
                  </w:pPr>
                  <w:r w:rsidRPr="00F14060">
                    <w:t>76.7</w:t>
                  </w:r>
                  <w:r w:rsidR="004C11E9" w:rsidRPr="00F14060">
                    <w:t xml:space="preserve">      ± </w:t>
                  </w:r>
                  <w:r w:rsidRPr="00F14060">
                    <w:t>1.8</w:t>
                  </w:r>
                </w:p>
              </w:tc>
              <w:tc>
                <w:tcPr>
                  <w:tcW w:w="501" w:type="pct"/>
                  <w:shd w:val="clear" w:color="auto" w:fill="auto"/>
                </w:tcPr>
                <w:p w:rsidR="004C11E9" w:rsidRPr="00F14060" w:rsidRDefault="004B09FC" w:rsidP="004C11E9">
                  <w:pPr>
                    <w:pStyle w:val="TableBodyText"/>
                  </w:pPr>
                  <w:r w:rsidRPr="00F14060">
                    <w:t>80.2</w:t>
                  </w:r>
                  <w:r w:rsidR="004C11E9" w:rsidRPr="00F14060">
                    <w:t xml:space="preserve">      ± </w:t>
                  </w:r>
                  <w:r w:rsidRPr="00F14060">
                    <w:t>3.8</w:t>
                  </w:r>
                </w:p>
              </w:tc>
              <w:tc>
                <w:tcPr>
                  <w:tcW w:w="501" w:type="pct"/>
                  <w:shd w:val="clear" w:color="auto" w:fill="auto"/>
                </w:tcPr>
                <w:p w:rsidR="004C11E9" w:rsidRPr="00F14060" w:rsidRDefault="004B09FC" w:rsidP="004C11E9">
                  <w:pPr>
                    <w:pStyle w:val="TableBodyText"/>
                  </w:pPr>
                  <w:r w:rsidRPr="00F14060">
                    <w:t>76.0</w:t>
                  </w:r>
                  <w:r w:rsidR="004C11E9" w:rsidRPr="00F14060">
                    <w:t xml:space="preserve">      ± </w:t>
                  </w:r>
                  <w:r w:rsidRPr="00F14060">
                    <w:t>2.6</w:t>
                  </w:r>
                </w:p>
              </w:tc>
              <w:tc>
                <w:tcPr>
                  <w:tcW w:w="501" w:type="pct"/>
                  <w:shd w:val="clear" w:color="auto" w:fill="auto"/>
                </w:tcPr>
                <w:p w:rsidR="004C11E9" w:rsidRPr="00F14060" w:rsidRDefault="004B09FC" w:rsidP="004C11E9">
                  <w:pPr>
                    <w:pStyle w:val="TableBodyText"/>
                  </w:pPr>
                  <w:r w:rsidRPr="00F14060">
                    <w:t>66.9</w:t>
                  </w:r>
                  <w:r w:rsidR="004C11E9" w:rsidRPr="00F14060">
                    <w:t xml:space="preserve">      ± </w:t>
                  </w:r>
                  <w:r w:rsidRPr="00F14060">
                    <w:t>4.2</w:t>
                  </w:r>
                </w:p>
              </w:tc>
              <w:tc>
                <w:tcPr>
                  <w:tcW w:w="501" w:type="pct"/>
                  <w:shd w:val="clear" w:color="auto" w:fill="auto"/>
                </w:tcPr>
                <w:p w:rsidR="004C11E9" w:rsidRPr="00F14060" w:rsidRDefault="004B09FC" w:rsidP="004C11E9">
                  <w:pPr>
                    <w:pStyle w:val="TableBodyText"/>
                  </w:pPr>
                  <w:r w:rsidRPr="00F14060">
                    <w:t>75.0</w:t>
                  </w:r>
                  <w:r w:rsidR="004C11E9" w:rsidRPr="00F14060">
                    <w:t xml:space="preserve">      ± </w:t>
                  </w:r>
                  <w:r w:rsidRPr="00F14060">
                    <w:t>4.7</w:t>
                  </w:r>
                </w:p>
              </w:tc>
              <w:tc>
                <w:tcPr>
                  <w:tcW w:w="501" w:type="pct"/>
                  <w:shd w:val="clear" w:color="auto" w:fill="auto"/>
                </w:tcPr>
                <w:p w:rsidR="004C11E9" w:rsidRPr="00F14060" w:rsidRDefault="004B09FC" w:rsidP="004C11E9">
                  <w:pPr>
                    <w:pStyle w:val="TableBodyText"/>
                  </w:pPr>
                  <w:r w:rsidRPr="00F14060">
                    <w:t>81.8</w:t>
                  </w:r>
                  <w:r w:rsidR="004C11E9" w:rsidRPr="00F14060">
                    <w:t xml:space="preserve">      ± </w:t>
                  </w:r>
                  <w:r w:rsidRPr="00F14060">
                    <w:t>4.4</w:t>
                  </w:r>
                </w:p>
              </w:tc>
              <w:tc>
                <w:tcPr>
                  <w:tcW w:w="500" w:type="pct"/>
                  <w:shd w:val="clear" w:color="auto" w:fill="auto"/>
                </w:tcPr>
                <w:p w:rsidR="004C11E9" w:rsidRPr="00F14060" w:rsidRDefault="004B09FC" w:rsidP="004C11E9">
                  <w:pPr>
                    <w:pStyle w:val="TableBodyText"/>
                  </w:pPr>
                  <w:r w:rsidRPr="00F14060">
                    <w:t>86.6</w:t>
                  </w:r>
                  <w:r w:rsidR="004C11E9" w:rsidRPr="00F14060">
                    <w:t xml:space="preserve">      ± </w:t>
                  </w:r>
                  <w:r w:rsidRPr="00F14060">
                    <w:t>7.9</w:t>
                  </w:r>
                </w:p>
              </w:tc>
              <w:tc>
                <w:tcPr>
                  <w:tcW w:w="500" w:type="pct"/>
                  <w:shd w:val="clear" w:color="auto" w:fill="auto"/>
                </w:tcPr>
                <w:p w:rsidR="004C11E9" w:rsidRPr="00F14060" w:rsidRDefault="004B09FC" w:rsidP="004C11E9">
                  <w:pPr>
                    <w:pStyle w:val="TableBodyText"/>
                  </w:pPr>
                  <w:r w:rsidRPr="00F14060">
                    <w:t>32.9</w:t>
                  </w:r>
                  <w:r w:rsidR="004C11E9" w:rsidRPr="00F14060">
                    <w:t xml:space="preserve">      ± </w:t>
                  </w:r>
                  <w:r w:rsidRPr="00F14060">
                    <w:t>8</w:t>
                  </w:r>
                  <w:r w:rsidR="004C11E9" w:rsidRPr="00F14060">
                    <w:t>.3</w:t>
                  </w:r>
                </w:p>
              </w:tc>
              <w:tc>
                <w:tcPr>
                  <w:tcW w:w="494" w:type="pct"/>
                  <w:shd w:val="clear" w:color="auto" w:fill="auto"/>
                </w:tcPr>
                <w:p w:rsidR="004C11E9" w:rsidRPr="00F14060" w:rsidRDefault="004B09FC" w:rsidP="004C11E9">
                  <w:pPr>
                    <w:pStyle w:val="TableBodyText"/>
                  </w:pPr>
                  <w:r w:rsidRPr="00F14060">
                    <w:t>71.7</w:t>
                  </w:r>
                  <w:r w:rsidR="004C11E9" w:rsidRPr="00F14060">
                    <w:t xml:space="preserve">      ± </w:t>
                  </w:r>
                  <w:r w:rsidRPr="00F14060">
                    <w:t>1.7</w:t>
                  </w:r>
                </w:p>
              </w:tc>
            </w:tr>
            <w:tr w:rsidR="004C11E9" w:rsidRPr="007322BC" w:rsidTr="00F14060">
              <w:tc>
                <w:tcPr>
                  <w:tcW w:w="5000" w:type="pct"/>
                  <w:gridSpan w:val="10"/>
                  <w:shd w:val="clear" w:color="auto" w:fill="auto"/>
                </w:tcPr>
                <w:p w:rsidR="004C11E9" w:rsidRPr="00F14060" w:rsidRDefault="004C11E9" w:rsidP="00D402D0">
                  <w:pPr>
                    <w:pStyle w:val="Source"/>
                    <w:spacing w:before="0" w:after="80"/>
                    <w:ind w:left="113"/>
                    <w:jc w:val="left"/>
                  </w:pPr>
                  <w:r w:rsidRPr="00F14060">
                    <w:rPr>
                      <w:i/>
                    </w:rPr>
                    <w:t xml:space="preserve">Source: </w:t>
                  </w:r>
                  <w:r w:rsidRPr="00F14060">
                    <w:t xml:space="preserve">Attachment table </w:t>
                  </w:r>
                  <w:proofErr w:type="spellStart"/>
                  <w:r w:rsidRPr="00F14060">
                    <w:t>4A.36</w:t>
                  </w:r>
                  <w:proofErr w:type="spellEnd"/>
                </w:p>
              </w:tc>
            </w:tr>
            <w:tr w:rsidR="004C11E9" w:rsidRPr="007322BC" w:rsidTr="00F14060">
              <w:tc>
                <w:tcPr>
                  <w:tcW w:w="5000" w:type="pct"/>
                  <w:gridSpan w:val="10"/>
                  <w:shd w:val="clear" w:color="auto" w:fill="auto"/>
                </w:tcPr>
                <w:p w:rsidR="004C11E9" w:rsidRPr="00F14060" w:rsidRDefault="004C11E9" w:rsidP="00D40112">
                  <w:pPr>
                    <w:pStyle w:val="TableBodyText"/>
                    <w:ind w:left="113" w:right="28"/>
                    <w:jc w:val="left"/>
                  </w:pPr>
                  <w:proofErr w:type="spellStart"/>
                  <w:r w:rsidRPr="00F14060">
                    <w:t>NAPLAN</w:t>
                  </w:r>
                  <w:proofErr w:type="spellEnd"/>
                  <w:r w:rsidRPr="00F14060">
                    <w:t xml:space="preserve"> Numeracy performance – proportion of all year 3 students achieving at or above national minimum standard, 2015</w:t>
                  </w:r>
                </w:p>
              </w:tc>
            </w:tr>
            <w:tr w:rsidR="004C11E9" w:rsidRPr="007322BC" w:rsidTr="00F14060">
              <w:tc>
                <w:tcPr>
                  <w:tcW w:w="5000" w:type="pct"/>
                  <w:gridSpan w:val="10"/>
                  <w:shd w:val="clear" w:color="auto" w:fill="auto"/>
                </w:tcPr>
                <w:p w:rsidR="004C11E9" w:rsidRPr="00F14060" w:rsidRDefault="004C11E9" w:rsidP="00AE7A8F">
                  <w:pPr>
                    <w:pStyle w:val="TableBodyText"/>
                    <w:ind w:left="113" w:right="28"/>
                    <w:jc w:val="left"/>
                  </w:pPr>
                  <w:r w:rsidRPr="00F14060">
                    <w:rPr>
                      <w:sz w:val="16"/>
                      <w:szCs w:val="16"/>
                    </w:rPr>
                    <w:t>Most recent data for this measure are comparable and complete, subject to caveats (chapter 4)</w:t>
                  </w:r>
                </w:p>
              </w:tc>
            </w:tr>
            <w:tr w:rsidR="00106327" w:rsidRPr="007322BC" w:rsidTr="00F14060">
              <w:tc>
                <w:tcPr>
                  <w:tcW w:w="501" w:type="pct"/>
                </w:tcPr>
                <w:p w:rsidR="00106327" w:rsidRPr="004A59ED" w:rsidRDefault="00106327" w:rsidP="00AE7A8F">
                  <w:pPr>
                    <w:pStyle w:val="TableBodyText"/>
                  </w:pPr>
                  <w:r w:rsidRPr="004A59ED">
                    <w:t>%</w:t>
                  </w:r>
                </w:p>
              </w:tc>
              <w:tc>
                <w:tcPr>
                  <w:tcW w:w="500" w:type="pct"/>
                  <w:shd w:val="clear" w:color="auto" w:fill="auto"/>
                  <w:vAlign w:val="center"/>
                </w:tcPr>
                <w:p w:rsidR="00106327" w:rsidRPr="00F14060" w:rsidRDefault="00106327" w:rsidP="00710E6C">
                  <w:pPr>
                    <w:pStyle w:val="TableBodyText"/>
                  </w:pPr>
                  <w:r w:rsidRPr="00F14060">
                    <w:t>94.7      ± 0.3</w:t>
                  </w:r>
                </w:p>
              </w:tc>
              <w:tc>
                <w:tcPr>
                  <w:tcW w:w="501" w:type="pct"/>
                  <w:shd w:val="clear" w:color="auto" w:fill="auto"/>
                </w:tcPr>
                <w:p w:rsidR="00106327" w:rsidRPr="00F14060" w:rsidRDefault="00106327" w:rsidP="00710E6C">
                  <w:pPr>
                    <w:pStyle w:val="TableBodyText"/>
                  </w:pPr>
                  <w:r w:rsidRPr="00F14060">
                    <w:t>95.3      ± 0.4</w:t>
                  </w:r>
                </w:p>
              </w:tc>
              <w:tc>
                <w:tcPr>
                  <w:tcW w:w="501" w:type="pct"/>
                  <w:shd w:val="clear" w:color="auto" w:fill="auto"/>
                </w:tcPr>
                <w:p w:rsidR="00106327" w:rsidRPr="00F14060" w:rsidRDefault="00106327" w:rsidP="00710E6C">
                  <w:pPr>
                    <w:pStyle w:val="TableBodyText"/>
                  </w:pPr>
                  <w:r w:rsidRPr="00F14060">
                    <w:t>95.0      ± 0.4</w:t>
                  </w:r>
                </w:p>
              </w:tc>
              <w:tc>
                <w:tcPr>
                  <w:tcW w:w="501" w:type="pct"/>
                  <w:shd w:val="clear" w:color="auto" w:fill="auto"/>
                </w:tcPr>
                <w:p w:rsidR="00106327" w:rsidRPr="00F14060" w:rsidRDefault="00106327" w:rsidP="00710E6C">
                  <w:pPr>
                    <w:pStyle w:val="TableBodyText"/>
                  </w:pPr>
                  <w:r w:rsidRPr="00F14060">
                    <w:t>93.7      ± 0.6</w:t>
                  </w:r>
                </w:p>
              </w:tc>
              <w:tc>
                <w:tcPr>
                  <w:tcW w:w="501" w:type="pct"/>
                  <w:shd w:val="clear" w:color="auto" w:fill="auto"/>
                </w:tcPr>
                <w:p w:rsidR="00106327" w:rsidRPr="00F14060" w:rsidRDefault="00106327" w:rsidP="00710E6C">
                  <w:pPr>
                    <w:pStyle w:val="TableBodyText"/>
                  </w:pPr>
                  <w:r w:rsidRPr="00F14060">
                    <w:t>92.8      ± 0.9</w:t>
                  </w:r>
                </w:p>
              </w:tc>
              <w:tc>
                <w:tcPr>
                  <w:tcW w:w="501" w:type="pct"/>
                  <w:shd w:val="clear" w:color="auto" w:fill="auto"/>
                </w:tcPr>
                <w:p w:rsidR="00106327" w:rsidRPr="00F14060" w:rsidRDefault="00106327" w:rsidP="00710E6C">
                  <w:pPr>
                    <w:pStyle w:val="TableBodyText"/>
                  </w:pPr>
                  <w:r w:rsidRPr="00F14060">
                    <w:t>94.0      ± 1.2</w:t>
                  </w:r>
                </w:p>
              </w:tc>
              <w:tc>
                <w:tcPr>
                  <w:tcW w:w="500" w:type="pct"/>
                  <w:shd w:val="clear" w:color="auto" w:fill="auto"/>
                </w:tcPr>
                <w:p w:rsidR="00106327" w:rsidRPr="00F14060" w:rsidRDefault="00106327" w:rsidP="00710E6C">
                  <w:pPr>
                    <w:pStyle w:val="TableBodyText"/>
                  </w:pPr>
                  <w:r w:rsidRPr="00F14060">
                    <w:t>96.0      ± 1.0</w:t>
                  </w:r>
                </w:p>
              </w:tc>
              <w:tc>
                <w:tcPr>
                  <w:tcW w:w="500" w:type="pct"/>
                  <w:shd w:val="clear" w:color="auto" w:fill="auto"/>
                </w:tcPr>
                <w:p w:rsidR="00106327" w:rsidRPr="00F14060" w:rsidRDefault="00106327" w:rsidP="00710E6C">
                  <w:pPr>
                    <w:pStyle w:val="TableBodyText"/>
                  </w:pPr>
                  <w:r w:rsidRPr="00F14060">
                    <w:t>75.0      ± 5.4</w:t>
                  </w:r>
                </w:p>
              </w:tc>
              <w:tc>
                <w:tcPr>
                  <w:tcW w:w="494" w:type="pct"/>
                  <w:shd w:val="clear" w:color="auto" w:fill="auto"/>
                </w:tcPr>
                <w:p w:rsidR="00106327" w:rsidRPr="00F14060" w:rsidRDefault="00106327" w:rsidP="00710E6C">
                  <w:pPr>
                    <w:pStyle w:val="TableBodyText"/>
                  </w:pPr>
                  <w:r w:rsidRPr="00F14060">
                    <w:t>94.4      ± 0.2</w:t>
                  </w:r>
                </w:p>
              </w:tc>
            </w:tr>
            <w:tr w:rsidR="00106327" w:rsidRPr="007322BC" w:rsidTr="00F14060">
              <w:tc>
                <w:tcPr>
                  <w:tcW w:w="5000" w:type="pct"/>
                  <w:gridSpan w:val="10"/>
                  <w:shd w:val="clear" w:color="auto" w:fill="auto"/>
                </w:tcPr>
                <w:p w:rsidR="00106327" w:rsidRPr="00F14060" w:rsidRDefault="00106327" w:rsidP="00D402D0">
                  <w:pPr>
                    <w:pStyle w:val="Source"/>
                    <w:spacing w:before="0" w:after="80"/>
                    <w:ind w:left="113"/>
                  </w:pPr>
                  <w:r w:rsidRPr="00F14060">
                    <w:rPr>
                      <w:i/>
                    </w:rPr>
                    <w:t xml:space="preserve">Source: </w:t>
                  </w:r>
                  <w:r w:rsidRPr="00F14060">
                    <w:t xml:space="preserve">Attachment table </w:t>
                  </w:r>
                  <w:proofErr w:type="spellStart"/>
                  <w:r w:rsidRPr="00F14060">
                    <w:t>4A.64</w:t>
                  </w:r>
                  <w:proofErr w:type="spellEnd"/>
                </w:p>
              </w:tc>
            </w:tr>
            <w:tr w:rsidR="00106327" w:rsidRPr="007322BC" w:rsidTr="00F14060">
              <w:tc>
                <w:tcPr>
                  <w:tcW w:w="5000" w:type="pct"/>
                  <w:gridSpan w:val="10"/>
                  <w:shd w:val="clear" w:color="auto" w:fill="auto"/>
                </w:tcPr>
                <w:p w:rsidR="00106327" w:rsidRPr="00F14060" w:rsidRDefault="00106327" w:rsidP="00AE7A8F">
                  <w:pPr>
                    <w:pStyle w:val="TableBodyText"/>
                    <w:ind w:left="113" w:right="28"/>
                    <w:jc w:val="left"/>
                  </w:pPr>
                  <w:proofErr w:type="spellStart"/>
                  <w:r w:rsidRPr="00F14060">
                    <w:t>NAPLAN</w:t>
                  </w:r>
                  <w:proofErr w:type="spellEnd"/>
                  <w:r w:rsidRPr="00F14060">
                    <w:t xml:space="preserve"> Numeracy</w:t>
                  </w:r>
                  <w:r w:rsidR="002E526F" w:rsidRPr="00F14060">
                    <w:t xml:space="preserve"> performance – proportion of</w:t>
                  </w:r>
                  <w:r w:rsidRPr="00F14060">
                    <w:t xml:space="preserve"> </w:t>
                  </w:r>
                  <w:r w:rsidR="002E526F" w:rsidRPr="00F14060">
                    <w:t xml:space="preserve">Aboriginal and Torres Strait Islander </w:t>
                  </w:r>
                  <w:r w:rsidRPr="00F14060">
                    <w:t>year 3 students achieving at or above national minimum standard, 2015</w:t>
                  </w:r>
                </w:p>
              </w:tc>
            </w:tr>
            <w:tr w:rsidR="00106327" w:rsidRPr="007322BC" w:rsidTr="00F14060">
              <w:tc>
                <w:tcPr>
                  <w:tcW w:w="5000" w:type="pct"/>
                  <w:gridSpan w:val="10"/>
                  <w:shd w:val="clear" w:color="auto" w:fill="auto"/>
                </w:tcPr>
                <w:p w:rsidR="00106327" w:rsidRPr="00F14060" w:rsidRDefault="00106327" w:rsidP="00AE7A8F">
                  <w:pPr>
                    <w:pStyle w:val="TableBodyText"/>
                    <w:ind w:left="113" w:right="28"/>
                    <w:jc w:val="left"/>
                  </w:pPr>
                  <w:r w:rsidRPr="00F14060">
                    <w:rPr>
                      <w:sz w:val="16"/>
                      <w:szCs w:val="16"/>
                    </w:rPr>
                    <w:t>Most recent data for this measure are comparable and complete, subject to caveats (chapter 4)</w:t>
                  </w:r>
                </w:p>
              </w:tc>
            </w:tr>
            <w:tr w:rsidR="00106327" w:rsidRPr="007322BC" w:rsidTr="00F14060">
              <w:tc>
                <w:tcPr>
                  <w:tcW w:w="501" w:type="pct"/>
                  <w:shd w:val="clear" w:color="auto" w:fill="auto"/>
                </w:tcPr>
                <w:p w:rsidR="00106327" w:rsidRPr="004A59ED" w:rsidRDefault="00106327" w:rsidP="00AE7A8F">
                  <w:pPr>
                    <w:pStyle w:val="TableBodyText"/>
                  </w:pPr>
                  <w:r w:rsidRPr="004A59ED">
                    <w:t>%</w:t>
                  </w:r>
                </w:p>
              </w:tc>
              <w:tc>
                <w:tcPr>
                  <w:tcW w:w="500" w:type="pct"/>
                  <w:shd w:val="clear" w:color="auto" w:fill="auto"/>
                  <w:vAlign w:val="center"/>
                </w:tcPr>
                <w:p w:rsidR="00106327" w:rsidRPr="00F14060" w:rsidRDefault="0041592B" w:rsidP="00710E6C">
                  <w:pPr>
                    <w:pStyle w:val="TableBodyText"/>
                  </w:pPr>
                  <w:r w:rsidRPr="00F14060">
                    <w:t>84.4</w:t>
                  </w:r>
                  <w:r w:rsidR="00106327" w:rsidRPr="00F14060">
                    <w:t xml:space="preserve">      ± </w:t>
                  </w:r>
                  <w:r w:rsidRPr="00F14060">
                    <w:t>1</w:t>
                  </w:r>
                  <w:r w:rsidR="00106327" w:rsidRPr="00F14060">
                    <w:t>.3</w:t>
                  </w:r>
                </w:p>
              </w:tc>
              <w:tc>
                <w:tcPr>
                  <w:tcW w:w="501" w:type="pct"/>
                  <w:shd w:val="clear" w:color="auto" w:fill="auto"/>
                </w:tcPr>
                <w:p w:rsidR="00106327" w:rsidRPr="00F14060" w:rsidRDefault="0041592B" w:rsidP="00710E6C">
                  <w:pPr>
                    <w:pStyle w:val="TableBodyText"/>
                  </w:pPr>
                  <w:r w:rsidRPr="00F14060">
                    <w:t>85.4</w:t>
                  </w:r>
                  <w:r w:rsidR="00106327" w:rsidRPr="00F14060">
                    <w:t xml:space="preserve">      ± </w:t>
                  </w:r>
                  <w:r w:rsidRPr="00F14060">
                    <w:t>3.1</w:t>
                  </w:r>
                </w:p>
              </w:tc>
              <w:tc>
                <w:tcPr>
                  <w:tcW w:w="501" w:type="pct"/>
                  <w:shd w:val="clear" w:color="auto" w:fill="auto"/>
                </w:tcPr>
                <w:p w:rsidR="00106327" w:rsidRPr="00F14060" w:rsidRDefault="0041592B" w:rsidP="00710E6C">
                  <w:pPr>
                    <w:pStyle w:val="TableBodyText"/>
                  </w:pPr>
                  <w:r w:rsidRPr="00F14060">
                    <w:t>82.9</w:t>
                  </w:r>
                  <w:r w:rsidR="00106327" w:rsidRPr="00F14060">
                    <w:t xml:space="preserve">      ± </w:t>
                  </w:r>
                  <w:r w:rsidRPr="00F14060">
                    <w:t>1.9</w:t>
                  </w:r>
                </w:p>
              </w:tc>
              <w:tc>
                <w:tcPr>
                  <w:tcW w:w="501" w:type="pct"/>
                  <w:shd w:val="clear" w:color="auto" w:fill="auto"/>
                </w:tcPr>
                <w:p w:rsidR="00106327" w:rsidRPr="00F14060" w:rsidRDefault="0041592B" w:rsidP="00710E6C">
                  <w:pPr>
                    <w:pStyle w:val="TableBodyText"/>
                  </w:pPr>
                  <w:r w:rsidRPr="00F14060">
                    <w:t>69.5</w:t>
                  </w:r>
                  <w:r w:rsidR="00106327" w:rsidRPr="00F14060">
                    <w:t xml:space="preserve">      ± </w:t>
                  </w:r>
                  <w:r w:rsidRPr="00F14060">
                    <w:t>3.3</w:t>
                  </w:r>
                </w:p>
              </w:tc>
              <w:tc>
                <w:tcPr>
                  <w:tcW w:w="501" w:type="pct"/>
                  <w:shd w:val="clear" w:color="auto" w:fill="auto"/>
                </w:tcPr>
                <w:p w:rsidR="00106327" w:rsidRPr="00F14060" w:rsidRDefault="0041592B" w:rsidP="00710E6C">
                  <w:pPr>
                    <w:pStyle w:val="TableBodyText"/>
                  </w:pPr>
                  <w:r w:rsidRPr="00F14060">
                    <w:t>71.1</w:t>
                  </w:r>
                  <w:r w:rsidR="00106327" w:rsidRPr="00F14060">
                    <w:t xml:space="preserve">      ± </w:t>
                  </w:r>
                  <w:r w:rsidRPr="00F14060">
                    <w:t>4.4</w:t>
                  </w:r>
                </w:p>
              </w:tc>
              <w:tc>
                <w:tcPr>
                  <w:tcW w:w="501" w:type="pct"/>
                  <w:shd w:val="clear" w:color="auto" w:fill="auto"/>
                </w:tcPr>
                <w:p w:rsidR="00106327" w:rsidRPr="00F14060" w:rsidRDefault="0041592B" w:rsidP="00710E6C">
                  <w:pPr>
                    <w:pStyle w:val="TableBodyText"/>
                  </w:pPr>
                  <w:r w:rsidRPr="00F14060">
                    <w:t>89.7</w:t>
                  </w:r>
                  <w:r w:rsidR="00106327" w:rsidRPr="00F14060">
                    <w:t xml:space="preserve">      ± </w:t>
                  </w:r>
                  <w:r w:rsidRPr="00F14060">
                    <w:t>4.0</w:t>
                  </w:r>
                </w:p>
              </w:tc>
              <w:tc>
                <w:tcPr>
                  <w:tcW w:w="500" w:type="pct"/>
                  <w:shd w:val="clear" w:color="auto" w:fill="auto"/>
                </w:tcPr>
                <w:p w:rsidR="00106327" w:rsidRPr="00F14060" w:rsidRDefault="0041592B" w:rsidP="00710E6C">
                  <w:pPr>
                    <w:pStyle w:val="TableBodyText"/>
                  </w:pPr>
                  <w:r w:rsidRPr="00F14060">
                    <w:t>85.4</w:t>
                  </w:r>
                  <w:r w:rsidR="00106327" w:rsidRPr="00F14060">
                    <w:t xml:space="preserve">      ± </w:t>
                  </w:r>
                  <w:r w:rsidRPr="00F14060">
                    <w:t>7.8</w:t>
                  </w:r>
                </w:p>
              </w:tc>
              <w:tc>
                <w:tcPr>
                  <w:tcW w:w="500" w:type="pct"/>
                  <w:shd w:val="clear" w:color="auto" w:fill="auto"/>
                </w:tcPr>
                <w:p w:rsidR="00106327" w:rsidRPr="00F14060" w:rsidRDefault="0041592B" w:rsidP="00710E6C">
                  <w:pPr>
                    <w:pStyle w:val="TableBodyText"/>
                  </w:pPr>
                  <w:r w:rsidRPr="00F14060">
                    <w:t>48.6</w:t>
                  </w:r>
                  <w:r w:rsidR="00106327" w:rsidRPr="00F14060">
                    <w:t xml:space="preserve">      ± </w:t>
                  </w:r>
                  <w:r w:rsidRPr="00F14060">
                    <w:t>6.3</w:t>
                  </w:r>
                </w:p>
              </w:tc>
              <w:tc>
                <w:tcPr>
                  <w:tcW w:w="494" w:type="pct"/>
                  <w:shd w:val="clear" w:color="auto" w:fill="auto"/>
                </w:tcPr>
                <w:p w:rsidR="00106327" w:rsidRPr="00F14060" w:rsidRDefault="0041592B" w:rsidP="00710E6C">
                  <w:pPr>
                    <w:pStyle w:val="TableBodyText"/>
                  </w:pPr>
                  <w:r w:rsidRPr="00F14060">
                    <w:t>78.2</w:t>
                  </w:r>
                  <w:r w:rsidR="00106327" w:rsidRPr="00F14060">
                    <w:t xml:space="preserve">      ± </w:t>
                  </w:r>
                  <w:r w:rsidRPr="00F14060">
                    <w:t>1.3</w:t>
                  </w:r>
                </w:p>
              </w:tc>
            </w:tr>
            <w:tr w:rsidR="00106327" w:rsidRPr="007322BC" w:rsidTr="003E2DFE">
              <w:tc>
                <w:tcPr>
                  <w:tcW w:w="5000" w:type="pct"/>
                  <w:gridSpan w:val="10"/>
                  <w:shd w:val="clear" w:color="auto" w:fill="auto"/>
                </w:tcPr>
                <w:p w:rsidR="00106327" w:rsidRPr="00F14060" w:rsidRDefault="00106327" w:rsidP="00D402D0">
                  <w:pPr>
                    <w:pStyle w:val="Source"/>
                    <w:spacing w:before="0" w:after="80"/>
                    <w:ind w:left="113"/>
                  </w:pPr>
                  <w:r w:rsidRPr="00F14060">
                    <w:rPr>
                      <w:i/>
                    </w:rPr>
                    <w:t xml:space="preserve">Source: </w:t>
                  </w:r>
                  <w:r w:rsidRPr="00F14060">
                    <w:t xml:space="preserve">Attachment table </w:t>
                  </w:r>
                  <w:proofErr w:type="spellStart"/>
                  <w:r w:rsidRPr="00F14060">
                    <w:t>4A.64</w:t>
                  </w:r>
                  <w:proofErr w:type="spellEnd"/>
                </w:p>
              </w:tc>
            </w:tr>
            <w:tr w:rsidR="00106327" w:rsidRPr="007322BC" w:rsidTr="009E535F">
              <w:tc>
                <w:tcPr>
                  <w:tcW w:w="5000" w:type="pct"/>
                  <w:gridSpan w:val="10"/>
                  <w:shd w:val="clear" w:color="auto" w:fill="auto"/>
                </w:tcPr>
                <w:p w:rsidR="00106327" w:rsidRPr="00F14060" w:rsidRDefault="00106327" w:rsidP="009E535F">
                  <w:pPr>
                    <w:pStyle w:val="TableBodyText"/>
                    <w:ind w:left="113" w:right="28"/>
                    <w:jc w:val="left"/>
                  </w:pPr>
                  <w:proofErr w:type="spellStart"/>
                  <w:r w:rsidRPr="00F14060">
                    <w:t>NAPLAN</w:t>
                  </w:r>
                  <w:proofErr w:type="spellEnd"/>
                  <w:r w:rsidRPr="00F14060">
                    <w:t xml:space="preserve"> Numeracy performance – proportion of all year 9 students achieving at or above national minimum standard, 2015</w:t>
                  </w:r>
                </w:p>
              </w:tc>
            </w:tr>
            <w:tr w:rsidR="00106327" w:rsidRPr="007322BC" w:rsidTr="009E535F">
              <w:tc>
                <w:tcPr>
                  <w:tcW w:w="5000" w:type="pct"/>
                  <w:gridSpan w:val="10"/>
                  <w:shd w:val="clear" w:color="auto" w:fill="auto"/>
                </w:tcPr>
                <w:p w:rsidR="00106327" w:rsidRPr="00F14060" w:rsidRDefault="00106327" w:rsidP="009E535F">
                  <w:pPr>
                    <w:pStyle w:val="TableBodyText"/>
                    <w:ind w:left="113" w:right="28"/>
                    <w:jc w:val="left"/>
                  </w:pPr>
                  <w:r w:rsidRPr="00F14060">
                    <w:t>Most recent data for this measure are comparable and complete, subject to caveats (chapter 4)</w:t>
                  </w:r>
                </w:p>
              </w:tc>
            </w:tr>
            <w:tr w:rsidR="00190E80" w:rsidRPr="007322BC" w:rsidTr="00F14060">
              <w:tc>
                <w:tcPr>
                  <w:tcW w:w="501" w:type="pct"/>
                  <w:shd w:val="clear" w:color="auto" w:fill="auto"/>
                </w:tcPr>
                <w:p w:rsidR="00190E80" w:rsidRPr="004A59ED" w:rsidRDefault="00190E80" w:rsidP="000C11EA">
                  <w:pPr>
                    <w:pStyle w:val="TableBodyText"/>
                  </w:pPr>
                  <w:r w:rsidRPr="004A59ED">
                    <w:t>%</w:t>
                  </w:r>
                </w:p>
              </w:tc>
              <w:tc>
                <w:tcPr>
                  <w:tcW w:w="500" w:type="pct"/>
                  <w:shd w:val="clear" w:color="auto" w:fill="auto"/>
                  <w:vAlign w:val="center"/>
                </w:tcPr>
                <w:p w:rsidR="00190E80" w:rsidRPr="00F14060" w:rsidRDefault="00190E80" w:rsidP="00710E6C">
                  <w:pPr>
                    <w:pStyle w:val="TableBodyText"/>
                  </w:pPr>
                  <w:r w:rsidRPr="00F14060">
                    <w:t>95.8      ± 0.4</w:t>
                  </w:r>
                </w:p>
              </w:tc>
              <w:tc>
                <w:tcPr>
                  <w:tcW w:w="501" w:type="pct"/>
                  <w:shd w:val="clear" w:color="auto" w:fill="auto"/>
                </w:tcPr>
                <w:p w:rsidR="00190E80" w:rsidRPr="00F14060" w:rsidRDefault="00190E80" w:rsidP="00710E6C">
                  <w:pPr>
                    <w:pStyle w:val="TableBodyText"/>
                  </w:pPr>
                  <w:r w:rsidRPr="00F14060">
                    <w:t>95.6      ± 0.6</w:t>
                  </w:r>
                </w:p>
              </w:tc>
              <w:tc>
                <w:tcPr>
                  <w:tcW w:w="501" w:type="pct"/>
                  <w:shd w:val="clear" w:color="auto" w:fill="auto"/>
                </w:tcPr>
                <w:p w:rsidR="00190E80" w:rsidRPr="00F14060" w:rsidRDefault="00190E80" w:rsidP="00710E6C">
                  <w:pPr>
                    <w:pStyle w:val="TableBodyText"/>
                  </w:pPr>
                  <w:r w:rsidRPr="00F14060">
                    <w:t>96.3      ± 0.5</w:t>
                  </w:r>
                </w:p>
              </w:tc>
              <w:tc>
                <w:tcPr>
                  <w:tcW w:w="501" w:type="pct"/>
                  <w:shd w:val="clear" w:color="auto" w:fill="auto"/>
                </w:tcPr>
                <w:p w:rsidR="00190E80" w:rsidRPr="00F14060" w:rsidRDefault="00190E80" w:rsidP="00710E6C">
                  <w:pPr>
                    <w:pStyle w:val="TableBodyText"/>
                  </w:pPr>
                  <w:r w:rsidRPr="00F14060">
                    <w:t>96.4      ± 0.6</w:t>
                  </w:r>
                </w:p>
              </w:tc>
              <w:tc>
                <w:tcPr>
                  <w:tcW w:w="501" w:type="pct"/>
                  <w:shd w:val="clear" w:color="auto" w:fill="auto"/>
                </w:tcPr>
                <w:p w:rsidR="00190E80" w:rsidRPr="00F14060" w:rsidRDefault="00190E80" w:rsidP="00710E6C">
                  <w:pPr>
                    <w:pStyle w:val="TableBodyText"/>
                  </w:pPr>
                  <w:r w:rsidRPr="00F14060">
                    <w:t>95.0      ± 1.0</w:t>
                  </w:r>
                </w:p>
              </w:tc>
              <w:tc>
                <w:tcPr>
                  <w:tcW w:w="501" w:type="pct"/>
                  <w:shd w:val="clear" w:color="auto" w:fill="auto"/>
                </w:tcPr>
                <w:p w:rsidR="00190E80" w:rsidRPr="00F14060" w:rsidRDefault="00190E80" w:rsidP="00710E6C">
                  <w:pPr>
                    <w:pStyle w:val="TableBodyText"/>
                  </w:pPr>
                  <w:r w:rsidRPr="00F14060">
                    <w:t>95.8      ± 1.1</w:t>
                  </w:r>
                </w:p>
              </w:tc>
              <w:tc>
                <w:tcPr>
                  <w:tcW w:w="500" w:type="pct"/>
                  <w:shd w:val="clear" w:color="auto" w:fill="auto"/>
                </w:tcPr>
                <w:p w:rsidR="00190E80" w:rsidRPr="00F14060" w:rsidRDefault="00190E80" w:rsidP="00710E6C">
                  <w:pPr>
                    <w:pStyle w:val="TableBodyText"/>
                  </w:pPr>
                  <w:r w:rsidRPr="00F14060">
                    <w:t>95.2      ± 1.7</w:t>
                  </w:r>
                </w:p>
              </w:tc>
              <w:tc>
                <w:tcPr>
                  <w:tcW w:w="500" w:type="pct"/>
                  <w:shd w:val="clear" w:color="auto" w:fill="auto"/>
                </w:tcPr>
                <w:p w:rsidR="00190E80" w:rsidRPr="00F14060" w:rsidRDefault="00190E80" w:rsidP="00710E6C">
                  <w:pPr>
                    <w:pStyle w:val="TableBodyText"/>
                  </w:pPr>
                  <w:r w:rsidRPr="00F14060">
                    <w:t>79.1      ± 6.9</w:t>
                  </w:r>
                </w:p>
              </w:tc>
              <w:tc>
                <w:tcPr>
                  <w:tcW w:w="494" w:type="pct"/>
                  <w:shd w:val="clear" w:color="auto" w:fill="auto"/>
                </w:tcPr>
                <w:p w:rsidR="00190E80" w:rsidRPr="00F14060" w:rsidRDefault="00190E80" w:rsidP="00710E6C">
                  <w:pPr>
                    <w:pStyle w:val="TableBodyText"/>
                  </w:pPr>
                  <w:r w:rsidRPr="00F14060">
                    <w:t>95.7      ± 0.2</w:t>
                  </w:r>
                </w:p>
              </w:tc>
            </w:tr>
            <w:tr w:rsidR="00190E80" w:rsidRPr="007322BC" w:rsidTr="00346C60">
              <w:tc>
                <w:tcPr>
                  <w:tcW w:w="5000" w:type="pct"/>
                  <w:gridSpan w:val="10"/>
                  <w:shd w:val="clear" w:color="auto" w:fill="auto"/>
                </w:tcPr>
                <w:p w:rsidR="00190E80" w:rsidRPr="00F14060" w:rsidRDefault="00190E80" w:rsidP="00D402D0">
                  <w:pPr>
                    <w:pStyle w:val="Source"/>
                    <w:spacing w:before="0" w:after="80"/>
                    <w:ind w:left="113"/>
                  </w:pPr>
                  <w:r w:rsidRPr="00F14060">
                    <w:rPr>
                      <w:i/>
                    </w:rPr>
                    <w:t xml:space="preserve">Source: </w:t>
                  </w:r>
                  <w:r w:rsidRPr="00F14060">
                    <w:t xml:space="preserve">Attachment table </w:t>
                  </w:r>
                  <w:proofErr w:type="spellStart"/>
                  <w:r w:rsidRPr="00F14060">
                    <w:t>4A.64</w:t>
                  </w:r>
                  <w:proofErr w:type="spellEnd"/>
                </w:p>
              </w:tc>
            </w:tr>
            <w:tr w:rsidR="00190E80" w:rsidRPr="007322BC" w:rsidTr="00346C60">
              <w:tc>
                <w:tcPr>
                  <w:tcW w:w="5000" w:type="pct"/>
                  <w:gridSpan w:val="10"/>
                  <w:shd w:val="clear" w:color="auto" w:fill="auto"/>
                </w:tcPr>
                <w:p w:rsidR="00190E80" w:rsidRPr="00F14060" w:rsidRDefault="00190E80" w:rsidP="007E1A54">
                  <w:pPr>
                    <w:pStyle w:val="TableBodyText"/>
                    <w:ind w:left="113" w:right="28"/>
                    <w:jc w:val="left"/>
                  </w:pPr>
                  <w:proofErr w:type="spellStart"/>
                  <w:r w:rsidRPr="00F14060">
                    <w:t>NAPLAN</w:t>
                  </w:r>
                  <w:proofErr w:type="spellEnd"/>
                  <w:r w:rsidRPr="00F14060">
                    <w:t xml:space="preserve"> Numeracy performance – proportion of Aboriginal and Torres Strait Islander year 9 students achieving at or above national minimum standard, 2015</w:t>
                  </w:r>
                </w:p>
              </w:tc>
            </w:tr>
            <w:tr w:rsidR="00190E80" w:rsidRPr="007322BC" w:rsidTr="00346C60">
              <w:tc>
                <w:tcPr>
                  <w:tcW w:w="5000" w:type="pct"/>
                  <w:gridSpan w:val="10"/>
                  <w:shd w:val="clear" w:color="auto" w:fill="auto"/>
                </w:tcPr>
                <w:p w:rsidR="00190E80" w:rsidRPr="00F14060" w:rsidRDefault="00190E80" w:rsidP="007E1A54">
                  <w:pPr>
                    <w:pStyle w:val="TableBodyText"/>
                    <w:ind w:left="113" w:right="28"/>
                    <w:jc w:val="left"/>
                  </w:pPr>
                  <w:r w:rsidRPr="00F14060">
                    <w:rPr>
                      <w:sz w:val="16"/>
                      <w:szCs w:val="16"/>
                    </w:rPr>
                    <w:t>Most recent data for this measure are comparable and complete, subject to caveats (chapter 4)</w:t>
                  </w:r>
                </w:p>
              </w:tc>
            </w:tr>
            <w:tr w:rsidR="00190E80" w:rsidRPr="007322BC" w:rsidTr="00F14060">
              <w:tc>
                <w:tcPr>
                  <w:tcW w:w="501" w:type="pct"/>
                  <w:shd w:val="clear" w:color="auto" w:fill="auto"/>
                </w:tcPr>
                <w:p w:rsidR="00190E80" w:rsidRPr="004A59ED" w:rsidRDefault="00190E80" w:rsidP="007E1A54">
                  <w:pPr>
                    <w:pStyle w:val="TableBodyText"/>
                  </w:pPr>
                  <w:r w:rsidRPr="004A59ED">
                    <w:t>%</w:t>
                  </w:r>
                </w:p>
              </w:tc>
              <w:tc>
                <w:tcPr>
                  <w:tcW w:w="500" w:type="pct"/>
                  <w:shd w:val="clear" w:color="auto" w:fill="auto"/>
                  <w:vAlign w:val="center"/>
                </w:tcPr>
                <w:p w:rsidR="00190E80" w:rsidRPr="00F14060" w:rsidRDefault="00190E80" w:rsidP="00710E6C">
                  <w:pPr>
                    <w:pStyle w:val="TableBodyText"/>
                  </w:pPr>
                  <w:r w:rsidRPr="00F14060">
                    <w:t>85.0      ± 1.5</w:t>
                  </w:r>
                </w:p>
              </w:tc>
              <w:tc>
                <w:tcPr>
                  <w:tcW w:w="501" w:type="pct"/>
                  <w:shd w:val="clear" w:color="auto" w:fill="auto"/>
                </w:tcPr>
                <w:p w:rsidR="00190E80" w:rsidRPr="00F14060" w:rsidRDefault="00190E80" w:rsidP="00710E6C">
                  <w:pPr>
                    <w:pStyle w:val="TableBodyText"/>
                  </w:pPr>
                  <w:r w:rsidRPr="00F14060">
                    <w:t>85.0      ± 3.3</w:t>
                  </w:r>
                </w:p>
              </w:tc>
              <w:tc>
                <w:tcPr>
                  <w:tcW w:w="501" w:type="pct"/>
                  <w:shd w:val="clear" w:color="auto" w:fill="auto"/>
                </w:tcPr>
                <w:p w:rsidR="00190E80" w:rsidRPr="00F14060" w:rsidRDefault="00190E80" w:rsidP="00710E6C">
                  <w:pPr>
                    <w:pStyle w:val="TableBodyText"/>
                  </w:pPr>
                  <w:r w:rsidRPr="00F14060">
                    <w:t>87.8      ± 1.6</w:t>
                  </w:r>
                </w:p>
              </w:tc>
              <w:tc>
                <w:tcPr>
                  <w:tcW w:w="501" w:type="pct"/>
                  <w:shd w:val="clear" w:color="auto" w:fill="auto"/>
                </w:tcPr>
                <w:p w:rsidR="00190E80" w:rsidRPr="00F14060" w:rsidRDefault="00190E80" w:rsidP="00710E6C">
                  <w:pPr>
                    <w:pStyle w:val="TableBodyText"/>
                  </w:pPr>
                  <w:r w:rsidRPr="00F14060">
                    <w:t>81.3      ± 3.1</w:t>
                  </w:r>
                </w:p>
              </w:tc>
              <w:tc>
                <w:tcPr>
                  <w:tcW w:w="501" w:type="pct"/>
                  <w:shd w:val="clear" w:color="auto" w:fill="auto"/>
                </w:tcPr>
                <w:p w:rsidR="00190E80" w:rsidRPr="00F14060" w:rsidRDefault="00190E80" w:rsidP="00710E6C">
                  <w:pPr>
                    <w:pStyle w:val="TableBodyText"/>
                  </w:pPr>
                  <w:r w:rsidRPr="00F14060">
                    <w:t>82.9      ± 4.5</w:t>
                  </w:r>
                </w:p>
              </w:tc>
              <w:tc>
                <w:tcPr>
                  <w:tcW w:w="501" w:type="pct"/>
                  <w:shd w:val="clear" w:color="auto" w:fill="auto"/>
                </w:tcPr>
                <w:p w:rsidR="00190E80" w:rsidRPr="00F14060" w:rsidRDefault="00190E80" w:rsidP="00710E6C">
                  <w:pPr>
                    <w:pStyle w:val="TableBodyText"/>
                  </w:pPr>
                  <w:r w:rsidRPr="00F14060">
                    <w:t>90.0      ± 3.9</w:t>
                  </w:r>
                </w:p>
              </w:tc>
              <w:tc>
                <w:tcPr>
                  <w:tcW w:w="500" w:type="pct"/>
                  <w:shd w:val="clear" w:color="auto" w:fill="auto"/>
                </w:tcPr>
                <w:p w:rsidR="00190E80" w:rsidRPr="00F14060" w:rsidRDefault="00190E80" w:rsidP="00710E6C">
                  <w:pPr>
                    <w:pStyle w:val="TableBodyText"/>
                  </w:pPr>
                  <w:r w:rsidRPr="00F14060">
                    <w:t>85.3      ± 8.4</w:t>
                  </w:r>
                </w:p>
              </w:tc>
              <w:tc>
                <w:tcPr>
                  <w:tcW w:w="500" w:type="pct"/>
                  <w:shd w:val="clear" w:color="auto" w:fill="auto"/>
                </w:tcPr>
                <w:p w:rsidR="00190E80" w:rsidRPr="00F14060" w:rsidRDefault="00190E80" w:rsidP="00710E6C">
                  <w:pPr>
                    <w:pStyle w:val="TableBodyText"/>
                  </w:pPr>
                  <w:r w:rsidRPr="00F14060">
                    <w:t>56.9      ± 7.6</w:t>
                  </w:r>
                </w:p>
              </w:tc>
              <w:tc>
                <w:tcPr>
                  <w:tcW w:w="494" w:type="pct"/>
                  <w:shd w:val="clear" w:color="auto" w:fill="auto"/>
                </w:tcPr>
                <w:p w:rsidR="00190E80" w:rsidRPr="00F14060" w:rsidRDefault="00190E80" w:rsidP="00710E6C">
                  <w:pPr>
                    <w:pStyle w:val="TableBodyText"/>
                  </w:pPr>
                  <w:r w:rsidRPr="00F14060">
                    <w:t>82.8      ± 1.3</w:t>
                  </w:r>
                </w:p>
              </w:tc>
            </w:tr>
            <w:tr w:rsidR="00190E80" w:rsidRPr="007322BC" w:rsidTr="00AE7A8F">
              <w:tc>
                <w:tcPr>
                  <w:tcW w:w="5000" w:type="pct"/>
                  <w:gridSpan w:val="10"/>
                  <w:tcBorders>
                    <w:bottom w:val="single" w:sz="6" w:space="0" w:color="BFBFBF"/>
                  </w:tcBorders>
                  <w:shd w:val="clear" w:color="auto" w:fill="auto"/>
                </w:tcPr>
                <w:p w:rsidR="00190E80" w:rsidRPr="007322BC" w:rsidRDefault="00190E80" w:rsidP="00D402D0">
                  <w:pPr>
                    <w:pStyle w:val="Source"/>
                    <w:spacing w:before="0" w:after="80"/>
                    <w:ind w:left="113"/>
                    <w:rPr>
                      <w:color w:val="FF0000"/>
                    </w:rPr>
                  </w:pPr>
                  <w:r w:rsidRPr="004A59ED">
                    <w:rPr>
                      <w:i/>
                    </w:rPr>
                    <w:t xml:space="preserve">Source: </w:t>
                  </w:r>
                  <w:r w:rsidRPr="004A59ED">
                    <w:t xml:space="preserve">Attachment table </w:t>
                  </w:r>
                  <w:proofErr w:type="spellStart"/>
                  <w:r w:rsidRPr="004A59ED">
                    <w:t>4A.64</w:t>
                  </w:r>
                  <w:proofErr w:type="spellEnd"/>
                </w:p>
              </w:tc>
            </w:tr>
          </w:tbl>
          <w:p w:rsidR="009A47FF" w:rsidRPr="007322BC" w:rsidRDefault="009A47FF" w:rsidP="00AE7A8F">
            <w:pPr>
              <w:pStyle w:val="Box"/>
              <w:rPr>
                <w:color w:val="FF0000"/>
              </w:rPr>
            </w:pPr>
          </w:p>
        </w:tc>
      </w:tr>
      <w:tr w:rsidR="009A47FF" w:rsidRPr="007322BC" w:rsidTr="00AE7A8F">
        <w:trPr>
          <w:cantSplit/>
        </w:trPr>
        <w:tc>
          <w:tcPr>
            <w:tcW w:w="8771" w:type="dxa"/>
            <w:tcBorders>
              <w:top w:val="nil"/>
              <w:left w:val="nil"/>
              <w:bottom w:val="nil"/>
              <w:right w:val="nil"/>
            </w:tcBorders>
            <w:shd w:val="clear" w:color="auto" w:fill="auto"/>
          </w:tcPr>
          <w:p w:rsidR="009A47FF" w:rsidRPr="007322BC" w:rsidRDefault="009A47FF" w:rsidP="00AE7A8F">
            <w:pPr>
              <w:pStyle w:val="TableBodyText"/>
              <w:rPr>
                <w:i/>
                <w:color w:val="FF0000"/>
              </w:rPr>
            </w:pPr>
            <w:r w:rsidRPr="004A59ED">
              <w:t xml:space="preserve"> (continued next page)</w:t>
            </w:r>
          </w:p>
        </w:tc>
      </w:tr>
      <w:tr w:rsidR="009A47FF" w:rsidRPr="007322BC" w:rsidTr="00AE7A8F">
        <w:trPr>
          <w:cantSplit/>
        </w:trPr>
        <w:tc>
          <w:tcPr>
            <w:tcW w:w="8771" w:type="dxa"/>
            <w:tcBorders>
              <w:top w:val="nil"/>
              <w:left w:val="nil"/>
              <w:bottom w:val="single" w:sz="6" w:space="0" w:color="78A22F"/>
              <w:right w:val="nil"/>
            </w:tcBorders>
            <w:shd w:val="clear" w:color="auto" w:fill="auto"/>
          </w:tcPr>
          <w:p w:rsidR="009A47FF" w:rsidRPr="007322BC" w:rsidRDefault="009A47FF" w:rsidP="00AE7A8F">
            <w:pPr>
              <w:pStyle w:val="Box"/>
              <w:spacing w:before="0" w:line="120" w:lineRule="exact"/>
              <w:rPr>
                <w:color w:val="FF0000"/>
              </w:rPr>
            </w:pPr>
          </w:p>
        </w:tc>
      </w:tr>
      <w:tr w:rsidR="009A47FF" w:rsidRPr="007322BC" w:rsidTr="00AE7A8F">
        <w:tc>
          <w:tcPr>
            <w:tcW w:w="8771" w:type="dxa"/>
            <w:tcBorders>
              <w:top w:val="single" w:sz="6" w:space="0" w:color="78A22F"/>
              <w:left w:val="nil"/>
              <w:bottom w:val="nil"/>
              <w:right w:val="nil"/>
            </w:tcBorders>
          </w:tcPr>
          <w:p w:rsidR="009A47FF" w:rsidRPr="007322BC" w:rsidRDefault="009A47FF" w:rsidP="00AE7A8F">
            <w:pPr>
              <w:pStyle w:val="BoxSpaceBelow"/>
              <w:rPr>
                <w:color w:val="FF0000"/>
              </w:rPr>
            </w:pPr>
          </w:p>
        </w:tc>
      </w:tr>
    </w:tbl>
    <w:p w:rsidR="009A47FF" w:rsidRPr="007322BC" w:rsidRDefault="009A47FF" w:rsidP="009A47FF">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A47FF" w:rsidRPr="007322BC" w:rsidTr="00AE7A8F">
        <w:tc>
          <w:tcPr>
            <w:tcW w:w="8771" w:type="dxa"/>
            <w:tcBorders>
              <w:top w:val="single" w:sz="6" w:space="0" w:color="78A22F"/>
              <w:left w:val="nil"/>
              <w:bottom w:val="nil"/>
              <w:right w:val="nil"/>
            </w:tcBorders>
            <w:shd w:val="clear" w:color="auto" w:fill="auto"/>
          </w:tcPr>
          <w:p w:rsidR="009A47FF" w:rsidRPr="007322BC" w:rsidRDefault="009A47FF" w:rsidP="00BE6A0A">
            <w:pPr>
              <w:pStyle w:val="TableTitle"/>
              <w:rPr>
                <w:color w:val="FF0000"/>
              </w:rPr>
            </w:pPr>
            <w:r w:rsidRPr="00B235B2">
              <w:rPr>
                <w:b w:val="0"/>
              </w:rPr>
              <w:t xml:space="preserve">Table </w:t>
            </w:r>
            <w:proofErr w:type="spellStart"/>
            <w:r w:rsidRPr="00B235B2">
              <w:rPr>
                <w:b w:val="0"/>
              </w:rPr>
              <w:t>B.</w:t>
            </w:r>
            <w:r w:rsidR="00BE6A0A" w:rsidRPr="00B235B2">
              <w:rPr>
                <w:b w:val="0"/>
              </w:rPr>
              <w:t>2</w:t>
            </w:r>
            <w:proofErr w:type="spellEnd"/>
            <w:r w:rsidRPr="00B235B2">
              <w:tab/>
            </w:r>
            <w:r w:rsidRPr="00B235B2">
              <w:rPr>
                <w:b w:val="0"/>
                <w:sz w:val="18"/>
                <w:szCs w:val="18"/>
              </w:rPr>
              <w:t>(continued)</w:t>
            </w:r>
          </w:p>
        </w:tc>
      </w:tr>
      <w:tr w:rsidR="009A47FF" w:rsidRPr="007322B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06"/>
              <w:gridCol w:w="821"/>
              <w:gridCol w:w="821"/>
              <w:gridCol w:w="822"/>
              <w:gridCol w:w="822"/>
              <w:gridCol w:w="822"/>
              <w:gridCol w:w="822"/>
              <w:gridCol w:w="822"/>
              <w:gridCol w:w="816"/>
              <w:gridCol w:w="813"/>
            </w:tblGrid>
            <w:tr w:rsidR="00B235B2" w:rsidRPr="007322BC" w:rsidTr="00941EF2">
              <w:tc>
                <w:tcPr>
                  <w:tcW w:w="652" w:type="pct"/>
                  <w:tcBorders>
                    <w:top w:val="single" w:sz="6" w:space="0" w:color="BFBFBF"/>
                    <w:bottom w:val="single" w:sz="6" w:space="0" w:color="BFBFBF"/>
                  </w:tcBorders>
                  <w:shd w:val="clear" w:color="auto" w:fill="auto"/>
                  <w:tcMar>
                    <w:top w:w="28" w:type="dxa"/>
                  </w:tcMar>
                </w:tcPr>
                <w:p w:rsidR="009A47FF" w:rsidRPr="004A59ED" w:rsidRDefault="009A47FF" w:rsidP="00AE7A8F">
                  <w:pPr>
                    <w:pStyle w:val="TableColumnHeading"/>
                    <w:jc w:val="left"/>
                  </w:pPr>
                </w:p>
              </w:tc>
              <w:tc>
                <w:tcPr>
                  <w:tcW w:w="484" w:type="pct"/>
                  <w:tcBorders>
                    <w:top w:val="single" w:sz="6" w:space="0" w:color="BFBFBF"/>
                    <w:bottom w:val="single" w:sz="6" w:space="0" w:color="BFBFBF"/>
                  </w:tcBorders>
                  <w:shd w:val="clear" w:color="auto" w:fill="auto"/>
                  <w:tcMar>
                    <w:top w:w="28" w:type="dxa"/>
                  </w:tcMar>
                </w:tcPr>
                <w:p w:rsidR="009A47FF" w:rsidRPr="004A59ED" w:rsidRDefault="009A47FF" w:rsidP="00AE7A8F">
                  <w:pPr>
                    <w:pStyle w:val="TableColumnHeading"/>
                  </w:pPr>
                  <w:r w:rsidRPr="004A59ED">
                    <w:t>NSW</w:t>
                  </w:r>
                </w:p>
              </w:tc>
              <w:tc>
                <w:tcPr>
                  <w:tcW w:w="484" w:type="pct"/>
                  <w:tcBorders>
                    <w:top w:val="single" w:sz="6" w:space="0" w:color="BFBFBF"/>
                    <w:bottom w:val="single" w:sz="6" w:space="0" w:color="BFBFBF"/>
                  </w:tcBorders>
                </w:tcPr>
                <w:p w:rsidR="009A47FF" w:rsidRPr="004A59ED" w:rsidRDefault="009A47FF" w:rsidP="00AE7A8F">
                  <w:pPr>
                    <w:pStyle w:val="TableColumnHeading"/>
                  </w:pPr>
                  <w:r w:rsidRPr="004A59ED">
                    <w:t>Vic</w:t>
                  </w:r>
                </w:p>
              </w:tc>
              <w:tc>
                <w:tcPr>
                  <w:tcW w:w="484" w:type="pct"/>
                  <w:tcBorders>
                    <w:top w:val="single" w:sz="6" w:space="0" w:color="BFBFBF"/>
                    <w:bottom w:val="single" w:sz="6" w:space="0" w:color="BFBFBF"/>
                  </w:tcBorders>
                </w:tcPr>
                <w:p w:rsidR="009A47FF" w:rsidRPr="004A59ED" w:rsidRDefault="009A47FF" w:rsidP="00AE7A8F">
                  <w:pPr>
                    <w:pStyle w:val="TableColumnHeading"/>
                  </w:pPr>
                  <w:r w:rsidRPr="004A59ED">
                    <w:t>Qld</w:t>
                  </w:r>
                </w:p>
              </w:tc>
              <w:tc>
                <w:tcPr>
                  <w:tcW w:w="484" w:type="pct"/>
                  <w:tcBorders>
                    <w:top w:val="single" w:sz="6" w:space="0" w:color="BFBFBF"/>
                    <w:bottom w:val="single" w:sz="6" w:space="0" w:color="BFBFBF"/>
                  </w:tcBorders>
                </w:tcPr>
                <w:p w:rsidR="009A47FF" w:rsidRPr="004A59ED" w:rsidRDefault="009A47FF" w:rsidP="00AE7A8F">
                  <w:pPr>
                    <w:pStyle w:val="TableColumnHeading"/>
                  </w:pPr>
                  <w:r w:rsidRPr="004A59ED">
                    <w:t>WA</w:t>
                  </w:r>
                </w:p>
              </w:tc>
              <w:tc>
                <w:tcPr>
                  <w:tcW w:w="484" w:type="pct"/>
                  <w:tcBorders>
                    <w:top w:val="single" w:sz="6" w:space="0" w:color="BFBFBF"/>
                    <w:bottom w:val="single" w:sz="6" w:space="0" w:color="BFBFBF"/>
                  </w:tcBorders>
                </w:tcPr>
                <w:p w:rsidR="009A47FF" w:rsidRPr="004A59ED" w:rsidRDefault="009A47FF" w:rsidP="00AE7A8F">
                  <w:pPr>
                    <w:pStyle w:val="TableColumnHeading"/>
                  </w:pPr>
                  <w:r w:rsidRPr="004A59ED">
                    <w:t>SA</w:t>
                  </w:r>
                </w:p>
              </w:tc>
              <w:tc>
                <w:tcPr>
                  <w:tcW w:w="484" w:type="pct"/>
                  <w:tcBorders>
                    <w:top w:val="single" w:sz="6" w:space="0" w:color="BFBFBF"/>
                    <w:bottom w:val="single" w:sz="6" w:space="0" w:color="BFBFBF"/>
                  </w:tcBorders>
                </w:tcPr>
                <w:p w:rsidR="009A47FF" w:rsidRPr="004A59ED" w:rsidRDefault="009A47FF" w:rsidP="00AE7A8F">
                  <w:pPr>
                    <w:pStyle w:val="TableColumnHeading"/>
                  </w:pPr>
                  <w:proofErr w:type="spellStart"/>
                  <w:r w:rsidRPr="004A59ED">
                    <w:t>Tas</w:t>
                  </w:r>
                  <w:proofErr w:type="spellEnd"/>
                </w:p>
              </w:tc>
              <w:tc>
                <w:tcPr>
                  <w:tcW w:w="484" w:type="pct"/>
                  <w:tcBorders>
                    <w:top w:val="single" w:sz="6" w:space="0" w:color="BFBFBF"/>
                    <w:bottom w:val="single" w:sz="6" w:space="0" w:color="BFBFBF"/>
                  </w:tcBorders>
                </w:tcPr>
                <w:p w:rsidR="009A47FF" w:rsidRPr="004A59ED" w:rsidRDefault="009A47FF" w:rsidP="00AE7A8F">
                  <w:pPr>
                    <w:pStyle w:val="TableColumnHeading"/>
                  </w:pPr>
                  <w:r w:rsidRPr="004A59ED">
                    <w:t>ACT</w:t>
                  </w:r>
                </w:p>
              </w:tc>
              <w:tc>
                <w:tcPr>
                  <w:tcW w:w="481" w:type="pct"/>
                  <w:tcBorders>
                    <w:top w:val="single" w:sz="6" w:space="0" w:color="BFBFBF"/>
                    <w:bottom w:val="single" w:sz="6" w:space="0" w:color="BFBFBF"/>
                  </w:tcBorders>
                </w:tcPr>
                <w:p w:rsidR="009A47FF" w:rsidRPr="004A59ED" w:rsidRDefault="009A47FF" w:rsidP="00AE7A8F">
                  <w:pPr>
                    <w:pStyle w:val="TableColumnHeading"/>
                  </w:pPr>
                  <w:r w:rsidRPr="004A59ED">
                    <w:t>NT</w:t>
                  </w:r>
                </w:p>
              </w:tc>
              <w:tc>
                <w:tcPr>
                  <w:tcW w:w="479" w:type="pct"/>
                  <w:tcBorders>
                    <w:top w:val="single" w:sz="6" w:space="0" w:color="BFBFBF"/>
                    <w:bottom w:val="single" w:sz="6" w:space="0" w:color="BFBFBF"/>
                  </w:tcBorders>
                  <w:shd w:val="clear" w:color="auto" w:fill="auto"/>
                  <w:tcMar>
                    <w:top w:w="28" w:type="dxa"/>
                  </w:tcMar>
                </w:tcPr>
                <w:p w:rsidR="009A47FF" w:rsidRPr="004A59ED" w:rsidRDefault="009A47FF" w:rsidP="00AE7A8F">
                  <w:pPr>
                    <w:pStyle w:val="TableColumnHeading"/>
                  </w:pPr>
                  <w:proofErr w:type="spellStart"/>
                  <w:r w:rsidRPr="004A59ED">
                    <w:t>Aust</w:t>
                  </w:r>
                  <w:proofErr w:type="spellEnd"/>
                </w:p>
              </w:tc>
            </w:tr>
            <w:tr w:rsidR="00B235B2" w:rsidRPr="007322BC" w:rsidTr="00941EF2">
              <w:tc>
                <w:tcPr>
                  <w:tcW w:w="5000" w:type="pct"/>
                  <w:gridSpan w:val="10"/>
                </w:tcPr>
                <w:p w:rsidR="00941EF2" w:rsidRPr="00B235B2" w:rsidRDefault="00B235B2" w:rsidP="00AE7A8F">
                  <w:pPr>
                    <w:pStyle w:val="TableBodyText"/>
                    <w:ind w:left="113" w:right="28"/>
                    <w:jc w:val="left"/>
                  </w:pPr>
                  <w:r>
                    <w:t xml:space="preserve">Information and Communication Technologies </w:t>
                  </w:r>
                  <w:r w:rsidR="00941EF2" w:rsidRPr="00B235B2">
                    <w:t>performance – proportion of year 6 students achieving at or above proficient standard, 2014</w:t>
                  </w:r>
                </w:p>
              </w:tc>
            </w:tr>
            <w:tr w:rsidR="00B235B2" w:rsidRPr="007322BC" w:rsidTr="00941EF2">
              <w:tc>
                <w:tcPr>
                  <w:tcW w:w="5000" w:type="pct"/>
                  <w:gridSpan w:val="10"/>
                </w:tcPr>
                <w:p w:rsidR="00941EF2" w:rsidRPr="00B235B2" w:rsidRDefault="00941EF2" w:rsidP="00AE7A8F">
                  <w:pPr>
                    <w:pStyle w:val="TableBodyText"/>
                    <w:ind w:left="113" w:right="28"/>
                    <w:jc w:val="left"/>
                  </w:pPr>
                  <w:r w:rsidRPr="00B235B2">
                    <w:rPr>
                      <w:sz w:val="16"/>
                      <w:szCs w:val="16"/>
                    </w:rPr>
                    <w:t>Most recent data for this measure are comparable and complete, subject to caveats (chapter 4)</w:t>
                  </w:r>
                </w:p>
              </w:tc>
            </w:tr>
            <w:tr w:rsidR="00ED3669" w:rsidRPr="007322BC" w:rsidTr="00F14060">
              <w:tc>
                <w:tcPr>
                  <w:tcW w:w="652" w:type="pct"/>
                </w:tcPr>
                <w:p w:rsidR="00ED3669" w:rsidRPr="00B235B2" w:rsidRDefault="00ED3669" w:rsidP="00AE7A8F">
                  <w:pPr>
                    <w:pStyle w:val="TableBodyText"/>
                  </w:pPr>
                  <w:r w:rsidRPr="00B235B2">
                    <w:t>%</w:t>
                  </w:r>
                </w:p>
              </w:tc>
              <w:tc>
                <w:tcPr>
                  <w:tcW w:w="484" w:type="pct"/>
                  <w:shd w:val="clear" w:color="auto" w:fill="auto"/>
                  <w:vAlign w:val="center"/>
                </w:tcPr>
                <w:p w:rsidR="00ED3669" w:rsidRPr="00F14060" w:rsidRDefault="007D437D" w:rsidP="00710E6C">
                  <w:pPr>
                    <w:pStyle w:val="TableBodyText"/>
                  </w:pPr>
                  <w:r w:rsidRPr="00F14060">
                    <w:t xml:space="preserve">55         </w:t>
                  </w:r>
                  <w:r w:rsidR="00ED3669" w:rsidRPr="00F14060">
                    <w:t xml:space="preserve">± </w:t>
                  </w:r>
                  <w:r w:rsidRPr="00F14060">
                    <w:t>4.9</w:t>
                  </w:r>
                </w:p>
              </w:tc>
              <w:tc>
                <w:tcPr>
                  <w:tcW w:w="484" w:type="pct"/>
                  <w:shd w:val="clear" w:color="auto" w:fill="auto"/>
                </w:tcPr>
                <w:p w:rsidR="00ED3669" w:rsidRPr="00F14060" w:rsidRDefault="007D437D" w:rsidP="00710E6C">
                  <w:pPr>
                    <w:pStyle w:val="TableBodyText"/>
                  </w:pPr>
                  <w:r w:rsidRPr="00F14060">
                    <w:t xml:space="preserve">64         </w:t>
                  </w:r>
                  <w:r w:rsidR="00ED3669" w:rsidRPr="00F14060">
                    <w:t xml:space="preserve">± </w:t>
                  </w:r>
                  <w:r w:rsidRPr="00F14060">
                    <w:t>4.5</w:t>
                  </w:r>
                </w:p>
              </w:tc>
              <w:tc>
                <w:tcPr>
                  <w:tcW w:w="484" w:type="pct"/>
                  <w:shd w:val="clear" w:color="auto" w:fill="auto"/>
                </w:tcPr>
                <w:p w:rsidR="00ED3669" w:rsidRPr="00F14060" w:rsidRDefault="007D437D" w:rsidP="00710E6C">
                  <w:pPr>
                    <w:pStyle w:val="TableBodyText"/>
                  </w:pPr>
                  <w:r w:rsidRPr="00F14060">
                    <w:t xml:space="preserve">48         </w:t>
                  </w:r>
                  <w:r w:rsidR="00ED3669" w:rsidRPr="00F14060">
                    <w:t xml:space="preserve">± </w:t>
                  </w:r>
                  <w:r w:rsidRPr="00F14060">
                    <w:t>5.8</w:t>
                  </w:r>
                </w:p>
              </w:tc>
              <w:tc>
                <w:tcPr>
                  <w:tcW w:w="484" w:type="pct"/>
                  <w:shd w:val="clear" w:color="auto" w:fill="auto"/>
                </w:tcPr>
                <w:p w:rsidR="00ED3669" w:rsidRPr="00F14060" w:rsidRDefault="007D437D" w:rsidP="00710E6C">
                  <w:pPr>
                    <w:pStyle w:val="TableBodyText"/>
                  </w:pPr>
                  <w:r w:rsidRPr="00F14060">
                    <w:t xml:space="preserve">52         </w:t>
                  </w:r>
                  <w:r w:rsidR="00ED3669" w:rsidRPr="00F14060">
                    <w:t xml:space="preserve">± </w:t>
                  </w:r>
                  <w:r w:rsidRPr="00F14060">
                    <w:t>4.8</w:t>
                  </w:r>
                </w:p>
              </w:tc>
              <w:tc>
                <w:tcPr>
                  <w:tcW w:w="484" w:type="pct"/>
                  <w:shd w:val="clear" w:color="auto" w:fill="auto"/>
                </w:tcPr>
                <w:p w:rsidR="00ED3669" w:rsidRPr="00F14060" w:rsidRDefault="007D437D" w:rsidP="00710E6C">
                  <w:pPr>
                    <w:pStyle w:val="TableBodyText"/>
                  </w:pPr>
                  <w:r w:rsidRPr="00F14060">
                    <w:t xml:space="preserve">59         </w:t>
                  </w:r>
                  <w:r w:rsidR="00ED3669" w:rsidRPr="00F14060">
                    <w:t xml:space="preserve">± </w:t>
                  </w:r>
                  <w:r w:rsidRPr="00F14060">
                    <w:t>4.3</w:t>
                  </w:r>
                </w:p>
              </w:tc>
              <w:tc>
                <w:tcPr>
                  <w:tcW w:w="484" w:type="pct"/>
                  <w:shd w:val="clear" w:color="auto" w:fill="auto"/>
                </w:tcPr>
                <w:p w:rsidR="00ED3669" w:rsidRPr="00F14060" w:rsidRDefault="007D437D" w:rsidP="00710E6C">
                  <w:pPr>
                    <w:pStyle w:val="TableBodyText"/>
                  </w:pPr>
                  <w:r w:rsidRPr="00F14060">
                    <w:t xml:space="preserve">46         </w:t>
                  </w:r>
                  <w:r w:rsidR="00ED3669" w:rsidRPr="00F14060">
                    <w:t xml:space="preserve">± </w:t>
                  </w:r>
                  <w:r w:rsidRPr="00F14060">
                    <w:t>5.4</w:t>
                  </w:r>
                </w:p>
              </w:tc>
              <w:tc>
                <w:tcPr>
                  <w:tcW w:w="484" w:type="pct"/>
                  <w:shd w:val="clear" w:color="auto" w:fill="auto"/>
                </w:tcPr>
                <w:p w:rsidR="00ED3669" w:rsidRPr="00F14060" w:rsidRDefault="007D437D" w:rsidP="00710E6C">
                  <w:pPr>
                    <w:pStyle w:val="TableBodyText"/>
                  </w:pPr>
                  <w:r w:rsidRPr="00F14060">
                    <w:t xml:space="preserve">58         </w:t>
                  </w:r>
                  <w:r w:rsidR="00ED3669" w:rsidRPr="00F14060">
                    <w:t xml:space="preserve">± </w:t>
                  </w:r>
                  <w:r w:rsidRPr="00F14060">
                    <w:t>10.6</w:t>
                  </w:r>
                </w:p>
              </w:tc>
              <w:tc>
                <w:tcPr>
                  <w:tcW w:w="481" w:type="pct"/>
                  <w:shd w:val="clear" w:color="auto" w:fill="auto"/>
                </w:tcPr>
                <w:p w:rsidR="00ED3669" w:rsidRPr="00F14060" w:rsidRDefault="007D437D" w:rsidP="00710E6C">
                  <w:pPr>
                    <w:pStyle w:val="TableBodyText"/>
                  </w:pPr>
                  <w:r w:rsidRPr="00F14060">
                    <w:t xml:space="preserve">43        </w:t>
                  </w:r>
                  <w:r w:rsidR="00ED3669" w:rsidRPr="00F14060">
                    <w:t xml:space="preserve">± </w:t>
                  </w:r>
                  <w:r w:rsidRPr="00F14060">
                    <w:t>6.3</w:t>
                  </w:r>
                </w:p>
              </w:tc>
              <w:tc>
                <w:tcPr>
                  <w:tcW w:w="479" w:type="pct"/>
                  <w:shd w:val="clear" w:color="auto" w:fill="auto"/>
                </w:tcPr>
                <w:p w:rsidR="00ED3669" w:rsidRPr="00F14060" w:rsidRDefault="007D437D" w:rsidP="00710E6C">
                  <w:pPr>
                    <w:pStyle w:val="TableBodyText"/>
                  </w:pPr>
                  <w:r w:rsidRPr="00F14060">
                    <w:t xml:space="preserve">55         </w:t>
                  </w:r>
                  <w:r w:rsidR="00ED3669" w:rsidRPr="00F14060">
                    <w:t xml:space="preserve">± </w:t>
                  </w:r>
                  <w:r w:rsidRPr="00F14060">
                    <w:t>2.5</w:t>
                  </w:r>
                </w:p>
              </w:tc>
            </w:tr>
            <w:tr w:rsidR="00ED3669" w:rsidRPr="007322BC" w:rsidTr="00F14060">
              <w:tc>
                <w:tcPr>
                  <w:tcW w:w="5000" w:type="pct"/>
                  <w:gridSpan w:val="10"/>
                  <w:shd w:val="clear" w:color="auto" w:fill="auto"/>
                </w:tcPr>
                <w:p w:rsidR="00ED3669" w:rsidRPr="00F14060" w:rsidRDefault="00ED3669" w:rsidP="00D402D0">
                  <w:pPr>
                    <w:pStyle w:val="Source"/>
                    <w:spacing w:before="0" w:after="80"/>
                    <w:ind w:left="113"/>
                    <w:jc w:val="left"/>
                  </w:pPr>
                  <w:r w:rsidRPr="00F14060">
                    <w:rPr>
                      <w:i/>
                    </w:rPr>
                    <w:t xml:space="preserve">Source: </w:t>
                  </w:r>
                  <w:r w:rsidRPr="00F14060">
                    <w:t xml:space="preserve">Attachment table </w:t>
                  </w:r>
                  <w:proofErr w:type="spellStart"/>
                  <w:r w:rsidRPr="00F14060">
                    <w:t>4A.88</w:t>
                  </w:r>
                  <w:proofErr w:type="spellEnd"/>
                </w:p>
              </w:tc>
            </w:tr>
            <w:tr w:rsidR="00ED3669" w:rsidRPr="007322BC" w:rsidTr="00F14060">
              <w:tc>
                <w:tcPr>
                  <w:tcW w:w="5000" w:type="pct"/>
                  <w:gridSpan w:val="10"/>
                  <w:shd w:val="clear" w:color="auto" w:fill="auto"/>
                </w:tcPr>
                <w:p w:rsidR="00ED3669" w:rsidRPr="00F14060" w:rsidRDefault="00ED3669" w:rsidP="00AE7A8F">
                  <w:pPr>
                    <w:pStyle w:val="TableBodyText"/>
                    <w:ind w:left="113" w:right="28"/>
                    <w:jc w:val="left"/>
                  </w:pPr>
                  <w:r w:rsidRPr="00F14060">
                    <w:t>Information and Communication Technologies performance – proportion of year 10 students achieving at or above proficient standard, 2014</w:t>
                  </w:r>
                </w:p>
              </w:tc>
            </w:tr>
            <w:tr w:rsidR="00ED3669" w:rsidRPr="007322BC" w:rsidTr="00F14060">
              <w:tc>
                <w:tcPr>
                  <w:tcW w:w="5000" w:type="pct"/>
                  <w:gridSpan w:val="10"/>
                  <w:shd w:val="clear" w:color="auto" w:fill="auto"/>
                </w:tcPr>
                <w:p w:rsidR="00ED3669" w:rsidRPr="00F14060" w:rsidRDefault="00ED3669" w:rsidP="00AE7A8F">
                  <w:pPr>
                    <w:pStyle w:val="TableBodyText"/>
                    <w:ind w:left="113" w:right="28"/>
                    <w:jc w:val="left"/>
                  </w:pPr>
                  <w:r w:rsidRPr="00F14060">
                    <w:rPr>
                      <w:sz w:val="16"/>
                      <w:szCs w:val="16"/>
                    </w:rPr>
                    <w:t>Most recent data for this measure are comparable and complete, subject to caveats (chapter 4)</w:t>
                  </w:r>
                </w:p>
              </w:tc>
            </w:tr>
            <w:tr w:rsidR="007D437D" w:rsidRPr="007322BC" w:rsidTr="00F14060">
              <w:tc>
                <w:tcPr>
                  <w:tcW w:w="652" w:type="pct"/>
                </w:tcPr>
                <w:p w:rsidR="007D437D" w:rsidRPr="00B235B2" w:rsidRDefault="007D437D" w:rsidP="00AE7A8F">
                  <w:pPr>
                    <w:pStyle w:val="TableBodyText"/>
                  </w:pPr>
                  <w:r w:rsidRPr="00B235B2">
                    <w:t>%</w:t>
                  </w:r>
                </w:p>
              </w:tc>
              <w:tc>
                <w:tcPr>
                  <w:tcW w:w="484" w:type="pct"/>
                  <w:shd w:val="clear" w:color="auto" w:fill="auto"/>
                  <w:vAlign w:val="center"/>
                </w:tcPr>
                <w:p w:rsidR="007D437D" w:rsidRPr="00F14060" w:rsidRDefault="007D437D" w:rsidP="00710E6C">
                  <w:pPr>
                    <w:pStyle w:val="TableBodyText"/>
                  </w:pPr>
                  <w:r w:rsidRPr="00F14060">
                    <w:t>50         ± 5.5</w:t>
                  </w:r>
                </w:p>
              </w:tc>
              <w:tc>
                <w:tcPr>
                  <w:tcW w:w="484" w:type="pct"/>
                  <w:shd w:val="clear" w:color="auto" w:fill="auto"/>
                </w:tcPr>
                <w:p w:rsidR="007D437D" w:rsidRPr="00F14060" w:rsidRDefault="007D437D" w:rsidP="00710E6C">
                  <w:pPr>
                    <w:pStyle w:val="TableBodyText"/>
                  </w:pPr>
                  <w:r w:rsidRPr="00F14060">
                    <w:t>55         ± 5.9</w:t>
                  </w:r>
                </w:p>
              </w:tc>
              <w:tc>
                <w:tcPr>
                  <w:tcW w:w="484" w:type="pct"/>
                  <w:shd w:val="clear" w:color="auto" w:fill="auto"/>
                </w:tcPr>
                <w:p w:rsidR="007D437D" w:rsidRPr="00F14060" w:rsidRDefault="007D437D" w:rsidP="00710E6C">
                  <w:pPr>
                    <w:pStyle w:val="TableBodyText"/>
                  </w:pPr>
                  <w:r w:rsidRPr="00F14060">
                    <w:t>47         ± 5.6</w:t>
                  </w:r>
                </w:p>
              </w:tc>
              <w:tc>
                <w:tcPr>
                  <w:tcW w:w="484" w:type="pct"/>
                  <w:shd w:val="clear" w:color="auto" w:fill="auto"/>
                </w:tcPr>
                <w:p w:rsidR="007D437D" w:rsidRPr="00F14060" w:rsidRDefault="007D437D" w:rsidP="00710E6C">
                  <w:pPr>
                    <w:pStyle w:val="TableBodyText"/>
                  </w:pPr>
                  <w:r w:rsidRPr="00F14060">
                    <w:t>57         ± 5.8</w:t>
                  </w:r>
                </w:p>
              </w:tc>
              <w:tc>
                <w:tcPr>
                  <w:tcW w:w="484" w:type="pct"/>
                  <w:shd w:val="clear" w:color="auto" w:fill="auto"/>
                </w:tcPr>
                <w:p w:rsidR="007D437D" w:rsidRPr="00F14060" w:rsidRDefault="007D437D" w:rsidP="00710E6C">
                  <w:pPr>
                    <w:pStyle w:val="TableBodyText"/>
                  </w:pPr>
                  <w:r w:rsidRPr="00F14060">
                    <w:t>57         ± 5.9</w:t>
                  </w:r>
                </w:p>
              </w:tc>
              <w:tc>
                <w:tcPr>
                  <w:tcW w:w="484" w:type="pct"/>
                  <w:shd w:val="clear" w:color="auto" w:fill="auto"/>
                </w:tcPr>
                <w:p w:rsidR="007D437D" w:rsidRPr="00F14060" w:rsidRDefault="007D437D" w:rsidP="00710E6C">
                  <w:pPr>
                    <w:pStyle w:val="TableBodyText"/>
                  </w:pPr>
                  <w:r w:rsidRPr="00F14060">
                    <w:t>51         ± 5.8</w:t>
                  </w:r>
                </w:p>
              </w:tc>
              <w:tc>
                <w:tcPr>
                  <w:tcW w:w="484" w:type="pct"/>
                  <w:shd w:val="clear" w:color="auto" w:fill="auto"/>
                </w:tcPr>
                <w:p w:rsidR="007D437D" w:rsidRPr="00F14060" w:rsidRDefault="007D437D" w:rsidP="00710E6C">
                  <w:pPr>
                    <w:pStyle w:val="TableBodyText"/>
                  </w:pPr>
                  <w:r w:rsidRPr="00F14060">
                    <w:t>60         ± 9.1</w:t>
                  </w:r>
                </w:p>
              </w:tc>
              <w:tc>
                <w:tcPr>
                  <w:tcW w:w="481" w:type="pct"/>
                  <w:shd w:val="clear" w:color="auto" w:fill="auto"/>
                </w:tcPr>
                <w:p w:rsidR="007D437D" w:rsidRPr="00F14060" w:rsidRDefault="007D437D" w:rsidP="00710E6C">
                  <w:pPr>
                    <w:pStyle w:val="TableBodyText"/>
                  </w:pPr>
                  <w:r w:rsidRPr="00F14060">
                    <w:t>43        ± 9.1</w:t>
                  </w:r>
                </w:p>
              </w:tc>
              <w:tc>
                <w:tcPr>
                  <w:tcW w:w="479" w:type="pct"/>
                  <w:shd w:val="clear" w:color="auto" w:fill="auto"/>
                </w:tcPr>
                <w:p w:rsidR="007D437D" w:rsidRPr="00F14060" w:rsidRDefault="007D437D" w:rsidP="00710E6C">
                  <w:pPr>
                    <w:pStyle w:val="TableBodyText"/>
                  </w:pPr>
                  <w:r w:rsidRPr="00F14060">
                    <w:t>52         ± 2.5</w:t>
                  </w:r>
                </w:p>
              </w:tc>
            </w:tr>
            <w:tr w:rsidR="007D437D" w:rsidRPr="007322BC" w:rsidTr="00941EF2">
              <w:tc>
                <w:tcPr>
                  <w:tcW w:w="5000" w:type="pct"/>
                  <w:gridSpan w:val="10"/>
                </w:tcPr>
                <w:p w:rsidR="007D437D" w:rsidRPr="00B235B2" w:rsidRDefault="007D437D" w:rsidP="00D402D0">
                  <w:pPr>
                    <w:pStyle w:val="Source"/>
                    <w:spacing w:before="0" w:after="80"/>
                    <w:ind w:left="113"/>
                    <w:jc w:val="left"/>
                  </w:pPr>
                  <w:r w:rsidRPr="00B235B2">
                    <w:rPr>
                      <w:i/>
                    </w:rPr>
                    <w:t xml:space="preserve">Source: </w:t>
                  </w:r>
                  <w:r w:rsidRPr="00B235B2">
                    <w:t xml:space="preserve">Attachment table </w:t>
                  </w:r>
                  <w:proofErr w:type="spellStart"/>
                  <w:r w:rsidRPr="00B235B2">
                    <w:t>4A</w:t>
                  </w:r>
                  <w:r>
                    <w:t>.88</w:t>
                  </w:r>
                  <w:proofErr w:type="spellEnd"/>
                </w:p>
              </w:tc>
            </w:tr>
            <w:tr w:rsidR="007D437D" w:rsidRPr="007322BC" w:rsidTr="00AE7A8F">
              <w:tc>
                <w:tcPr>
                  <w:tcW w:w="5000" w:type="pct"/>
                  <w:gridSpan w:val="10"/>
                </w:tcPr>
                <w:p w:rsidR="007D437D" w:rsidRPr="00483478" w:rsidRDefault="007D437D" w:rsidP="00AE7A8F">
                  <w:pPr>
                    <w:pStyle w:val="DQIRowHeadings"/>
                  </w:pPr>
                  <w:r w:rsidRPr="00483478">
                    <w:t>Completion</w:t>
                  </w:r>
                </w:p>
              </w:tc>
            </w:tr>
            <w:tr w:rsidR="007D437D" w:rsidRPr="007322BC" w:rsidTr="00AE7A8F">
              <w:tc>
                <w:tcPr>
                  <w:tcW w:w="5000" w:type="pct"/>
                  <w:gridSpan w:val="10"/>
                </w:tcPr>
                <w:p w:rsidR="007D437D" w:rsidRPr="00483478" w:rsidRDefault="007D437D" w:rsidP="00AE7A8F">
                  <w:pPr>
                    <w:pStyle w:val="TableBodyText"/>
                    <w:ind w:left="113" w:right="28"/>
                    <w:jc w:val="left"/>
                  </w:pPr>
                  <w:r w:rsidRPr="00483478">
                    <w:t>Year 12 completion rate, 2014</w:t>
                  </w:r>
                </w:p>
              </w:tc>
            </w:tr>
            <w:tr w:rsidR="007D437D" w:rsidRPr="007322BC" w:rsidTr="00AE7A8F">
              <w:tc>
                <w:tcPr>
                  <w:tcW w:w="5000" w:type="pct"/>
                  <w:gridSpan w:val="10"/>
                </w:tcPr>
                <w:p w:rsidR="007D437D" w:rsidRPr="00483478" w:rsidRDefault="007D437D" w:rsidP="00AE7A8F">
                  <w:pPr>
                    <w:pStyle w:val="TableBodyText"/>
                    <w:ind w:left="113" w:right="28"/>
                    <w:jc w:val="left"/>
                  </w:pPr>
                  <w:r w:rsidRPr="00483478">
                    <w:rPr>
                      <w:sz w:val="16"/>
                      <w:szCs w:val="16"/>
                    </w:rPr>
                    <w:t>Most recent data for this measure are not comparable but are complete (subject to caveats) (chapter 4)</w:t>
                  </w:r>
                </w:p>
              </w:tc>
            </w:tr>
            <w:tr w:rsidR="007D437D" w:rsidRPr="007322BC" w:rsidTr="00941EF2">
              <w:tc>
                <w:tcPr>
                  <w:tcW w:w="652" w:type="pct"/>
                  <w:vAlign w:val="center"/>
                </w:tcPr>
                <w:p w:rsidR="007D437D" w:rsidRPr="00483478" w:rsidRDefault="007D437D" w:rsidP="00AE7A8F">
                  <w:pPr>
                    <w:pStyle w:val="TableBodyText"/>
                  </w:pPr>
                  <w:r w:rsidRPr="00483478">
                    <w:t>%</w:t>
                  </w:r>
                </w:p>
              </w:tc>
              <w:tc>
                <w:tcPr>
                  <w:tcW w:w="484" w:type="pct"/>
                  <w:vAlign w:val="center"/>
                </w:tcPr>
                <w:p w:rsidR="007D437D" w:rsidRPr="00483478" w:rsidRDefault="007D437D" w:rsidP="00AE7A8F">
                  <w:pPr>
                    <w:pStyle w:val="TableBodyText"/>
                  </w:pPr>
                  <w:r w:rsidRPr="00483478">
                    <w:t xml:space="preserve"> </w:t>
                  </w:r>
                  <w:r>
                    <w:t>73</w:t>
                  </w:r>
                </w:p>
              </w:tc>
              <w:tc>
                <w:tcPr>
                  <w:tcW w:w="484" w:type="pct"/>
                  <w:vAlign w:val="center"/>
                </w:tcPr>
                <w:p w:rsidR="007D437D" w:rsidRPr="00483478" w:rsidRDefault="007D437D" w:rsidP="00AE7A8F">
                  <w:pPr>
                    <w:pStyle w:val="TableBodyText"/>
                  </w:pPr>
                  <w:r>
                    <w:t xml:space="preserve"> 82</w:t>
                  </w:r>
                </w:p>
              </w:tc>
              <w:tc>
                <w:tcPr>
                  <w:tcW w:w="484" w:type="pct"/>
                  <w:vAlign w:val="center"/>
                </w:tcPr>
                <w:p w:rsidR="007D437D" w:rsidRPr="00483478" w:rsidRDefault="007D437D" w:rsidP="00AE7A8F">
                  <w:pPr>
                    <w:pStyle w:val="TableBodyText"/>
                  </w:pPr>
                  <w:r>
                    <w:t xml:space="preserve"> 70</w:t>
                  </w:r>
                </w:p>
              </w:tc>
              <w:tc>
                <w:tcPr>
                  <w:tcW w:w="484" w:type="pct"/>
                  <w:vAlign w:val="center"/>
                </w:tcPr>
                <w:p w:rsidR="007D437D" w:rsidRPr="00483478" w:rsidRDefault="007D437D" w:rsidP="00AE7A8F">
                  <w:pPr>
                    <w:pStyle w:val="TableBodyText"/>
                  </w:pPr>
                  <w:r>
                    <w:t xml:space="preserve"> 48</w:t>
                  </w:r>
                </w:p>
              </w:tc>
              <w:tc>
                <w:tcPr>
                  <w:tcW w:w="484" w:type="pct"/>
                  <w:vAlign w:val="center"/>
                </w:tcPr>
                <w:p w:rsidR="007D437D" w:rsidRPr="00483478" w:rsidRDefault="007D437D" w:rsidP="00AE7A8F">
                  <w:pPr>
                    <w:pStyle w:val="TableBodyText"/>
                  </w:pPr>
                  <w:r>
                    <w:t xml:space="preserve"> 83</w:t>
                  </w:r>
                </w:p>
              </w:tc>
              <w:tc>
                <w:tcPr>
                  <w:tcW w:w="484" w:type="pct"/>
                  <w:vAlign w:val="center"/>
                </w:tcPr>
                <w:p w:rsidR="007D437D" w:rsidRPr="00483478" w:rsidRDefault="007D437D" w:rsidP="00AE7A8F">
                  <w:pPr>
                    <w:pStyle w:val="TableBodyText"/>
                  </w:pPr>
                  <w:r>
                    <w:t xml:space="preserve"> 50</w:t>
                  </w:r>
                </w:p>
              </w:tc>
              <w:tc>
                <w:tcPr>
                  <w:tcW w:w="484" w:type="pct"/>
                  <w:vAlign w:val="center"/>
                </w:tcPr>
                <w:p w:rsidR="007D437D" w:rsidRPr="00483478" w:rsidRDefault="007D437D" w:rsidP="00AE7A8F">
                  <w:pPr>
                    <w:pStyle w:val="TableBodyText"/>
                  </w:pPr>
                  <w:r>
                    <w:t xml:space="preserve"> 85</w:t>
                  </w:r>
                </w:p>
              </w:tc>
              <w:tc>
                <w:tcPr>
                  <w:tcW w:w="481" w:type="pct"/>
                  <w:vAlign w:val="center"/>
                </w:tcPr>
                <w:p w:rsidR="007D437D" w:rsidRPr="00483478" w:rsidRDefault="007D437D" w:rsidP="00AE7A8F">
                  <w:pPr>
                    <w:pStyle w:val="TableBodyText"/>
                  </w:pPr>
                  <w:r>
                    <w:t xml:space="preserve"> 40</w:t>
                  </w:r>
                </w:p>
              </w:tc>
              <w:tc>
                <w:tcPr>
                  <w:tcW w:w="479" w:type="pct"/>
                  <w:vAlign w:val="center"/>
                </w:tcPr>
                <w:p w:rsidR="007D437D" w:rsidRPr="00483478" w:rsidRDefault="007D437D" w:rsidP="00AE7A8F">
                  <w:pPr>
                    <w:pStyle w:val="TableBodyText"/>
                  </w:pPr>
                  <w:r>
                    <w:t xml:space="preserve"> 72</w:t>
                  </w:r>
                </w:p>
              </w:tc>
            </w:tr>
            <w:tr w:rsidR="007D437D" w:rsidRPr="007322BC" w:rsidTr="00AE7A8F">
              <w:tc>
                <w:tcPr>
                  <w:tcW w:w="5000" w:type="pct"/>
                  <w:gridSpan w:val="10"/>
                </w:tcPr>
                <w:p w:rsidR="007D437D" w:rsidRPr="00483478" w:rsidRDefault="007D437D" w:rsidP="00D402D0">
                  <w:pPr>
                    <w:pStyle w:val="Source"/>
                    <w:spacing w:before="0" w:after="80"/>
                    <w:ind w:left="113"/>
                  </w:pPr>
                  <w:r w:rsidRPr="00483478">
                    <w:rPr>
                      <w:i/>
                    </w:rPr>
                    <w:t xml:space="preserve">Source: </w:t>
                  </w:r>
                  <w:r>
                    <w:t xml:space="preserve">Attachment table </w:t>
                  </w:r>
                  <w:proofErr w:type="spellStart"/>
                  <w:r>
                    <w:t>4A.125</w:t>
                  </w:r>
                  <w:proofErr w:type="spellEnd"/>
                </w:p>
              </w:tc>
            </w:tr>
            <w:tr w:rsidR="007D437D" w:rsidRPr="007322BC" w:rsidTr="00AE7A8F">
              <w:tc>
                <w:tcPr>
                  <w:tcW w:w="5000" w:type="pct"/>
                  <w:gridSpan w:val="10"/>
                </w:tcPr>
                <w:p w:rsidR="007D437D" w:rsidRPr="00483478" w:rsidRDefault="007D437D" w:rsidP="00AE7A8F">
                  <w:pPr>
                    <w:pStyle w:val="DQIRowHeadings"/>
                  </w:pPr>
                  <w:r w:rsidRPr="00483478">
                    <w:t>Destination</w:t>
                  </w:r>
                </w:p>
              </w:tc>
            </w:tr>
            <w:tr w:rsidR="007D437D" w:rsidRPr="007322BC" w:rsidTr="00AE7A8F">
              <w:tc>
                <w:tcPr>
                  <w:tcW w:w="5000" w:type="pct"/>
                  <w:gridSpan w:val="10"/>
                </w:tcPr>
                <w:p w:rsidR="007D437D" w:rsidRPr="00483478" w:rsidRDefault="007D437D" w:rsidP="00AE7A8F">
                  <w:pPr>
                    <w:pStyle w:val="TableBodyText"/>
                    <w:ind w:left="113" w:right="28"/>
                    <w:jc w:val="left"/>
                  </w:pPr>
                  <w:r w:rsidRPr="00483478">
                    <w:t>Proportion of 15–24 year old school leavers fully participating in education and/or training, or employment, 2014</w:t>
                  </w:r>
                </w:p>
              </w:tc>
            </w:tr>
            <w:tr w:rsidR="007D437D" w:rsidRPr="007322BC" w:rsidTr="00AE7A8F">
              <w:tc>
                <w:tcPr>
                  <w:tcW w:w="5000" w:type="pct"/>
                  <w:gridSpan w:val="10"/>
                </w:tcPr>
                <w:p w:rsidR="007D437D" w:rsidRPr="00483478" w:rsidRDefault="007D437D" w:rsidP="00AE7A8F">
                  <w:pPr>
                    <w:pStyle w:val="TableBodyText"/>
                    <w:ind w:left="113" w:right="28"/>
                    <w:jc w:val="left"/>
                  </w:pPr>
                  <w:r w:rsidRPr="00483478">
                    <w:rPr>
                      <w:sz w:val="16"/>
                      <w:szCs w:val="16"/>
                    </w:rPr>
                    <w:t>Most recent data for this measure are comparable and complete, subject to caveats (chapter 4)</w:t>
                  </w:r>
                </w:p>
              </w:tc>
            </w:tr>
            <w:tr w:rsidR="007D437D" w:rsidRPr="007322BC" w:rsidTr="00D44CBF">
              <w:tc>
                <w:tcPr>
                  <w:tcW w:w="652" w:type="pct"/>
                  <w:vAlign w:val="center"/>
                </w:tcPr>
                <w:p w:rsidR="007D437D" w:rsidRPr="00483478" w:rsidRDefault="007D437D" w:rsidP="00AE7A8F">
                  <w:pPr>
                    <w:pStyle w:val="TableBodyText"/>
                  </w:pPr>
                  <w:r w:rsidRPr="00483478">
                    <w:t>%</w:t>
                  </w:r>
                </w:p>
              </w:tc>
              <w:tc>
                <w:tcPr>
                  <w:tcW w:w="484" w:type="pct"/>
                  <w:vAlign w:val="center"/>
                </w:tcPr>
                <w:p w:rsidR="007D437D" w:rsidRPr="00483478" w:rsidRDefault="007D437D" w:rsidP="00AE7A8F">
                  <w:pPr>
                    <w:pStyle w:val="TableBodyText"/>
                  </w:pPr>
                  <w:r>
                    <w:t>72.7      ± 2.6</w:t>
                  </w:r>
                </w:p>
              </w:tc>
              <w:tc>
                <w:tcPr>
                  <w:tcW w:w="484" w:type="pct"/>
                  <w:vAlign w:val="center"/>
                </w:tcPr>
                <w:p w:rsidR="007D437D" w:rsidRPr="00483478" w:rsidRDefault="007D437D" w:rsidP="00AE7A8F">
                  <w:pPr>
                    <w:pStyle w:val="TableBodyText"/>
                  </w:pPr>
                  <w:r>
                    <w:t>76.4      ± 2.8</w:t>
                  </w:r>
                </w:p>
              </w:tc>
              <w:tc>
                <w:tcPr>
                  <w:tcW w:w="484" w:type="pct"/>
                  <w:vAlign w:val="center"/>
                </w:tcPr>
                <w:p w:rsidR="007D437D" w:rsidRPr="00483478" w:rsidRDefault="007D437D" w:rsidP="00AE7A8F">
                  <w:pPr>
                    <w:pStyle w:val="TableBodyText"/>
                  </w:pPr>
                  <w:r>
                    <w:t>68.0      ± 3.9</w:t>
                  </w:r>
                </w:p>
              </w:tc>
              <w:tc>
                <w:tcPr>
                  <w:tcW w:w="484" w:type="pct"/>
                  <w:vAlign w:val="center"/>
                </w:tcPr>
                <w:p w:rsidR="007D437D" w:rsidRPr="00483478" w:rsidRDefault="007D437D" w:rsidP="00AE7A8F">
                  <w:pPr>
                    <w:pStyle w:val="TableBodyText"/>
                  </w:pPr>
                  <w:r>
                    <w:t>75.7      ± 3.9</w:t>
                  </w:r>
                </w:p>
              </w:tc>
              <w:tc>
                <w:tcPr>
                  <w:tcW w:w="484" w:type="pct"/>
                  <w:vAlign w:val="center"/>
                </w:tcPr>
                <w:p w:rsidR="007D437D" w:rsidRPr="00483478" w:rsidRDefault="007D437D" w:rsidP="00AE7A8F">
                  <w:pPr>
                    <w:pStyle w:val="TableBodyText"/>
                  </w:pPr>
                  <w:r>
                    <w:t>69.8      ± 4.7</w:t>
                  </w:r>
                </w:p>
              </w:tc>
              <w:tc>
                <w:tcPr>
                  <w:tcW w:w="484" w:type="pct"/>
                  <w:vAlign w:val="center"/>
                </w:tcPr>
                <w:p w:rsidR="007D437D" w:rsidRPr="00483478" w:rsidRDefault="007D437D" w:rsidP="00AE7A8F">
                  <w:pPr>
                    <w:pStyle w:val="TableBodyText"/>
                  </w:pPr>
                  <w:r>
                    <w:t>66.9      ± 6.6</w:t>
                  </w:r>
                </w:p>
              </w:tc>
              <w:tc>
                <w:tcPr>
                  <w:tcW w:w="484" w:type="pct"/>
                  <w:vAlign w:val="center"/>
                </w:tcPr>
                <w:p w:rsidR="007D437D" w:rsidRPr="00483478" w:rsidRDefault="007D437D" w:rsidP="00AE7A8F">
                  <w:pPr>
                    <w:pStyle w:val="TableBodyText"/>
                  </w:pPr>
                  <w:r>
                    <w:t>81.4      ± 11.0</w:t>
                  </w:r>
                </w:p>
              </w:tc>
              <w:tc>
                <w:tcPr>
                  <w:tcW w:w="481" w:type="pct"/>
                  <w:vAlign w:val="center"/>
                </w:tcPr>
                <w:p w:rsidR="007D437D" w:rsidRPr="00483478" w:rsidRDefault="007D437D" w:rsidP="00AE7A8F">
                  <w:pPr>
                    <w:pStyle w:val="TableBodyText"/>
                  </w:pPr>
                  <w:r>
                    <w:t>77.0      ± 4</w:t>
                  </w:r>
                  <w:r w:rsidRPr="00483478">
                    <w:t>.9</w:t>
                  </w:r>
                </w:p>
              </w:tc>
              <w:tc>
                <w:tcPr>
                  <w:tcW w:w="479" w:type="pct"/>
                  <w:vAlign w:val="center"/>
                </w:tcPr>
                <w:p w:rsidR="007D437D" w:rsidRPr="00483478" w:rsidRDefault="007D437D" w:rsidP="00AE7A8F">
                  <w:pPr>
                    <w:pStyle w:val="TableBodyText"/>
                  </w:pPr>
                  <w:r>
                    <w:t>73.0     ± 1.4</w:t>
                  </w:r>
                </w:p>
              </w:tc>
            </w:tr>
            <w:tr w:rsidR="007D437D" w:rsidRPr="007322BC" w:rsidTr="00D44CBF">
              <w:tc>
                <w:tcPr>
                  <w:tcW w:w="5000" w:type="pct"/>
                  <w:gridSpan w:val="10"/>
                  <w:tcBorders>
                    <w:bottom w:val="single" w:sz="6" w:space="0" w:color="BFBFBF"/>
                  </w:tcBorders>
                </w:tcPr>
                <w:p w:rsidR="007D437D" w:rsidRPr="00483478" w:rsidRDefault="007D437D" w:rsidP="00D402D0">
                  <w:pPr>
                    <w:pStyle w:val="Source"/>
                    <w:spacing w:before="0" w:after="80"/>
                    <w:ind w:left="113"/>
                    <w:jc w:val="left"/>
                  </w:pPr>
                  <w:r w:rsidRPr="00483478">
                    <w:rPr>
                      <w:i/>
                    </w:rPr>
                    <w:t xml:space="preserve">Source: </w:t>
                  </w:r>
                  <w:r w:rsidR="00C01B0C">
                    <w:t xml:space="preserve">Attachment table </w:t>
                  </w:r>
                  <w:proofErr w:type="spellStart"/>
                  <w:r w:rsidR="00C01B0C">
                    <w:t>4A.127</w:t>
                  </w:r>
                  <w:proofErr w:type="spellEnd"/>
                </w:p>
              </w:tc>
            </w:tr>
          </w:tbl>
          <w:p w:rsidR="009A47FF" w:rsidRPr="007322BC" w:rsidRDefault="009A47FF" w:rsidP="00AE7A8F">
            <w:pPr>
              <w:pStyle w:val="Box"/>
              <w:rPr>
                <w:color w:val="FF0000"/>
              </w:rPr>
            </w:pPr>
          </w:p>
        </w:tc>
      </w:tr>
      <w:tr w:rsidR="009A47FF" w:rsidRPr="009A47FF" w:rsidTr="00AE7A8F">
        <w:trPr>
          <w:cantSplit/>
        </w:trPr>
        <w:tc>
          <w:tcPr>
            <w:tcW w:w="8771" w:type="dxa"/>
            <w:tcBorders>
              <w:top w:val="nil"/>
              <w:left w:val="nil"/>
              <w:bottom w:val="nil"/>
              <w:right w:val="nil"/>
            </w:tcBorders>
            <w:shd w:val="clear" w:color="auto" w:fill="auto"/>
          </w:tcPr>
          <w:p w:rsidR="009A47FF" w:rsidRPr="009A47FF" w:rsidRDefault="00F53FC4" w:rsidP="00D858DA">
            <w:pPr>
              <w:pStyle w:val="Note"/>
              <w:rPr>
                <w:i/>
                <w:color w:val="FF0000"/>
              </w:rPr>
            </w:pPr>
            <w:proofErr w:type="spellStart"/>
            <w:r>
              <w:t>AQF</w:t>
            </w:r>
            <w:proofErr w:type="spellEnd"/>
            <w:r>
              <w:t xml:space="preserve"> = Australian Qualifications Framework. </w:t>
            </w:r>
            <w:r w:rsidR="001640FB" w:rsidRPr="004413BC">
              <w:t>FTE = Full time equivalent.</w:t>
            </w:r>
            <w:r w:rsidR="00EB425D">
              <w:t xml:space="preserve"> </w:t>
            </w:r>
            <w:proofErr w:type="spellStart"/>
            <w:r w:rsidR="00CC6F1D">
              <w:t>NAPLAN</w:t>
            </w:r>
            <w:proofErr w:type="spellEnd"/>
            <w:r w:rsidR="00CC6F1D">
              <w:t xml:space="preserve"> = National Assessment Program – Literacy and Numeracy.</w:t>
            </w:r>
            <w:r w:rsidR="001640FB" w:rsidRPr="004413BC">
              <w:t xml:space="preserve"> </w:t>
            </w:r>
            <w:r w:rsidR="001640FB" w:rsidRPr="00A05A09">
              <w:rPr>
                <w:rStyle w:val="NoteLabel"/>
              </w:rPr>
              <w:t>a</w:t>
            </w:r>
            <w:r w:rsidR="001640FB" w:rsidRPr="00262ED3">
              <w:t> </w:t>
            </w:r>
            <w:r w:rsidR="001640FB" w:rsidRPr="00856B29">
              <w:t>Caveats for these data are available in chapter</w:t>
            </w:r>
            <w:r w:rsidR="001640FB">
              <w:t> 4</w:t>
            </w:r>
            <w:r w:rsidR="001640FB" w:rsidRPr="00856B29">
              <w:t xml:space="preserve"> and attachment</w:t>
            </w:r>
            <w:r w:rsidR="001640FB">
              <w:t> </w:t>
            </w:r>
            <w:proofErr w:type="spellStart"/>
            <w:r w:rsidR="001640FB">
              <w:t>4</w:t>
            </w:r>
            <w:r w:rsidR="001640FB" w:rsidRPr="00856B29">
              <w:t>A</w:t>
            </w:r>
            <w:proofErr w:type="spellEnd"/>
            <w:r w:rsidR="001640FB" w:rsidRPr="00856B29">
              <w:t>. Refer to the indicator interpretation boxes in chapter</w:t>
            </w:r>
            <w:r w:rsidR="001640FB">
              <w:t xml:space="preserve"> 4</w:t>
            </w:r>
            <w:r w:rsidR="001640FB" w:rsidRPr="00856B29">
              <w:t xml:space="preserve"> for information to assist with the interpretation of data presented in this table. </w:t>
            </w:r>
            <w:r w:rsidR="001640FB" w:rsidRPr="00856B29">
              <w:rPr>
                <w:rStyle w:val="NoteLabel"/>
              </w:rPr>
              <w:t>b</w:t>
            </w:r>
            <w:r w:rsidR="001640FB" w:rsidRPr="00856B29">
              <w:t> Some data are derived from detailed data in chapter</w:t>
            </w:r>
            <w:r w:rsidR="001640FB">
              <w:t> 4</w:t>
            </w:r>
            <w:r w:rsidR="001640FB" w:rsidRPr="00856B29">
              <w:t xml:space="preserve"> and attachment</w:t>
            </w:r>
            <w:r w:rsidR="001640FB">
              <w:t> </w:t>
            </w:r>
            <w:proofErr w:type="spellStart"/>
            <w:r w:rsidR="001640FB">
              <w:t>4</w:t>
            </w:r>
            <w:r w:rsidR="001640FB" w:rsidRPr="00856B29">
              <w:t>A</w:t>
            </w:r>
            <w:proofErr w:type="spellEnd"/>
            <w:r w:rsidR="001640FB" w:rsidRPr="00856B29">
              <w:t>.</w:t>
            </w:r>
            <w:r>
              <w:t xml:space="preserve"> </w:t>
            </w:r>
            <w:r w:rsidR="001640FB">
              <w:t>.. Not applicable.</w:t>
            </w:r>
          </w:p>
        </w:tc>
      </w:tr>
      <w:tr w:rsidR="009A47FF" w:rsidRPr="009A47FF" w:rsidTr="00AE7A8F">
        <w:trPr>
          <w:cantSplit/>
        </w:trPr>
        <w:tc>
          <w:tcPr>
            <w:tcW w:w="8771" w:type="dxa"/>
            <w:tcBorders>
              <w:top w:val="nil"/>
              <w:left w:val="nil"/>
              <w:bottom w:val="nil"/>
              <w:right w:val="nil"/>
            </w:tcBorders>
            <w:shd w:val="clear" w:color="auto" w:fill="auto"/>
          </w:tcPr>
          <w:p w:rsidR="009A47FF" w:rsidRPr="009A47FF" w:rsidRDefault="009A47FF" w:rsidP="00AE7A8F">
            <w:pPr>
              <w:pStyle w:val="Source"/>
              <w:rPr>
                <w:color w:val="FF0000"/>
              </w:rPr>
            </w:pPr>
            <w:r w:rsidRPr="004106F1">
              <w:rPr>
                <w:i/>
              </w:rPr>
              <w:t>Source</w:t>
            </w:r>
            <w:r w:rsidRPr="004106F1">
              <w:t xml:space="preserve">: </w:t>
            </w:r>
            <w:r w:rsidR="00AD2168" w:rsidRPr="004106F1">
              <w:t>Chapter 4</w:t>
            </w:r>
            <w:r w:rsidRPr="004106F1">
              <w:t xml:space="preserve"> an</w:t>
            </w:r>
            <w:r w:rsidR="00AD2168" w:rsidRPr="004106F1">
              <w:t xml:space="preserve">d attachment </w:t>
            </w:r>
            <w:proofErr w:type="spellStart"/>
            <w:r w:rsidR="00AD2168" w:rsidRPr="004106F1">
              <w:t>4</w:t>
            </w:r>
            <w:r w:rsidRPr="004106F1">
              <w:t>A</w:t>
            </w:r>
            <w:proofErr w:type="spellEnd"/>
            <w:r w:rsidRPr="004106F1">
              <w:t>.</w:t>
            </w:r>
          </w:p>
        </w:tc>
      </w:tr>
      <w:tr w:rsidR="009A47FF" w:rsidRPr="009A47FF" w:rsidTr="00AE7A8F">
        <w:trPr>
          <w:cantSplit/>
        </w:trPr>
        <w:tc>
          <w:tcPr>
            <w:tcW w:w="8771" w:type="dxa"/>
            <w:tcBorders>
              <w:top w:val="nil"/>
              <w:left w:val="nil"/>
              <w:bottom w:val="single" w:sz="6" w:space="0" w:color="78A22F"/>
              <w:right w:val="nil"/>
            </w:tcBorders>
            <w:shd w:val="clear" w:color="auto" w:fill="auto"/>
          </w:tcPr>
          <w:p w:rsidR="009A47FF" w:rsidRPr="009A47FF" w:rsidRDefault="009A47FF" w:rsidP="00AE7A8F">
            <w:pPr>
              <w:pStyle w:val="Box"/>
              <w:spacing w:before="0" w:line="120" w:lineRule="exact"/>
              <w:rPr>
                <w:color w:val="FF0000"/>
              </w:rPr>
            </w:pPr>
          </w:p>
        </w:tc>
      </w:tr>
      <w:tr w:rsidR="009A47FF" w:rsidRPr="009A47FF" w:rsidTr="00AE7A8F">
        <w:tc>
          <w:tcPr>
            <w:tcW w:w="8771" w:type="dxa"/>
            <w:tcBorders>
              <w:top w:val="single" w:sz="6" w:space="0" w:color="78A22F"/>
              <w:left w:val="nil"/>
              <w:bottom w:val="nil"/>
              <w:right w:val="nil"/>
            </w:tcBorders>
          </w:tcPr>
          <w:p w:rsidR="009A47FF" w:rsidRPr="009A47FF" w:rsidRDefault="009A47FF" w:rsidP="00AE7A8F">
            <w:pPr>
              <w:pStyle w:val="BoxSpaceBelow"/>
              <w:rPr>
                <w:color w:val="FF0000"/>
              </w:rPr>
            </w:pPr>
          </w:p>
        </w:tc>
      </w:tr>
    </w:tbl>
    <w:p w:rsidR="00D931E9" w:rsidRPr="00D931E9" w:rsidRDefault="00D931E9" w:rsidP="00D931E9">
      <w:pPr>
        <w:pStyle w:val="BodyText"/>
        <w:spacing w:before="0" w:line="240" w:lineRule="auto"/>
        <w:rPr>
          <w:sz w:val="12"/>
          <w:szCs w:val="12"/>
        </w:rPr>
      </w:pPr>
    </w:p>
    <w:p w:rsidR="00346C60" w:rsidRDefault="00346C60">
      <w:pPr>
        <w:rPr>
          <w:rFonts w:ascii="Arial" w:hAnsi="Arial"/>
          <w:szCs w:val="20"/>
        </w:rPr>
      </w:pPr>
      <w:r>
        <w:br w:type="page"/>
      </w:r>
    </w:p>
    <w:p w:rsidR="00EB5184" w:rsidRPr="00EB5184" w:rsidRDefault="00EB5184" w:rsidP="00EB5184">
      <w:pPr>
        <w:pStyle w:val="Heading4"/>
      </w:pPr>
      <w:r>
        <w:lastRenderedPageBreak/>
        <w:t>VET</w:t>
      </w:r>
    </w:p>
    <w:p w:rsidR="00A0590B" w:rsidRPr="00EB5184" w:rsidRDefault="00A0590B" w:rsidP="00EB5184">
      <w:pPr>
        <w:pStyle w:val="BodyText"/>
      </w:pPr>
      <w:r>
        <w:t xml:space="preserve">The performance indicator framework for </w:t>
      </w:r>
      <w:r w:rsidR="00DF15D9">
        <w:t>VET</w:t>
      </w:r>
      <w:r w:rsidR="00BF5D77">
        <w:t xml:space="preserve"> is presented in figure </w:t>
      </w:r>
      <w:proofErr w:type="spellStart"/>
      <w:r w:rsidR="005B35FF">
        <w:t>B.</w:t>
      </w:r>
      <w:r w:rsidR="00EF7008">
        <w:t>22</w:t>
      </w:r>
      <w:proofErr w:type="spellEnd"/>
      <w:r>
        <w:t>.</w:t>
      </w:r>
      <w:r w:rsidR="00FF488C">
        <w:t xml:space="preserve"> </w:t>
      </w:r>
      <w:r w:rsidR="007125E1" w:rsidRPr="006E14D5">
        <w:t xml:space="preserve">An overview of the </w:t>
      </w:r>
      <w:r w:rsidR="007125E1">
        <w:t>VET</w:t>
      </w:r>
      <w:r w:rsidR="007125E1" w:rsidRPr="006E14D5">
        <w:t xml:space="preserve"> performance indicator results are presented</w:t>
      </w:r>
      <w:r w:rsidR="007125E1">
        <w:t xml:space="preserve"> </w:t>
      </w:r>
      <w:r w:rsidR="007125E1" w:rsidRPr="006E14D5">
        <w:t xml:space="preserve">in table </w:t>
      </w:r>
      <w:proofErr w:type="spellStart"/>
      <w:r w:rsidR="007125E1">
        <w:t>B.3</w:t>
      </w:r>
      <w:proofErr w:type="spellEnd"/>
      <w:r w:rsidR="00FF488C">
        <w:rPr>
          <w:color w:val="000000"/>
        </w:rPr>
        <w:t>.</w:t>
      </w:r>
    </w:p>
    <w:p w:rsidR="00336DF1" w:rsidRDefault="00336DF1" w:rsidP="00E62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F1" w:rsidTr="00E6276D">
        <w:tc>
          <w:tcPr>
            <w:tcW w:w="8771" w:type="dxa"/>
            <w:tcBorders>
              <w:top w:val="single" w:sz="6" w:space="0" w:color="78A22F"/>
              <w:left w:val="nil"/>
              <w:bottom w:val="nil"/>
              <w:right w:val="nil"/>
            </w:tcBorders>
            <w:shd w:val="clear" w:color="auto" w:fill="auto"/>
          </w:tcPr>
          <w:p w:rsidR="00336DF1" w:rsidRPr="00176D3F" w:rsidRDefault="00336DF1" w:rsidP="00336DF1">
            <w:pPr>
              <w:pStyle w:val="FigureTitle"/>
            </w:pPr>
            <w:r w:rsidRPr="00784A05">
              <w:rPr>
                <w:b w:val="0"/>
              </w:rPr>
              <w:t xml:space="preserve">Figure </w:t>
            </w:r>
            <w:proofErr w:type="spellStart"/>
            <w:r>
              <w:rPr>
                <w:b w:val="0"/>
              </w:rPr>
              <w:t>B.</w:t>
            </w:r>
            <w:r w:rsidR="00EF7008">
              <w:rPr>
                <w:b w:val="0"/>
              </w:rPr>
              <w:t>22</w:t>
            </w:r>
            <w:proofErr w:type="spellEnd"/>
            <w:r>
              <w:tab/>
              <w:t>VET</w:t>
            </w:r>
            <w:r w:rsidRPr="000214D6">
              <w:t xml:space="preserve"> </w:t>
            </w:r>
            <w:r>
              <w:t>performance indicator framework</w:t>
            </w:r>
          </w:p>
        </w:tc>
      </w:tr>
      <w:tr w:rsidR="00336DF1" w:rsidTr="00E627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36DF1" w:rsidTr="00E6276D">
              <w:trPr>
                <w:jc w:val="center"/>
              </w:trPr>
              <w:tc>
                <w:tcPr>
                  <w:tcW w:w="5000" w:type="pct"/>
                  <w:tcBorders>
                    <w:top w:val="nil"/>
                    <w:bottom w:val="nil"/>
                  </w:tcBorders>
                </w:tcPr>
                <w:p w:rsidR="00336DF1" w:rsidRDefault="005C29F4" w:rsidP="00E6276D">
                  <w:pPr>
                    <w:pStyle w:val="Figure"/>
                    <w:spacing w:before="60" w:after="60"/>
                  </w:pPr>
                  <w:r>
                    <w:rPr>
                      <w:noProof/>
                    </w:rPr>
                    <w:drawing>
                      <wp:inline distT="0" distB="0" distL="0" distR="0" wp14:anchorId="06800F73" wp14:editId="79DD6001">
                        <wp:extent cx="5326380" cy="4244340"/>
                        <wp:effectExtent l="0" t="0" r="7620" b="3810"/>
                        <wp:docPr id="7" name="Picture 7" descr="Figure B.22 VE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6380" cy="4244340"/>
                                </a:xfrm>
                                <a:prstGeom prst="rect">
                                  <a:avLst/>
                                </a:prstGeom>
                                <a:noFill/>
                              </pic:spPr>
                            </pic:pic>
                          </a:graphicData>
                        </a:graphic>
                      </wp:inline>
                    </w:drawing>
                  </w:r>
                </w:p>
              </w:tc>
            </w:tr>
          </w:tbl>
          <w:p w:rsidR="00336DF1" w:rsidRDefault="00336DF1" w:rsidP="00E6276D">
            <w:pPr>
              <w:pStyle w:val="Figure"/>
            </w:pPr>
          </w:p>
        </w:tc>
      </w:tr>
      <w:tr w:rsidR="00336DF1" w:rsidTr="00E6276D">
        <w:tc>
          <w:tcPr>
            <w:tcW w:w="8771" w:type="dxa"/>
            <w:tcBorders>
              <w:top w:val="nil"/>
              <w:left w:val="nil"/>
              <w:bottom w:val="single" w:sz="6" w:space="0" w:color="78A22F"/>
              <w:right w:val="nil"/>
            </w:tcBorders>
            <w:shd w:val="clear" w:color="auto" w:fill="auto"/>
          </w:tcPr>
          <w:p w:rsidR="00336DF1" w:rsidRDefault="00336DF1" w:rsidP="00E6276D">
            <w:pPr>
              <w:pStyle w:val="Figurespace"/>
            </w:pPr>
          </w:p>
        </w:tc>
      </w:tr>
      <w:tr w:rsidR="00336DF1" w:rsidRPr="000863A5" w:rsidTr="00E6276D">
        <w:tc>
          <w:tcPr>
            <w:tcW w:w="8771" w:type="dxa"/>
            <w:tcBorders>
              <w:top w:val="single" w:sz="6" w:space="0" w:color="78A22F"/>
              <w:left w:val="nil"/>
              <w:bottom w:val="nil"/>
              <w:right w:val="nil"/>
            </w:tcBorders>
          </w:tcPr>
          <w:p w:rsidR="00336DF1" w:rsidRPr="00626D32" w:rsidRDefault="00336DF1" w:rsidP="00E6276D">
            <w:pPr>
              <w:pStyle w:val="BoxSpaceBelow"/>
            </w:pPr>
          </w:p>
        </w:tc>
      </w:tr>
    </w:tbl>
    <w:p w:rsidR="008A65AC" w:rsidRDefault="008A65AC" w:rsidP="008A65A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A65AC" w:rsidRPr="008A65AC" w:rsidTr="00AE7A8F">
        <w:tc>
          <w:tcPr>
            <w:tcW w:w="8771" w:type="dxa"/>
            <w:tcBorders>
              <w:top w:val="single" w:sz="6" w:space="0" w:color="78A22F"/>
              <w:left w:val="nil"/>
              <w:bottom w:val="nil"/>
              <w:right w:val="nil"/>
            </w:tcBorders>
            <w:shd w:val="clear" w:color="auto" w:fill="auto"/>
          </w:tcPr>
          <w:p w:rsidR="008A65AC" w:rsidRPr="008A65AC" w:rsidRDefault="008A65AC" w:rsidP="00710E6C">
            <w:pPr>
              <w:pStyle w:val="TableTitle"/>
              <w:rPr>
                <w:color w:val="FF0000"/>
              </w:rPr>
            </w:pPr>
            <w:r w:rsidRPr="008A65AC">
              <w:rPr>
                <w:b w:val="0"/>
              </w:rPr>
              <w:t xml:space="preserve">Table </w:t>
            </w:r>
            <w:proofErr w:type="spellStart"/>
            <w:r w:rsidRPr="008A65AC">
              <w:rPr>
                <w:b w:val="0"/>
              </w:rPr>
              <w:t>B.</w:t>
            </w:r>
            <w:bookmarkStart w:id="36" w:name="OLE_LINK3"/>
            <w:r w:rsidR="00501FB3">
              <w:rPr>
                <w:b w:val="0"/>
                <w:noProof/>
              </w:rPr>
              <w:t>3</w:t>
            </w:r>
            <w:bookmarkEnd w:id="36"/>
            <w:proofErr w:type="spellEnd"/>
            <w:r w:rsidRPr="008A65AC">
              <w:tab/>
              <w:t>Performance indicator results for VET</w:t>
            </w:r>
            <w:r w:rsidRPr="008A65AC">
              <w:rPr>
                <w:rStyle w:val="NoteLabel"/>
                <w:b/>
              </w:rPr>
              <w:t>a, b, c</w:t>
            </w:r>
            <w:r w:rsidR="00151A61">
              <w:rPr>
                <w:rStyle w:val="NoteLabel"/>
                <w:b/>
              </w:rPr>
              <w:t xml:space="preserve"> </w:t>
            </w:r>
          </w:p>
        </w:tc>
      </w:tr>
      <w:tr w:rsidR="008A65AC" w:rsidRPr="008A65A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50"/>
              <w:gridCol w:w="842"/>
              <w:gridCol w:w="842"/>
            </w:tblGrid>
            <w:tr w:rsidR="008A65AC" w:rsidRPr="008A65AC" w:rsidTr="00AE7A8F">
              <w:tc>
                <w:tcPr>
                  <w:tcW w:w="501" w:type="pct"/>
                  <w:tcBorders>
                    <w:top w:val="single" w:sz="6" w:space="0" w:color="BFBFBF"/>
                    <w:bottom w:val="single" w:sz="6" w:space="0" w:color="BFBFBF"/>
                  </w:tcBorders>
                  <w:shd w:val="clear" w:color="auto" w:fill="auto"/>
                  <w:tcMar>
                    <w:top w:w="28" w:type="dxa"/>
                  </w:tcMar>
                </w:tcPr>
                <w:p w:rsidR="008A65AC" w:rsidRPr="008A65AC" w:rsidRDefault="008A65AC" w:rsidP="00F85D92">
                  <w:pPr>
                    <w:pStyle w:val="TableColumnHeading"/>
                    <w:spacing w:before="40" w:after="40"/>
                    <w:jc w:val="left"/>
                  </w:pP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NSW</w:t>
                  </w: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Vic</w:t>
                  </w: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Qld</w:t>
                  </w: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WA</w:t>
                  </w: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SA</w:t>
                  </w:r>
                </w:p>
              </w:tc>
              <w:tc>
                <w:tcPr>
                  <w:tcW w:w="501" w:type="pct"/>
                  <w:tcBorders>
                    <w:top w:val="single" w:sz="6" w:space="0" w:color="BFBFBF"/>
                    <w:bottom w:val="single" w:sz="6" w:space="0" w:color="BFBFBF"/>
                  </w:tcBorders>
                </w:tcPr>
                <w:p w:rsidR="008A65AC" w:rsidRPr="008A65AC" w:rsidRDefault="008A65AC" w:rsidP="00F85D92">
                  <w:pPr>
                    <w:pStyle w:val="TableColumnHeading"/>
                    <w:spacing w:before="40" w:after="40"/>
                  </w:pPr>
                  <w:proofErr w:type="spellStart"/>
                  <w:r w:rsidRPr="008A65AC">
                    <w:t>Tas</w:t>
                  </w:r>
                  <w:proofErr w:type="spellEnd"/>
                </w:p>
              </w:tc>
              <w:tc>
                <w:tcPr>
                  <w:tcW w:w="501" w:type="pct"/>
                  <w:tcBorders>
                    <w:top w:val="single" w:sz="6" w:space="0" w:color="BFBFBF"/>
                    <w:bottom w:val="single" w:sz="6" w:space="0" w:color="BFBFBF"/>
                  </w:tcBorders>
                  <w:shd w:val="clear" w:color="auto" w:fill="auto"/>
                  <w:tcMar>
                    <w:top w:w="28" w:type="dxa"/>
                  </w:tcMar>
                </w:tcPr>
                <w:p w:rsidR="008A65AC" w:rsidRPr="008A65AC" w:rsidRDefault="008A65AC" w:rsidP="00F85D92">
                  <w:pPr>
                    <w:pStyle w:val="TableColumnHeading"/>
                    <w:spacing w:before="40" w:after="40"/>
                  </w:pPr>
                  <w:r w:rsidRPr="008A65AC">
                    <w:t>ACT</w:t>
                  </w:r>
                </w:p>
              </w:tc>
              <w:tc>
                <w:tcPr>
                  <w:tcW w:w="496" w:type="pct"/>
                  <w:tcBorders>
                    <w:top w:val="single" w:sz="6" w:space="0" w:color="BFBFBF"/>
                    <w:bottom w:val="single" w:sz="6" w:space="0" w:color="BFBFBF"/>
                  </w:tcBorders>
                </w:tcPr>
                <w:p w:rsidR="008A65AC" w:rsidRPr="008A65AC" w:rsidRDefault="008A65AC" w:rsidP="00F85D92">
                  <w:pPr>
                    <w:pStyle w:val="TableColumnHeading"/>
                    <w:spacing w:before="40" w:after="40"/>
                  </w:pPr>
                  <w:r w:rsidRPr="008A65AC">
                    <w:t>NT</w:t>
                  </w:r>
                </w:p>
              </w:tc>
              <w:tc>
                <w:tcPr>
                  <w:tcW w:w="496" w:type="pct"/>
                  <w:tcBorders>
                    <w:top w:val="single" w:sz="6" w:space="0" w:color="BFBFBF"/>
                    <w:bottom w:val="single" w:sz="6" w:space="0" w:color="BFBFBF"/>
                  </w:tcBorders>
                  <w:shd w:val="clear" w:color="auto" w:fill="auto"/>
                  <w:tcMar>
                    <w:top w:w="28" w:type="dxa"/>
                  </w:tcMar>
                </w:tcPr>
                <w:p w:rsidR="008A65AC" w:rsidRPr="008A65AC" w:rsidRDefault="008A65AC" w:rsidP="00F85D92">
                  <w:pPr>
                    <w:pStyle w:val="TableColumnHeading"/>
                    <w:spacing w:before="40" w:after="40"/>
                  </w:pPr>
                  <w:proofErr w:type="spellStart"/>
                  <w:r w:rsidRPr="008A65AC">
                    <w:t>Aust</w:t>
                  </w:r>
                  <w:proofErr w:type="spellEnd"/>
                </w:p>
              </w:tc>
            </w:tr>
            <w:tr w:rsidR="008A65AC" w:rsidRPr="008A65AC" w:rsidTr="00AE7A8F">
              <w:tc>
                <w:tcPr>
                  <w:tcW w:w="5000" w:type="pct"/>
                  <w:gridSpan w:val="10"/>
                  <w:tcBorders>
                    <w:top w:val="single" w:sz="6" w:space="0" w:color="BFBFBF"/>
                  </w:tcBorders>
                </w:tcPr>
                <w:p w:rsidR="008A65AC" w:rsidRPr="008A65AC" w:rsidRDefault="008A65AC" w:rsidP="00AE7A8F">
                  <w:pPr>
                    <w:pStyle w:val="DQIMainRowHeadings"/>
                  </w:pPr>
                  <w:r w:rsidRPr="008A65AC">
                    <w:t>Equity — Access indicators</w:t>
                  </w:r>
                </w:p>
              </w:tc>
            </w:tr>
            <w:tr w:rsidR="008A65AC" w:rsidRPr="008A65AC" w:rsidTr="00AE7A8F">
              <w:tc>
                <w:tcPr>
                  <w:tcW w:w="5000" w:type="pct"/>
                  <w:gridSpan w:val="10"/>
                </w:tcPr>
                <w:p w:rsidR="008A65AC" w:rsidRPr="008A65AC" w:rsidRDefault="008A65AC" w:rsidP="008A65AC">
                  <w:pPr>
                    <w:pStyle w:val="DQIRowHeadings"/>
                  </w:pPr>
                  <w:r w:rsidRPr="008A65AC">
                    <w:t>VET participation by target group</w:t>
                  </w:r>
                </w:p>
              </w:tc>
            </w:tr>
            <w:tr w:rsidR="008A65AC" w:rsidRPr="008A65AC" w:rsidTr="00AE7A8F">
              <w:tc>
                <w:tcPr>
                  <w:tcW w:w="5000" w:type="pct"/>
                  <w:gridSpan w:val="10"/>
                </w:tcPr>
                <w:p w:rsidR="008A65AC" w:rsidRPr="008A65AC" w:rsidRDefault="008A65AC" w:rsidP="00AE7A8F">
                  <w:pPr>
                    <w:pStyle w:val="TableBodyText"/>
                    <w:ind w:left="113" w:right="28"/>
                    <w:jc w:val="left"/>
                  </w:pPr>
                  <w:r w:rsidRPr="008A65AC">
                    <w:t>Participation rate for Aboriginal and Torres Strait Islander Australians aged 15–64 years, 2014</w:t>
                  </w:r>
                </w:p>
              </w:tc>
            </w:tr>
            <w:tr w:rsidR="008A65AC" w:rsidRPr="008A65AC" w:rsidTr="00AE7A8F">
              <w:tc>
                <w:tcPr>
                  <w:tcW w:w="5000" w:type="pct"/>
                  <w:gridSpan w:val="10"/>
                </w:tcPr>
                <w:p w:rsidR="008A65AC" w:rsidRPr="008A65AC" w:rsidRDefault="008A65AC" w:rsidP="00AE7A8F">
                  <w:pPr>
                    <w:pStyle w:val="TableBodyText"/>
                    <w:ind w:left="113" w:right="28"/>
                    <w:jc w:val="left"/>
                    <w:rPr>
                      <w:sz w:val="16"/>
                      <w:szCs w:val="16"/>
                    </w:rPr>
                  </w:pPr>
                  <w:r w:rsidRPr="008A65AC">
                    <w:rPr>
                      <w:sz w:val="16"/>
                      <w:szCs w:val="16"/>
                    </w:rPr>
                    <w:t>Most recent data for this measure are not comparable but are complete (subject to caveats) (chapter 5)</w:t>
                  </w:r>
                </w:p>
              </w:tc>
            </w:tr>
            <w:tr w:rsidR="00710E6C" w:rsidRPr="008A65AC" w:rsidTr="00710E6C">
              <w:tc>
                <w:tcPr>
                  <w:tcW w:w="501" w:type="pct"/>
                </w:tcPr>
                <w:p w:rsidR="00710E6C" w:rsidRPr="008A65AC" w:rsidRDefault="00710E6C" w:rsidP="00AE7A8F">
                  <w:pPr>
                    <w:pStyle w:val="TableBodyText"/>
                    <w:rPr>
                      <w:color w:val="FF0000"/>
                    </w:rPr>
                  </w:pPr>
                  <w:r w:rsidRPr="00AE7A8F">
                    <w:t>%</w:t>
                  </w:r>
                </w:p>
              </w:tc>
              <w:tc>
                <w:tcPr>
                  <w:tcW w:w="501" w:type="pct"/>
                  <w:vAlign w:val="center"/>
                </w:tcPr>
                <w:p w:rsidR="00710E6C" w:rsidRPr="00710E6C" w:rsidRDefault="00710E6C" w:rsidP="00710E6C">
                  <w:pPr>
                    <w:pStyle w:val="TableBodyText"/>
                  </w:pPr>
                  <w:r w:rsidRPr="00710E6C">
                    <w:t>22.0</w:t>
                  </w:r>
                </w:p>
              </w:tc>
              <w:tc>
                <w:tcPr>
                  <w:tcW w:w="501" w:type="pct"/>
                  <w:vAlign w:val="center"/>
                </w:tcPr>
                <w:p w:rsidR="00710E6C" w:rsidRPr="00710E6C" w:rsidRDefault="00710E6C" w:rsidP="00710E6C">
                  <w:pPr>
                    <w:pStyle w:val="TableBodyText"/>
                  </w:pPr>
                  <w:r w:rsidRPr="00710E6C">
                    <w:t>20.9</w:t>
                  </w:r>
                </w:p>
              </w:tc>
              <w:tc>
                <w:tcPr>
                  <w:tcW w:w="501" w:type="pct"/>
                  <w:vAlign w:val="center"/>
                </w:tcPr>
                <w:p w:rsidR="00710E6C" w:rsidRPr="00710E6C" w:rsidRDefault="00710E6C" w:rsidP="00710E6C">
                  <w:pPr>
                    <w:pStyle w:val="TableBodyText"/>
                  </w:pPr>
                  <w:r w:rsidRPr="00710E6C">
                    <w:t>9.9</w:t>
                  </w:r>
                </w:p>
              </w:tc>
              <w:tc>
                <w:tcPr>
                  <w:tcW w:w="501" w:type="pct"/>
                  <w:vAlign w:val="center"/>
                </w:tcPr>
                <w:p w:rsidR="00710E6C" w:rsidRPr="00710E6C" w:rsidRDefault="00710E6C" w:rsidP="00710E6C">
                  <w:pPr>
                    <w:pStyle w:val="TableBodyText"/>
                  </w:pPr>
                  <w:r w:rsidRPr="00710E6C">
                    <w:t>19.4</w:t>
                  </w:r>
                </w:p>
              </w:tc>
              <w:tc>
                <w:tcPr>
                  <w:tcW w:w="501" w:type="pct"/>
                  <w:vAlign w:val="center"/>
                </w:tcPr>
                <w:p w:rsidR="00710E6C" w:rsidRPr="00710E6C" w:rsidRDefault="00710E6C" w:rsidP="00710E6C">
                  <w:pPr>
                    <w:pStyle w:val="TableBodyText"/>
                  </w:pPr>
                  <w:r w:rsidRPr="00710E6C">
                    <w:t>18.4</w:t>
                  </w:r>
                </w:p>
              </w:tc>
              <w:tc>
                <w:tcPr>
                  <w:tcW w:w="501" w:type="pct"/>
                  <w:vAlign w:val="center"/>
                </w:tcPr>
                <w:p w:rsidR="00710E6C" w:rsidRPr="00710E6C" w:rsidRDefault="00710E6C" w:rsidP="00710E6C">
                  <w:pPr>
                    <w:pStyle w:val="TableBodyText"/>
                  </w:pPr>
                  <w:r w:rsidRPr="00710E6C">
                    <w:t>11.0</w:t>
                  </w:r>
                </w:p>
              </w:tc>
              <w:tc>
                <w:tcPr>
                  <w:tcW w:w="501" w:type="pct"/>
                  <w:vAlign w:val="center"/>
                </w:tcPr>
                <w:p w:rsidR="00710E6C" w:rsidRPr="00710E6C" w:rsidRDefault="00710E6C" w:rsidP="00710E6C">
                  <w:pPr>
                    <w:pStyle w:val="TableBodyText"/>
                  </w:pPr>
                  <w:r w:rsidRPr="00710E6C">
                    <w:t>16.4</w:t>
                  </w:r>
                </w:p>
              </w:tc>
              <w:tc>
                <w:tcPr>
                  <w:tcW w:w="496" w:type="pct"/>
                  <w:vAlign w:val="center"/>
                </w:tcPr>
                <w:p w:rsidR="00710E6C" w:rsidRPr="00710E6C" w:rsidRDefault="00710E6C" w:rsidP="00710E6C">
                  <w:pPr>
                    <w:pStyle w:val="TableBodyText"/>
                  </w:pPr>
                  <w:r w:rsidRPr="00710E6C">
                    <w:t>18.8</w:t>
                  </w:r>
                </w:p>
              </w:tc>
              <w:tc>
                <w:tcPr>
                  <w:tcW w:w="496" w:type="pct"/>
                  <w:vAlign w:val="center"/>
                </w:tcPr>
                <w:p w:rsidR="00710E6C" w:rsidRPr="00710E6C" w:rsidRDefault="00710E6C" w:rsidP="00710E6C">
                  <w:pPr>
                    <w:pStyle w:val="TableBodyText"/>
                  </w:pPr>
                  <w:r w:rsidRPr="00710E6C">
                    <w:t>17.2</w:t>
                  </w:r>
                </w:p>
              </w:tc>
            </w:tr>
            <w:tr w:rsidR="008A65AC" w:rsidRPr="008A65AC" w:rsidTr="00AE7A8F">
              <w:tc>
                <w:tcPr>
                  <w:tcW w:w="5000" w:type="pct"/>
                  <w:gridSpan w:val="10"/>
                </w:tcPr>
                <w:p w:rsidR="008A65AC" w:rsidRPr="008A65AC" w:rsidRDefault="008A65AC" w:rsidP="00710E6C">
                  <w:pPr>
                    <w:pStyle w:val="Source"/>
                    <w:spacing w:before="0" w:after="80"/>
                    <w:ind w:left="113"/>
                  </w:pPr>
                  <w:r w:rsidRPr="008A65AC">
                    <w:rPr>
                      <w:i/>
                    </w:rPr>
                    <w:t>Source:</w:t>
                  </w:r>
                  <w:r w:rsidRPr="008A65AC">
                    <w:t xml:space="preserve"> Attachment table </w:t>
                  </w:r>
                  <w:proofErr w:type="spellStart"/>
                  <w:r w:rsidRPr="008A65AC">
                    <w:t>5A.</w:t>
                  </w:r>
                  <w:r w:rsidR="00710E6C">
                    <w:t>12</w:t>
                  </w:r>
                  <w:proofErr w:type="spellEnd"/>
                </w:p>
              </w:tc>
            </w:tr>
            <w:tr w:rsidR="005A57EF" w:rsidRPr="008A65AC" w:rsidTr="00AE7A8F">
              <w:tc>
                <w:tcPr>
                  <w:tcW w:w="5000" w:type="pct"/>
                  <w:gridSpan w:val="10"/>
                </w:tcPr>
                <w:p w:rsidR="005A57EF" w:rsidRPr="008A65AC" w:rsidRDefault="005A57EF" w:rsidP="005A57EF">
                  <w:pPr>
                    <w:pStyle w:val="DQIMainRowHeadings"/>
                    <w:rPr>
                      <w:color w:val="FF0000"/>
                    </w:rPr>
                  </w:pPr>
                  <w:r>
                    <w:t>Effectiveness</w:t>
                  </w:r>
                  <w:r w:rsidRPr="008A65AC">
                    <w:t xml:space="preserve"> — Access indicators</w:t>
                  </w:r>
                </w:p>
              </w:tc>
            </w:tr>
            <w:tr w:rsidR="005A57EF" w:rsidRPr="008A65AC" w:rsidTr="00AE7A8F">
              <w:tc>
                <w:tcPr>
                  <w:tcW w:w="5000" w:type="pct"/>
                  <w:gridSpan w:val="10"/>
                </w:tcPr>
                <w:p w:rsidR="005A57EF" w:rsidRPr="008A65AC" w:rsidRDefault="005A57EF" w:rsidP="005A57EF">
                  <w:pPr>
                    <w:pStyle w:val="DQIRowHeadings"/>
                    <w:rPr>
                      <w:color w:val="FF0000"/>
                    </w:rPr>
                  </w:pPr>
                  <w:r>
                    <w:t>Student participation in VET</w:t>
                  </w:r>
                </w:p>
              </w:tc>
            </w:tr>
            <w:tr w:rsidR="008A65AC" w:rsidRPr="008A65AC" w:rsidTr="00AE7A8F">
              <w:tc>
                <w:tcPr>
                  <w:tcW w:w="5000" w:type="pct"/>
                  <w:gridSpan w:val="10"/>
                </w:tcPr>
                <w:p w:rsidR="008A65AC" w:rsidRPr="008A65AC" w:rsidRDefault="005A57EF" w:rsidP="005A57EF">
                  <w:pPr>
                    <w:pStyle w:val="TableBodyText"/>
                    <w:ind w:left="113"/>
                    <w:jc w:val="left"/>
                    <w:rPr>
                      <w:color w:val="FF0000"/>
                    </w:rPr>
                  </w:pPr>
                  <w:r w:rsidRPr="005A57EF">
                    <w:t>Participation rate for the population aged 15–64 years, 2014</w:t>
                  </w:r>
                </w:p>
              </w:tc>
            </w:tr>
            <w:tr w:rsidR="008A65AC" w:rsidRPr="008A65AC" w:rsidTr="00AE7A8F">
              <w:tc>
                <w:tcPr>
                  <w:tcW w:w="5000" w:type="pct"/>
                  <w:gridSpan w:val="10"/>
                </w:tcPr>
                <w:p w:rsidR="008A65AC" w:rsidRPr="008A65AC" w:rsidRDefault="005A57EF" w:rsidP="00AE7A8F">
                  <w:pPr>
                    <w:pStyle w:val="TableBodyText"/>
                    <w:ind w:left="113" w:right="28"/>
                    <w:jc w:val="left"/>
                    <w:rPr>
                      <w:color w:val="FF0000"/>
                    </w:rPr>
                  </w:pPr>
                  <w:r w:rsidRPr="008A65AC">
                    <w:rPr>
                      <w:sz w:val="16"/>
                      <w:szCs w:val="16"/>
                    </w:rPr>
                    <w:t>Most recent data for this measure are not comparable but are complete (subject to caveats) (chapter 5)</w:t>
                  </w:r>
                </w:p>
              </w:tc>
            </w:tr>
            <w:tr w:rsidR="00710E6C" w:rsidRPr="008A65AC" w:rsidTr="00710E6C">
              <w:tc>
                <w:tcPr>
                  <w:tcW w:w="501" w:type="pct"/>
                </w:tcPr>
                <w:p w:rsidR="00710E6C" w:rsidRPr="008A65AC" w:rsidRDefault="00710E6C" w:rsidP="00AE7A8F">
                  <w:pPr>
                    <w:pStyle w:val="TableBodyText"/>
                    <w:rPr>
                      <w:color w:val="FF0000"/>
                    </w:rPr>
                  </w:pPr>
                  <w:r w:rsidRPr="005A57EF">
                    <w:t>%</w:t>
                  </w:r>
                </w:p>
              </w:tc>
              <w:tc>
                <w:tcPr>
                  <w:tcW w:w="501" w:type="pct"/>
                  <w:vAlign w:val="center"/>
                </w:tcPr>
                <w:p w:rsidR="00710E6C" w:rsidRDefault="00710E6C" w:rsidP="00710E6C">
                  <w:pPr>
                    <w:pStyle w:val="TableBodyText"/>
                  </w:pPr>
                  <w:r>
                    <w:t>8.0</w:t>
                  </w:r>
                </w:p>
              </w:tc>
              <w:tc>
                <w:tcPr>
                  <w:tcW w:w="501" w:type="pct"/>
                  <w:vAlign w:val="center"/>
                </w:tcPr>
                <w:p w:rsidR="00710E6C" w:rsidRDefault="00710E6C" w:rsidP="00710E6C">
                  <w:pPr>
                    <w:pStyle w:val="TableBodyText"/>
                  </w:pPr>
                  <w:r>
                    <w:t>11.5</w:t>
                  </w:r>
                </w:p>
              </w:tc>
              <w:tc>
                <w:tcPr>
                  <w:tcW w:w="501" w:type="pct"/>
                  <w:vAlign w:val="center"/>
                </w:tcPr>
                <w:p w:rsidR="00710E6C" w:rsidRDefault="00710E6C" w:rsidP="00710E6C">
                  <w:pPr>
                    <w:pStyle w:val="TableBodyText"/>
                  </w:pPr>
                  <w:r>
                    <w:t>6.6</w:t>
                  </w:r>
                </w:p>
              </w:tc>
              <w:tc>
                <w:tcPr>
                  <w:tcW w:w="501" w:type="pct"/>
                  <w:vAlign w:val="center"/>
                </w:tcPr>
                <w:p w:rsidR="00710E6C" w:rsidRDefault="00710E6C" w:rsidP="00710E6C">
                  <w:pPr>
                    <w:pStyle w:val="TableBodyText"/>
                  </w:pPr>
                  <w:r>
                    <w:t>7.4</w:t>
                  </w:r>
                </w:p>
              </w:tc>
              <w:tc>
                <w:tcPr>
                  <w:tcW w:w="501" w:type="pct"/>
                  <w:vAlign w:val="center"/>
                </w:tcPr>
                <w:p w:rsidR="00710E6C" w:rsidRDefault="00710E6C" w:rsidP="00710E6C">
                  <w:pPr>
                    <w:pStyle w:val="TableBodyText"/>
                  </w:pPr>
                  <w:r>
                    <w:t>9.6</w:t>
                  </w:r>
                </w:p>
              </w:tc>
              <w:tc>
                <w:tcPr>
                  <w:tcW w:w="501" w:type="pct"/>
                  <w:vAlign w:val="center"/>
                </w:tcPr>
                <w:p w:rsidR="00710E6C" w:rsidRDefault="00710E6C" w:rsidP="00710E6C">
                  <w:pPr>
                    <w:pStyle w:val="TableBodyText"/>
                  </w:pPr>
                  <w:r>
                    <w:t>10.3</w:t>
                  </w:r>
                </w:p>
              </w:tc>
              <w:tc>
                <w:tcPr>
                  <w:tcW w:w="501" w:type="pct"/>
                  <w:vAlign w:val="center"/>
                </w:tcPr>
                <w:p w:rsidR="00710E6C" w:rsidRDefault="00710E6C" w:rsidP="00710E6C">
                  <w:pPr>
                    <w:pStyle w:val="TableBodyText"/>
                  </w:pPr>
                  <w:r>
                    <w:t>7.2</w:t>
                  </w:r>
                </w:p>
              </w:tc>
              <w:tc>
                <w:tcPr>
                  <w:tcW w:w="496" w:type="pct"/>
                  <w:vAlign w:val="center"/>
                </w:tcPr>
                <w:p w:rsidR="00710E6C" w:rsidRDefault="00710E6C" w:rsidP="00710E6C">
                  <w:pPr>
                    <w:pStyle w:val="TableBodyText"/>
                  </w:pPr>
                  <w:r>
                    <w:t>12.1</w:t>
                  </w:r>
                </w:p>
              </w:tc>
              <w:tc>
                <w:tcPr>
                  <w:tcW w:w="496" w:type="pct"/>
                  <w:vAlign w:val="center"/>
                </w:tcPr>
                <w:p w:rsidR="00710E6C" w:rsidRDefault="00710E6C" w:rsidP="00710E6C">
                  <w:pPr>
                    <w:pStyle w:val="TableBodyText"/>
                  </w:pPr>
                  <w:r>
                    <w:t>8.7</w:t>
                  </w:r>
                </w:p>
              </w:tc>
            </w:tr>
            <w:tr w:rsidR="005A57EF" w:rsidRPr="008A65AC" w:rsidTr="00AE7A8F">
              <w:tc>
                <w:tcPr>
                  <w:tcW w:w="5000" w:type="pct"/>
                  <w:gridSpan w:val="10"/>
                </w:tcPr>
                <w:p w:rsidR="005A57EF" w:rsidRPr="008A65AC" w:rsidRDefault="005A57EF" w:rsidP="00710E6C">
                  <w:pPr>
                    <w:pStyle w:val="Source"/>
                    <w:spacing w:before="0" w:after="80"/>
                    <w:ind w:left="113"/>
                    <w:rPr>
                      <w:color w:val="FF0000"/>
                    </w:rPr>
                  </w:pPr>
                  <w:r w:rsidRPr="005A57EF">
                    <w:rPr>
                      <w:i/>
                    </w:rPr>
                    <w:t>Source:</w:t>
                  </w:r>
                  <w:r w:rsidRPr="005A57EF">
                    <w:t xml:space="preserve"> Attachment table </w:t>
                  </w:r>
                  <w:proofErr w:type="spellStart"/>
                  <w:r w:rsidRPr="005A57EF">
                    <w:t>5A.</w:t>
                  </w:r>
                  <w:r w:rsidR="00710E6C">
                    <w:t>12</w:t>
                  </w:r>
                  <w:proofErr w:type="spellEnd"/>
                </w:p>
              </w:tc>
            </w:tr>
            <w:tr w:rsidR="00F85D92" w:rsidRPr="008A65AC" w:rsidTr="00BA1629">
              <w:tc>
                <w:tcPr>
                  <w:tcW w:w="5000" w:type="pct"/>
                  <w:gridSpan w:val="10"/>
                </w:tcPr>
                <w:p w:rsidR="00F85D92" w:rsidRPr="008A65AC" w:rsidRDefault="00F85D92" w:rsidP="00F85D92">
                  <w:pPr>
                    <w:pStyle w:val="DQIMainRowHeadings"/>
                    <w:rPr>
                      <w:color w:val="FF0000"/>
                    </w:rPr>
                  </w:pPr>
                  <w:r>
                    <w:t>Effectiveness</w:t>
                  </w:r>
                  <w:r w:rsidRPr="008A65AC">
                    <w:t xml:space="preserve"> — </w:t>
                  </w:r>
                  <w:r>
                    <w:t>Appropriateness</w:t>
                  </w:r>
                  <w:r w:rsidRPr="008A65AC">
                    <w:t xml:space="preserve"> indicators</w:t>
                  </w:r>
                </w:p>
              </w:tc>
            </w:tr>
            <w:tr w:rsidR="00F85D92" w:rsidRPr="008A65AC" w:rsidTr="00BA1629">
              <w:tc>
                <w:tcPr>
                  <w:tcW w:w="5000" w:type="pct"/>
                  <w:gridSpan w:val="10"/>
                </w:tcPr>
                <w:p w:rsidR="00F85D92" w:rsidRPr="008A65AC" w:rsidRDefault="00F85D92" w:rsidP="00BA1629">
                  <w:pPr>
                    <w:pStyle w:val="DQIRowHeadings"/>
                    <w:rPr>
                      <w:color w:val="FF0000"/>
                    </w:rPr>
                  </w:pPr>
                  <w:r>
                    <w:t>S</w:t>
                  </w:r>
                  <w:r w:rsidRPr="00C87EAE">
                    <w:t>tudent completions and qualifications</w:t>
                  </w:r>
                </w:p>
              </w:tc>
            </w:tr>
            <w:tr w:rsidR="00F85D92" w:rsidRPr="008A65AC" w:rsidTr="00BA1629">
              <w:tc>
                <w:tcPr>
                  <w:tcW w:w="5000" w:type="pct"/>
                  <w:gridSpan w:val="10"/>
                </w:tcPr>
                <w:p w:rsidR="00F85D92" w:rsidRPr="008A65AC" w:rsidRDefault="00F85D92" w:rsidP="00BA1629">
                  <w:pPr>
                    <w:pStyle w:val="TableBodyText"/>
                    <w:ind w:left="113"/>
                    <w:jc w:val="left"/>
                    <w:rPr>
                      <w:color w:val="FF0000"/>
                    </w:rPr>
                  </w:pPr>
                  <w:r w:rsidRPr="00983184">
                    <w:t xml:space="preserve">Qualifications </w:t>
                  </w:r>
                  <w:r w:rsidRPr="006B1F1F">
                    <w:t>completed by working aged VET students</w:t>
                  </w:r>
                  <w:r w:rsidR="00710E6C" w:rsidRPr="00710E6C">
                    <w:t>, per 1000 people aged 15–64 years</w:t>
                  </w:r>
                  <w:r w:rsidR="00710E6C">
                    <w:t>,</w:t>
                  </w:r>
                  <w:r w:rsidRPr="005A57EF">
                    <w:t xml:space="preserve"> 2014</w:t>
                  </w:r>
                </w:p>
              </w:tc>
            </w:tr>
            <w:tr w:rsidR="00F85D92" w:rsidRPr="008A65AC" w:rsidTr="00BA1629">
              <w:tc>
                <w:tcPr>
                  <w:tcW w:w="5000" w:type="pct"/>
                  <w:gridSpan w:val="10"/>
                </w:tcPr>
                <w:p w:rsidR="00F85D92" w:rsidRPr="008A65AC" w:rsidRDefault="00F85D92" w:rsidP="00BA1629">
                  <w:pPr>
                    <w:pStyle w:val="TableBodyText"/>
                    <w:ind w:left="113" w:right="28"/>
                    <w:jc w:val="left"/>
                    <w:rPr>
                      <w:color w:val="FF0000"/>
                    </w:rPr>
                  </w:pPr>
                  <w:r w:rsidRPr="008A65AC">
                    <w:rPr>
                      <w:sz w:val="16"/>
                      <w:szCs w:val="16"/>
                    </w:rPr>
                    <w:t>Most recent data for this measure are not comparable but are complete (subject to caveats) (chapter 5)</w:t>
                  </w:r>
                </w:p>
              </w:tc>
            </w:tr>
            <w:tr w:rsidR="00710E6C" w:rsidRPr="008A65AC" w:rsidTr="00710E6C">
              <w:tc>
                <w:tcPr>
                  <w:tcW w:w="501" w:type="pct"/>
                </w:tcPr>
                <w:p w:rsidR="00710E6C" w:rsidRPr="008A65AC" w:rsidRDefault="00710E6C" w:rsidP="00BA1629">
                  <w:pPr>
                    <w:pStyle w:val="TableBodyText"/>
                    <w:rPr>
                      <w:color w:val="FF0000"/>
                    </w:rPr>
                  </w:pPr>
                  <w:r w:rsidRPr="00F85D92">
                    <w:t>no.</w:t>
                  </w:r>
                </w:p>
              </w:tc>
              <w:tc>
                <w:tcPr>
                  <w:tcW w:w="501" w:type="pct"/>
                  <w:vAlign w:val="center"/>
                </w:tcPr>
                <w:p w:rsidR="00710E6C" w:rsidRDefault="00710E6C" w:rsidP="00710E6C">
                  <w:pPr>
                    <w:pStyle w:val="TableBodyText"/>
                  </w:pPr>
                  <w:r>
                    <w:t xml:space="preserve">  28.8</w:t>
                  </w:r>
                </w:p>
              </w:tc>
              <w:tc>
                <w:tcPr>
                  <w:tcW w:w="501" w:type="pct"/>
                  <w:vAlign w:val="center"/>
                </w:tcPr>
                <w:p w:rsidR="00710E6C" w:rsidRDefault="00710E6C" w:rsidP="00710E6C">
                  <w:pPr>
                    <w:pStyle w:val="TableBodyText"/>
                  </w:pPr>
                  <w:r>
                    <w:t xml:space="preserve">  47.3</w:t>
                  </w:r>
                </w:p>
              </w:tc>
              <w:tc>
                <w:tcPr>
                  <w:tcW w:w="501" w:type="pct"/>
                  <w:vAlign w:val="center"/>
                </w:tcPr>
                <w:p w:rsidR="00710E6C" w:rsidRDefault="00710E6C" w:rsidP="00710E6C">
                  <w:pPr>
                    <w:pStyle w:val="TableBodyText"/>
                  </w:pPr>
                  <w:r>
                    <w:t xml:space="preserve">  35.4</w:t>
                  </w:r>
                </w:p>
              </w:tc>
              <w:tc>
                <w:tcPr>
                  <w:tcW w:w="501" w:type="pct"/>
                  <w:vAlign w:val="center"/>
                </w:tcPr>
                <w:p w:rsidR="00710E6C" w:rsidRDefault="00710E6C" w:rsidP="00710E6C">
                  <w:pPr>
                    <w:pStyle w:val="TableBodyText"/>
                  </w:pPr>
                  <w:r>
                    <w:t xml:space="preserve">  27.2</w:t>
                  </w:r>
                </w:p>
              </w:tc>
              <w:tc>
                <w:tcPr>
                  <w:tcW w:w="501" w:type="pct"/>
                  <w:vAlign w:val="center"/>
                </w:tcPr>
                <w:p w:rsidR="00710E6C" w:rsidRDefault="00710E6C" w:rsidP="00710E6C">
                  <w:pPr>
                    <w:pStyle w:val="TableBodyText"/>
                  </w:pPr>
                  <w:r>
                    <w:t xml:space="preserve">  40.0</w:t>
                  </w:r>
                </w:p>
              </w:tc>
              <w:tc>
                <w:tcPr>
                  <w:tcW w:w="501" w:type="pct"/>
                  <w:vAlign w:val="center"/>
                </w:tcPr>
                <w:p w:rsidR="00710E6C" w:rsidRDefault="00710E6C" w:rsidP="00710E6C">
                  <w:pPr>
                    <w:pStyle w:val="TableBodyText"/>
                  </w:pPr>
                  <w:r>
                    <w:t xml:space="preserve">  32.3</w:t>
                  </w:r>
                </w:p>
              </w:tc>
              <w:tc>
                <w:tcPr>
                  <w:tcW w:w="501" w:type="pct"/>
                  <w:vAlign w:val="center"/>
                </w:tcPr>
                <w:p w:rsidR="00710E6C" w:rsidRDefault="00710E6C" w:rsidP="00710E6C">
                  <w:pPr>
                    <w:pStyle w:val="TableBodyText"/>
                  </w:pPr>
                  <w:r>
                    <w:t xml:space="preserve">  33.5</w:t>
                  </w:r>
                </w:p>
              </w:tc>
              <w:tc>
                <w:tcPr>
                  <w:tcW w:w="496" w:type="pct"/>
                  <w:vAlign w:val="center"/>
                </w:tcPr>
                <w:p w:rsidR="00710E6C" w:rsidRDefault="00710E6C" w:rsidP="00710E6C">
                  <w:pPr>
                    <w:pStyle w:val="TableBodyText"/>
                  </w:pPr>
                  <w:r>
                    <w:t xml:space="preserve">  31.4</w:t>
                  </w:r>
                </w:p>
              </w:tc>
              <w:tc>
                <w:tcPr>
                  <w:tcW w:w="496" w:type="pct"/>
                  <w:vAlign w:val="center"/>
                </w:tcPr>
                <w:p w:rsidR="00710E6C" w:rsidRDefault="00710E6C" w:rsidP="00710E6C">
                  <w:pPr>
                    <w:pStyle w:val="TableBodyText"/>
                  </w:pPr>
                  <w:r>
                    <w:t xml:space="preserve">  35.6</w:t>
                  </w:r>
                </w:p>
              </w:tc>
            </w:tr>
            <w:tr w:rsidR="00F85D92" w:rsidRPr="008A65AC" w:rsidTr="00BA1629">
              <w:tc>
                <w:tcPr>
                  <w:tcW w:w="5000" w:type="pct"/>
                  <w:gridSpan w:val="10"/>
                </w:tcPr>
                <w:p w:rsidR="00F85D92" w:rsidRPr="008A65AC" w:rsidRDefault="00F85D92" w:rsidP="00710E6C">
                  <w:pPr>
                    <w:pStyle w:val="Source"/>
                    <w:spacing w:before="0" w:after="80"/>
                    <w:ind w:left="113"/>
                    <w:rPr>
                      <w:color w:val="FF0000"/>
                    </w:rPr>
                  </w:pPr>
                  <w:r w:rsidRPr="005A57EF">
                    <w:rPr>
                      <w:i/>
                    </w:rPr>
                    <w:t>Source:</w:t>
                  </w:r>
                  <w:r w:rsidRPr="005A57EF">
                    <w:t xml:space="preserve"> Attachment table </w:t>
                  </w:r>
                  <w:proofErr w:type="spellStart"/>
                  <w:r w:rsidRPr="005A57EF">
                    <w:t>5A.</w:t>
                  </w:r>
                  <w:r w:rsidR="00710E6C">
                    <w:t>28</w:t>
                  </w:r>
                  <w:proofErr w:type="spellEnd"/>
                </w:p>
              </w:tc>
            </w:tr>
            <w:tr w:rsidR="005A57EF" w:rsidRPr="008A65AC" w:rsidTr="00AE7A8F">
              <w:tc>
                <w:tcPr>
                  <w:tcW w:w="5000" w:type="pct"/>
                  <w:gridSpan w:val="10"/>
                </w:tcPr>
                <w:p w:rsidR="005A57EF" w:rsidRPr="008A65AC" w:rsidRDefault="005A57EF" w:rsidP="00325888">
                  <w:pPr>
                    <w:pStyle w:val="DQIMainRowHeadings"/>
                    <w:rPr>
                      <w:color w:val="FF0000"/>
                    </w:rPr>
                  </w:pPr>
                  <w:r>
                    <w:t>E</w:t>
                  </w:r>
                  <w:r w:rsidR="00C915AA">
                    <w:t>fficiency</w:t>
                  </w:r>
                  <w:r>
                    <w:t xml:space="preserve"> — Inputs per output unit</w:t>
                  </w:r>
                  <w:r w:rsidRPr="008A65AC">
                    <w:t xml:space="preserve"> indicators</w:t>
                  </w:r>
                </w:p>
              </w:tc>
            </w:tr>
            <w:tr w:rsidR="005A57EF" w:rsidRPr="008A65AC" w:rsidTr="00AE7A8F">
              <w:tc>
                <w:tcPr>
                  <w:tcW w:w="5000" w:type="pct"/>
                  <w:gridSpan w:val="10"/>
                </w:tcPr>
                <w:p w:rsidR="005A57EF" w:rsidRPr="008A65AC" w:rsidRDefault="005A57EF" w:rsidP="00710E6C">
                  <w:pPr>
                    <w:pStyle w:val="DQIRowHeadings"/>
                    <w:rPr>
                      <w:color w:val="FF0000"/>
                    </w:rPr>
                  </w:pPr>
                  <w:r>
                    <w:t xml:space="preserve">Government </w:t>
                  </w:r>
                  <w:r w:rsidR="00C915AA">
                    <w:t xml:space="preserve">recurrent </w:t>
                  </w:r>
                  <w:r>
                    <w:t>expenditure</w:t>
                  </w:r>
                  <w:r w:rsidR="00C915AA">
                    <w:t xml:space="preserve"> </w:t>
                  </w:r>
                  <w:r w:rsidR="00710E6C">
                    <w:t>—</w:t>
                  </w:r>
                  <w:r w:rsidR="00C915AA">
                    <w:t xml:space="preserve"> per annual hour</w:t>
                  </w:r>
                </w:p>
              </w:tc>
            </w:tr>
            <w:tr w:rsidR="005A57EF" w:rsidRPr="008A65AC" w:rsidTr="00AE7A8F">
              <w:tc>
                <w:tcPr>
                  <w:tcW w:w="5000" w:type="pct"/>
                  <w:gridSpan w:val="10"/>
                </w:tcPr>
                <w:p w:rsidR="005A57EF" w:rsidRPr="00C915AA" w:rsidRDefault="00C915AA" w:rsidP="00AE7A8F">
                  <w:pPr>
                    <w:pStyle w:val="TableBodyText"/>
                    <w:ind w:left="113"/>
                    <w:jc w:val="left"/>
                  </w:pPr>
                  <w:r w:rsidRPr="00632B04">
                    <w:t xml:space="preserve">Government recurrent expenditure per </w:t>
                  </w:r>
                  <w:r>
                    <w:t xml:space="preserve">government funded </w:t>
                  </w:r>
                  <w:r w:rsidRPr="00632B04">
                    <w:t>annual hour</w:t>
                  </w:r>
                  <w:r>
                    <w:t>, 2014</w:t>
                  </w:r>
                </w:p>
              </w:tc>
            </w:tr>
            <w:tr w:rsidR="005A57EF" w:rsidRPr="008A65AC" w:rsidTr="00AE7A8F">
              <w:tc>
                <w:tcPr>
                  <w:tcW w:w="5000" w:type="pct"/>
                  <w:gridSpan w:val="10"/>
                </w:tcPr>
                <w:p w:rsidR="005A57EF" w:rsidRPr="00C915AA" w:rsidRDefault="005A57EF" w:rsidP="00AE7A8F">
                  <w:pPr>
                    <w:pStyle w:val="TableBodyText"/>
                    <w:ind w:left="113" w:right="28"/>
                    <w:jc w:val="left"/>
                    <w:rPr>
                      <w:sz w:val="16"/>
                      <w:szCs w:val="16"/>
                    </w:rPr>
                  </w:pPr>
                  <w:r w:rsidRPr="00C915AA">
                    <w:rPr>
                      <w:sz w:val="16"/>
                      <w:szCs w:val="16"/>
                    </w:rPr>
                    <w:t>Most recent data for this measure are comparable and complet</w:t>
                  </w:r>
                  <w:r w:rsidR="00C915AA" w:rsidRPr="00C915AA">
                    <w:rPr>
                      <w:sz w:val="16"/>
                      <w:szCs w:val="16"/>
                    </w:rPr>
                    <w:t>e, subject to caveats (chapter 5</w:t>
                  </w:r>
                  <w:r w:rsidRPr="00C915AA">
                    <w:rPr>
                      <w:sz w:val="16"/>
                      <w:szCs w:val="16"/>
                    </w:rPr>
                    <w:t>)</w:t>
                  </w:r>
                </w:p>
              </w:tc>
            </w:tr>
            <w:tr w:rsidR="00710E6C" w:rsidRPr="008A65AC" w:rsidTr="00710E6C">
              <w:tc>
                <w:tcPr>
                  <w:tcW w:w="501" w:type="pct"/>
                  <w:shd w:val="clear" w:color="auto" w:fill="auto"/>
                </w:tcPr>
                <w:p w:rsidR="00710E6C" w:rsidRPr="00C915AA" w:rsidRDefault="00710E6C" w:rsidP="00AE7A8F">
                  <w:pPr>
                    <w:pStyle w:val="TableBodyText"/>
                  </w:pPr>
                  <w:r w:rsidRPr="00C915AA">
                    <w:t>$</w:t>
                  </w:r>
                </w:p>
              </w:tc>
              <w:tc>
                <w:tcPr>
                  <w:tcW w:w="501" w:type="pct"/>
                  <w:vAlign w:val="center"/>
                </w:tcPr>
                <w:p w:rsidR="00710E6C" w:rsidRDefault="00710E6C" w:rsidP="00710E6C">
                  <w:pPr>
                    <w:pStyle w:val="TableBodyText"/>
                  </w:pPr>
                  <w:r>
                    <w:t xml:space="preserve">  12.76</w:t>
                  </w:r>
                </w:p>
              </w:tc>
              <w:tc>
                <w:tcPr>
                  <w:tcW w:w="501" w:type="pct"/>
                  <w:vAlign w:val="center"/>
                </w:tcPr>
                <w:p w:rsidR="00710E6C" w:rsidRDefault="00710E6C" w:rsidP="00710E6C">
                  <w:pPr>
                    <w:pStyle w:val="TableBodyText"/>
                  </w:pPr>
                  <w:r>
                    <w:t xml:space="preserve">  7.80</w:t>
                  </w:r>
                </w:p>
              </w:tc>
              <w:tc>
                <w:tcPr>
                  <w:tcW w:w="501" w:type="pct"/>
                  <w:vAlign w:val="center"/>
                </w:tcPr>
                <w:p w:rsidR="00710E6C" w:rsidRDefault="00710E6C" w:rsidP="00710E6C">
                  <w:pPr>
                    <w:pStyle w:val="TableBodyText"/>
                  </w:pPr>
                  <w:r>
                    <w:t xml:space="preserve">  13.55</w:t>
                  </w:r>
                </w:p>
              </w:tc>
              <w:tc>
                <w:tcPr>
                  <w:tcW w:w="501" w:type="pct"/>
                  <w:vAlign w:val="center"/>
                </w:tcPr>
                <w:p w:rsidR="00710E6C" w:rsidRDefault="00710E6C" w:rsidP="00710E6C">
                  <w:pPr>
                    <w:pStyle w:val="TableBodyText"/>
                  </w:pPr>
                  <w:r>
                    <w:t xml:space="preserve">  15.08</w:t>
                  </w:r>
                </w:p>
              </w:tc>
              <w:tc>
                <w:tcPr>
                  <w:tcW w:w="501" w:type="pct"/>
                  <w:vAlign w:val="center"/>
                </w:tcPr>
                <w:p w:rsidR="00710E6C" w:rsidRDefault="00710E6C" w:rsidP="00710E6C">
                  <w:pPr>
                    <w:pStyle w:val="TableBodyText"/>
                  </w:pPr>
                  <w:r>
                    <w:t xml:space="preserve">  13.98</w:t>
                  </w:r>
                </w:p>
              </w:tc>
              <w:tc>
                <w:tcPr>
                  <w:tcW w:w="501" w:type="pct"/>
                  <w:vAlign w:val="center"/>
                </w:tcPr>
                <w:p w:rsidR="00710E6C" w:rsidRDefault="00710E6C" w:rsidP="00710E6C">
                  <w:pPr>
                    <w:pStyle w:val="TableBodyText"/>
                  </w:pPr>
                  <w:r>
                    <w:t xml:space="preserve">  16.67</w:t>
                  </w:r>
                </w:p>
              </w:tc>
              <w:tc>
                <w:tcPr>
                  <w:tcW w:w="501" w:type="pct"/>
                  <w:shd w:val="clear" w:color="auto" w:fill="auto"/>
                  <w:vAlign w:val="center"/>
                </w:tcPr>
                <w:p w:rsidR="00710E6C" w:rsidRDefault="00710E6C" w:rsidP="00710E6C">
                  <w:pPr>
                    <w:pStyle w:val="TableBodyText"/>
                  </w:pPr>
                  <w:r>
                    <w:t xml:space="preserve">  17.01</w:t>
                  </w:r>
                </w:p>
              </w:tc>
              <w:tc>
                <w:tcPr>
                  <w:tcW w:w="496" w:type="pct"/>
                  <w:vAlign w:val="center"/>
                </w:tcPr>
                <w:p w:rsidR="00710E6C" w:rsidRDefault="00710E6C" w:rsidP="00710E6C">
                  <w:pPr>
                    <w:pStyle w:val="TableBodyText"/>
                  </w:pPr>
                  <w:r>
                    <w:t xml:space="preserve">  19.25</w:t>
                  </w:r>
                </w:p>
              </w:tc>
              <w:tc>
                <w:tcPr>
                  <w:tcW w:w="496" w:type="pct"/>
                  <w:shd w:val="clear" w:color="auto" w:fill="auto"/>
                  <w:vAlign w:val="center"/>
                </w:tcPr>
                <w:p w:rsidR="00710E6C" w:rsidRDefault="00710E6C" w:rsidP="00710E6C">
                  <w:pPr>
                    <w:pStyle w:val="TableBodyText"/>
                  </w:pPr>
                  <w:r>
                    <w:t xml:space="preserve">  11.40</w:t>
                  </w:r>
                </w:p>
              </w:tc>
            </w:tr>
            <w:tr w:rsidR="00C915AA" w:rsidRPr="008A65AC" w:rsidTr="00AE7A8F">
              <w:tc>
                <w:tcPr>
                  <w:tcW w:w="5000" w:type="pct"/>
                  <w:gridSpan w:val="10"/>
                  <w:shd w:val="clear" w:color="auto" w:fill="auto"/>
                </w:tcPr>
                <w:p w:rsidR="00C915AA" w:rsidRPr="00C915AA" w:rsidRDefault="00C915AA" w:rsidP="00C77011">
                  <w:pPr>
                    <w:pStyle w:val="Source"/>
                    <w:spacing w:before="0" w:after="80"/>
                    <w:ind w:left="113"/>
                  </w:pPr>
                  <w:r w:rsidRPr="00C915AA">
                    <w:rPr>
                      <w:i/>
                    </w:rPr>
                    <w:t xml:space="preserve">Source: </w:t>
                  </w:r>
                  <w:r w:rsidR="00523185">
                    <w:t xml:space="preserve">Attachment table </w:t>
                  </w:r>
                  <w:proofErr w:type="spellStart"/>
                  <w:r w:rsidR="00523185">
                    <w:t>5A.34</w:t>
                  </w:r>
                  <w:proofErr w:type="spellEnd"/>
                </w:p>
              </w:tc>
            </w:tr>
            <w:tr w:rsidR="00C915AA" w:rsidRPr="008A65AC" w:rsidTr="00AE7A8F">
              <w:tc>
                <w:tcPr>
                  <w:tcW w:w="5000" w:type="pct"/>
                  <w:gridSpan w:val="10"/>
                  <w:shd w:val="clear" w:color="auto" w:fill="auto"/>
                </w:tcPr>
                <w:p w:rsidR="00C915AA" w:rsidRPr="008A65AC" w:rsidRDefault="00C915AA" w:rsidP="00710E6C">
                  <w:pPr>
                    <w:pStyle w:val="DQIRowHeadings"/>
                    <w:rPr>
                      <w:color w:val="FF0000"/>
                    </w:rPr>
                  </w:pPr>
                  <w:r>
                    <w:t xml:space="preserve">Government recurrent expenditure </w:t>
                  </w:r>
                  <w:r w:rsidR="00710E6C">
                    <w:t>—</w:t>
                  </w:r>
                  <w:r>
                    <w:t xml:space="preserve"> per load pass</w:t>
                  </w:r>
                </w:p>
              </w:tc>
            </w:tr>
            <w:tr w:rsidR="00C915AA" w:rsidRPr="008A65AC" w:rsidTr="00AE7A8F">
              <w:tc>
                <w:tcPr>
                  <w:tcW w:w="5000" w:type="pct"/>
                  <w:gridSpan w:val="10"/>
                  <w:shd w:val="clear" w:color="auto" w:fill="auto"/>
                </w:tcPr>
                <w:p w:rsidR="00C915AA" w:rsidRPr="00C915AA" w:rsidRDefault="00C915AA" w:rsidP="00C915AA">
                  <w:pPr>
                    <w:pStyle w:val="TableBodyText"/>
                    <w:ind w:left="113" w:right="28"/>
                    <w:jc w:val="left"/>
                  </w:pPr>
                  <w:r w:rsidRPr="00632B04">
                    <w:t xml:space="preserve">Government recurrent expenditure per </w:t>
                  </w:r>
                  <w:r>
                    <w:t>government funded load pass, 2014</w:t>
                  </w:r>
                </w:p>
              </w:tc>
            </w:tr>
            <w:tr w:rsidR="00C915AA" w:rsidRPr="008A65AC" w:rsidTr="00AE7A8F">
              <w:tc>
                <w:tcPr>
                  <w:tcW w:w="5000" w:type="pct"/>
                  <w:gridSpan w:val="10"/>
                  <w:shd w:val="clear" w:color="auto" w:fill="auto"/>
                </w:tcPr>
                <w:p w:rsidR="00C915AA" w:rsidRPr="00C915AA" w:rsidRDefault="00C915AA" w:rsidP="00AE7A8F">
                  <w:pPr>
                    <w:pStyle w:val="TableBodyText"/>
                    <w:ind w:left="113" w:right="28"/>
                    <w:jc w:val="left"/>
                  </w:pPr>
                  <w:r w:rsidRPr="00C915AA">
                    <w:rPr>
                      <w:sz w:val="16"/>
                      <w:szCs w:val="16"/>
                    </w:rPr>
                    <w:t>Most recent data for this measure are comparable and complete, subject to caveats (chapter 5)</w:t>
                  </w:r>
                </w:p>
              </w:tc>
            </w:tr>
            <w:tr w:rsidR="00710E6C" w:rsidRPr="008A65AC" w:rsidTr="00710E6C">
              <w:tc>
                <w:tcPr>
                  <w:tcW w:w="501" w:type="pct"/>
                  <w:shd w:val="clear" w:color="auto" w:fill="auto"/>
                </w:tcPr>
                <w:p w:rsidR="00710E6C" w:rsidRPr="008A65AC" w:rsidRDefault="00710E6C" w:rsidP="00AE7A8F">
                  <w:pPr>
                    <w:pStyle w:val="TableBodyText"/>
                    <w:rPr>
                      <w:color w:val="FF0000"/>
                    </w:rPr>
                  </w:pPr>
                  <w:r w:rsidRPr="00C915AA">
                    <w:t>$</w:t>
                  </w:r>
                </w:p>
              </w:tc>
              <w:tc>
                <w:tcPr>
                  <w:tcW w:w="501" w:type="pct"/>
                  <w:vAlign w:val="bottom"/>
                </w:tcPr>
                <w:p w:rsidR="00710E6C" w:rsidRDefault="00710E6C" w:rsidP="00710E6C">
                  <w:pPr>
                    <w:pStyle w:val="TableBodyText"/>
                  </w:pPr>
                  <w:r>
                    <w:t>15.83</w:t>
                  </w:r>
                </w:p>
              </w:tc>
              <w:tc>
                <w:tcPr>
                  <w:tcW w:w="501" w:type="pct"/>
                  <w:vAlign w:val="bottom"/>
                </w:tcPr>
                <w:p w:rsidR="00710E6C" w:rsidRDefault="00710E6C" w:rsidP="00710E6C">
                  <w:pPr>
                    <w:pStyle w:val="TableBodyText"/>
                  </w:pPr>
                  <w:r>
                    <w:t>9.40</w:t>
                  </w:r>
                </w:p>
              </w:tc>
              <w:tc>
                <w:tcPr>
                  <w:tcW w:w="501" w:type="pct"/>
                  <w:vAlign w:val="bottom"/>
                </w:tcPr>
                <w:p w:rsidR="00710E6C" w:rsidRDefault="00710E6C" w:rsidP="00710E6C">
                  <w:pPr>
                    <w:pStyle w:val="TableBodyText"/>
                  </w:pPr>
                  <w:r>
                    <w:t>14.80</w:t>
                  </w:r>
                </w:p>
              </w:tc>
              <w:tc>
                <w:tcPr>
                  <w:tcW w:w="501" w:type="pct"/>
                  <w:vAlign w:val="bottom"/>
                </w:tcPr>
                <w:p w:rsidR="00710E6C" w:rsidRDefault="00710E6C" w:rsidP="00710E6C">
                  <w:pPr>
                    <w:pStyle w:val="TableBodyText"/>
                  </w:pPr>
                  <w:r>
                    <w:t>18.87</w:t>
                  </w:r>
                </w:p>
              </w:tc>
              <w:tc>
                <w:tcPr>
                  <w:tcW w:w="501" w:type="pct"/>
                  <w:vAlign w:val="bottom"/>
                </w:tcPr>
                <w:p w:rsidR="00710E6C" w:rsidRDefault="00710E6C" w:rsidP="00710E6C">
                  <w:pPr>
                    <w:pStyle w:val="TableBodyText"/>
                  </w:pPr>
                  <w:r>
                    <w:t>16.07</w:t>
                  </w:r>
                </w:p>
              </w:tc>
              <w:tc>
                <w:tcPr>
                  <w:tcW w:w="501" w:type="pct"/>
                  <w:vAlign w:val="bottom"/>
                </w:tcPr>
                <w:p w:rsidR="00710E6C" w:rsidRDefault="00710E6C" w:rsidP="00710E6C">
                  <w:pPr>
                    <w:pStyle w:val="TableBodyText"/>
                  </w:pPr>
                  <w:r>
                    <w:t>20.84</w:t>
                  </w:r>
                </w:p>
              </w:tc>
              <w:tc>
                <w:tcPr>
                  <w:tcW w:w="501" w:type="pct"/>
                  <w:shd w:val="clear" w:color="auto" w:fill="auto"/>
                  <w:vAlign w:val="bottom"/>
                </w:tcPr>
                <w:p w:rsidR="00710E6C" w:rsidRDefault="00710E6C" w:rsidP="00710E6C">
                  <w:pPr>
                    <w:pStyle w:val="TableBodyText"/>
                  </w:pPr>
                  <w:r>
                    <w:t>20.34</w:t>
                  </w:r>
                </w:p>
              </w:tc>
              <w:tc>
                <w:tcPr>
                  <w:tcW w:w="496" w:type="pct"/>
                  <w:vAlign w:val="bottom"/>
                </w:tcPr>
                <w:p w:rsidR="00710E6C" w:rsidRDefault="00710E6C" w:rsidP="00710E6C">
                  <w:pPr>
                    <w:pStyle w:val="TableBodyText"/>
                  </w:pPr>
                  <w:r>
                    <w:t>26.56</w:t>
                  </w:r>
                </w:p>
              </w:tc>
              <w:tc>
                <w:tcPr>
                  <w:tcW w:w="496" w:type="pct"/>
                  <w:shd w:val="clear" w:color="auto" w:fill="auto"/>
                  <w:vAlign w:val="bottom"/>
                </w:tcPr>
                <w:p w:rsidR="00710E6C" w:rsidRDefault="00710E6C" w:rsidP="00710E6C">
                  <w:pPr>
                    <w:pStyle w:val="TableBodyText"/>
                  </w:pPr>
                  <w:r>
                    <w:t>13.66</w:t>
                  </w:r>
                </w:p>
              </w:tc>
            </w:tr>
            <w:tr w:rsidR="00C915AA" w:rsidRPr="008A65AC" w:rsidTr="00AE7A8F">
              <w:tc>
                <w:tcPr>
                  <w:tcW w:w="5000" w:type="pct"/>
                  <w:gridSpan w:val="10"/>
                  <w:shd w:val="clear" w:color="auto" w:fill="auto"/>
                </w:tcPr>
                <w:p w:rsidR="00C915AA" w:rsidRPr="00C915AA" w:rsidRDefault="00C915AA" w:rsidP="00710E6C">
                  <w:pPr>
                    <w:pStyle w:val="Source"/>
                    <w:spacing w:before="0" w:after="80"/>
                    <w:ind w:left="113"/>
                  </w:pPr>
                  <w:r w:rsidRPr="00C915AA">
                    <w:rPr>
                      <w:i/>
                    </w:rPr>
                    <w:t xml:space="preserve">Source: </w:t>
                  </w:r>
                  <w:r w:rsidRPr="00C915AA">
                    <w:t xml:space="preserve">Attachment table </w:t>
                  </w:r>
                  <w:proofErr w:type="spellStart"/>
                  <w:r w:rsidRPr="00C915AA">
                    <w:t>5A.</w:t>
                  </w:r>
                  <w:r w:rsidR="00710E6C">
                    <w:t>35</w:t>
                  </w:r>
                  <w:proofErr w:type="spellEnd"/>
                </w:p>
              </w:tc>
            </w:tr>
            <w:tr w:rsidR="00C915AA" w:rsidRPr="008A65AC" w:rsidTr="00AE7A8F">
              <w:tc>
                <w:tcPr>
                  <w:tcW w:w="5000" w:type="pct"/>
                  <w:gridSpan w:val="10"/>
                  <w:shd w:val="clear" w:color="auto" w:fill="auto"/>
                </w:tcPr>
                <w:p w:rsidR="00C915AA" w:rsidRPr="008A65AC" w:rsidRDefault="00CB4F07" w:rsidP="00CD5928">
                  <w:pPr>
                    <w:pStyle w:val="DQIRowHeadings"/>
                    <w:rPr>
                      <w:color w:val="FF0000"/>
                    </w:rPr>
                  </w:pPr>
                  <w:r w:rsidRPr="00CB4F07">
                    <w:t xml:space="preserve">User cost of capital </w:t>
                  </w:r>
                  <w:r w:rsidR="00CD5928">
                    <w:t>—</w:t>
                  </w:r>
                  <w:r w:rsidRPr="00CB4F07">
                    <w:t xml:space="preserve"> per annual hour</w:t>
                  </w:r>
                </w:p>
              </w:tc>
            </w:tr>
            <w:tr w:rsidR="00C915AA" w:rsidRPr="008A65AC" w:rsidTr="00AE7A8F">
              <w:tc>
                <w:tcPr>
                  <w:tcW w:w="5000" w:type="pct"/>
                  <w:gridSpan w:val="10"/>
                  <w:shd w:val="clear" w:color="auto" w:fill="auto"/>
                </w:tcPr>
                <w:p w:rsidR="00C915AA" w:rsidRPr="00CB4F07" w:rsidRDefault="00CB4F07" w:rsidP="00AE7A8F">
                  <w:pPr>
                    <w:pStyle w:val="TableBodyText"/>
                    <w:ind w:left="113" w:right="28"/>
                    <w:jc w:val="left"/>
                  </w:pPr>
                  <w:r w:rsidRPr="004F4DD9">
                    <w:t xml:space="preserve">User cost of capital per </w:t>
                  </w:r>
                  <w:r>
                    <w:t xml:space="preserve">government funded </w:t>
                  </w:r>
                  <w:r w:rsidRPr="004F4DD9">
                    <w:t>annual hour</w:t>
                  </w:r>
                  <w:r>
                    <w:t>, 2014</w:t>
                  </w:r>
                </w:p>
              </w:tc>
            </w:tr>
            <w:tr w:rsidR="00C915AA" w:rsidRPr="008A65AC" w:rsidTr="00AE7A8F">
              <w:tc>
                <w:tcPr>
                  <w:tcW w:w="5000" w:type="pct"/>
                  <w:gridSpan w:val="10"/>
                  <w:shd w:val="clear" w:color="auto" w:fill="auto"/>
                </w:tcPr>
                <w:p w:rsidR="00C915AA" w:rsidRPr="00CB4F07" w:rsidRDefault="00C915AA" w:rsidP="00AE7A8F">
                  <w:pPr>
                    <w:pStyle w:val="TableBodyText"/>
                    <w:ind w:left="113" w:right="28"/>
                    <w:jc w:val="left"/>
                  </w:pPr>
                  <w:r w:rsidRPr="00CB4F07">
                    <w:rPr>
                      <w:sz w:val="16"/>
                      <w:szCs w:val="16"/>
                    </w:rPr>
                    <w:t>Most recent data for this measure are comparable and complet</w:t>
                  </w:r>
                  <w:r w:rsidR="00CB4F07" w:rsidRPr="00CB4F07">
                    <w:rPr>
                      <w:sz w:val="16"/>
                      <w:szCs w:val="16"/>
                    </w:rPr>
                    <w:t>e, subject to caveats (chapter 5</w:t>
                  </w:r>
                  <w:r w:rsidRPr="00CB4F07">
                    <w:rPr>
                      <w:sz w:val="16"/>
                      <w:szCs w:val="16"/>
                    </w:rPr>
                    <w:t>)</w:t>
                  </w:r>
                </w:p>
              </w:tc>
            </w:tr>
            <w:tr w:rsidR="00710E6C" w:rsidRPr="008A65AC" w:rsidTr="00710E6C">
              <w:tc>
                <w:tcPr>
                  <w:tcW w:w="501" w:type="pct"/>
                  <w:shd w:val="clear" w:color="auto" w:fill="auto"/>
                </w:tcPr>
                <w:p w:rsidR="00710E6C" w:rsidRPr="008A65AC" w:rsidRDefault="00710E6C" w:rsidP="00AE7A8F">
                  <w:pPr>
                    <w:pStyle w:val="TableBodyText"/>
                    <w:rPr>
                      <w:color w:val="FF0000"/>
                    </w:rPr>
                  </w:pPr>
                  <w:r w:rsidRPr="00CB4F07">
                    <w:t>$</w:t>
                  </w:r>
                </w:p>
              </w:tc>
              <w:tc>
                <w:tcPr>
                  <w:tcW w:w="501" w:type="pct"/>
                  <w:vAlign w:val="center"/>
                </w:tcPr>
                <w:p w:rsidR="00710E6C" w:rsidRDefault="00710E6C" w:rsidP="00710E6C">
                  <w:pPr>
                    <w:pStyle w:val="TableBodyText"/>
                  </w:pPr>
                  <w:r>
                    <w:t>2.98</w:t>
                  </w:r>
                </w:p>
              </w:tc>
              <w:tc>
                <w:tcPr>
                  <w:tcW w:w="501" w:type="pct"/>
                  <w:vAlign w:val="center"/>
                </w:tcPr>
                <w:p w:rsidR="00710E6C" w:rsidRDefault="00710E6C" w:rsidP="00710E6C">
                  <w:pPr>
                    <w:pStyle w:val="TableBodyText"/>
                  </w:pPr>
                  <w:r>
                    <w:t>0.87</w:t>
                  </w:r>
                </w:p>
              </w:tc>
              <w:tc>
                <w:tcPr>
                  <w:tcW w:w="501" w:type="pct"/>
                  <w:vAlign w:val="center"/>
                </w:tcPr>
                <w:p w:rsidR="00710E6C" w:rsidRDefault="00710E6C" w:rsidP="00710E6C">
                  <w:pPr>
                    <w:pStyle w:val="TableBodyText"/>
                  </w:pPr>
                  <w:r>
                    <w:t>0.78</w:t>
                  </w:r>
                </w:p>
              </w:tc>
              <w:tc>
                <w:tcPr>
                  <w:tcW w:w="501" w:type="pct"/>
                  <w:vAlign w:val="center"/>
                </w:tcPr>
                <w:p w:rsidR="00710E6C" w:rsidRDefault="00710E6C" w:rsidP="00710E6C">
                  <w:pPr>
                    <w:pStyle w:val="TableBodyText"/>
                  </w:pPr>
                  <w:r>
                    <w:t>2.35</w:t>
                  </w:r>
                </w:p>
              </w:tc>
              <w:tc>
                <w:tcPr>
                  <w:tcW w:w="501" w:type="pct"/>
                  <w:vAlign w:val="center"/>
                </w:tcPr>
                <w:p w:rsidR="00710E6C" w:rsidRDefault="00710E6C" w:rsidP="00710E6C">
                  <w:pPr>
                    <w:pStyle w:val="TableBodyText"/>
                  </w:pPr>
                  <w:r>
                    <w:t>2.22</w:t>
                  </w:r>
                </w:p>
              </w:tc>
              <w:tc>
                <w:tcPr>
                  <w:tcW w:w="501" w:type="pct"/>
                  <w:vAlign w:val="center"/>
                </w:tcPr>
                <w:p w:rsidR="00710E6C" w:rsidRDefault="00710E6C" w:rsidP="00710E6C">
                  <w:pPr>
                    <w:pStyle w:val="TableBodyText"/>
                  </w:pPr>
                  <w:r>
                    <w:t>2.79</w:t>
                  </w:r>
                </w:p>
              </w:tc>
              <w:tc>
                <w:tcPr>
                  <w:tcW w:w="501" w:type="pct"/>
                  <w:shd w:val="clear" w:color="auto" w:fill="auto"/>
                  <w:vAlign w:val="center"/>
                </w:tcPr>
                <w:p w:rsidR="00710E6C" w:rsidRDefault="00710E6C" w:rsidP="00710E6C">
                  <w:pPr>
                    <w:pStyle w:val="TableBodyText"/>
                  </w:pPr>
                  <w:r>
                    <w:t>2.60</w:t>
                  </w:r>
                </w:p>
              </w:tc>
              <w:tc>
                <w:tcPr>
                  <w:tcW w:w="496" w:type="pct"/>
                  <w:vAlign w:val="center"/>
                </w:tcPr>
                <w:p w:rsidR="00710E6C" w:rsidRDefault="00710E6C" w:rsidP="00710E6C">
                  <w:pPr>
                    <w:pStyle w:val="TableBodyText"/>
                  </w:pPr>
                  <w:r>
                    <w:t>3.16</w:t>
                  </w:r>
                </w:p>
              </w:tc>
              <w:tc>
                <w:tcPr>
                  <w:tcW w:w="496" w:type="pct"/>
                  <w:shd w:val="clear" w:color="auto" w:fill="auto"/>
                  <w:vAlign w:val="center"/>
                </w:tcPr>
                <w:p w:rsidR="00710E6C" w:rsidRDefault="00710E6C" w:rsidP="00710E6C">
                  <w:pPr>
                    <w:pStyle w:val="TableBodyText"/>
                  </w:pPr>
                  <w:r>
                    <w:t>1.72</w:t>
                  </w:r>
                </w:p>
              </w:tc>
            </w:tr>
            <w:tr w:rsidR="00CB4F07" w:rsidRPr="008A65AC" w:rsidTr="00CB4F07">
              <w:tc>
                <w:tcPr>
                  <w:tcW w:w="5000" w:type="pct"/>
                  <w:gridSpan w:val="10"/>
                  <w:shd w:val="clear" w:color="auto" w:fill="auto"/>
                </w:tcPr>
                <w:p w:rsidR="00CB4F07" w:rsidRDefault="00CB4F07" w:rsidP="00C77011">
                  <w:pPr>
                    <w:pStyle w:val="Source"/>
                    <w:spacing w:before="0" w:after="80"/>
                    <w:ind w:left="113"/>
                  </w:pPr>
                  <w:r w:rsidRPr="00CB4F07">
                    <w:rPr>
                      <w:i/>
                    </w:rPr>
                    <w:t xml:space="preserve">Source: </w:t>
                  </w:r>
                  <w:r w:rsidR="00710E6C">
                    <w:t xml:space="preserve">Attachment table </w:t>
                  </w:r>
                  <w:proofErr w:type="spellStart"/>
                  <w:r w:rsidR="00710E6C">
                    <w:t>5A.36</w:t>
                  </w:r>
                  <w:proofErr w:type="spellEnd"/>
                </w:p>
              </w:tc>
            </w:tr>
            <w:tr w:rsidR="002770B4" w:rsidRPr="008A65AC" w:rsidTr="00423DF6">
              <w:tc>
                <w:tcPr>
                  <w:tcW w:w="5000" w:type="pct"/>
                  <w:gridSpan w:val="10"/>
                  <w:shd w:val="clear" w:color="auto" w:fill="auto"/>
                </w:tcPr>
                <w:p w:rsidR="002770B4" w:rsidRPr="004F4DD9" w:rsidRDefault="002770B4" w:rsidP="002770B4">
                  <w:pPr>
                    <w:pStyle w:val="DQIRowHeadings"/>
                  </w:pPr>
                  <w:r w:rsidRPr="00CB4F07">
                    <w:t>User co</w:t>
                  </w:r>
                  <w:r w:rsidR="00CD5928">
                    <w:t>st of capital —</w:t>
                  </w:r>
                  <w:r>
                    <w:t xml:space="preserve"> per load pass</w:t>
                  </w:r>
                </w:p>
              </w:tc>
            </w:tr>
            <w:tr w:rsidR="00423DF6" w:rsidRPr="008A65AC" w:rsidTr="00423DF6">
              <w:tc>
                <w:tcPr>
                  <w:tcW w:w="5000" w:type="pct"/>
                  <w:gridSpan w:val="10"/>
                  <w:shd w:val="clear" w:color="auto" w:fill="auto"/>
                </w:tcPr>
                <w:p w:rsidR="00423DF6" w:rsidRPr="00CB4F07" w:rsidRDefault="00423DF6" w:rsidP="00325888">
                  <w:pPr>
                    <w:pStyle w:val="TableBodyText"/>
                    <w:ind w:left="113" w:right="28"/>
                    <w:jc w:val="left"/>
                  </w:pPr>
                  <w:r w:rsidRPr="004F4DD9">
                    <w:t xml:space="preserve">User cost of capital per </w:t>
                  </w:r>
                  <w:r>
                    <w:t>government funded load pass, 2014</w:t>
                  </w:r>
                </w:p>
              </w:tc>
            </w:tr>
            <w:tr w:rsidR="00423DF6" w:rsidRPr="008A65AC" w:rsidTr="00423DF6">
              <w:tc>
                <w:tcPr>
                  <w:tcW w:w="5000" w:type="pct"/>
                  <w:gridSpan w:val="10"/>
                  <w:shd w:val="clear" w:color="auto" w:fill="auto"/>
                </w:tcPr>
                <w:p w:rsidR="00423DF6" w:rsidRPr="00CB4F07" w:rsidRDefault="00423DF6" w:rsidP="00325888">
                  <w:pPr>
                    <w:pStyle w:val="TableBodyText"/>
                    <w:ind w:left="113" w:right="28"/>
                    <w:jc w:val="left"/>
                  </w:pPr>
                  <w:r w:rsidRPr="00CB4F07">
                    <w:rPr>
                      <w:sz w:val="16"/>
                      <w:szCs w:val="16"/>
                    </w:rPr>
                    <w:t>Most recent data for this measure are comparable and complete, subject to caveats (chapter 5)</w:t>
                  </w:r>
                </w:p>
              </w:tc>
            </w:tr>
            <w:tr w:rsidR="00710E6C" w:rsidRPr="008A65AC" w:rsidTr="00710E6C">
              <w:tc>
                <w:tcPr>
                  <w:tcW w:w="501" w:type="pct"/>
                  <w:shd w:val="clear" w:color="auto" w:fill="auto"/>
                </w:tcPr>
                <w:p w:rsidR="00710E6C" w:rsidRPr="00CB4F07" w:rsidRDefault="00710E6C" w:rsidP="00AE7A8F">
                  <w:pPr>
                    <w:pStyle w:val="TableBodyText"/>
                  </w:pPr>
                  <w:r>
                    <w:t>$</w:t>
                  </w:r>
                </w:p>
              </w:tc>
              <w:tc>
                <w:tcPr>
                  <w:tcW w:w="501" w:type="pct"/>
                  <w:vAlign w:val="center"/>
                </w:tcPr>
                <w:p w:rsidR="00710E6C" w:rsidRDefault="00710E6C" w:rsidP="00710E6C">
                  <w:pPr>
                    <w:pStyle w:val="TableBodyText"/>
                  </w:pPr>
                  <w:r>
                    <w:t>3.70</w:t>
                  </w:r>
                </w:p>
              </w:tc>
              <w:tc>
                <w:tcPr>
                  <w:tcW w:w="501" w:type="pct"/>
                  <w:vAlign w:val="center"/>
                </w:tcPr>
                <w:p w:rsidR="00710E6C" w:rsidRDefault="00710E6C" w:rsidP="00710E6C">
                  <w:pPr>
                    <w:pStyle w:val="TableBodyText"/>
                  </w:pPr>
                  <w:r>
                    <w:t>1.05</w:t>
                  </w:r>
                </w:p>
              </w:tc>
              <w:tc>
                <w:tcPr>
                  <w:tcW w:w="501" w:type="pct"/>
                  <w:vAlign w:val="center"/>
                </w:tcPr>
                <w:p w:rsidR="00710E6C" w:rsidRDefault="00710E6C" w:rsidP="00710E6C">
                  <w:pPr>
                    <w:pStyle w:val="TableBodyText"/>
                  </w:pPr>
                  <w:r>
                    <w:t>0.85</w:t>
                  </w:r>
                </w:p>
              </w:tc>
              <w:tc>
                <w:tcPr>
                  <w:tcW w:w="501" w:type="pct"/>
                  <w:vAlign w:val="center"/>
                </w:tcPr>
                <w:p w:rsidR="00710E6C" w:rsidRDefault="00710E6C" w:rsidP="00710E6C">
                  <w:pPr>
                    <w:pStyle w:val="TableBodyText"/>
                  </w:pPr>
                  <w:r>
                    <w:t>2.94</w:t>
                  </w:r>
                </w:p>
              </w:tc>
              <w:tc>
                <w:tcPr>
                  <w:tcW w:w="501" w:type="pct"/>
                  <w:vAlign w:val="center"/>
                </w:tcPr>
                <w:p w:rsidR="00710E6C" w:rsidRDefault="00710E6C" w:rsidP="00710E6C">
                  <w:pPr>
                    <w:pStyle w:val="TableBodyText"/>
                  </w:pPr>
                  <w:r>
                    <w:t>2.55</w:t>
                  </w:r>
                </w:p>
              </w:tc>
              <w:tc>
                <w:tcPr>
                  <w:tcW w:w="501" w:type="pct"/>
                  <w:vAlign w:val="center"/>
                </w:tcPr>
                <w:p w:rsidR="00710E6C" w:rsidRDefault="00710E6C" w:rsidP="00710E6C">
                  <w:pPr>
                    <w:pStyle w:val="TableBodyText"/>
                  </w:pPr>
                  <w:r>
                    <w:t>3.48</w:t>
                  </w:r>
                </w:p>
              </w:tc>
              <w:tc>
                <w:tcPr>
                  <w:tcW w:w="501" w:type="pct"/>
                  <w:shd w:val="clear" w:color="auto" w:fill="auto"/>
                  <w:vAlign w:val="center"/>
                </w:tcPr>
                <w:p w:rsidR="00710E6C" w:rsidRDefault="00710E6C" w:rsidP="00710E6C">
                  <w:pPr>
                    <w:pStyle w:val="TableBodyText"/>
                  </w:pPr>
                  <w:r>
                    <w:t>3.11</w:t>
                  </w:r>
                </w:p>
              </w:tc>
              <w:tc>
                <w:tcPr>
                  <w:tcW w:w="496" w:type="pct"/>
                  <w:vAlign w:val="center"/>
                </w:tcPr>
                <w:p w:rsidR="00710E6C" w:rsidRDefault="00710E6C" w:rsidP="00710E6C">
                  <w:pPr>
                    <w:pStyle w:val="TableBodyText"/>
                  </w:pPr>
                  <w:r>
                    <w:t>4.35</w:t>
                  </w:r>
                </w:p>
              </w:tc>
              <w:tc>
                <w:tcPr>
                  <w:tcW w:w="496" w:type="pct"/>
                  <w:shd w:val="clear" w:color="auto" w:fill="auto"/>
                  <w:vAlign w:val="center"/>
                </w:tcPr>
                <w:p w:rsidR="00710E6C" w:rsidRDefault="00710E6C" w:rsidP="00710E6C">
                  <w:pPr>
                    <w:pStyle w:val="TableBodyText"/>
                  </w:pPr>
                  <w:r>
                    <w:t>2.07</w:t>
                  </w:r>
                </w:p>
              </w:tc>
            </w:tr>
            <w:tr w:rsidR="00B91206" w:rsidRPr="008A65AC" w:rsidTr="00D44CBF">
              <w:tc>
                <w:tcPr>
                  <w:tcW w:w="5000" w:type="pct"/>
                  <w:gridSpan w:val="10"/>
                  <w:tcBorders>
                    <w:bottom w:val="single" w:sz="6" w:space="0" w:color="BFBFBF"/>
                  </w:tcBorders>
                  <w:shd w:val="clear" w:color="auto" w:fill="auto"/>
                </w:tcPr>
                <w:p w:rsidR="00B91206" w:rsidRDefault="00B91206" w:rsidP="00C77011">
                  <w:pPr>
                    <w:pStyle w:val="Source"/>
                    <w:spacing w:before="0" w:after="80"/>
                    <w:ind w:left="113"/>
                    <w:jc w:val="left"/>
                  </w:pPr>
                  <w:r w:rsidRPr="00CB4F07">
                    <w:rPr>
                      <w:i/>
                    </w:rPr>
                    <w:t xml:space="preserve">Source: </w:t>
                  </w:r>
                  <w:r w:rsidR="00710E6C">
                    <w:t xml:space="preserve">Attachment table </w:t>
                  </w:r>
                  <w:proofErr w:type="spellStart"/>
                  <w:r w:rsidR="00710E6C">
                    <w:t>5A.36</w:t>
                  </w:r>
                  <w:proofErr w:type="spellEnd"/>
                </w:p>
              </w:tc>
            </w:tr>
          </w:tbl>
          <w:p w:rsidR="008A65AC" w:rsidRPr="008A65AC" w:rsidRDefault="008A65AC" w:rsidP="00AE7A8F">
            <w:pPr>
              <w:pStyle w:val="Box"/>
              <w:rPr>
                <w:color w:val="FF0000"/>
              </w:rPr>
            </w:pPr>
          </w:p>
        </w:tc>
      </w:tr>
      <w:tr w:rsidR="008A65AC" w:rsidRPr="008A65AC" w:rsidTr="00AE7A8F">
        <w:trPr>
          <w:cantSplit/>
        </w:trPr>
        <w:tc>
          <w:tcPr>
            <w:tcW w:w="8771" w:type="dxa"/>
            <w:tcBorders>
              <w:top w:val="nil"/>
              <w:left w:val="nil"/>
              <w:bottom w:val="nil"/>
              <w:right w:val="nil"/>
            </w:tcBorders>
            <w:shd w:val="clear" w:color="auto" w:fill="auto"/>
          </w:tcPr>
          <w:p w:rsidR="008A65AC" w:rsidRPr="008A65AC" w:rsidRDefault="008A65AC" w:rsidP="00AE7A8F">
            <w:pPr>
              <w:pStyle w:val="TableBodyText"/>
              <w:rPr>
                <w:color w:val="FF0000"/>
              </w:rPr>
            </w:pPr>
            <w:r w:rsidRPr="00CB4F07">
              <w:t>(continued next page)</w:t>
            </w:r>
          </w:p>
        </w:tc>
      </w:tr>
      <w:tr w:rsidR="008A65AC" w:rsidRPr="008A65AC" w:rsidTr="00AE7A8F">
        <w:trPr>
          <w:cantSplit/>
        </w:trPr>
        <w:tc>
          <w:tcPr>
            <w:tcW w:w="8771" w:type="dxa"/>
            <w:tcBorders>
              <w:top w:val="nil"/>
              <w:left w:val="nil"/>
              <w:bottom w:val="single" w:sz="6" w:space="0" w:color="78A22F"/>
              <w:right w:val="nil"/>
            </w:tcBorders>
            <w:shd w:val="clear" w:color="auto" w:fill="auto"/>
          </w:tcPr>
          <w:p w:rsidR="008A65AC" w:rsidRPr="008A65AC" w:rsidRDefault="008A65AC" w:rsidP="00F85D92">
            <w:pPr>
              <w:pStyle w:val="Box"/>
              <w:keepNext w:val="0"/>
              <w:spacing w:before="0" w:line="120" w:lineRule="exact"/>
              <w:rPr>
                <w:color w:val="FF0000"/>
              </w:rPr>
            </w:pPr>
          </w:p>
        </w:tc>
      </w:tr>
    </w:tbl>
    <w:p w:rsidR="008A65AC" w:rsidRPr="008A65AC" w:rsidRDefault="008A65AC" w:rsidP="008A65AC">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A65AC" w:rsidRPr="008A65AC" w:rsidTr="00AE7A8F">
        <w:tc>
          <w:tcPr>
            <w:tcW w:w="8771" w:type="dxa"/>
            <w:tcBorders>
              <w:top w:val="single" w:sz="6" w:space="0" w:color="78A22F"/>
              <w:left w:val="nil"/>
              <w:bottom w:val="nil"/>
              <w:right w:val="nil"/>
            </w:tcBorders>
            <w:shd w:val="clear" w:color="auto" w:fill="auto"/>
          </w:tcPr>
          <w:p w:rsidR="008A65AC" w:rsidRPr="006930C5" w:rsidRDefault="008A65AC" w:rsidP="00574E4A">
            <w:pPr>
              <w:pStyle w:val="TableTitle"/>
            </w:pPr>
            <w:r w:rsidRPr="006930C5">
              <w:rPr>
                <w:b w:val="0"/>
              </w:rPr>
              <w:t xml:space="preserve">Table </w:t>
            </w:r>
            <w:proofErr w:type="spellStart"/>
            <w:r w:rsidRPr="006930C5">
              <w:rPr>
                <w:b w:val="0"/>
              </w:rPr>
              <w:t>B.</w:t>
            </w:r>
            <w:r w:rsidR="00574E4A" w:rsidRPr="006930C5">
              <w:rPr>
                <w:b w:val="0"/>
              </w:rPr>
              <w:t>3</w:t>
            </w:r>
            <w:proofErr w:type="spellEnd"/>
            <w:r w:rsidRPr="006930C5">
              <w:tab/>
            </w:r>
            <w:r w:rsidRPr="006930C5">
              <w:rPr>
                <w:b w:val="0"/>
                <w:sz w:val="18"/>
                <w:szCs w:val="18"/>
              </w:rPr>
              <w:t>(continued)</w:t>
            </w:r>
          </w:p>
        </w:tc>
      </w:tr>
      <w:tr w:rsidR="008A65AC" w:rsidRPr="008A65A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030"/>
              <w:gridCol w:w="830"/>
              <w:gridCol w:w="830"/>
              <w:gridCol w:w="830"/>
              <w:gridCol w:w="830"/>
              <w:gridCol w:w="830"/>
              <w:gridCol w:w="830"/>
              <w:gridCol w:w="832"/>
              <w:gridCol w:w="823"/>
              <w:gridCol w:w="822"/>
            </w:tblGrid>
            <w:tr w:rsidR="006930C5" w:rsidRPr="006930C5" w:rsidTr="00CD5928">
              <w:tc>
                <w:tcPr>
                  <w:tcW w:w="607" w:type="pct"/>
                  <w:tcBorders>
                    <w:top w:val="single" w:sz="6" w:space="0" w:color="BFBFBF"/>
                    <w:bottom w:val="single" w:sz="6" w:space="0" w:color="BFBFBF"/>
                  </w:tcBorders>
                  <w:shd w:val="clear" w:color="auto" w:fill="auto"/>
                  <w:tcMar>
                    <w:top w:w="28" w:type="dxa"/>
                  </w:tcMar>
                </w:tcPr>
                <w:p w:rsidR="008A65AC" w:rsidRPr="006930C5" w:rsidRDefault="008A65AC" w:rsidP="00AE7A8F">
                  <w:pPr>
                    <w:pStyle w:val="TableColumnHeading"/>
                    <w:jc w:val="left"/>
                  </w:pPr>
                </w:p>
              </w:tc>
              <w:tc>
                <w:tcPr>
                  <w:tcW w:w="489" w:type="pct"/>
                  <w:tcBorders>
                    <w:top w:val="single" w:sz="6" w:space="0" w:color="BFBFBF"/>
                    <w:bottom w:val="single" w:sz="6" w:space="0" w:color="BFBFBF"/>
                  </w:tcBorders>
                </w:tcPr>
                <w:p w:rsidR="008A65AC" w:rsidRPr="006930C5" w:rsidRDefault="008A65AC" w:rsidP="00AE7A8F">
                  <w:pPr>
                    <w:pStyle w:val="TableColumnHeading"/>
                  </w:pPr>
                  <w:r w:rsidRPr="006930C5">
                    <w:t>NSW</w:t>
                  </w:r>
                </w:p>
              </w:tc>
              <w:tc>
                <w:tcPr>
                  <w:tcW w:w="489" w:type="pct"/>
                  <w:tcBorders>
                    <w:top w:val="single" w:sz="6" w:space="0" w:color="BFBFBF"/>
                    <w:bottom w:val="single" w:sz="6" w:space="0" w:color="BFBFBF"/>
                  </w:tcBorders>
                </w:tcPr>
                <w:p w:rsidR="008A65AC" w:rsidRPr="006930C5" w:rsidRDefault="008A65AC" w:rsidP="00AE7A8F">
                  <w:pPr>
                    <w:pStyle w:val="TableColumnHeading"/>
                  </w:pPr>
                  <w:r w:rsidRPr="006930C5">
                    <w:t>Vic</w:t>
                  </w:r>
                </w:p>
              </w:tc>
              <w:tc>
                <w:tcPr>
                  <w:tcW w:w="489" w:type="pct"/>
                  <w:tcBorders>
                    <w:top w:val="single" w:sz="6" w:space="0" w:color="BFBFBF"/>
                    <w:bottom w:val="single" w:sz="6" w:space="0" w:color="BFBFBF"/>
                  </w:tcBorders>
                </w:tcPr>
                <w:p w:rsidR="008A65AC" w:rsidRPr="006930C5" w:rsidRDefault="008A65AC" w:rsidP="00AE7A8F">
                  <w:pPr>
                    <w:pStyle w:val="TableColumnHeading"/>
                  </w:pPr>
                  <w:r w:rsidRPr="006930C5">
                    <w:t>Qld</w:t>
                  </w:r>
                </w:p>
              </w:tc>
              <w:tc>
                <w:tcPr>
                  <w:tcW w:w="489" w:type="pct"/>
                  <w:tcBorders>
                    <w:top w:val="single" w:sz="6" w:space="0" w:color="BFBFBF"/>
                    <w:bottom w:val="single" w:sz="6" w:space="0" w:color="BFBFBF"/>
                  </w:tcBorders>
                </w:tcPr>
                <w:p w:rsidR="008A65AC" w:rsidRPr="006930C5" w:rsidRDefault="008A65AC" w:rsidP="00AE7A8F">
                  <w:pPr>
                    <w:pStyle w:val="TableColumnHeading"/>
                  </w:pPr>
                  <w:r w:rsidRPr="006930C5">
                    <w:t>WA</w:t>
                  </w:r>
                </w:p>
              </w:tc>
              <w:tc>
                <w:tcPr>
                  <w:tcW w:w="489" w:type="pct"/>
                  <w:tcBorders>
                    <w:top w:val="single" w:sz="6" w:space="0" w:color="BFBFBF"/>
                    <w:bottom w:val="single" w:sz="6" w:space="0" w:color="BFBFBF"/>
                  </w:tcBorders>
                </w:tcPr>
                <w:p w:rsidR="008A65AC" w:rsidRPr="006930C5" w:rsidRDefault="008A65AC" w:rsidP="00AE7A8F">
                  <w:pPr>
                    <w:pStyle w:val="TableColumnHeading"/>
                  </w:pPr>
                  <w:r w:rsidRPr="006930C5">
                    <w:t>SA</w:t>
                  </w:r>
                </w:p>
              </w:tc>
              <w:tc>
                <w:tcPr>
                  <w:tcW w:w="489" w:type="pct"/>
                  <w:tcBorders>
                    <w:top w:val="single" w:sz="6" w:space="0" w:color="BFBFBF"/>
                    <w:bottom w:val="single" w:sz="6" w:space="0" w:color="BFBFBF"/>
                  </w:tcBorders>
                </w:tcPr>
                <w:p w:rsidR="008A65AC" w:rsidRPr="006930C5" w:rsidRDefault="008A65AC" w:rsidP="00AE7A8F">
                  <w:pPr>
                    <w:pStyle w:val="TableColumnHeading"/>
                  </w:pPr>
                  <w:proofErr w:type="spellStart"/>
                  <w:r w:rsidRPr="006930C5">
                    <w:t>Tas</w:t>
                  </w:r>
                  <w:proofErr w:type="spellEnd"/>
                </w:p>
              </w:tc>
              <w:tc>
                <w:tcPr>
                  <w:tcW w:w="490" w:type="pct"/>
                  <w:tcBorders>
                    <w:top w:val="single" w:sz="6" w:space="0" w:color="BFBFBF"/>
                    <w:bottom w:val="single" w:sz="6" w:space="0" w:color="BFBFBF"/>
                  </w:tcBorders>
                  <w:shd w:val="clear" w:color="auto" w:fill="auto"/>
                  <w:tcMar>
                    <w:top w:w="28" w:type="dxa"/>
                  </w:tcMar>
                </w:tcPr>
                <w:p w:rsidR="008A65AC" w:rsidRPr="006930C5" w:rsidRDefault="008A65AC" w:rsidP="00AE7A8F">
                  <w:pPr>
                    <w:pStyle w:val="TableColumnHeading"/>
                  </w:pPr>
                  <w:r w:rsidRPr="006930C5">
                    <w:t>ACT</w:t>
                  </w:r>
                </w:p>
              </w:tc>
              <w:tc>
                <w:tcPr>
                  <w:tcW w:w="485" w:type="pct"/>
                  <w:tcBorders>
                    <w:top w:val="single" w:sz="6" w:space="0" w:color="BFBFBF"/>
                    <w:bottom w:val="single" w:sz="6" w:space="0" w:color="BFBFBF"/>
                  </w:tcBorders>
                </w:tcPr>
                <w:p w:rsidR="008A65AC" w:rsidRPr="006930C5" w:rsidRDefault="008A65AC" w:rsidP="00AE7A8F">
                  <w:pPr>
                    <w:pStyle w:val="TableColumnHeading"/>
                  </w:pPr>
                  <w:r w:rsidRPr="006930C5">
                    <w:t>NT</w:t>
                  </w:r>
                </w:p>
              </w:tc>
              <w:tc>
                <w:tcPr>
                  <w:tcW w:w="484" w:type="pct"/>
                  <w:tcBorders>
                    <w:top w:val="single" w:sz="6" w:space="0" w:color="BFBFBF"/>
                    <w:bottom w:val="single" w:sz="6" w:space="0" w:color="BFBFBF"/>
                  </w:tcBorders>
                  <w:shd w:val="clear" w:color="auto" w:fill="auto"/>
                  <w:tcMar>
                    <w:top w:w="28" w:type="dxa"/>
                  </w:tcMar>
                </w:tcPr>
                <w:p w:rsidR="008A65AC" w:rsidRPr="006930C5" w:rsidRDefault="008A65AC" w:rsidP="00AE7A8F">
                  <w:pPr>
                    <w:pStyle w:val="TableColumnHeading"/>
                  </w:pPr>
                  <w:proofErr w:type="spellStart"/>
                  <w:r w:rsidRPr="006930C5">
                    <w:t>Aust</w:t>
                  </w:r>
                  <w:proofErr w:type="spellEnd"/>
                </w:p>
              </w:tc>
            </w:tr>
            <w:tr w:rsidR="006930C5" w:rsidRPr="006930C5" w:rsidTr="00AE7A8F">
              <w:tc>
                <w:tcPr>
                  <w:tcW w:w="5000" w:type="pct"/>
                  <w:gridSpan w:val="10"/>
                  <w:tcBorders>
                    <w:top w:val="single" w:sz="6" w:space="0" w:color="BFBFBF"/>
                  </w:tcBorders>
                </w:tcPr>
                <w:p w:rsidR="002A304F" w:rsidRPr="006930C5" w:rsidRDefault="002A304F" w:rsidP="00325888">
                  <w:pPr>
                    <w:pStyle w:val="DQIMainRowHeadings"/>
                  </w:pPr>
                  <w:r w:rsidRPr="006930C5">
                    <w:t>Outcome indicators</w:t>
                  </w:r>
                </w:p>
              </w:tc>
            </w:tr>
            <w:tr w:rsidR="006930C5" w:rsidRPr="006930C5" w:rsidTr="00CD5928">
              <w:tc>
                <w:tcPr>
                  <w:tcW w:w="5000" w:type="pct"/>
                  <w:gridSpan w:val="10"/>
                </w:tcPr>
                <w:p w:rsidR="002A304F" w:rsidRPr="006930C5" w:rsidRDefault="002A304F" w:rsidP="00325888">
                  <w:pPr>
                    <w:pStyle w:val="DQIRowHeadings"/>
                  </w:pPr>
                  <w:r w:rsidRPr="006930C5">
                    <w:t>Student employment and further study outcomes</w:t>
                  </w:r>
                </w:p>
              </w:tc>
            </w:tr>
            <w:tr w:rsidR="006930C5" w:rsidRPr="006930C5" w:rsidTr="00CD5928">
              <w:tc>
                <w:tcPr>
                  <w:tcW w:w="5000" w:type="pct"/>
                  <w:gridSpan w:val="10"/>
                </w:tcPr>
                <w:p w:rsidR="002A304F" w:rsidRPr="006930C5" w:rsidRDefault="002A304F" w:rsidP="00325888">
                  <w:pPr>
                    <w:pStyle w:val="TableBodyText"/>
                    <w:ind w:left="113" w:right="28"/>
                    <w:jc w:val="left"/>
                  </w:pPr>
                  <w:r w:rsidRPr="006930C5">
                    <w:t>Proportion of government funded VET graduates who were employed and/or continued on to further study in 2014 after completing their course in 2013</w:t>
                  </w:r>
                </w:p>
              </w:tc>
            </w:tr>
            <w:tr w:rsidR="006930C5" w:rsidRPr="006930C5" w:rsidTr="00AE7A8F">
              <w:tc>
                <w:tcPr>
                  <w:tcW w:w="5000" w:type="pct"/>
                  <w:gridSpan w:val="10"/>
                </w:tcPr>
                <w:p w:rsidR="002A304F" w:rsidRPr="006930C5" w:rsidRDefault="002A304F" w:rsidP="00325888">
                  <w:pPr>
                    <w:pStyle w:val="TableBodyText"/>
                    <w:ind w:left="113" w:right="28"/>
                    <w:jc w:val="left"/>
                  </w:pPr>
                  <w:r w:rsidRPr="006930C5">
                    <w:rPr>
                      <w:sz w:val="16"/>
                      <w:szCs w:val="16"/>
                    </w:rPr>
                    <w:t>Most recent data for this measure are comparable and complete, subject to caveats (chapter 5)</w:t>
                  </w:r>
                </w:p>
              </w:tc>
            </w:tr>
            <w:tr w:rsidR="006930C5" w:rsidRPr="006930C5" w:rsidTr="00BA1629">
              <w:tc>
                <w:tcPr>
                  <w:tcW w:w="607" w:type="pct"/>
                </w:tcPr>
                <w:p w:rsidR="00F85D92" w:rsidRPr="006930C5" w:rsidRDefault="00F85D92" w:rsidP="00AE7A8F">
                  <w:pPr>
                    <w:pStyle w:val="TableBodyText"/>
                  </w:pPr>
                  <w:r w:rsidRPr="006930C5">
                    <w:t>%</w:t>
                  </w:r>
                </w:p>
              </w:tc>
              <w:tc>
                <w:tcPr>
                  <w:tcW w:w="489" w:type="pct"/>
                  <w:vAlign w:val="center"/>
                </w:tcPr>
                <w:p w:rsidR="00F85D92" w:rsidRPr="006930C5" w:rsidRDefault="00CD5928" w:rsidP="0003610F">
                  <w:pPr>
                    <w:pStyle w:val="TableBodyText"/>
                  </w:pPr>
                  <w:r w:rsidRPr="006930C5">
                    <w:t>8</w:t>
                  </w:r>
                  <w:r w:rsidR="0003610F">
                    <w:t>7.6</w:t>
                  </w:r>
                  <w:r w:rsidR="0003610F">
                    <w:br/>
                    <w:t>± 0.9</w:t>
                  </w:r>
                </w:p>
              </w:tc>
              <w:tc>
                <w:tcPr>
                  <w:tcW w:w="489" w:type="pct"/>
                </w:tcPr>
                <w:p w:rsidR="00F85D92" w:rsidRPr="006930C5" w:rsidRDefault="0003610F" w:rsidP="00CD5928">
                  <w:pPr>
                    <w:pStyle w:val="TableBodyText"/>
                  </w:pPr>
                  <w:r>
                    <w:t>85.5</w:t>
                  </w:r>
                  <w:r w:rsidR="00F85D92" w:rsidRPr="006930C5">
                    <w:br/>
                    <w:t xml:space="preserve">± </w:t>
                  </w:r>
                  <w:r>
                    <w:t>1.0</w:t>
                  </w:r>
                </w:p>
              </w:tc>
              <w:tc>
                <w:tcPr>
                  <w:tcW w:w="489" w:type="pct"/>
                </w:tcPr>
                <w:p w:rsidR="00F85D92" w:rsidRPr="006930C5" w:rsidRDefault="0003610F" w:rsidP="00CD5928">
                  <w:pPr>
                    <w:pStyle w:val="TableBodyText"/>
                  </w:pPr>
                  <w:r>
                    <w:t>87.5</w:t>
                  </w:r>
                  <w:r w:rsidR="00F85D92" w:rsidRPr="006930C5">
                    <w:br/>
                    <w:t xml:space="preserve">± </w:t>
                  </w:r>
                  <w:r>
                    <w:t>1.3</w:t>
                  </w:r>
                </w:p>
              </w:tc>
              <w:tc>
                <w:tcPr>
                  <w:tcW w:w="489" w:type="pct"/>
                </w:tcPr>
                <w:p w:rsidR="00F85D92" w:rsidRPr="006930C5" w:rsidRDefault="00CD5928" w:rsidP="00CD5928">
                  <w:pPr>
                    <w:pStyle w:val="TableBodyText"/>
                  </w:pPr>
                  <w:r w:rsidRPr="006930C5">
                    <w:t>89.3</w:t>
                  </w:r>
                  <w:r w:rsidR="00F85D92" w:rsidRPr="006930C5">
                    <w:t xml:space="preserve"> </w:t>
                  </w:r>
                  <w:r w:rsidR="00F85D92" w:rsidRPr="006930C5">
                    <w:br/>
                    <w:t xml:space="preserve">± </w:t>
                  </w:r>
                  <w:r w:rsidRPr="006930C5">
                    <w:t>1.5</w:t>
                  </w:r>
                </w:p>
              </w:tc>
              <w:tc>
                <w:tcPr>
                  <w:tcW w:w="489" w:type="pct"/>
                </w:tcPr>
                <w:p w:rsidR="00F85D92" w:rsidRPr="006930C5" w:rsidRDefault="0003610F" w:rsidP="00CD5928">
                  <w:pPr>
                    <w:pStyle w:val="TableBodyText"/>
                  </w:pPr>
                  <w:r>
                    <w:t>89.0</w:t>
                  </w:r>
                  <w:r w:rsidR="00F85D92" w:rsidRPr="006930C5">
                    <w:t xml:space="preserve"> </w:t>
                  </w:r>
                  <w:r w:rsidR="00F85D92" w:rsidRPr="006930C5">
                    <w:br/>
                    <w:t xml:space="preserve">± </w:t>
                  </w:r>
                  <w:r>
                    <w:t>1.3</w:t>
                  </w:r>
                </w:p>
              </w:tc>
              <w:tc>
                <w:tcPr>
                  <w:tcW w:w="489" w:type="pct"/>
                </w:tcPr>
                <w:p w:rsidR="00F85D92" w:rsidRPr="006930C5" w:rsidRDefault="0003610F" w:rsidP="00CD5928">
                  <w:pPr>
                    <w:pStyle w:val="TableBodyText"/>
                  </w:pPr>
                  <w:r>
                    <w:t>89.1</w:t>
                  </w:r>
                  <w:r w:rsidR="00F85D92" w:rsidRPr="006930C5">
                    <w:t xml:space="preserve"> </w:t>
                  </w:r>
                  <w:r w:rsidR="00F85D92" w:rsidRPr="006930C5">
                    <w:br/>
                    <w:t xml:space="preserve">± </w:t>
                  </w:r>
                  <w:r>
                    <w:t>2.3</w:t>
                  </w:r>
                </w:p>
              </w:tc>
              <w:tc>
                <w:tcPr>
                  <w:tcW w:w="490" w:type="pct"/>
                </w:tcPr>
                <w:p w:rsidR="00F85D92" w:rsidRPr="006930C5" w:rsidRDefault="0003610F" w:rsidP="0003610F">
                  <w:pPr>
                    <w:pStyle w:val="TableBodyText"/>
                  </w:pPr>
                  <w:r>
                    <w:t>91.3</w:t>
                  </w:r>
                  <w:r w:rsidR="00F85D92" w:rsidRPr="006930C5">
                    <w:br/>
                    <w:t xml:space="preserve">± </w:t>
                  </w:r>
                  <w:r>
                    <w:t>1.8</w:t>
                  </w:r>
                </w:p>
              </w:tc>
              <w:tc>
                <w:tcPr>
                  <w:tcW w:w="485" w:type="pct"/>
                </w:tcPr>
                <w:p w:rsidR="00F85D92" w:rsidRPr="006930C5" w:rsidRDefault="00CD5928" w:rsidP="00BA1629">
                  <w:pPr>
                    <w:pStyle w:val="TableBodyText"/>
                  </w:pPr>
                  <w:r w:rsidRPr="006930C5">
                    <w:t>9</w:t>
                  </w:r>
                  <w:r w:rsidR="0003610F">
                    <w:t>1.0</w:t>
                  </w:r>
                  <w:r w:rsidR="00F85D92" w:rsidRPr="006930C5">
                    <w:br/>
                    <w:t xml:space="preserve">± </w:t>
                  </w:r>
                  <w:r w:rsidR="0003610F">
                    <w:t>3.0</w:t>
                  </w:r>
                </w:p>
              </w:tc>
              <w:tc>
                <w:tcPr>
                  <w:tcW w:w="484" w:type="pct"/>
                </w:tcPr>
                <w:p w:rsidR="00F85D92" w:rsidRPr="006930C5" w:rsidRDefault="0003610F" w:rsidP="00CD5928">
                  <w:pPr>
                    <w:pStyle w:val="TableBodyText"/>
                  </w:pPr>
                  <w:r>
                    <w:t>87.4</w:t>
                  </w:r>
                  <w:r w:rsidR="00F85D92" w:rsidRPr="006930C5">
                    <w:br/>
                    <w:t xml:space="preserve">± </w:t>
                  </w:r>
                  <w:r>
                    <w:t>0.5</w:t>
                  </w:r>
                  <w:bookmarkStart w:id="37" w:name="_GoBack"/>
                  <w:bookmarkEnd w:id="37"/>
                </w:p>
              </w:tc>
            </w:tr>
            <w:tr w:rsidR="006930C5" w:rsidRPr="006930C5" w:rsidTr="00AE7A8F">
              <w:tc>
                <w:tcPr>
                  <w:tcW w:w="5000" w:type="pct"/>
                  <w:gridSpan w:val="10"/>
                </w:tcPr>
                <w:p w:rsidR="002A304F" w:rsidRPr="006930C5" w:rsidRDefault="002A304F" w:rsidP="00C77011">
                  <w:pPr>
                    <w:pStyle w:val="Source"/>
                    <w:spacing w:before="0" w:after="80"/>
                    <w:ind w:left="113"/>
                  </w:pPr>
                  <w:r w:rsidRPr="006930C5">
                    <w:rPr>
                      <w:i/>
                    </w:rPr>
                    <w:t xml:space="preserve">Source: </w:t>
                  </w:r>
                  <w:r w:rsidR="00CD20F1" w:rsidRPr="006930C5">
                    <w:t xml:space="preserve">Attachment table </w:t>
                  </w:r>
                  <w:proofErr w:type="spellStart"/>
                  <w:r w:rsidR="00CD20F1" w:rsidRPr="006930C5">
                    <w:t>5A.40</w:t>
                  </w:r>
                  <w:proofErr w:type="spellEnd"/>
                </w:p>
              </w:tc>
            </w:tr>
            <w:tr w:rsidR="006930C5" w:rsidRPr="006930C5" w:rsidTr="00AE7A8F">
              <w:tc>
                <w:tcPr>
                  <w:tcW w:w="5000" w:type="pct"/>
                  <w:gridSpan w:val="10"/>
                </w:tcPr>
                <w:p w:rsidR="002A304F" w:rsidRPr="006930C5" w:rsidRDefault="002A304F" w:rsidP="00AE7A8F">
                  <w:pPr>
                    <w:pStyle w:val="TableBodyText"/>
                    <w:ind w:left="113" w:right="28"/>
                    <w:jc w:val="left"/>
                  </w:pPr>
                  <w:r w:rsidRPr="006930C5">
                    <w:t>Proportion of government funded VET graduates who improved their employment circumstances after training, 2014</w:t>
                  </w:r>
                </w:p>
              </w:tc>
            </w:tr>
            <w:tr w:rsidR="006930C5" w:rsidRPr="006930C5" w:rsidTr="00AE7A8F">
              <w:tc>
                <w:tcPr>
                  <w:tcW w:w="5000" w:type="pct"/>
                  <w:gridSpan w:val="10"/>
                </w:tcPr>
                <w:p w:rsidR="002A304F" w:rsidRPr="006930C5" w:rsidRDefault="002A304F" w:rsidP="00AE7A8F">
                  <w:pPr>
                    <w:pStyle w:val="TableBodyText"/>
                    <w:ind w:left="113" w:right="28"/>
                    <w:jc w:val="left"/>
                  </w:pPr>
                  <w:r w:rsidRPr="006930C5">
                    <w:rPr>
                      <w:sz w:val="16"/>
                      <w:szCs w:val="16"/>
                    </w:rPr>
                    <w:t>Most recent data for this measure are comparable and complete, subject to caveats (chapter 5)</w:t>
                  </w:r>
                </w:p>
              </w:tc>
            </w:tr>
            <w:tr w:rsidR="006930C5" w:rsidRPr="006930C5" w:rsidTr="0058707F">
              <w:tc>
                <w:tcPr>
                  <w:tcW w:w="607" w:type="pct"/>
                </w:tcPr>
                <w:p w:rsidR="00CD20F1" w:rsidRPr="006930C5" w:rsidRDefault="00CD20F1" w:rsidP="00AE7A8F">
                  <w:pPr>
                    <w:pStyle w:val="TableBodyText"/>
                  </w:pPr>
                  <w:r w:rsidRPr="006930C5">
                    <w:t>%</w:t>
                  </w:r>
                </w:p>
              </w:tc>
              <w:tc>
                <w:tcPr>
                  <w:tcW w:w="489" w:type="pct"/>
                  <w:vAlign w:val="center"/>
                </w:tcPr>
                <w:p w:rsidR="00CD20F1" w:rsidRPr="006930C5" w:rsidRDefault="00CD20F1" w:rsidP="00BA1629">
                  <w:pPr>
                    <w:pStyle w:val="TableBodyText"/>
                  </w:pPr>
                  <w:r w:rsidRPr="006930C5">
                    <w:t>59.0</w:t>
                  </w:r>
                  <w:r w:rsidRPr="006930C5">
                    <w:br/>
                    <w:t>± 1.4</w:t>
                  </w:r>
                </w:p>
              </w:tc>
              <w:tc>
                <w:tcPr>
                  <w:tcW w:w="489" w:type="pct"/>
                  <w:vAlign w:val="center"/>
                </w:tcPr>
                <w:p w:rsidR="00CD20F1" w:rsidRPr="006930C5" w:rsidRDefault="00CD20F1" w:rsidP="0058707F">
                  <w:pPr>
                    <w:pStyle w:val="TableBodyText"/>
                  </w:pPr>
                  <w:r w:rsidRPr="006930C5">
                    <w:t>55.9</w:t>
                  </w:r>
                  <w:r w:rsidRPr="006930C5">
                    <w:br/>
                    <w:t>± 1.7</w:t>
                  </w:r>
                </w:p>
              </w:tc>
              <w:tc>
                <w:tcPr>
                  <w:tcW w:w="489" w:type="pct"/>
                  <w:vAlign w:val="center"/>
                </w:tcPr>
                <w:p w:rsidR="00CD20F1" w:rsidRPr="006930C5" w:rsidRDefault="00CD20F1" w:rsidP="0058707F">
                  <w:pPr>
                    <w:pStyle w:val="TableBodyText"/>
                  </w:pPr>
                  <w:r w:rsidRPr="006930C5">
                    <w:t>62.0</w:t>
                  </w:r>
                  <w:r w:rsidRPr="006930C5">
                    <w:br/>
                    <w:t>± 1.8</w:t>
                  </w:r>
                </w:p>
              </w:tc>
              <w:tc>
                <w:tcPr>
                  <w:tcW w:w="489" w:type="pct"/>
                  <w:vAlign w:val="center"/>
                </w:tcPr>
                <w:p w:rsidR="00CD20F1" w:rsidRPr="006930C5" w:rsidRDefault="00CD20F1" w:rsidP="0058707F">
                  <w:pPr>
                    <w:pStyle w:val="TableBodyText"/>
                  </w:pPr>
                  <w:r w:rsidRPr="006930C5">
                    <w:t>63.0</w:t>
                  </w:r>
                  <w:r w:rsidRPr="006930C5">
                    <w:br/>
                    <w:t>± 2.4</w:t>
                  </w:r>
                </w:p>
              </w:tc>
              <w:tc>
                <w:tcPr>
                  <w:tcW w:w="489" w:type="pct"/>
                  <w:vAlign w:val="center"/>
                </w:tcPr>
                <w:p w:rsidR="00CD20F1" w:rsidRPr="006930C5" w:rsidRDefault="00CD20F1" w:rsidP="0058707F">
                  <w:pPr>
                    <w:pStyle w:val="TableBodyText"/>
                  </w:pPr>
                  <w:r w:rsidRPr="006930C5">
                    <w:t>59.2</w:t>
                  </w:r>
                  <w:r w:rsidRPr="006930C5">
                    <w:br/>
                    <w:t>± 2.1</w:t>
                  </w:r>
                </w:p>
              </w:tc>
              <w:tc>
                <w:tcPr>
                  <w:tcW w:w="489" w:type="pct"/>
                  <w:vAlign w:val="center"/>
                </w:tcPr>
                <w:p w:rsidR="00CD20F1" w:rsidRPr="006930C5" w:rsidRDefault="00CD20F1" w:rsidP="0058707F">
                  <w:pPr>
                    <w:pStyle w:val="TableBodyText"/>
                  </w:pPr>
                  <w:r w:rsidRPr="006930C5">
                    <w:t>62.6</w:t>
                  </w:r>
                  <w:r w:rsidRPr="006930C5">
                    <w:br/>
                    <w:t>± 3.4</w:t>
                  </w:r>
                </w:p>
              </w:tc>
              <w:tc>
                <w:tcPr>
                  <w:tcW w:w="490" w:type="pct"/>
                  <w:vAlign w:val="center"/>
                </w:tcPr>
                <w:p w:rsidR="00CD20F1" w:rsidRPr="006930C5" w:rsidRDefault="00CD20F1" w:rsidP="0058707F">
                  <w:pPr>
                    <w:pStyle w:val="TableBodyText"/>
                  </w:pPr>
                  <w:r w:rsidRPr="006930C5">
                    <w:t>68.0</w:t>
                  </w:r>
                  <w:r w:rsidRPr="006930C5">
                    <w:br/>
                    <w:t>± 3.2</w:t>
                  </w:r>
                </w:p>
              </w:tc>
              <w:tc>
                <w:tcPr>
                  <w:tcW w:w="485" w:type="pct"/>
                  <w:vAlign w:val="center"/>
                </w:tcPr>
                <w:p w:rsidR="00CD20F1" w:rsidRPr="006930C5" w:rsidRDefault="00CD20F1" w:rsidP="0058707F">
                  <w:pPr>
                    <w:pStyle w:val="TableBodyText"/>
                  </w:pPr>
                  <w:r w:rsidRPr="006930C5">
                    <w:t>69.1</w:t>
                  </w:r>
                  <w:r w:rsidRPr="006930C5">
                    <w:br/>
                    <w:t>± 4.7</w:t>
                  </w:r>
                </w:p>
              </w:tc>
              <w:tc>
                <w:tcPr>
                  <w:tcW w:w="484" w:type="pct"/>
                  <w:vAlign w:val="center"/>
                </w:tcPr>
                <w:p w:rsidR="00CD20F1" w:rsidRPr="006930C5" w:rsidRDefault="00CD20F1" w:rsidP="0058707F">
                  <w:pPr>
                    <w:pStyle w:val="TableBodyText"/>
                  </w:pPr>
                  <w:r w:rsidRPr="006930C5">
                    <w:t>59.3</w:t>
                  </w:r>
                  <w:r w:rsidRPr="006930C5">
                    <w:br/>
                    <w:t>± 0.8</w:t>
                  </w:r>
                </w:p>
              </w:tc>
            </w:tr>
            <w:tr w:rsidR="006930C5" w:rsidRPr="006930C5" w:rsidTr="00AE7A8F">
              <w:tc>
                <w:tcPr>
                  <w:tcW w:w="5000" w:type="pct"/>
                  <w:gridSpan w:val="10"/>
                </w:tcPr>
                <w:p w:rsidR="00CD20F1" w:rsidRPr="006930C5" w:rsidRDefault="00CD20F1" w:rsidP="00C77011">
                  <w:pPr>
                    <w:pStyle w:val="Source"/>
                    <w:spacing w:before="0" w:after="80"/>
                    <w:ind w:left="113"/>
                  </w:pPr>
                  <w:r w:rsidRPr="006930C5">
                    <w:rPr>
                      <w:i/>
                    </w:rPr>
                    <w:t xml:space="preserve">Source: </w:t>
                  </w:r>
                  <w:r w:rsidRPr="006930C5">
                    <w:t xml:space="preserve">Attachment table </w:t>
                  </w:r>
                  <w:proofErr w:type="spellStart"/>
                  <w:r w:rsidRPr="006930C5">
                    <w:t>5A.56</w:t>
                  </w:r>
                  <w:proofErr w:type="spellEnd"/>
                </w:p>
              </w:tc>
            </w:tr>
            <w:tr w:rsidR="006930C5" w:rsidRPr="006930C5" w:rsidTr="00AE7A8F">
              <w:tc>
                <w:tcPr>
                  <w:tcW w:w="5000" w:type="pct"/>
                  <w:gridSpan w:val="10"/>
                </w:tcPr>
                <w:p w:rsidR="00CD20F1" w:rsidRPr="006930C5" w:rsidRDefault="00CD20F1" w:rsidP="00AE7A8F">
                  <w:pPr>
                    <w:pStyle w:val="DQIRowHeadings"/>
                  </w:pPr>
                  <w:r w:rsidRPr="006930C5">
                    <w:t xml:space="preserve">Student achievement in </w:t>
                  </w:r>
                  <w:r w:rsidR="006930C5" w:rsidRPr="006930C5">
                    <w:t>VET</w:t>
                  </w:r>
                </w:p>
              </w:tc>
            </w:tr>
            <w:tr w:rsidR="006930C5" w:rsidRPr="006930C5" w:rsidTr="00AE7A8F">
              <w:tc>
                <w:tcPr>
                  <w:tcW w:w="5000" w:type="pct"/>
                  <w:gridSpan w:val="10"/>
                </w:tcPr>
                <w:p w:rsidR="00CD20F1" w:rsidRPr="006930C5" w:rsidRDefault="00CD20F1" w:rsidP="00F85D92">
                  <w:pPr>
                    <w:pStyle w:val="TableBodyText"/>
                    <w:ind w:left="113" w:right="28"/>
                    <w:jc w:val="left"/>
                  </w:pPr>
                  <w:r w:rsidRPr="006930C5">
                    <w:t>Load pass rate (government funded VET), 2014</w:t>
                  </w:r>
                </w:p>
              </w:tc>
            </w:tr>
            <w:tr w:rsidR="006930C5" w:rsidRPr="006930C5" w:rsidTr="00AE7A8F">
              <w:tc>
                <w:tcPr>
                  <w:tcW w:w="5000" w:type="pct"/>
                  <w:gridSpan w:val="10"/>
                </w:tcPr>
                <w:p w:rsidR="00CD20F1" w:rsidRPr="006930C5" w:rsidRDefault="00CD20F1" w:rsidP="00AE7A8F">
                  <w:pPr>
                    <w:pStyle w:val="TableBodyText"/>
                    <w:ind w:left="113" w:right="28"/>
                    <w:jc w:val="left"/>
                  </w:pPr>
                  <w:r w:rsidRPr="006930C5">
                    <w:rPr>
                      <w:sz w:val="16"/>
                      <w:szCs w:val="16"/>
                    </w:rPr>
                    <w:t>Most recent data for this measure are comparable and complete, subject to caveats (chapter 5)</w:t>
                  </w:r>
                </w:p>
              </w:tc>
            </w:tr>
            <w:tr w:rsidR="006930C5" w:rsidRPr="006930C5" w:rsidTr="0058707F">
              <w:tc>
                <w:tcPr>
                  <w:tcW w:w="607" w:type="pct"/>
                  <w:vAlign w:val="center"/>
                </w:tcPr>
                <w:p w:rsidR="006930C5" w:rsidRPr="006930C5" w:rsidRDefault="006930C5" w:rsidP="00AE7A8F">
                  <w:pPr>
                    <w:pStyle w:val="TableBodyText"/>
                  </w:pPr>
                  <w:r w:rsidRPr="006930C5">
                    <w:t>%</w:t>
                  </w:r>
                </w:p>
              </w:tc>
              <w:tc>
                <w:tcPr>
                  <w:tcW w:w="489" w:type="pct"/>
                  <w:vAlign w:val="center"/>
                </w:tcPr>
                <w:p w:rsidR="006930C5" w:rsidRDefault="006930C5" w:rsidP="006930C5">
                  <w:pPr>
                    <w:pStyle w:val="TableBodyText"/>
                  </w:pPr>
                  <w:r>
                    <w:t xml:space="preserve">  80.2</w:t>
                  </w:r>
                </w:p>
              </w:tc>
              <w:tc>
                <w:tcPr>
                  <w:tcW w:w="489" w:type="pct"/>
                  <w:vAlign w:val="center"/>
                </w:tcPr>
                <w:p w:rsidR="006930C5" w:rsidRDefault="006930C5" w:rsidP="006930C5">
                  <w:pPr>
                    <w:pStyle w:val="TableBodyText"/>
                  </w:pPr>
                  <w:r>
                    <w:t xml:space="preserve">  81.3</w:t>
                  </w:r>
                </w:p>
              </w:tc>
              <w:tc>
                <w:tcPr>
                  <w:tcW w:w="489" w:type="pct"/>
                  <w:vAlign w:val="center"/>
                </w:tcPr>
                <w:p w:rsidR="006930C5" w:rsidRDefault="006930C5" w:rsidP="006930C5">
                  <w:pPr>
                    <w:pStyle w:val="TableBodyText"/>
                  </w:pPr>
                  <w:r>
                    <w:t xml:space="preserve">  92.3</w:t>
                  </w:r>
                </w:p>
              </w:tc>
              <w:tc>
                <w:tcPr>
                  <w:tcW w:w="489" w:type="pct"/>
                  <w:vAlign w:val="center"/>
                </w:tcPr>
                <w:p w:rsidR="006930C5" w:rsidRDefault="006930C5" w:rsidP="006930C5">
                  <w:pPr>
                    <w:pStyle w:val="TableBodyText"/>
                  </w:pPr>
                  <w:r>
                    <w:t xml:space="preserve">  82.4</w:t>
                  </w:r>
                </w:p>
              </w:tc>
              <w:tc>
                <w:tcPr>
                  <w:tcW w:w="489" w:type="pct"/>
                  <w:vAlign w:val="center"/>
                </w:tcPr>
                <w:p w:rsidR="006930C5" w:rsidRDefault="006930C5" w:rsidP="006930C5">
                  <w:pPr>
                    <w:pStyle w:val="TableBodyText"/>
                  </w:pPr>
                  <w:r>
                    <w:t xml:space="preserve">  85.9</w:t>
                  </w:r>
                </w:p>
              </w:tc>
              <w:tc>
                <w:tcPr>
                  <w:tcW w:w="489" w:type="pct"/>
                  <w:vAlign w:val="center"/>
                </w:tcPr>
                <w:p w:rsidR="006930C5" w:rsidRDefault="006930C5" w:rsidP="006930C5">
                  <w:pPr>
                    <w:pStyle w:val="TableBodyText"/>
                  </w:pPr>
                  <w:r>
                    <w:t xml:space="preserve">  80.2</w:t>
                  </w:r>
                </w:p>
              </w:tc>
              <w:tc>
                <w:tcPr>
                  <w:tcW w:w="490" w:type="pct"/>
                  <w:vAlign w:val="center"/>
                </w:tcPr>
                <w:p w:rsidR="006930C5" w:rsidRDefault="006930C5" w:rsidP="006930C5">
                  <w:pPr>
                    <w:pStyle w:val="TableBodyText"/>
                  </w:pPr>
                  <w:r>
                    <w:t xml:space="preserve">  85.0</w:t>
                  </w:r>
                </w:p>
              </w:tc>
              <w:tc>
                <w:tcPr>
                  <w:tcW w:w="485" w:type="pct"/>
                  <w:vAlign w:val="center"/>
                </w:tcPr>
                <w:p w:rsidR="006930C5" w:rsidRDefault="006930C5" w:rsidP="006930C5">
                  <w:pPr>
                    <w:pStyle w:val="TableBodyText"/>
                  </w:pPr>
                  <w:r>
                    <w:t xml:space="preserve">  74.6</w:t>
                  </w:r>
                </w:p>
              </w:tc>
              <w:tc>
                <w:tcPr>
                  <w:tcW w:w="484" w:type="pct"/>
                  <w:vAlign w:val="center"/>
                </w:tcPr>
                <w:p w:rsidR="006930C5" w:rsidRDefault="006930C5" w:rsidP="006930C5">
                  <w:pPr>
                    <w:pStyle w:val="TableBodyText"/>
                  </w:pPr>
                  <w:r>
                    <w:t xml:space="preserve">  82.9</w:t>
                  </w:r>
                </w:p>
              </w:tc>
            </w:tr>
            <w:tr w:rsidR="006930C5" w:rsidRPr="006930C5" w:rsidTr="00AE7A8F">
              <w:tc>
                <w:tcPr>
                  <w:tcW w:w="5000" w:type="pct"/>
                  <w:gridSpan w:val="10"/>
                </w:tcPr>
                <w:p w:rsidR="00CD20F1" w:rsidRPr="006930C5" w:rsidRDefault="00CD20F1" w:rsidP="00C77011">
                  <w:pPr>
                    <w:pStyle w:val="Source"/>
                    <w:spacing w:before="0" w:after="80"/>
                    <w:ind w:left="113"/>
                  </w:pPr>
                  <w:r w:rsidRPr="006930C5">
                    <w:rPr>
                      <w:i/>
                    </w:rPr>
                    <w:t xml:space="preserve">Source: </w:t>
                  </w:r>
                  <w:r w:rsidRPr="006930C5">
                    <w:t xml:space="preserve">Attachment table </w:t>
                  </w:r>
                  <w:proofErr w:type="spellStart"/>
                  <w:r w:rsidRPr="006930C5">
                    <w:t>5A.</w:t>
                  </w:r>
                  <w:r w:rsidR="006930C5">
                    <w:t>65</w:t>
                  </w:r>
                  <w:proofErr w:type="spellEnd"/>
                </w:p>
              </w:tc>
            </w:tr>
            <w:tr w:rsidR="006930C5" w:rsidRPr="006930C5" w:rsidTr="00AE7A8F">
              <w:tc>
                <w:tcPr>
                  <w:tcW w:w="5000" w:type="pct"/>
                  <w:gridSpan w:val="10"/>
                </w:tcPr>
                <w:p w:rsidR="00CD20F1" w:rsidRPr="006930C5" w:rsidRDefault="00CD20F1" w:rsidP="00F85D92">
                  <w:pPr>
                    <w:pStyle w:val="TableBodyText"/>
                    <w:ind w:left="113" w:right="28"/>
                    <w:jc w:val="left"/>
                  </w:pPr>
                  <w:r w:rsidRPr="006930C5">
                    <w:t>Proportion of graduates with improved education/training status after training,</w:t>
                  </w:r>
                  <w:r w:rsidR="00CF324C">
                    <w:t xml:space="preserve"> of all </w:t>
                  </w:r>
                  <w:proofErr w:type="spellStart"/>
                  <w:r w:rsidR="00CF324C">
                    <w:t>AQF</w:t>
                  </w:r>
                  <w:proofErr w:type="spellEnd"/>
                  <w:r w:rsidR="00CF324C">
                    <w:t xml:space="preserve"> qualifications completed,</w:t>
                  </w:r>
                  <w:r w:rsidRPr="006930C5">
                    <w:t xml:space="preserve"> 2014</w:t>
                  </w:r>
                </w:p>
              </w:tc>
            </w:tr>
            <w:tr w:rsidR="006930C5" w:rsidRPr="006930C5" w:rsidTr="00AE7A8F">
              <w:tc>
                <w:tcPr>
                  <w:tcW w:w="5000" w:type="pct"/>
                  <w:gridSpan w:val="10"/>
                </w:tcPr>
                <w:p w:rsidR="00CD20F1" w:rsidRPr="006930C5" w:rsidRDefault="00CD20F1" w:rsidP="00AE7A8F">
                  <w:pPr>
                    <w:pStyle w:val="TableBodyText"/>
                    <w:ind w:left="113" w:right="28"/>
                    <w:jc w:val="left"/>
                  </w:pPr>
                  <w:r w:rsidRPr="006930C5">
                    <w:rPr>
                      <w:sz w:val="16"/>
                      <w:szCs w:val="16"/>
                    </w:rPr>
                    <w:t>Most recent data for this measure are comparable and complete, subject to caveats (chapter 5)</w:t>
                  </w:r>
                </w:p>
              </w:tc>
            </w:tr>
            <w:tr w:rsidR="00CF324C" w:rsidRPr="006930C5" w:rsidTr="0058707F">
              <w:tc>
                <w:tcPr>
                  <w:tcW w:w="607" w:type="pct"/>
                </w:tcPr>
                <w:p w:rsidR="00CF324C" w:rsidRPr="006930C5" w:rsidRDefault="00CF324C" w:rsidP="00AE7A8F">
                  <w:pPr>
                    <w:pStyle w:val="TableBodyText"/>
                  </w:pPr>
                  <w:r w:rsidRPr="006930C5">
                    <w:t>%</w:t>
                  </w:r>
                </w:p>
              </w:tc>
              <w:tc>
                <w:tcPr>
                  <w:tcW w:w="489" w:type="pct"/>
                  <w:vAlign w:val="center"/>
                </w:tcPr>
                <w:p w:rsidR="00CF324C" w:rsidRDefault="00CF324C" w:rsidP="00CF324C">
                  <w:pPr>
                    <w:pStyle w:val="TableBodyText"/>
                  </w:pPr>
                  <w:r>
                    <w:t>51.1</w:t>
                  </w:r>
                </w:p>
              </w:tc>
              <w:tc>
                <w:tcPr>
                  <w:tcW w:w="489" w:type="pct"/>
                  <w:vAlign w:val="center"/>
                </w:tcPr>
                <w:p w:rsidR="00CF324C" w:rsidRDefault="00CF324C" w:rsidP="00CF324C">
                  <w:pPr>
                    <w:pStyle w:val="TableBodyText"/>
                  </w:pPr>
                  <w:r>
                    <w:t>76.2</w:t>
                  </w:r>
                </w:p>
              </w:tc>
              <w:tc>
                <w:tcPr>
                  <w:tcW w:w="489" w:type="pct"/>
                  <w:vAlign w:val="center"/>
                </w:tcPr>
                <w:p w:rsidR="00CF324C" w:rsidRDefault="00CF324C" w:rsidP="00CF324C">
                  <w:pPr>
                    <w:pStyle w:val="TableBodyText"/>
                  </w:pPr>
                  <w:r>
                    <w:t>69.7</w:t>
                  </w:r>
                </w:p>
              </w:tc>
              <w:tc>
                <w:tcPr>
                  <w:tcW w:w="489" w:type="pct"/>
                  <w:vAlign w:val="center"/>
                </w:tcPr>
                <w:p w:rsidR="00CF324C" w:rsidRDefault="00CF324C" w:rsidP="00CF324C">
                  <w:pPr>
                    <w:pStyle w:val="TableBodyText"/>
                  </w:pPr>
                  <w:r>
                    <w:t>58.2</w:t>
                  </w:r>
                </w:p>
              </w:tc>
              <w:tc>
                <w:tcPr>
                  <w:tcW w:w="489" w:type="pct"/>
                  <w:vAlign w:val="center"/>
                </w:tcPr>
                <w:p w:rsidR="00CF324C" w:rsidRDefault="00CF324C" w:rsidP="00CF324C">
                  <w:pPr>
                    <w:pStyle w:val="TableBodyText"/>
                  </w:pPr>
                  <w:r>
                    <w:t>47.6</w:t>
                  </w:r>
                </w:p>
              </w:tc>
              <w:tc>
                <w:tcPr>
                  <w:tcW w:w="489" w:type="pct"/>
                  <w:vAlign w:val="center"/>
                </w:tcPr>
                <w:p w:rsidR="00CF324C" w:rsidRDefault="00CF324C" w:rsidP="00CF324C">
                  <w:pPr>
                    <w:pStyle w:val="TableBodyText"/>
                  </w:pPr>
                  <w:r>
                    <w:t>61.5</w:t>
                  </w:r>
                </w:p>
              </w:tc>
              <w:tc>
                <w:tcPr>
                  <w:tcW w:w="490" w:type="pct"/>
                  <w:vAlign w:val="center"/>
                </w:tcPr>
                <w:p w:rsidR="00CF324C" w:rsidRDefault="00CF324C" w:rsidP="00CF324C">
                  <w:pPr>
                    <w:pStyle w:val="TableBodyText"/>
                  </w:pPr>
                  <w:r>
                    <w:t>38.6</w:t>
                  </w:r>
                </w:p>
              </w:tc>
              <w:tc>
                <w:tcPr>
                  <w:tcW w:w="485" w:type="pct"/>
                  <w:vAlign w:val="center"/>
                </w:tcPr>
                <w:p w:rsidR="00CF324C" w:rsidRDefault="00CF324C" w:rsidP="00CF324C">
                  <w:pPr>
                    <w:pStyle w:val="TableBodyText"/>
                  </w:pPr>
                  <w:r>
                    <w:t>61.5</w:t>
                  </w:r>
                </w:p>
              </w:tc>
              <w:tc>
                <w:tcPr>
                  <w:tcW w:w="484" w:type="pct"/>
                  <w:vAlign w:val="center"/>
                </w:tcPr>
                <w:p w:rsidR="00CF324C" w:rsidRDefault="00CF324C" w:rsidP="00CF324C">
                  <w:pPr>
                    <w:pStyle w:val="TableBodyText"/>
                  </w:pPr>
                  <w:r>
                    <w:t>63.6</w:t>
                  </w:r>
                </w:p>
              </w:tc>
            </w:tr>
            <w:tr w:rsidR="006930C5" w:rsidRPr="006930C5" w:rsidTr="00AE7A8F">
              <w:tc>
                <w:tcPr>
                  <w:tcW w:w="5000" w:type="pct"/>
                  <w:gridSpan w:val="10"/>
                </w:tcPr>
                <w:p w:rsidR="00CD20F1" w:rsidRPr="006930C5" w:rsidRDefault="00CD20F1" w:rsidP="00C77011">
                  <w:pPr>
                    <w:pStyle w:val="Source"/>
                    <w:spacing w:before="0" w:after="80"/>
                    <w:ind w:left="113"/>
                  </w:pPr>
                  <w:r w:rsidRPr="006930C5">
                    <w:rPr>
                      <w:i/>
                    </w:rPr>
                    <w:t xml:space="preserve">Source: </w:t>
                  </w:r>
                  <w:r w:rsidRPr="006930C5">
                    <w:t xml:space="preserve">Attachment table </w:t>
                  </w:r>
                  <w:proofErr w:type="spellStart"/>
                  <w:r w:rsidRPr="006930C5">
                    <w:t>5</w:t>
                  </w:r>
                  <w:r w:rsidR="00CF324C">
                    <w:t>A.69</w:t>
                  </w:r>
                  <w:proofErr w:type="spellEnd"/>
                </w:p>
              </w:tc>
            </w:tr>
            <w:tr w:rsidR="006930C5" w:rsidRPr="006930C5" w:rsidTr="00AE7A8F">
              <w:tc>
                <w:tcPr>
                  <w:tcW w:w="5000" w:type="pct"/>
                  <w:gridSpan w:val="10"/>
                </w:tcPr>
                <w:p w:rsidR="00CD20F1" w:rsidRPr="006930C5" w:rsidRDefault="00CD20F1" w:rsidP="00CE4F74">
                  <w:pPr>
                    <w:pStyle w:val="DQIRowHeadings"/>
                  </w:pPr>
                  <w:r w:rsidRPr="006930C5">
                    <w:t>Student satisfaction in VET</w:t>
                  </w:r>
                </w:p>
              </w:tc>
            </w:tr>
            <w:tr w:rsidR="006930C5" w:rsidRPr="006930C5" w:rsidTr="00AE7A8F">
              <w:tc>
                <w:tcPr>
                  <w:tcW w:w="5000" w:type="pct"/>
                  <w:gridSpan w:val="10"/>
                </w:tcPr>
                <w:p w:rsidR="00CD20F1" w:rsidRPr="006930C5" w:rsidRDefault="00CD20F1" w:rsidP="00CE4F74">
                  <w:pPr>
                    <w:pStyle w:val="TableBodyText"/>
                    <w:ind w:left="113" w:right="28"/>
                    <w:jc w:val="left"/>
                  </w:pPr>
                  <w:r w:rsidRPr="006930C5">
                    <w:t>Proportion of government funded VET graduates who were satisfied with the quality of their completed VET course, 2014</w:t>
                  </w:r>
                </w:p>
              </w:tc>
            </w:tr>
            <w:tr w:rsidR="006930C5" w:rsidRPr="006930C5" w:rsidTr="00AE7A8F">
              <w:tc>
                <w:tcPr>
                  <w:tcW w:w="5000" w:type="pct"/>
                  <w:gridSpan w:val="10"/>
                </w:tcPr>
                <w:p w:rsidR="00CD20F1" w:rsidRPr="006930C5" w:rsidRDefault="00CD20F1" w:rsidP="00AE7A8F">
                  <w:pPr>
                    <w:pStyle w:val="TableBodyText"/>
                    <w:ind w:left="113" w:right="28"/>
                    <w:jc w:val="left"/>
                  </w:pPr>
                  <w:r w:rsidRPr="006930C5">
                    <w:rPr>
                      <w:sz w:val="16"/>
                      <w:szCs w:val="16"/>
                    </w:rPr>
                    <w:t>Most recent data for this measure are comparable and complete, subject to caveats (chapter 5)</w:t>
                  </w:r>
                </w:p>
              </w:tc>
            </w:tr>
            <w:tr w:rsidR="00CF324C" w:rsidRPr="006930C5" w:rsidTr="00294689">
              <w:tc>
                <w:tcPr>
                  <w:tcW w:w="607" w:type="pct"/>
                </w:tcPr>
                <w:p w:rsidR="00CF324C" w:rsidRPr="006930C5" w:rsidRDefault="00CF324C" w:rsidP="00AE7A8F">
                  <w:pPr>
                    <w:pStyle w:val="TableBodyText"/>
                  </w:pPr>
                  <w:r w:rsidRPr="006930C5">
                    <w:t>%</w:t>
                  </w:r>
                </w:p>
              </w:tc>
              <w:tc>
                <w:tcPr>
                  <w:tcW w:w="489" w:type="pct"/>
                  <w:vAlign w:val="center"/>
                </w:tcPr>
                <w:p w:rsidR="00CF324C" w:rsidRPr="006930C5" w:rsidRDefault="00CF324C" w:rsidP="00CF324C">
                  <w:pPr>
                    <w:pStyle w:val="TableBodyText"/>
                  </w:pPr>
                  <w:r>
                    <w:t>89.7</w:t>
                  </w:r>
                  <w:r w:rsidRPr="006930C5">
                    <w:br/>
                    <w:t xml:space="preserve">± </w:t>
                  </w:r>
                  <w:r>
                    <w:t>0.9</w:t>
                  </w:r>
                </w:p>
              </w:tc>
              <w:tc>
                <w:tcPr>
                  <w:tcW w:w="489" w:type="pct"/>
                  <w:vAlign w:val="center"/>
                </w:tcPr>
                <w:p w:rsidR="00CF324C" w:rsidRPr="006930C5" w:rsidRDefault="00CF324C" w:rsidP="0058707F">
                  <w:pPr>
                    <w:pStyle w:val="TableBodyText"/>
                  </w:pPr>
                  <w:r>
                    <w:t>84.4</w:t>
                  </w:r>
                  <w:r w:rsidRPr="006930C5">
                    <w:br/>
                    <w:t xml:space="preserve">± </w:t>
                  </w:r>
                  <w:r>
                    <w:t>1.2</w:t>
                  </w:r>
                </w:p>
              </w:tc>
              <w:tc>
                <w:tcPr>
                  <w:tcW w:w="489" w:type="pct"/>
                  <w:vAlign w:val="center"/>
                </w:tcPr>
                <w:p w:rsidR="00CF324C" w:rsidRPr="006930C5" w:rsidRDefault="00CF324C" w:rsidP="0058707F">
                  <w:pPr>
                    <w:pStyle w:val="TableBodyText"/>
                  </w:pPr>
                  <w:r>
                    <w:t>88.0</w:t>
                  </w:r>
                  <w:r w:rsidRPr="006930C5">
                    <w:br/>
                    <w:t xml:space="preserve">± </w:t>
                  </w:r>
                  <w:r>
                    <w:t>1.2</w:t>
                  </w:r>
                </w:p>
              </w:tc>
              <w:tc>
                <w:tcPr>
                  <w:tcW w:w="489" w:type="pct"/>
                  <w:vAlign w:val="center"/>
                </w:tcPr>
                <w:p w:rsidR="00CF324C" w:rsidRPr="006930C5" w:rsidRDefault="00CF324C" w:rsidP="0058707F">
                  <w:pPr>
                    <w:pStyle w:val="TableBodyText"/>
                  </w:pPr>
                  <w:r>
                    <w:t>89.0</w:t>
                  </w:r>
                  <w:r w:rsidRPr="006930C5">
                    <w:br/>
                    <w:t xml:space="preserve">± </w:t>
                  </w:r>
                  <w:r>
                    <w:t>1.7</w:t>
                  </w:r>
                </w:p>
              </w:tc>
              <w:tc>
                <w:tcPr>
                  <w:tcW w:w="489" w:type="pct"/>
                  <w:vAlign w:val="center"/>
                </w:tcPr>
                <w:p w:rsidR="00CF324C" w:rsidRPr="006930C5" w:rsidRDefault="00CF324C" w:rsidP="0058707F">
                  <w:pPr>
                    <w:pStyle w:val="TableBodyText"/>
                  </w:pPr>
                  <w:r>
                    <w:t>89.1</w:t>
                  </w:r>
                  <w:r w:rsidRPr="006930C5">
                    <w:br/>
                    <w:t xml:space="preserve">± </w:t>
                  </w:r>
                  <w:r>
                    <w:t>1.3</w:t>
                  </w:r>
                </w:p>
              </w:tc>
              <w:tc>
                <w:tcPr>
                  <w:tcW w:w="489" w:type="pct"/>
                  <w:vAlign w:val="center"/>
                </w:tcPr>
                <w:p w:rsidR="00CF324C" w:rsidRPr="006930C5" w:rsidRDefault="00CF324C" w:rsidP="0058707F">
                  <w:pPr>
                    <w:pStyle w:val="TableBodyText"/>
                  </w:pPr>
                  <w:r>
                    <w:t>90.2</w:t>
                  </w:r>
                  <w:r w:rsidRPr="006930C5">
                    <w:br/>
                    <w:t xml:space="preserve">± </w:t>
                  </w:r>
                  <w:r>
                    <w:t>2.0</w:t>
                  </w:r>
                </w:p>
              </w:tc>
              <w:tc>
                <w:tcPr>
                  <w:tcW w:w="490" w:type="pct"/>
                  <w:vAlign w:val="center"/>
                </w:tcPr>
                <w:p w:rsidR="00CF324C" w:rsidRPr="006930C5" w:rsidRDefault="00CF324C" w:rsidP="0058707F">
                  <w:pPr>
                    <w:pStyle w:val="TableBodyText"/>
                  </w:pPr>
                  <w:r>
                    <w:t>84.8</w:t>
                  </w:r>
                  <w:r w:rsidRPr="006930C5">
                    <w:br/>
                    <w:t xml:space="preserve">± </w:t>
                  </w:r>
                  <w:r>
                    <w:t>2.7</w:t>
                  </w:r>
                </w:p>
              </w:tc>
              <w:tc>
                <w:tcPr>
                  <w:tcW w:w="485" w:type="pct"/>
                  <w:vAlign w:val="center"/>
                </w:tcPr>
                <w:p w:rsidR="00CF324C" w:rsidRPr="006930C5" w:rsidRDefault="00CF324C" w:rsidP="0058707F">
                  <w:pPr>
                    <w:pStyle w:val="TableBodyText"/>
                  </w:pPr>
                  <w:r>
                    <w:t>85.9</w:t>
                  </w:r>
                  <w:r w:rsidRPr="006930C5">
                    <w:br/>
                    <w:t xml:space="preserve">± </w:t>
                  </w:r>
                  <w:r>
                    <w:t>3.9</w:t>
                  </w:r>
                </w:p>
              </w:tc>
              <w:tc>
                <w:tcPr>
                  <w:tcW w:w="484" w:type="pct"/>
                  <w:vAlign w:val="center"/>
                </w:tcPr>
                <w:p w:rsidR="00CF324C" w:rsidRPr="006930C5" w:rsidRDefault="00CF324C" w:rsidP="0058707F">
                  <w:pPr>
                    <w:pStyle w:val="TableBodyText"/>
                  </w:pPr>
                  <w:r>
                    <w:t>87.6</w:t>
                  </w:r>
                  <w:r w:rsidRPr="006930C5">
                    <w:br/>
                    <w:t xml:space="preserve">± </w:t>
                  </w:r>
                  <w:r>
                    <w:t>0.5</w:t>
                  </w:r>
                </w:p>
              </w:tc>
            </w:tr>
            <w:tr w:rsidR="00CF324C" w:rsidRPr="006930C5" w:rsidTr="00294689">
              <w:tc>
                <w:tcPr>
                  <w:tcW w:w="5000" w:type="pct"/>
                  <w:gridSpan w:val="10"/>
                  <w:tcBorders>
                    <w:bottom w:val="single" w:sz="6" w:space="0" w:color="BFBFBF" w:themeColor="background2"/>
                  </w:tcBorders>
                </w:tcPr>
                <w:p w:rsidR="00CF324C" w:rsidRPr="006930C5" w:rsidRDefault="00CF324C" w:rsidP="00C77011">
                  <w:pPr>
                    <w:pStyle w:val="Source"/>
                    <w:spacing w:before="0" w:after="80"/>
                    <w:ind w:left="113"/>
                  </w:pPr>
                  <w:r w:rsidRPr="006930C5">
                    <w:rPr>
                      <w:i/>
                    </w:rPr>
                    <w:t xml:space="preserve">Source: </w:t>
                  </w:r>
                  <w:r w:rsidRPr="006930C5">
                    <w:t xml:space="preserve">Attachment table </w:t>
                  </w:r>
                  <w:proofErr w:type="spellStart"/>
                  <w:r w:rsidRPr="006930C5">
                    <w:t>5A.</w:t>
                  </w:r>
                  <w:r>
                    <w:t>85</w:t>
                  </w:r>
                  <w:proofErr w:type="spellEnd"/>
                </w:p>
              </w:tc>
            </w:tr>
          </w:tbl>
          <w:p w:rsidR="008A65AC" w:rsidRPr="006930C5" w:rsidRDefault="008A65AC" w:rsidP="00AE7A8F">
            <w:pPr>
              <w:pStyle w:val="Box"/>
            </w:pPr>
          </w:p>
        </w:tc>
      </w:tr>
      <w:tr w:rsidR="008A65AC" w:rsidRPr="008A65AC" w:rsidTr="00AE7A8F">
        <w:trPr>
          <w:cantSplit/>
        </w:trPr>
        <w:tc>
          <w:tcPr>
            <w:tcW w:w="8771" w:type="dxa"/>
            <w:tcBorders>
              <w:top w:val="nil"/>
              <w:left w:val="nil"/>
              <w:bottom w:val="nil"/>
              <w:right w:val="nil"/>
            </w:tcBorders>
            <w:shd w:val="clear" w:color="auto" w:fill="auto"/>
          </w:tcPr>
          <w:p w:rsidR="008A65AC" w:rsidRPr="008A65AC" w:rsidRDefault="008A65AC" w:rsidP="00F85D92">
            <w:pPr>
              <w:pStyle w:val="Continued"/>
              <w:rPr>
                <w:color w:val="FF0000"/>
              </w:rPr>
            </w:pPr>
            <w:r w:rsidRPr="00CE4F74">
              <w:t>(continued next page)</w:t>
            </w:r>
          </w:p>
        </w:tc>
      </w:tr>
      <w:tr w:rsidR="008A65AC" w:rsidRPr="008A65AC" w:rsidTr="00AE7A8F">
        <w:trPr>
          <w:cantSplit/>
        </w:trPr>
        <w:tc>
          <w:tcPr>
            <w:tcW w:w="8771" w:type="dxa"/>
            <w:tcBorders>
              <w:top w:val="nil"/>
              <w:left w:val="nil"/>
              <w:bottom w:val="single" w:sz="6" w:space="0" w:color="78A22F"/>
              <w:right w:val="nil"/>
            </w:tcBorders>
            <w:shd w:val="clear" w:color="auto" w:fill="auto"/>
          </w:tcPr>
          <w:p w:rsidR="008A65AC" w:rsidRPr="008A65AC" w:rsidRDefault="008A65AC" w:rsidP="00AE7A8F">
            <w:pPr>
              <w:pStyle w:val="Box"/>
              <w:spacing w:before="0" w:line="120" w:lineRule="exact"/>
              <w:rPr>
                <w:color w:val="FF0000"/>
              </w:rPr>
            </w:pPr>
          </w:p>
        </w:tc>
      </w:tr>
      <w:tr w:rsidR="008A65AC" w:rsidRPr="008A65AC" w:rsidTr="00AE7A8F">
        <w:tc>
          <w:tcPr>
            <w:tcW w:w="8771" w:type="dxa"/>
            <w:tcBorders>
              <w:top w:val="single" w:sz="6" w:space="0" w:color="78A22F"/>
              <w:left w:val="nil"/>
              <w:bottom w:val="nil"/>
              <w:right w:val="nil"/>
            </w:tcBorders>
          </w:tcPr>
          <w:p w:rsidR="008A65AC" w:rsidRPr="008A65AC" w:rsidRDefault="008A65AC" w:rsidP="00AE7A8F">
            <w:pPr>
              <w:pStyle w:val="BoxSpaceBelow"/>
              <w:rPr>
                <w:color w:val="FF0000"/>
              </w:rPr>
            </w:pPr>
          </w:p>
        </w:tc>
      </w:tr>
    </w:tbl>
    <w:p w:rsidR="008A65AC" w:rsidRPr="008A65AC" w:rsidRDefault="008A65AC" w:rsidP="008A65AC">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A65AC" w:rsidRPr="008A65AC" w:rsidTr="00AE7A8F">
        <w:tc>
          <w:tcPr>
            <w:tcW w:w="8771" w:type="dxa"/>
            <w:tcBorders>
              <w:top w:val="single" w:sz="6" w:space="0" w:color="78A22F"/>
              <w:left w:val="nil"/>
              <w:bottom w:val="nil"/>
              <w:right w:val="nil"/>
            </w:tcBorders>
            <w:shd w:val="clear" w:color="auto" w:fill="auto"/>
          </w:tcPr>
          <w:p w:rsidR="008A65AC" w:rsidRPr="008A65AC" w:rsidRDefault="008A65AC" w:rsidP="00574E4A">
            <w:pPr>
              <w:pStyle w:val="TableTitle"/>
              <w:rPr>
                <w:color w:val="FF0000"/>
              </w:rPr>
            </w:pPr>
            <w:r w:rsidRPr="00E4539B">
              <w:rPr>
                <w:b w:val="0"/>
              </w:rPr>
              <w:t xml:space="preserve">Table </w:t>
            </w:r>
            <w:proofErr w:type="spellStart"/>
            <w:r w:rsidRPr="00E4539B">
              <w:rPr>
                <w:b w:val="0"/>
              </w:rPr>
              <w:t>B.</w:t>
            </w:r>
            <w:r w:rsidR="00574E4A" w:rsidRPr="00574E4A">
              <w:rPr>
                <w:b w:val="0"/>
              </w:rPr>
              <w:t>3</w:t>
            </w:r>
            <w:proofErr w:type="spellEnd"/>
            <w:r w:rsidRPr="00E4539B">
              <w:tab/>
            </w:r>
            <w:r w:rsidRPr="00E4539B">
              <w:rPr>
                <w:b w:val="0"/>
                <w:sz w:val="18"/>
                <w:szCs w:val="18"/>
              </w:rPr>
              <w:t>(continued)</w:t>
            </w:r>
          </w:p>
        </w:tc>
      </w:tr>
      <w:tr w:rsidR="008A65AC" w:rsidRPr="008A65AC" w:rsidTr="00AE7A8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49"/>
              <w:gridCol w:w="850"/>
              <w:gridCol w:w="850"/>
              <w:gridCol w:w="850"/>
              <w:gridCol w:w="850"/>
              <w:gridCol w:w="850"/>
              <w:gridCol w:w="849"/>
              <w:gridCol w:w="849"/>
              <w:gridCol w:w="839"/>
            </w:tblGrid>
            <w:tr w:rsidR="008A65AC" w:rsidRPr="008A65AC" w:rsidTr="00AE7A8F">
              <w:tc>
                <w:tcPr>
                  <w:tcW w:w="501" w:type="pct"/>
                  <w:tcBorders>
                    <w:top w:val="single" w:sz="6" w:space="0" w:color="BFBFBF"/>
                    <w:bottom w:val="single" w:sz="6" w:space="0" w:color="BFBFBF"/>
                  </w:tcBorders>
                  <w:shd w:val="clear" w:color="auto" w:fill="auto"/>
                  <w:tcMar>
                    <w:top w:w="28" w:type="dxa"/>
                  </w:tcMar>
                </w:tcPr>
                <w:p w:rsidR="008A65AC" w:rsidRPr="008A65AC" w:rsidRDefault="008A65AC" w:rsidP="00AE7A8F">
                  <w:pPr>
                    <w:pStyle w:val="TableColumnHeading"/>
                    <w:jc w:val="left"/>
                    <w:rPr>
                      <w:color w:val="FF0000"/>
                    </w:rPr>
                  </w:pPr>
                </w:p>
              </w:tc>
              <w:tc>
                <w:tcPr>
                  <w:tcW w:w="500" w:type="pct"/>
                  <w:tcBorders>
                    <w:top w:val="single" w:sz="6" w:space="0" w:color="BFBFBF"/>
                    <w:bottom w:val="single" w:sz="6" w:space="0" w:color="BFBFBF"/>
                  </w:tcBorders>
                </w:tcPr>
                <w:p w:rsidR="008A65AC" w:rsidRPr="00E4539B" w:rsidRDefault="008A65AC" w:rsidP="00AE7A8F">
                  <w:pPr>
                    <w:pStyle w:val="TableColumnHeading"/>
                  </w:pPr>
                  <w:r w:rsidRPr="00E4539B">
                    <w:t>NSW</w:t>
                  </w:r>
                </w:p>
              </w:tc>
              <w:tc>
                <w:tcPr>
                  <w:tcW w:w="501" w:type="pct"/>
                  <w:tcBorders>
                    <w:top w:val="single" w:sz="6" w:space="0" w:color="BFBFBF"/>
                    <w:bottom w:val="single" w:sz="6" w:space="0" w:color="BFBFBF"/>
                  </w:tcBorders>
                  <w:shd w:val="clear" w:color="auto" w:fill="auto"/>
                  <w:tcMar>
                    <w:top w:w="28" w:type="dxa"/>
                  </w:tcMar>
                </w:tcPr>
                <w:p w:rsidR="008A65AC" w:rsidRPr="00E4539B" w:rsidRDefault="008A65AC" w:rsidP="00AE7A8F">
                  <w:pPr>
                    <w:pStyle w:val="TableColumnHeading"/>
                  </w:pPr>
                  <w:r w:rsidRPr="00E4539B">
                    <w:t>Vic</w:t>
                  </w:r>
                </w:p>
              </w:tc>
              <w:tc>
                <w:tcPr>
                  <w:tcW w:w="501" w:type="pct"/>
                  <w:tcBorders>
                    <w:top w:val="single" w:sz="6" w:space="0" w:color="BFBFBF"/>
                    <w:bottom w:val="single" w:sz="6" w:space="0" w:color="BFBFBF"/>
                  </w:tcBorders>
                </w:tcPr>
                <w:p w:rsidR="008A65AC" w:rsidRPr="00E4539B" w:rsidRDefault="008A65AC" w:rsidP="00AE7A8F">
                  <w:pPr>
                    <w:pStyle w:val="TableColumnHeading"/>
                  </w:pPr>
                  <w:r w:rsidRPr="00E4539B">
                    <w:t>Qld</w:t>
                  </w:r>
                </w:p>
              </w:tc>
              <w:tc>
                <w:tcPr>
                  <w:tcW w:w="501" w:type="pct"/>
                  <w:tcBorders>
                    <w:top w:val="single" w:sz="6" w:space="0" w:color="BFBFBF"/>
                    <w:bottom w:val="single" w:sz="6" w:space="0" w:color="BFBFBF"/>
                  </w:tcBorders>
                </w:tcPr>
                <w:p w:rsidR="008A65AC" w:rsidRPr="00E4539B" w:rsidRDefault="008A65AC" w:rsidP="00AE7A8F">
                  <w:pPr>
                    <w:pStyle w:val="TableColumnHeading"/>
                  </w:pPr>
                  <w:r w:rsidRPr="00E4539B">
                    <w:t>WA</w:t>
                  </w:r>
                </w:p>
              </w:tc>
              <w:tc>
                <w:tcPr>
                  <w:tcW w:w="501" w:type="pct"/>
                  <w:tcBorders>
                    <w:top w:val="single" w:sz="6" w:space="0" w:color="BFBFBF"/>
                    <w:bottom w:val="single" w:sz="6" w:space="0" w:color="BFBFBF"/>
                  </w:tcBorders>
                </w:tcPr>
                <w:p w:rsidR="008A65AC" w:rsidRPr="00E4539B" w:rsidRDefault="008A65AC" w:rsidP="00AE7A8F">
                  <w:pPr>
                    <w:pStyle w:val="TableColumnHeading"/>
                  </w:pPr>
                  <w:r w:rsidRPr="00E4539B">
                    <w:t>SA</w:t>
                  </w:r>
                </w:p>
              </w:tc>
              <w:tc>
                <w:tcPr>
                  <w:tcW w:w="501" w:type="pct"/>
                  <w:tcBorders>
                    <w:top w:val="single" w:sz="6" w:space="0" w:color="BFBFBF"/>
                    <w:bottom w:val="single" w:sz="6" w:space="0" w:color="BFBFBF"/>
                  </w:tcBorders>
                </w:tcPr>
                <w:p w:rsidR="008A65AC" w:rsidRPr="00E4539B" w:rsidRDefault="008A65AC" w:rsidP="00AE7A8F">
                  <w:pPr>
                    <w:pStyle w:val="TableColumnHeading"/>
                  </w:pPr>
                  <w:proofErr w:type="spellStart"/>
                  <w:r w:rsidRPr="00E4539B">
                    <w:t>Tas</w:t>
                  </w:r>
                  <w:proofErr w:type="spellEnd"/>
                </w:p>
              </w:tc>
              <w:tc>
                <w:tcPr>
                  <w:tcW w:w="500" w:type="pct"/>
                  <w:tcBorders>
                    <w:top w:val="single" w:sz="6" w:space="0" w:color="BFBFBF"/>
                    <w:bottom w:val="single" w:sz="6" w:space="0" w:color="BFBFBF"/>
                  </w:tcBorders>
                </w:tcPr>
                <w:p w:rsidR="008A65AC" w:rsidRPr="00E4539B" w:rsidRDefault="008A65AC" w:rsidP="00AE7A8F">
                  <w:pPr>
                    <w:pStyle w:val="TableColumnHeading"/>
                  </w:pPr>
                  <w:r w:rsidRPr="00E4539B">
                    <w:t>ACT</w:t>
                  </w:r>
                </w:p>
              </w:tc>
              <w:tc>
                <w:tcPr>
                  <w:tcW w:w="500" w:type="pct"/>
                  <w:tcBorders>
                    <w:top w:val="single" w:sz="6" w:space="0" w:color="BFBFBF"/>
                    <w:bottom w:val="single" w:sz="6" w:space="0" w:color="BFBFBF"/>
                  </w:tcBorders>
                </w:tcPr>
                <w:p w:rsidR="008A65AC" w:rsidRPr="00E4539B" w:rsidRDefault="008A65AC" w:rsidP="00AE7A8F">
                  <w:pPr>
                    <w:pStyle w:val="TableColumnHeading"/>
                  </w:pPr>
                  <w:r w:rsidRPr="00E4539B">
                    <w:t>NT</w:t>
                  </w:r>
                </w:p>
              </w:tc>
              <w:tc>
                <w:tcPr>
                  <w:tcW w:w="494" w:type="pct"/>
                  <w:tcBorders>
                    <w:top w:val="single" w:sz="6" w:space="0" w:color="BFBFBF"/>
                    <w:bottom w:val="single" w:sz="6" w:space="0" w:color="BFBFBF"/>
                  </w:tcBorders>
                  <w:shd w:val="clear" w:color="auto" w:fill="auto"/>
                  <w:tcMar>
                    <w:top w:w="28" w:type="dxa"/>
                  </w:tcMar>
                </w:tcPr>
                <w:p w:rsidR="008A65AC" w:rsidRPr="00E4539B" w:rsidRDefault="008A65AC" w:rsidP="00AE7A8F">
                  <w:pPr>
                    <w:pStyle w:val="TableColumnHeading"/>
                  </w:pPr>
                  <w:proofErr w:type="spellStart"/>
                  <w:r w:rsidRPr="00E4539B">
                    <w:t>Aust</w:t>
                  </w:r>
                  <w:proofErr w:type="spellEnd"/>
                </w:p>
              </w:tc>
            </w:tr>
            <w:tr w:rsidR="002B5480" w:rsidRPr="008A65AC" w:rsidTr="00AE7A8F">
              <w:tc>
                <w:tcPr>
                  <w:tcW w:w="5000" w:type="pct"/>
                  <w:gridSpan w:val="10"/>
                </w:tcPr>
                <w:p w:rsidR="002B5480" w:rsidRPr="008A65AC" w:rsidRDefault="00DD081C" w:rsidP="002B5480">
                  <w:pPr>
                    <w:pStyle w:val="DQIRowHeadings"/>
                    <w:rPr>
                      <w:color w:val="FF0000"/>
                    </w:rPr>
                  </w:pPr>
                  <w:r>
                    <w:t>Employer engagement with VET</w:t>
                  </w:r>
                </w:p>
              </w:tc>
            </w:tr>
            <w:tr w:rsidR="008A65AC" w:rsidRPr="008A65AC" w:rsidTr="00AE7A8F">
              <w:tc>
                <w:tcPr>
                  <w:tcW w:w="5000" w:type="pct"/>
                  <w:gridSpan w:val="10"/>
                </w:tcPr>
                <w:p w:rsidR="008A65AC" w:rsidRPr="008A65AC" w:rsidRDefault="00DD081C" w:rsidP="00F85D92">
                  <w:pPr>
                    <w:pStyle w:val="TableBodyText"/>
                    <w:ind w:left="113" w:right="28"/>
                    <w:jc w:val="left"/>
                    <w:rPr>
                      <w:color w:val="FF0000"/>
                    </w:rPr>
                  </w:pPr>
                  <w:r w:rsidRPr="00EF5A5F">
                    <w:t>Proportion of employers who</w:t>
                  </w:r>
                  <w:r>
                    <w:t xml:space="preserve"> in the last twelve months </w:t>
                  </w:r>
                  <w:r w:rsidRPr="00EF5A5F">
                    <w:t>had employees with formal vocational qualifications</w:t>
                  </w:r>
                  <w:r>
                    <w:t xml:space="preserve"> as a requirement of their job, 201</w:t>
                  </w:r>
                  <w:r w:rsidR="00F85D92">
                    <w:t>5</w:t>
                  </w:r>
                </w:p>
              </w:tc>
            </w:tr>
            <w:tr w:rsidR="008A65AC" w:rsidRPr="008A65AC" w:rsidTr="00AE7A8F">
              <w:tc>
                <w:tcPr>
                  <w:tcW w:w="5000" w:type="pct"/>
                  <w:gridSpan w:val="10"/>
                </w:tcPr>
                <w:p w:rsidR="008A65AC" w:rsidRPr="008A65AC" w:rsidRDefault="008A65AC" w:rsidP="00AE7A8F">
                  <w:pPr>
                    <w:pStyle w:val="TableBodyText"/>
                    <w:ind w:left="113" w:right="28"/>
                    <w:jc w:val="left"/>
                    <w:rPr>
                      <w:color w:val="FF0000"/>
                    </w:rPr>
                  </w:pPr>
                  <w:r w:rsidRPr="00DD081C">
                    <w:rPr>
                      <w:sz w:val="16"/>
                      <w:szCs w:val="16"/>
                    </w:rPr>
                    <w:t>Most recent data for this measure are comparable and complet</w:t>
                  </w:r>
                  <w:r w:rsidR="00DD081C" w:rsidRPr="00DD081C">
                    <w:rPr>
                      <w:sz w:val="16"/>
                      <w:szCs w:val="16"/>
                    </w:rPr>
                    <w:t>e, subject to caveats (chapter 5</w:t>
                  </w:r>
                  <w:r w:rsidRPr="00DD081C">
                    <w:rPr>
                      <w:sz w:val="16"/>
                      <w:szCs w:val="16"/>
                    </w:rPr>
                    <w:t>)</w:t>
                  </w:r>
                </w:p>
              </w:tc>
            </w:tr>
            <w:tr w:rsidR="00CF324C" w:rsidRPr="008A65AC" w:rsidTr="0058707F">
              <w:tc>
                <w:tcPr>
                  <w:tcW w:w="501" w:type="pct"/>
                </w:tcPr>
                <w:p w:rsidR="00CF324C" w:rsidRPr="008A65AC" w:rsidRDefault="00CF324C" w:rsidP="00AE7A8F">
                  <w:pPr>
                    <w:pStyle w:val="TableBodyText"/>
                    <w:rPr>
                      <w:color w:val="FF0000"/>
                    </w:rPr>
                  </w:pPr>
                  <w:r w:rsidRPr="00DD081C">
                    <w:t>%</w:t>
                  </w:r>
                </w:p>
              </w:tc>
              <w:tc>
                <w:tcPr>
                  <w:tcW w:w="500" w:type="pct"/>
                  <w:vAlign w:val="center"/>
                </w:tcPr>
                <w:p w:rsidR="00CF324C" w:rsidRDefault="00CF324C" w:rsidP="00CF324C">
                  <w:pPr>
                    <w:pStyle w:val="TableBodyText"/>
                  </w:pPr>
                  <w:r>
                    <w:t xml:space="preserve">39.6 </w:t>
                  </w:r>
                  <w:r>
                    <w:br/>
                    <w:t>± 3.8</w:t>
                  </w:r>
                </w:p>
              </w:tc>
              <w:tc>
                <w:tcPr>
                  <w:tcW w:w="501" w:type="pct"/>
                  <w:vAlign w:val="center"/>
                </w:tcPr>
                <w:p w:rsidR="00CF324C" w:rsidRDefault="00CF324C" w:rsidP="00CF324C">
                  <w:pPr>
                    <w:pStyle w:val="TableBodyText"/>
                  </w:pPr>
                  <w:r>
                    <w:t xml:space="preserve">31.2 </w:t>
                  </w:r>
                  <w:r>
                    <w:br/>
                    <w:t>± 3.5</w:t>
                  </w:r>
                </w:p>
              </w:tc>
              <w:tc>
                <w:tcPr>
                  <w:tcW w:w="501" w:type="pct"/>
                  <w:vAlign w:val="center"/>
                </w:tcPr>
                <w:p w:rsidR="00CF324C" w:rsidRDefault="00CF324C" w:rsidP="00CF324C">
                  <w:pPr>
                    <w:pStyle w:val="TableBodyText"/>
                  </w:pPr>
                  <w:r>
                    <w:t xml:space="preserve">39.5 </w:t>
                  </w:r>
                  <w:r>
                    <w:br/>
                    <w:t>± 4.1</w:t>
                  </w:r>
                </w:p>
              </w:tc>
              <w:tc>
                <w:tcPr>
                  <w:tcW w:w="501" w:type="pct"/>
                  <w:vAlign w:val="center"/>
                </w:tcPr>
                <w:p w:rsidR="00CF324C" w:rsidRDefault="00CF324C" w:rsidP="00CF324C">
                  <w:pPr>
                    <w:pStyle w:val="TableBodyText"/>
                  </w:pPr>
                  <w:r>
                    <w:t xml:space="preserve">38.3 </w:t>
                  </w:r>
                  <w:r>
                    <w:br/>
                    <w:t>± 4.0</w:t>
                  </w:r>
                </w:p>
              </w:tc>
              <w:tc>
                <w:tcPr>
                  <w:tcW w:w="501" w:type="pct"/>
                  <w:vAlign w:val="center"/>
                </w:tcPr>
                <w:p w:rsidR="00CF324C" w:rsidRDefault="00CF324C" w:rsidP="00CF324C">
                  <w:pPr>
                    <w:pStyle w:val="TableBodyText"/>
                  </w:pPr>
                  <w:r>
                    <w:t xml:space="preserve">30.7 </w:t>
                  </w:r>
                  <w:r>
                    <w:br/>
                    <w:t>± 3.7</w:t>
                  </w:r>
                </w:p>
              </w:tc>
              <w:tc>
                <w:tcPr>
                  <w:tcW w:w="501" w:type="pct"/>
                  <w:vAlign w:val="center"/>
                </w:tcPr>
                <w:p w:rsidR="00CF324C" w:rsidRDefault="00CF324C" w:rsidP="00CF324C">
                  <w:pPr>
                    <w:pStyle w:val="TableBodyText"/>
                  </w:pPr>
                  <w:r>
                    <w:t xml:space="preserve">34.8 </w:t>
                  </w:r>
                  <w:r>
                    <w:br/>
                    <w:t>± 4.7</w:t>
                  </w:r>
                </w:p>
              </w:tc>
              <w:tc>
                <w:tcPr>
                  <w:tcW w:w="500" w:type="pct"/>
                  <w:vAlign w:val="center"/>
                </w:tcPr>
                <w:p w:rsidR="00CF324C" w:rsidRDefault="00CF324C" w:rsidP="00CF324C">
                  <w:pPr>
                    <w:pStyle w:val="TableBodyText"/>
                  </w:pPr>
                  <w:r>
                    <w:t xml:space="preserve">33.2 </w:t>
                  </w:r>
                  <w:r>
                    <w:br/>
                    <w:t>± 3.5</w:t>
                  </w:r>
                </w:p>
              </w:tc>
              <w:tc>
                <w:tcPr>
                  <w:tcW w:w="500" w:type="pct"/>
                  <w:vAlign w:val="center"/>
                </w:tcPr>
                <w:p w:rsidR="00CF324C" w:rsidRDefault="00CF324C" w:rsidP="00CF324C">
                  <w:pPr>
                    <w:pStyle w:val="TableBodyText"/>
                  </w:pPr>
                  <w:r>
                    <w:t xml:space="preserve">42.7 </w:t>
                  </w:r>
                  <w:r>
                    <w:br/>
                    <w:t>± 4.8</w:t>
                  </w:r>
                </w:p>
              </w:tc>
              <w:tc>
                <w:tcPr>
                  <w:tcW w:w="494" w:type="pct"/>
                  <w:vAlign w:val="center"/>
                </w:tcPr>
                <w:p w:rsidR="00CF324C" w:rsidRDefault="00CF324C" w:rsidP="00CF324C">
                  <w:pPr>
                    <w:pStyle w:val="TableBodyText"/>
                  </w:pPr>
                  <w:r>
                    <w:t xml:space="preserve">36.6 </w:t>
                  </w:r>
                  <w:r>
                    <w:br/>
                    <w:t>± 1.9</w:t>
                  </w:r>
                </w:p>
              </w:tc>
            </w:tr>
            <w:tr w:rsidR="00CF324C" w:rsidRPr="008A65AC" w:rsidTr="00AE7A8F">
              <w:tc>
                <w:tcPr>
                  <w:tcW w:w="5000" w:type="pct"/>
                  <w:gridSpan w:val="10"/>
                </w:tcPr>
                <w:p w:rsidR="00CF324C" w:rsidRPr="008A65AC" w:rsidRDefault="00CF324C" w:rsidP="00357D12">
                  <w:pPr>
                    <w:pStyle w:val="Source"/>
                    <w:spacing w:before="0" w:after="80"/>
                    <w:ind w:left="113"/>
                    <w:rPr>
                      <w:color w:val="FF0000"/>
                    </w:rPr>
                  </w:pPr>
                  <w:r w:rsidRPr="00DD081C">
                    <w:rPr>
                      <w:i/>
                    </w:rPr>
                    <w:t xml:space="preserve">Source: </w:t>
                  </w:r>
                  <w:r w:rsidRPr="00DD081C">
                    <w:t xml:space="preserve">Attachment table </w:t>
                  </w:r>
                  <w:proofErr w:type="spellStart"/>
                  <w:r w:rsidRPr="00DD081C">
                    <w:t>5A.</w:t>
                  </w:r>
                  <w:r w:rsidR="00357D12">
                    <w:t>94</w:t>
                  </w:r>
                  <w:proofErr w:type="spellEnd"/>
                </w:p>
              </w:tc>
            </w:tr>
            <w:tr w:rsidR="00CF324C" w:rsidRPr="008A65AC" w:rsidTr="00AE7A8F">
              <w:tc>
                <w:tcPr>
                  <w:tcW w:w="5000" w:type="pct"/>
                  <w:gridSpan w:val="10"/>
                </w:tcPr>
                <w:p w:rsidR="00CF324C" w:rsidRPr="005C3B19" w:rsidRDefault="00CF324C" w:rsidP="00AE7A8F">
                  <w:pPr>
                    <w:pStyle w:val="DQIRowHeadings"/>
                  </w:pPr>
                  <w:r w:rsidRPr="005C3B19">
                    <w:t>Employer satisfaction with VET</w:t>
                  </w:r>
                </w:p>
              </w:tc>
            </w:tr>
            <w:tr w:rsidR="00CF324C" w:rsidRPr="008A65AC" w:rsidTr="00AE7A8F">
              <w:tc>
                <w:tcPr>
                  <w:tcW w:w="5000" w:type="pct"/>
                  <w:gridSpan w:val="10"/>
                </w:tcPr>
                <w:p w:rsidR="00CF324C" w:rsidRPr="005C3B19" w:rsidRDefault="00CF324C" w:rsidP="00F85D92">
                  <w:pPr>
                    <w:pStyle w:val="TableBodyText"/>
                    <w:ind w:left="113" w:right="28"/>
                    <w:jc w:val="left"/>
                  </w:pPr>
                  <w:r w:rsidRPr="005C3B19">
                    <w:t xml:space="preserve">Proportion of employers who were engaged with the VET system in the last 12 months, and were satisfied with VET in </w:t>
                  </w:r>
                  <w:r>
                    <w:t xml:space="preserve">meeting their skill needs </w:t>
                  </w:r>
                  <w:r w:rsidRPr="005C3B19">
                    <w:t xml:space="preserve"> — Satisfaction with formal vocational qualifications as a job requirement</w:t>
                  </w:r>
                  <w:r>
                    <w:t>, 2015</w:t>
                  </w:r>
                </w:p>
              </w:tc>
            </w:tr>
            <w:tr w:rsidR="00CF324C" w:rsidRPr="008A65AC" w:rsidTr="00AE7A8F">
              <w:tc>
                <w:tcPr>
                  <w:tcW w:w="5000" w:type="pct"/>
                  <w:gridSpan w:val="10"/>
                </w:tcPr>
                <w:p w:rsidR="00CF324C" w:rsidRPr="000C6EB6" w:rsidRDefault="00CF324C" w:rsidP="00AE7A8F">
                  <w:pPr>
                    <w:pStyle w:val="TableBodyText"/>
                    <w:ind w:left="113" w:right="28"/>
                    <w:jc w:val="left"/>
                  </w:pPr>
                  <w:r w:rsidRPr="000C6EB6">
                    <w:rPr>
                      <w:sz w:val="16"/>
                      <w:szCs w:val="16"/>
                    </w:rPr>
                    <w:t>Most recent data for this measure are comparable and complete, subject to caveats (chapter 5)</w:t>
                  </w:r>
                </w:p>
              </w:tc>
            </w:tr>
            <w:tr w:rsidR="00CF324C" w:rsidRPr="008A65AC" w:rsidTr="0058707F">
              <w:tc>
                <w:tcPr>
                  <w:tcW w:w="501" w:type="pct"/>
                  <w:vAlign w:val="center"/>
                </w:tcPr>
                <w:p w:rsidR="00CF324C" w:rsidRPr="008A65AC" w:rsidRDefault="00CF324C" w:rsidP="00AE7A8F">
                  <w:pPr>
                    <w:pStyle w:val="TableBodyText"/>
                    <w:rPr>
                      <w:color w:val="FF0000"/>
                    </w:rPr>
                  </w:pPr>
                  <w:r w:rsidRPr="000C6EB6">
                    <w:t>%</w:t>
                  </w:r>
                </w:p>
              </w:tc>
              <w:tc>
                <w:tcPr>
                  <w:tcW w:w="500" w:type="pct"/>
                  <w:vAlign w:val="center"/>
                </w:tcPr>
                <w:p w:rsidR="00CF324C" w:rsidRDefault="00CF324C" w:rsidP="00CF324C">
                  <w:pPr>
                    <w:pStyle w:val="TableBodyText"/>
                  </w:pPr>
                  <w:r>
                    <w:t xml:space="preserve">73.7 </w:t>
                  </w:r>
                  <w:r>
                    <w:br/>
                    <w:t>± 5.7</w:t>
                  </w:r>
                </w:p>
              </w:tc>
              <w:tc>
                <w:tcPr>
                  <w:tcW w:w="501" w:type="pct"/>
                  <w:vAlign w:val="center"/>
                </w:tcPr>
                <w:p w:rsidR="00CF324C" w:rsidRDefault="00CF324C" w:rsidP="00CF324C">
                  <w:pPr>
                    <w:pStyle w:val="TableBodyText"/>
                  </w:pPr>
                  <w:r>
                    <w:t xml:space="preserve">79.1 </w:t>
                  </w:r>
                  <w:r>
                    <w:br/>
                    <w:t>± 5.2</w:t>
                  </w:r>
                </w:p>
              </w:tc>
              <w:tc>
                <w:tcPr>
                  <w:tcW w:w="501" w:type="pct"/>
                  <w:vAlign w:val="center"/>
                </w:tcPr>
                <w:p w:rsidR="00CF324C" w:rsidRDefault="00CF324C" w:rsidP="00CF324C">
                  <w:pPr>
                    <w:pStyle w:val="TableBodyText"/>
                  </w:pPr>
                  <w:r>
                    <w:t xml:space="preserve">75.9 </w:t>
                  </w:r>
                  <w:r>
                    <w:br/>
                    <w:t>± 5.8</w:t>
                  </w:r>
                </w:p>
              </w:tc>
              <w:tc>
                <w:tcPr>
                  <w:tcW w:w="501" w:type="pct"/>
                  <w:vAlign w:val="center"/>
                </w:tcPr>
                <w:p w:rsidR="00CF324C" w:rsidRDefault="00CF324C" w:rsidP="00CF324C">
                  <w:pPr>
                    <w:pStyle w:val="TableBodyText"/>
                  </w:pPr>
                  <w:r>
                    <w:t xml:space="preserve">78.9 </w:t>
                  </w:r>
                  <w:r>
                    <w:br/>
                    <w:t>± 5.6</w:t>
                  </w:r>
                </w:p>
              </w:tc>
              <w:tc>
                <w:tcPr>
                  <w:tcW w:w="501" w:type="pct"/>
                  <w:vAlign w:val="center"/>
                </w:tcPr>
                <w:p w:rsidR="00CF324C" w:rsidRDefault="00CF324C" w:rsidP="00CF324C">
                  <w:pPr>
                    <w:pStyle w:val="TableBodyText"/>
                  </w:pPr>
                  <w:r>
                    <w:t xml:space="preserve">77.7 </w:t>
                  </w:r>
                  <w:r>
                    <w:br/>
                    <w:t>± 6.1</w:t>
                  </w:r>
                </w:p>
              </w:tc>
              <w:tc>
                <w:tcPr>
                  <w:tcW w:w="501" w:type="pct"/>
                  <w:vAlign w:val="center"/>
                </w:tcPr>
                <w:p w:rsidR="00CF324C" w:rsidRDefault="00CF324C" w:rsidP="00CF324C">
                  <w:pPr>
                    <w:pStyle w:val="TableBodyText"/>
                  </w:pPr>
                  <w:r>
                    <w:t xml:space="preserve">79.6 </w:t>
                  </w:r>
                  <w:r>
                    <w:br/>
                    <w:t>± 5.8</w:t>
                  </w:r>
                </w:p>
              </w:tc>
              <w:tc>
                <w:tcPr>
                  <w:tcW w:w="500" w:type="pct"/>
                  <w:vAlign w:val="center"/>
                </w:tcPr>
                <w:p w:rsidR="00CF324C" w:rsidRDefault="00CF324C" w:rsidP="00CF324C">
                  <w:pPr>
                    <w:pStyle w:val="TableBodyText"/>
                  </w:pPr>
                  <w:r>
                    <w:t xml:space="preserve">77.9 </w:t>
                  </w:r>
                  <w:r>
                    <w:br/>
                    <w:t>± 5.8</w:t>
                  </w:r>
                </w:p>
              </w:tc>
              <w:tc>
                <w:tcPr>
                  <w:tcW w:w="500" w:type="pct"/>
                  <w:vAlign w:val="center"/>
                </w:tcPr>
                <w:p w:rsidR="00CF324C" w:rsidRDefault="00CF324C" w:rsidP="00CF324C">
                  <w:pPr>
                    <w:pStyle w:val="TableBodyText"/>
                  </w:pPr>
                  <w:r>
                    <w:t xml:space="preserve">76.1 </w:t>
                  </w:r>
                  <w:r>
                    <w:br/>
                    <w:t>± 6.4</w:t>
                  </w:r>
                </w:p>
              </w:tc>
              <w:tc>
                <w:tcPr>
                  <w:tcW w:w="494" w:type="pct"/>
                  <w:vAlign w:val="center"/>
                </w:tcPr>
                <w:p w:rsidR="00CF324C" w:rsidRDefault="00CF324C" w:rsidP="00CF324C">
                  <w:pPr>
                    <w:pStyle w:val="TableBodyText"/>
                  </w:pPr>
                  <w:r>
                    <w:t xml:space="preserve">76.2 </w:t>
                  </w:r>
                  <w:r>
                    <w:br/>
                    <w:t>± 2.8</w:t>
                  </w:r>
                </w:p>
              </w:tc>
            </w:tr>
            <w:tr w:rsidR="00CF324C" w:rsidRPr="008A65AC" w:rsidTr="00D44CBF">
              <w:tc>
                <w:tcPr>
                  <w:tcW w:w="5000" w:type="pct"/>
                  <w:gridSpan w:val="10"/>
                  <w:tcBorders>
                    <w:bottom w:val="single" w:sz="6" w:space="0" w:color="BFBFBF"/>
                  </w:tcBorders>
                </w:tcPr>
                <w:p w:rsidR="00CF324C" w:rsidRPr="000C6EB6" w:rsidRDefault="00CF324C" w:rsidP="00357D12">
                  <w:pPr>
                    <w:pStyle w:val="Source"/>
                    <w:spacing w:before="0" w:after="80"/>
                    <w:ind w:left="113"/>
                  </w:pPr>
                  <w:r w:rsidRPr="000C6EB6">
                    <w:rPr>
                      <w:i/>
                    </w:rPr>
                    <w:t xml:space="preserve">Source: </w:t>
                  </w:r>
                  <w:r w:rsidRPr="000C6EB6">
                    <w:t xml:space="preserve">Attachment table </w:t>
                  </w:r>
                  <w:proofErr w:type="spellStart"/>
                  <w:r w:rsidRPr="000C6EB6">
                    <w:t>5A.</w:t>
                  </w:r>
                  <w:r w:rsidR="00357D12">
                    <w:t>95</w:t>
                  </w:r>
                  <w:proofErr w:type="spellEnd"/>
                </w:p>
              </w:tc>
            </w:tr>
          </w:tbl>
          <w:p w:rsidR="008A65AC" w:rsidRPr="008A65AC" w:rsidRDefault="008A65AC" w:rsidP="00AE7A8F">
            <w:pPr>
              <w:pStyle w:val="Box"/>
              <w:rPr>
                <w:color w:val="FF0000"/>
              </w:rPr>
            </w:pPr>
          </w:p>
        </w:tc>
      </w:tr>
      <w:tr w:rsidR="00A71DDC" w:rsidRPr="008A65AC" w:rsidTr="00AE7A8F">
        <w:trPr>
          <w:cantSplit/>
        </w:trPr>
        <w:tc>
          <w:tcPr>
            <w:tcW w:w="8771" w:type="dxa"/>
            <w:tcBorders>
              <w:top w:val="nil"/>
              <w:left w:val="nil"/>
              <w:bottom w:val="nil"/>
              <w:right w:val="nil"/>
            </w:tcBorders>
            <w:shd w:val="clear" w:color="auto" w:fill="auto"/>
          </w:tcPr>
          <w:p w:rsidR="00A71DDC" w:rsidRPr="00840D2D" w:rsidRDefault="00A71DDC" w:rsidP="00A71DDC">
            <w:pPr>
              <w:pStyle w:val="Source"/>
              <w:rPr>
                <w:i/>
              </w:rPr>
            </w:pPr>
            <w:r w:rsidRPr="00CF062B">
              <w:rPr>
                <w:rStyle w:val="NoteLabel"/>
              </w:rPr>
              <w:t>a</w:t>
            </w:r>
            <w:r w:rsidRPr="00B817EA">
              <w:t> Caveats f</w:t>
            </w:r>
            <w:r>
              <w:t>or these data are available in c</w:t>
            </w:r>
            <w:r w:rsidRPr="00B817EA">
              <w:t xml:space="preserve">hapter </w:t>
            </w:r>
            <w:r>
              <w:t>5</w:t>
            </w:r>
            <w:r w:rsidRPr="00B817EA">
              <w:t xml:space="preserve"> and </w:t>
            </w:r>
            <w:r>
              <w:t>a</w:t>
            </w:r>
            <w:r w:rsidRPr="00B817EA">
              <w:t xml:space="preserve">ttachment </w:t>
            </w:r>
            <w:proofErr w:type="spellStart"/>
            <w:r>
              <w:t>5</w:t>
            </w:r>
            <w:r w:rsidRPr="00B817EA">
              <w:t>A</w:t>
            </w:r>
            <w:proofErr w:type="spellEnd"/>
            <w:r w:rsidRPr="00B817EA">
              <w:t xml:space="preserve">. Refer to the indicator interpretation boxes in chapter </w:t>
            </w:r>
            <w:r>
              <w:t>5</w:t>
            </w:r>
            <w:r w:rsidRPr="00B817EA">
              <w:t xml:space="preserve"> for information to assist with </w:t>
            </w:r>
            <w:r>
              <w:t xml:space="preserve">the </w:t>
            </w:r>
            <w:r w:rsidRPr="00B817EA">
              <w:t>interpret</w:t>
            </w:r>
            <w:r>
              <w:t>ation of</w:t>
            </w:r>
            <w:r w:rsidRPr="00B817EA">
              <w:t xml:space="preserve"> data presented in this table. </w:t>
            </w:r>
            <w:r w:rsidRPr="00CF062B">
              <w:rPr>
                <w:rStyle w:val="NoteLabel"/>
              </w:rPr>
              <w:t>b</w:t>
            </w:r>
            <w:r w:rsidRPr="00B817EA">
              <w:t> </w:t>
            </w:r>
            <w:r>
              <w:t>These</w:t>
            </w:r>
            <w:r w:rsidRPr="00B817EA">
              <w:t xml:space="preserve"> data are derived from detailed data in </w:t>
            </w:r>
            <w:r>
              <w:t>c</w:t>
            </w:r>
            <w:r w:rsidRPr="00B817EA">
              <w:t xml:space="preserve">hapter </w:t>
            </w:r>
            <w:r>
              <w:t>5</w:t>
            </w:r>
            <w:r w:rsidRPr="00B817EA">
              <w:t xml:space="preserve"> and </w:t>
            </w:r>
            <w:r>
              <w:t>a</w:t>
            </w:r>
            <w:r w:rsidRPr="00B817EA">
              <w:t xml:space="preserve">ttachment </w:t>
            </w:r>
            <w:proofErr w:type="spellStart"/>
            <w:r>
              <w:t>5</w:t>
            </w:r>
            <w:r w:rsidRPr="00B817EA">
              <w:t>A</w:t>
            </w:r>
            <w:proofErr w:type="spellEnd"/>
            <w:r w:rsidRPr="00B817EA">
              <w:t>.</w:t>
            </w:r>
            <w:r>
              <w:t xml:space="preserve"> </w:t>
            </w:r>
            <w:r>
              <w:rPr>
                <w:rStyle w:val="NoteLabel"/>
              </w:rPr>
              <w:t>c</w:t>
            </w:r>
            <w:r w:rsidRPr="00B817EA">
              <w:t> </w:t>
            </w:r>
            <w:r>
              <w:t xml:space="preserve">Some percentages reported in this table include 95 per cent confidence intervals (for example, 80 per cent </w:t>
            </w:r>
            <w:r w:rsidRPr="00393E8A">
              <w:t>± 2.7 per cent).</w:t>
            </w:r>
            <w:r>
              <w:t xml:space="preserve"> </w:t>
            </w:r>
          </w:p>
        </w:tc>
      </w:tr>
      <w:tr w:rsidR="00A71DDC" w:rsidRPr="008A65AC" w:rsidTr="00AE7A8F">
        <w:trPr>
          <w:cantSplit/>
        </w:trPr>
        <w:tc>
          <w:tcPr>
            <w:tcW w:w="8771" w:type="dxa"/>
            <w:tcBorders>
              <w:top w:val="nil"/>
              <w:left w:val="nil"/>
              <w:bottom w:val="nil"/>
              <w:right w:val="nil"/>
            </w:tcBorders>
            <w:shd w:val="clear" w:color="auto" w:fill="auto"/>
          </w:tcPr>
          <w:p w:rsidR="00A71DDC" w:rsidRPr="000C6EB6" w:rsidRDefault="00A71DDC" w:rsidP="00A71DDC">
            <w:pPr>
              <w:pStyle w:val="Source"/>
              <w:rPr>
                <w:rStyle w:val="NoteLabel"/>
              </w:rPr>
            </w:pPr>
            <w:r w:rsidRPr="00840D2D">
              <w:rPr>
                <w:i/>
              </w:rPr>
              <w:t>Source</w:t>
            </w:r>
            <w:r w:rsidRPr="00262ED3">
              <w:t>: Chapter</w:t>
            </w:r>
            <w:r>
              <w:t> 5</w:t>
            </w:r>
            <w:r w:rsidRPr="00262ED3">
              <w:t xml:space="preserve"> and </w:t>
            </w:r>
            <w:r w:rsidRPr="001151FA">
              <w:t>attachment</w:t>
            </w:r>
            <w:r>
              <w:t> </w:t>
            </w:r>
            <w:proofErr w:type="spellStart"/>
            <w:r>
              <w:t>5</w:t>
            </w:r>
            <w:r w:rsidRPr="00262ED3">
              <w:t>A</w:t>
            </w:r>
            <w:proofErr w:type="spellEnd"/>
            <w:r w:rsidRPr="00262ED3">
              <w:t>.</w:t>
            </w:r>
          </w:p>
        </w:tc>
      </w:tr>
      <w:tr w:rsidR="008A65AC" w:rsidRPr="008A65AC" w:rsidTr="00AE7A8F">
        <w:trPr>
          <w:cantSplit/>
        </w:trPr>
        <w:tc>
          <w:tcPr>
            <w:tcW w:w="8771" w:type="dxa"/>
            <w:tcBorders>
              <w:top w:val="nil"/>
              <w:left w:val="nil"/>
              <w:bottom w:val="single" w:sz="6" w:space="0" w:color="78A22F"/>
              <w:right w:val="nil"/>
            </w:tcBorders>
            <w:shd w:val="clear" w:color="auto" w:fill="auto"/>
          </w:tcPr>
          <w:p w:rsidR="008A65AC" w:rsidRPr="008A65AC" w:rsidRDefault="008A65AC" w:rsidP="00AE7A8F">
            <w:pPr>
              <w:pStyle w:val="Box"/>
              <w:spacing w:before="0" w:line="120" w:lineRule="exact"/>
              <w:rPr>
                <w:color w:val="FF0000"/>
              </w:rPr>
            </w:pPr>
          </w:p>
        </w:tc>
      </w:tr>
      <w:tr w:rsidR="008A65AC" w:rsidRPr="008A65AC" w:rsidTr="00AE7A8F">
        <w:tc>
          <w:tcPr>
            <w:tcW w:w="8771" w:type="dxa"/>
            <w:tcBorders>
              <w:top w:val="single" w:sz="6" w:space="0" w:color="78A22F"/>
              <w:left w:val="nil"/>
              <w:bottom w:val="nil"/>
              <w:right w:val="nil"/>
            </w:tcBorders>
          </w:tcPr>
          <w:p w:rsidR="008A65AC" w:rsidRPr="008A65AC" w:rsidRDefault="008A65AC" w:rsidP="00AE7A8F">
            <w:pPr>
              <w:pStyle w:val="BoxSpaceBelow"/>
              <w:rPr>
                <w:color w:val="FF0000"/>
              </w:rPr>
            </w:pPr>
          </w:p>
        </w:tc>
      </w:tr>
    </w:tbl>
    <w:p w:rsidR="00FF27ED" w:rsidRPr="00312417" w:rsidRDefault="00891AAF" w:rsidP="00AA7159">
      <w:pPr>
        <w:pStyle w:val="Heading2"/>
      </w:pPr>
      <w:bookmarkStart w:id="38" w:name="_Toc404865400"/>
      <w:proofErr w:type="spellStart"/>
      <w:r w:rsidRPr="00312417">
        <w:t>B.</w:t>
      </w:r>
      <w:r w:rsidR="00501FB3">
        <w:rPr>
          <w:noProof/>
        </w:rPr>
        <w:t>3</w:t>
      </w:r>
      <w:proofErr w:type="spellEnd"/>
      <w:r w:rsidR="00AE67DB" w:rsidRPr="00312417">
        <w:tab/>
      </w:r>
      <w:r w:rsidR="00FF27ED" w:rsidRPr="00312417">
        <w:t>Cross</w:t>
      </w:r>
      <w:r w:rsidR="000117A0" w:rsidRPr="00312417">
        <w:noBreakHyphen/>
      </w:r>
      <w:r w:rsidR="00FF27ED" w:rsidRPr="00312417">
        <w:t>cutting and interface issues</w:t>
      </w:r>
      <w:bookmarkEnd w:id="38"/>
      <w:r w:rsidR="00AA7159" w:rsidRPr="00312417">
        <w:t xml:space="preserve"> </w:t>
      </w:r>
    </w:p>
    <w:p w:rsidR="00067C42" w:rsidRPr="00312417" w:rsidRDefault="00067C42" w:rsidP="00067C42">
      <w:pPr>
        <w:pStyle w:val="BodyText"/>
      </w:pPr>
      <w:r w:rsidRPr="00312417">
        <w:t>Although this Report addresses three areas of education in separate chapters</w:t>
      </w:r>
      <w:r w:rsidR="00710A31">
        <w:t>,</w:t>
      </w:r>
      <w:r w:rsidR="00F011F7" w:rsidRPr="00312417">
        <w:t xml:space="preserve"> </w:t>
      </w:r>
      <w:r w:rsidRPr="00312417">
        <w:t xml:space="preserve">it is recognised that there are many linkages between these services across the lifespan. </w:t>
      </w:r>
    </w:p>
    <w:p w:rsidR="00EB6817" w:rsidRPr="00AA4A8C" w:rsidRDefault="005A3418" w:rsidP="00EB6817">
      <w:pPr>
        <w:pStyle w:val="ListBullet"/>
      </w:pPr>
      <w:r w:rsidRPr="00AA4A8C">
        <w:t>R</w:t>
      </w:r>
      <w:r w:rsidR="00480ADA" w:rsidRPr="00AA4A8C">
        <w:t xml:space="preserve">esearch has found that </w:t>
      </w:r>
      <w:r w:rsidR="0018189A" w:rsidRPr="00AA4A8C">
        <w:t>participation</w:t>
      </w:r>
      <w:r w:rsidR="00480ADA" w:rsidRPr="00AA4A8C">
        <w:t xml:space="preserve"> in </w:t>
      </w:r>
      <w:r w:rsidR="0018189A" w:rsidRPr="00AA4A8C">
        <w:t xml:space="preserve">quality </w:t>
      </w:r>
      <w:proofErr w:type="spellStart"/>
      <w:r w:rsidR="0076776A" w:rsidRPr="00AA4A8C">
        <w:t>ECEC</w:t>
      </w:r>
      <w:proofErr w:type="spellEnd"/>
      <w:r w:rsidR="0018189A" w:rsidRPr="00AA4A8C">
        <w:t xml:space="preserve"> </w:t>
      </w:r>
      <w:r w:rsidR="00480ADA" w:rsidRPr="00AA4A8C">
        <w:t xml:space="preserve">impacts </w:t>
      </w:r>
      <w:r w:rsidR="0018189A" w:rsidRPr="00AA4A8C">
        <w:t>beneficially</w:t>
      </w:r>
      <w:r w:rsidR="00480ADA" w:rsidRPr="00AA4A8C">
        <w:t xml:space="preserve"> upon children’s educ</w:t>
      </w:r>
      <w:r w:rsidR="00D71B3F" w:rsidRPr="00AA4A8C">
        <w:t xml:space="preserve">ational and social development </w:t>
      </w:r>
      <w:r w:rsidR="00480ADA" w:rsidRPr="00AA4A8C">
        <w:t>(</w:t>
      </w:r>
      <w:r w:rsidR="00072352" w:rsidRPr="00AA4A8C">
        <w:t>Ramey</w:t>
      </w:r>
      <w:r w:rsidR="00974B2C" w:rsidRPr="00AA4A8C">
        <w:t xml:space="preserve"> et al.</w:t>
      </w:r>
      <w:r w:rsidR="00072352" w:rsidRPr="00AA4A8C">
        <w:t xml:space="preserve"> 2012</w:t>
      </w:r>
      <w:r w:rsidR="0018189A" w:rsidRPr="00AA4A8C">
        <w:t xml:space="preserve">; </w:t>
      </w:r>
      <w:r w:rsidR="00072352" w:rsidRPr="00AA4A8C">
        <w:t>Tayler</w:t>
      </w:r>
      <w:r w:rsidR="00974B2C" w:rsidRPr="00AA4A8C">
        <w:t xml:space="preserve"> et al.</w:t>
      </w:r>
      <w:r w:rsidR="00480ADA" w:rsidRPr="00AA4A8C">
        <w:t xml:space="preserve"> 2013).</w:t>
      </w:r>
      <w:r w:rsidR="0018189A" w:rsidRPr="00AA4A8C">
        <w:t xml:space="preserve"> </w:t>
      </w:r>
    </w:p>
    <w:p w:rsidR="005A2CE9" w:rsidRPr="00312417" w:rsidRDefault="0007595B" w:rsidP="005A3418">
      <w:pPr>
        <w:pStyle w:val="ListBullet"/>
      </w:pPr>
      <w:r>
        <w:t>E</w:t>
      </w:r>
      <w:r w:rsidR="00E5659E" w:rsidRPr="00312417">
        <w:t xml:space="preserve">ngagement in school influences </w:t>
      </w:r>
      <w:r w:rsidR="00974B2C" w:rsidRPr="00312417">
        <w:t xml:space="preserve">a child’s </w:t>
      </w:r>
      <w:r w:rsidR="00E5659E" w:rsidRPr="00312417">
        <w:t xml:space="preserve">prospects of educational and occupational success, over and above </w:t>
      </w:r>
      <w:r w:rsidR="00974B2C" w:rsidRPr="00312417">
        <w:t xml:space="preserve">his or her </w:t>
      </w:r>
      <w:r w:rsidR="00E5659E" w:rsidRPr="00312417">
        <w:t xml:space="preserve">academic attainment and socioeconomic background. </w:t>
      </w:r>
      <w:r w:rsidR="005A2CE9" w:rsidRPr="00312417">
        <w:t>Abbott</w:t>
      </w:r>
      <w:r w:rsidR="000117A0" w:rsidRPr="00312417">
        <w:noBreakHyphen/>
      </w:r>
      <w:r w:rsidR="005A2CE9" w:rsidRPr="00312417">
        <w:t>Chapman et al. (2013) found that t</w:t>
      </w:r>
      <w:r w:rsidR="00E5659E" w:rsidRPr="00312417">
        <w:t xml:space="preserve">he more children felt connected to their school community and felt engaged, the greater their likelihood of achieving a higher educational qualification and going on to a professional career. </w:t>
      </w:r>
    </w:p>
    <w:p w:rsidR="00491C8F" w:rsidRPr="006C55C8" w:rsidRDefault="005A3418" w:rsidP="00491C8F">
      <w:pPr>
        <w:pStyle w:val="ListBullet"/>
      </w:pPr>
      <w:r w:rsidRPr="006C55C8">
        <w:t>R</w:t>
      </w:r>
      <w:r w:rsidR="005A2CE9" w:rsidRPr="006C55C8">
        <w:t>esearch has</w:t>
      </w:r>
      <w:r w:rsidRPr="006C55C8">
        <w:t xml:space="preserve"> also</w:t>
      </w:r>
      <w:r w:rsidR="005A2CE9" w:rsidRPr="006C55C8">
        <w:t xml:space="preserve"> documented the benefits of completing a VET qualification. </w:t>
      </w:r>
      <w:proofErr w:type="spellStart"/>
      <w:r w:rsidR="005A2CE9" w:rsidRPr="006C55C8">
        <w:t>Karmel</w:t>
      </w:r>
      <w:proofErr w:type="spellEnd"/>
      <w:r w:rsidR="005A2CE9" w:rsidRPr="006C55C8">
        <w:t xml:space="preserve"> and </w:t>
      </w:r>
      <w:proofErr w:type="spellStart"/>
      <w:r w:rsidR="005A2CE9" w:rsidRPr="006C55C8">
        <w:t>Fieger</w:t>
      </w:r>
      <w:proofErr w:type="spellEnd"/>
      <w:r w:rsidR="005A2CE9" w:rsidRPr="006C55C8">
        <w:t xml:space="preserve"> (2012) found that completing VET</w:t>
      </w:r>
      <w:r w:rsidR="0027627D" w:rsidRPr="006C55C8">
        <w:t xml:space="preserve"> qualifications</w:t>
      </w:r>
      <w:r w:rsidR="00974B2C" w:rsidRPr="006C55C8">
        <w:t>, compared to withdrawing before completion,</w:t>
      </w:r>
      <w:r w:rsidR="0027627D" w:rsidRPr="006C55C8">
        <w:t xml:space="preserve"> is </w:t>
      </w:r>
      <w:r w:rsidR="00974B2C" w:rsidRPr="006C55C8">
        <w:t xml:space="preserve">more </w:t>
      </w:r>
      <w:r w:rsidR="0027627D" w:rsidRPr="006C55C8">
        <w:t>beneficial for students’ future employment prospects, occupational status, salary and further study options.</w:t>
      </w:r>
      <w:r w:rsidR="00AA7020" w:rsidRPr="006C55C8">
        <w:t xml:space="preserve"> </w:t>
      </w:r>
    </w:p>
    <w:p w:rsidR="005A3418" w:rsidRPr="00331C97" w:rsidRDefault="005A3418" w:rsidP="005A2CE9">
      <w:pPr>
        <w:pStyle w:val="ListBullet"/>
      </w:pPr>
      <w:r w:rsidRPr="00331C97">
        <w:t xml:space="preserve">Completion of school is also a predicator of positive life outcomes. On average, young people who complete Year 12 tend to have more successful transitions from education to work than those who do not. Completion of senior secondary schooling </w:t>
      </w:r>
      <w:r w:rsidR="009936BA" w:rsidRPr="00331C97">
        <w:t xml:space="preserve">has been </w:t>
      </w:r>
      <w:r w:rsidR="009936BA" w:rsidRPr="00331C97">
        <w:lastRenderedPageBreak/>
        <w:t>shown to provide</w:t>
      </w:r>
      <w:r w:rsidRPr="00331C97">
        <w:t xml:space="preserve"> the best labour market outcomes, relative to other vocational education paths</w:t>
      </w:r>
      <w:r w:rsidR="001D211F" w:rsidRPr="00331C97">
        <w:t xml:space="preserve"> (Ryan 2011)</w:t>
      </w:r>
      <w:r w:rsidRPr="00331C97">
        <w:t xml:space="preserve">. </w:t>
      </w:r>
    </w:p>
    <w:p w:rsidR="00067C42" w:rsidRPr="006C55C8" w:rsidRDefault="00067C42" w:rsidP="00067C42">
      <w:pPr>
        <w:pStyle w:val="BodyText"/>
      </w:pPr>
      <w:r w:rsidRPr="006C55C8">
        <w:t xml:space="preserve">There are also </w:t>
      </w:r>
      <w:r w:rsidR="00072352" w:rsidRPr="006C55C8">
        <w:t>interrelationships</w:t>
      </w:r>
      <w:r w:rsidRPr="006C55C8">
        <w:t xml:space="preserve"> between education</w:t>
      </w:r>
      <w:r w:rsidR="00E41D64" w:rsidRPr="006C55C8">
        <w:t xml:space="preserve"> and other government services.</w:t>
      </w:r>
    </w:p>
    <w:p w:rsidR="00072352" w:rsidRPr="006C55C8" w:rsidRDefault="00E41D64" w:rsidP="00595701">
      <w:pPr>
        <w:pStyle w:val="ListBullet"/>
      </w:pPr>
      <w:r w:rsidRPr="006C55C8">
        <w:t>T</w:t>
      </w:r>
      <w:r w:rsidR="00072352" w:rsidRPr="006C55C8">
        <w:t xml:space="preserve">he value of investment in </w:t>
      </w:r>
      <w:proofErr w:type="spellStart"/>
      <w:r w:rsidR="0076776A" w:rsidRPr="006C55C8">
        <w:t>ECEC</w:t>
      </w:r>
      <w:proofErr w:type="spellEnd"/>
      <w:r w:rsidR="00072352" w:rsidRPr="006C55C8">
        <w:t xml:space="preserve"> has been confirmed by economic analyses, which show</w:t>
      </w:r>
      <w:r w:rsidR="00323C30">
        <w:t>ed</w:t>
      </w:r>
      <w:r w:rsidR="00072352" w:rsidRPr="006C55C8">
        <w:t xml:space="preserve"> sustained benefits beyond childhood, including government savings in the justice system (Reynold</w:t>
      </w:r>
      <w:r w:rsidR="005C0D07" w:rsidRPr="006C55C8">
        <w:t>s et</w:t>
      </w:r>
      <w:r w:rsidR="00A51A5F" w:rsidRPr="006C55C8">
        <w:t xml:space="preserve"> </w:t>
      </w:r>
      <w:r w:rsidR="00072352" w:rsidRPr="006C55C8">
        <w:t>al</w:t>
      </w:r>
      <w:r w:rsidR="005C0D07" w:rsidRPr="006C55C8">
        <w:t>.</w:t>
      </w:r>
      <w:r w:rsidR="00A51A5F" w:rsidRPr="006C55C8">
        <w:t xml:space="preserve"> </w:t>
      </w:r>
      <w:r w:rsidR="00072352" w:rsidRPr="006C55C8">
        <w:t>20</w:t>
      </w:r>
      <w:r w:rsidR="001E7356" w:rsidRPr="006C55C8">
        <w:t>09</w:t>
      </w:r>
      <w:r w:rsidR="00072352" w:rsidRPr="006C55C8">
        <w:t xml:space="preserve">). </w:t>
      </w:r>
    </w:p>
    <w:p w:rsidR="00BB5A0F" w:rsidRPr="006C55C8" w:rsidRDefault="00E41D64" w:rsidP="00BB5A0F">
      <w:pPr>
        <w:pStyle w:val="ListBullet"/>
      </w:pPr>
      <w:r w:rsidRPr="006C55C8">
        <w:t xml:space="preserve">The health benefits associated with higher levels of education have been documented in population health studies. Cutler and </w:t>
      </w:r>
      <w:proofErr w:type="spellStart"/>
      <w:r w:rsidRPr="006C55C8">
        <w:t>Lleras</w:t>
      </w:r>
      <w:r w:rsidR="000117A0" w:rsidRPr="006C55C8">
        <w:noBreakHyphen/>
      </w:r>
      <w:r w:rsidRPr="006C55C8">
        <w:t>Muney</w:t>
      </w:r>
      <w:proofErr w:type="spellEnd"/>
      <w:r w:rsidRPr="006C55C8">
        <w:t xml:space="preserve"> (2007) </w:t>
      </w:r>
      <w:r w:rsidR="00323C30">
        <w:t>found</w:t>
      </w:r>
      <w:r w:rsidR="00323C30" w:rsidRPr="006C55C8">
        <w:t xml:space="preserve"> </w:t>
      </w:r>
      <w:r w:rsidRPr="006C55C8">
        <w:t xml:space="preserve">a </w:t>
      </w:r>
      <w:r w:rsidR="00D71B3F" w:rsidRPr="006C55C8">
        <w:t>clear association between education and health that cannot be fully explained by income, the labo</w:t>
      </w:r>
      <w:r w:rsidR="00302E11" w:rsidRPr="006C55C8">
        <w:t>u</w:t>
      </w:r>
      <w:r w:rsidR="00D71B3F" w:rsidRPr="006C55C8">
        <w:t>r market, or family background</w:t>
      </w:r>
      <w:r w:rsidR="00323C30">
        <w:t>. They note that whilst</w:t>
      </w:r>
      <w:r w:rsidRPr="006C55C8">
        <w:t xml:space="preserve"> t</w:t>
      </w:r>
      <w:r w:rsidR="00302E11" w:rsidRPr="006C55C8">
        <w:t xml:space="preserve">he mechanisms by which education influences health are </w:t>
      </w:r>
      <w:r w:rsidRPr="006C55C8">
        <w:t xml:space="preserve">likely to be </w:t>
      </w:r>
      <w:r w:rsidR="00302E11" w:rsidRPr="006C55C8">
        <w:t>complex</w:t>
      </w:r>
      <w:r w:rsidR="00323C30">
        <w:t xml:space="preserve">, </w:t>
      </w:r>
      <w:r w:rsidR="009936BA" w:rsidRPr="006C55C8">
        <w:t>t</w:t>
      </w:r>
      <w:r w:rsidR="00BB5A0F" w:rsidRPr="006C55C8">
        <w:t>here is a direct relationship between education and health</w:t>
      </w:r>
      <w:r w:rsidR="00154F26" w:rsidRPr="006C55C8">
        <w:t xml:space="preserve"> </w:t>
      </w:r>
      <w:r w:rsidR="00BB5A0F" w:rsidRPr="006C55C8">
        <w:t>—</w:t>
      </w:r>
      <w:r w:rsidR="00154F26" w:rsidRPr="006C55C8">
        <w:t xml:space="preserve"> </w:t>
      </w:r>
      <w:r w:rsidR="00BB5A0F" w:rsidRPr="006C55C8">
        <w:t xml:space="preserve">better educated individuals have more positive health outcomes. This association remains significant even after controlling for </w:t>
      </w:r>
      <w:r w:rsidR="009936BA" w:rsidRPr="006C55C8">
        <w:t>other factors</w:t>
      </w:r>
      <w:r w:rsidR="00BB5A0F" w:rsidRPr="006C55C8">
        <w:t xml:space="preserve">. </w:t>
      </w:r>
    </w:p>
    <w:p w:rsidR="00E62E7B" w:rsidRPr="006C55C8" w:rsidRDefault="00350DDC" w:rsidP="00C15E85">
      <w:pPr>
        <w:pStyle w:val="ListBullet"/>
      </w:pPr>
      <w:r w:rsidRPr="006C55C8">
        <w:t xml:space="preserve">The capacity for education to reduce the likelihood of social exclusion, and thus reduce reliance on government and community services, has been well documented. </w:t>
      </w:r>
      <w:r w:rsidR="00C758ED" w:rsidRPr="006C55C8">
        <w:t xml:space="preserve">Social exclusion comprises a lack of material resources, unemployment, poor health and disability, and limited social connections and interactions. </w:t>
      </w:r>
      <w:proofErr w:type="spellStart"/>
      <w:r w:rsidRPr="006C55C8">
        <w:t>Buddelmeyer</w:t>
      </w:r>
      <w:proofErr w:type="spellEnd"/>
      <w:r w:rsidRPr="006C55C8">
        <w:t xml:space="preserve"> et al</w:t>
      </w:r>
      <w:r w:rsidR="005C0D07" w:rsidRPr="006C55C8">
        <w:t>.</w:t>
      </w:r>
      <w:r w:rsidRPr="006C55C8">
        <w:t xml:space="preserve"> (2012) note that education is a powerful marker of social exclusion. Early school leavers, and people who have </w:t>
      </w:r>
      <w:r w:rsidR="008F4839" w:rsidRPr="006C55C8">
        <w:t>C</w:t>
      </w:r>
      <w:r w:rsidRPr="006C55C8">
        <w:t xml:space="preserve">ertificate II </w:t>
      </w:r>
      <w:r w:rsidR="006723F2">
        <w:t xml:space="preserve">level </w:t>
      </w:r>
      <w:r w:rsidRPr="006C55C8">
        <w:t xml:space="preserve">as their highest qualification, suffer from social exclusion to a greater degree than those with </w:t>
      </w:r>
      <w:r w:rsidR="009936BA" w:rsidRPr="006C55C8">
        <w:t>higher</w:t>
      </w:r>
      <w:r w:rsidRPr="006C55C8">
        <w:t xml:space="preserve"> levels of educational attainment. </w:t>
      </w:r>
    </w:p>
    <w:p w:rsidR="008B55A6" w:rsidRPr="00B83948" w:rsidRDefault="00FF27ED" w:rsidP="008B55A6">
      <w:pPr>
        <w:pStyle w:val="Heading2"/>
      </w:pPr>
      <w:bookmarkStart w:id="39" w:name="_Toc404865401"/>
      <w:proofErr w:type="spellStart"/>
      <w:r w:rsidRPr="00B83948">
        <w:t>B.4</w:t>
      </w:r>
      <w:proofErr w:type="spellEnd"/>
      <w:r w:rsidRPr="00B83948">
        <w:tab/>
      </w:r>
      <w:r w:rsidR="008B55A6" w:rsidRPr="00B83948">
        <w:t>Future directions</w:t>
      </w:r>
      <w:bookmarkEnd w:id="39"/>
    </w:p>
    <w:p w:rsidR="00C14CA6" w:rsidRPr="00B83948" w:rsidRDefault="00A0590B" w:rsidP="00C14CA6">
      <w:pPr>
        <w:pStyle w:val="BodyText"/>
      </w:pPr>
      <w:r w:rsidRPr="00B83948">
        <w:t xml:space="preserve">This </w:t>
      </w:r>
      <w:proofErr w:type="spellStart"/>
      <w:r w:rsidR="00F048B0" w:rsidRPr="00B83948">
        <w:t>CCET</w:t>
      </w:r>
      <w:proofErr w:type="spellEnd"/>
      <w:r w:rsidRPr="00B83948">
        <w:t xml:space="preserve"> sector </w:t>
      </w:r>
      <w:r w:rsidR="00A77F79" w:rsidRPr="00B83948">
        <w:t>overview</w:t>
      </w:r>
      <w:r w:rsidRPr="00B83948">
        <w:t xml:space="preserve"> will continue to </w:t>
      </w:r>
      <w:r w:rsidR="002C798C" w:rsidRPr="00B83948">
        <w:t xml:space="preserve">be developed in future </w:t>
      </w:r>
      <w:r w:rsidRPr="00B83948">
        <w:t>reports</w:t>
      </w:r>
      <w:r w:rsidR="003B6036" w:rsidRPr="00B83948">
        <w:t>.</w:t>
      </w:r>
      <w:r w:rsidR="00710A31">
        <w:t xml:space="preserve"> </w:t>
      </w:r>
      <w:r w:rsidR="002C798C" w:rsidRPr="00B83948">
        <w:t xml:space="preserve">The </w:t>
      </w:r>
      <w:proofErr w:type="spellStart"/>
      <w:r w:rsidR="0076776A">
        <w:t>ECEC</w:t>
      </w:r>
      <w:proofErr w:type="spellEnd"/>
      <w:r w:rsidR="00C14CA6" w:rsidRPr="00B83948">
        <w:t xml:space="preserve">, </w:t>
      </w:r>
      <w:r w:rsidR="0062329D" w:rsidRPr="00B83948">
        <w:t>S</w:t>
      </w:r>
      <w:r w:rsidR="00C14CA6" w:rsidRPr="00B83948">
        <w:t xml:space="preserve">chool education and </w:t>
      </w:r>
      <w:r w:rsidR="0062329D" w:rsidRPr="00B83948">
        <w:t>V</w:t>
      </w:r>
      <w:r w:rsidR="00F011F7">
        <w:t>ET</w:t>
      </w:r>
      <w:r w:rsidR="002C798C" w:rsidRPr="00B83948">
        <w:t xml:space="preserve"> chapters </w:t>
      </w:r>
      <w:r w:rsidR="00C14CA6" w:rsidRPr="00B83948">
        <w:t>contain a service</w:t>
      </w:r>
      <w:r w:rsidR="00C14CA6" w:rsidRPr="00B83948">
        <w:noBreakHyphen/>
        <w:t xml:space="preserve">specific section on future directions in performance reporting. </w:t>
      </w:r>
    </w:p>
    <w:p w:rsidR="008B55A6" w:rsidRPr="00B86F7C" w:rsidRDefault="00891AAF" w:rsidP="008B55A6">
      <w:pPr>
        <w:pStyle w:val="Heading2"/>
      </w:pPr>
      <w:bookmarkStart w:id="40" w:name="_Toc404865402"/>
      <w:proofErr w:type="spellStart"/>
      <w:r w:rsidRPr="00B83948">
        <w:t>B</w:t>
      </w:r>
      <w:r w:rsidR="00FF27ED" w:rsidRPr="00B83948">
        <w:t>.5</w:t>
      </w:r>
      <w:proofErr w:type="spellEnd"/>
      <w:r w:rsidR="00AE67DB" w:rsidRPr="00B83948">
        <w:tab/>
      </w:r>
      <w:r w:rsidR="008B55A6" w:rsidRPr="00B83948">
        <w:t>List of attachment tables</w:t>
      </w:r>
      <w:bookmarkEnd w:id="40"/>
    </w:p>
    <w:p w:rsidR="008E2561" w:rsidRDefault="008E2561" w:rsidP="00023F4E">
      <w:pPr>
        <w:pStyle w:val="BodyText"/>
        <w:widowControl w:val="0"/>
      </w:pPr>
      <w:r w:rsidRPr="0045479F">
        <w:t xml:space="preserve">Attachment tables are identified in references throughout this </w:t>
      </w:r>
      <w:r>
        <w:t xml:space="preserve">sector </w:t>
      </w:r>
      <w:r w:rsidR="00A77F79">
        <w:t>overview</w:t>
      </w:r>
      <w:r>
        <w:t xml:space="preserve"> </w:t>
      </w:r>
      <w:r w:rsidR="00440B96">
        <w:t>by a</w:t>
      </w:r>
      <w:r w:rsidRPr="0045479F">
        <w:t xml:space="preserve"> ‘</w:t>
      </w:r>
      <w:r>
        <w:t>B</w:t>
      </w:r>
      <w:r w:rsidRPr="0045479F">
        <w:t xml:space="preserve">A’ </w:t>
      </w:r>
      <w:r w:rsidR="000214D6">
        <w:t>pre</w:t>
      </w:r>
      <w:r w:rsidRPr="0045479F">
        <w:t xml:space="preserve">fix (for example, table </w:t>
      </w:r>
      <w:proofErr w:type="spellStart"/>
      <w:r>
        <w:t>B</w:t>
      </w:r>
      <w:r w:rsidR="002C798C">
        <w:t>A.1</w:t>
      </w:r>
      <w:proofErr w:type="spellEnd"/>
      <w:r w:rsidRPr="0045479F">
        <w:t xml:space="preserve">). Attachment tables are </w:t>
      </w:r>
      <w:r>
        <w:t xml:space="preserve">available </w:t>
      </w:r>
      <w:r w:rsidR="007A31EC">
        <w:t xml:space="preserve">on the </w:t>
      </w:r>
      <w:r w:rsidR="00B53CCA">
        <w:t xml:space="preserve">website </w:t>
      </w:r>
      <w:r w:rsidR="00323C30">
        <w:t>(</w:t>
      </w:r>
      <w:proofErr w:type="spellStart"/>
      <w:r w:rsidR="007A31EC">
        <w:t>www.pc.gov.au</w:t>
      </w:r>
      <w:proofErr w:type="spellEnd"/>
      <w:r w:rsidR="007A31EC">
        <w:t>/</w:t>
      </w:r>
      <w:proofErr w:type="spellStart"/>
      <w:r w:rsidR="007A31EC">
        <w:t>rogs</w:t>
      </w:r>
      <w:proofErr w:type="spellEnd"/>
      <w:r w:rsidR="007A31EC">
        <w:t>/2016</w:t>
      </w:r>
      <w:r w:rsidR="00323C30">
        <w:t>)</w:t>
      </w:r>
      <w:r>
        <w:t>.</w:t>
      </w:r>
      <w:r w:rsidR="00E923C4">
        <w:t xml:space="preserve"> </w:t>
      </w:r>
    </w:p>
    <w:p w:rsidR="003339CA" w:rsidRDefault="003339CA" w:rsidP="00023F4E">
      <w:pPr>
        <w:pStyle w:val="BodyText"/>
        <w:widowControl w:val="0"/>
      </w:pPr>
    </w:p>
    <w:tbl>
      <w:tblPr>
        <w:tblW w:w="8860" w:type="dxa"/>
        <w:tblInd w:w="108" w:type="dxa"/>
        <w:tblLook w:val="04A0" w:firstRow="1" w:lastRow="0" w:firstColumn="1" w:lastColumn="0" w:noHBand="0" w:noVBand="1"/>
      </w:tblPr>
      <w:tblGrid>
        <w:gridCol w:w="1456"/>
        <w:gridCol w:w="7404"/>
      </w:tblGrid>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Australian, State and Territory government real recurrent expenditure on child care services, (2013-14 dollars)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Australian, State and Territory (including local) government real expenditure on education, (2013-14 dollars)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Total government real expenditure on education, by purpose ($ million) (2013-14 dollars)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lastRenderedPageBreak/>
              <w:t xml:space="preserve">Table </w:t>
            </w:r>
            <w:proofErr w:type="spellStart"/>
            <w:r w:rsidRPr="003339CA">
              <w:rPr>
                <w:rFonts w:ascii="Arial" w:hAnsi="Arial" w:cs="Arial"/>
                <w:b/>
                <w:bCs/>
                <w:color w:val="0000FF"/>
                <w:sz w:val="20"/>
                <w:szCs w:val="20"/>
              </w:rPr>
              <w:t>BA.4</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State and Territory (including local) government real expenditure, by purpose (2013-14 dollars)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BA.5</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Level of highest non-school qualification, or school year completed for those without a non-school qualification, people aged 15–64 years, by labour force status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BA.6</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Level of highest non-school qualification, or school year completed for those without a non-school qualification, people aged 15–64 years, by occupation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BA.7</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Children on track on the Australian Early Development Census (</w:t>
            </w:r>
            <w:proofErr w:type="spellStart"/>
            <w:r w:rsidRPr="003339CA">
              <w:rPr>
                <w:rFonts w:ascii="Arial" w:hAnsi="Arial" w:cs="Arial"/>
                <w:sz w:val="20"/>
                <w:szCs w:val="20"/>
              </w:rPr>
              <w:t>AEDC</w:t>
            </w:r>
            <w:proofErr w:type="spellEnd"/>
            <w:r w:rsidRPr="003339CA">
              <w:rPr>
                <w:rFonts w:ascii="Arial" w:hAnsi="Arial" w:cs="Arial"/>
                <w:sz w:val="20"/>
                <w:szCs w:val="20"/>
              </w:rPr>
              <w:t xml:space="preserve">), by Indigenous status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BA.8</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Children developmentally at risk on the </w:t>
            </w:r>
            <w:proofErr w:type="spellStart"/>
            <w:r w:rsidRPr="003339CA">
              <w:rPr>
                <w:rFonts w:ascii="Arial" w:hAnsi="Arial" w:cs="Arial"/>
                <w:sz w:val="20"/>
                <w:szCs w:val="20"/>
              </w:rPr>
              <w:t>AEDC</w:t>
            </w:r>
            <w:proofErr w:type="spellEnd"/>
            <w:r w:rsidRPr="003339CA">
              <w:rPr>
                <w:rFonts w:ascii="Arial" w:hAnsi="Arial" w:cs="Arial"/>
                <w:sz w:val="20"/>
                <w:szCs w:val="20"/>
              </w:rPr>
              <w:t xml:space="preserve">, by Indigenous status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BA.9</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Children developmentally vulnerable on the </w:t>
            </w:r>
            <w:proofErr w:type="spellStart"/>
            <w:r w:rsidRPr="003339CA">
              <w:rPr>
                <w:rFonts w:ascii="Arial" w:hAnsi="Arial" w:cs="Arial"/>
                <w:sz w:val="20"/>
                <w:szCs w:val="20"/>
              </w:rPr>
              <w:t>AEDC</w:t>
            </w:r>
            <w:proofErr w:type="spellEnd"/>
            <w:r w:rsidRPr="003339CA">
              <w:rPr>
                <w:rFonts w:ascii="Arial" w:hAnsi="Arial" w:cs="Arial"/>
                <w:sz w:val="20"/>
                <w:szCs w:val="20"/>
              </w:rPr>
              <w:t xml:space="preserve">, by Indigenous status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BA.10</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Children engaged in informal learning activities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BA.11</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Participation in education and training, by level of study, by age group, 2014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BA.12</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Participation in education and training, by single year of age, by level of study (national only), 2014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BA.13</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Participation in education and training, by age group (per cent)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BA.14</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Applications to enrol in an educational institution, 15–19 and 17–24 year olds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BA.15</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Full time participation in education and training and/or employment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BA.16</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Full time participation in education and training at Certificate III level or above and/or employment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BA.17</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Full time participation in education and training and/or employment,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BA.18</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Full time participation in education and training at Certificate III level or above and/or employment,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BA.19</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17–24 year old school leavers participating in full time education and training and/or employment, by highest level of schooling completed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BA.20</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17–24 year old school leavers participating in full time education and training and/or employment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BA.21</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17–24 year old school leavers participating in full time education and training and/or employment, by Indigenous status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BA.22</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17–24 year old school leavers participating in full time education and training and/or employment,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BA.23</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17–24 year old school leavers participating in full time education and training and/or employment,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(Census data)        </w:t>
            </w:r>
          </w:p>
        </w:tc>
      </w:tr>
      <w:tr w:rsidR="003339CA" w:rsidRPr="003339CA" w:rsidTr="003339CA">
        <w:trPr>
          <w:trHeight w:val="615"/>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BA.24</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Higher education participation by selected groups, compared with their representation in the community (per cent)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BA.25</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Level of highest non-school qualification completed (15–64 year olds)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BA.26</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or working towards a </w:t>
            </w:r>
            <w:proofErr w:type="spellStart"/>
            <w:r w:rsidRPr="003339CA">
              <w:rPr>
                <w:rFonts w:ascii="Arial" w:hAnsi="Arial" w:cs="Arial"/>
                <w:sz w:val="20"/>
                <w:szCs w:val="20"/>
              </w:rPr>
              <w:t>non</w:t>
            </w:r>
            <w:r w:rsidRPr="003339CA">
              <w:rPr>
                <w:rFonts w:ascii="Arial" w:hAnsi="Arial" w:cs="Arial"/>
                <w:sz w:val="20"/>
                <w:szCs w:val="20"/>
              </w:rPr>
              <w:softHyphen/>
              <w:t>school</w:t>
            </w:r>
            <w:proofErr w:type="spellEnd"/>
            <w:r w:rsidRPr="003339CA">
              <w:rPr>
                <w:rFonts w:ascii="Arial" w:hAnsi="Arial" w:cs="Arial"/>
                <w:sz w:val="20"/>
                <w:szCs w:val="20"/>
              </w:rPr>
              <w:t xml:space="preserve"> qualification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BA.27</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or working towards a non-school qualification, by age group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BA.28</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or working towards a non-school qualification, by Indigenous status (per cent)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lastRenderedPageBreak/>
              <w:t xml:space="preserve">Table </w:t>
            </w:r>
            <w:proofErr w:type="spellStart"/>
            <w:r w:rsidRPr="003339CA">
              <w:rPr>
                <w:rFonts w:ascii="Arial" w:hAnsi="Arial" w:cs="Arial"/>
                <w:b/>
                <w:bCs/>
                <w:color w:val="0000FF"/>
                <w:sz w:val="20"/>
                <w:szCs w:val="20"/>
              </w:rPr>
              <w:t>BA.29</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and 20–64 year olds who have completed year 12 (or equivalent) or Certificate II level or above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BA.30</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People aged 20–24 years who have completed year 12 (or equivalent) or Certificate II level or above, by Indigenous status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BA.31</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year olds who have completed year 12 (or equivalent) or Certificate II level or above, by Indigenous status, by remoteness area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BA.32</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and 20–64 year olds who have completed year 12 (or equivalent) or Certificate II level or above,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BA.33</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year olds who have completed year 12 (or equivalent) or Certificate II level or above,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BA.34</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year olds who have completed year 12 (or equivalent) or Certificate III level or above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BA.35</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year olds who have completed year 12 (or equivalent) or Certificate III level or above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BA.36</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20–24 year olds who have completed year 12 (or equivalent) or Certificate III level or above,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BA.37</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qualifications at Certificate III level or above, by age group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BA.38</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qualifications at Certificate III level or above, by age group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BA.39</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qualifications at Certificate III level or above, by Indigenous status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BA.40</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qualifications at Certificate III level or above,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(per cent)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BA.41</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year olds with qualifications at Certificate III level or above, by SES based on </w:t>
            </w:r>
            <w:proofErr w:type="spellStart"/>
            <w:r w:rsidRPr="003339CA">
              <w:rPr>
                <w:rFonts w:ascii="Arial" w:hAnsi="Arial" w:cs="Arial"/>
                <w:sz w:val="20"/>
                <w:szCs w:val="20"/>
              </w:rPr>
              <w:t>SEIFA</w:t>
            </w:r>
            <w:proofErr w:type="spellEnd"/>
            <w:r w:rsidRPr="003339CA">
              <w:rPr>
                <w:rFonts w:ascii="Arial" w:hAnsi="Arial" w:cs="Arial"/>
                <w:sz w:val="20"/>
                <w:szCs w:val="20"/>
              </w:rPr>
              <w:t xml:space="preserve"> </w:t>
            </w:r>
            <w:proofErr w:type="spellStart"/>
            <w:r w:rsidRPr="003339CA">
              <w:rPr>
                <w:rFonts w:ascii="Arial" w:hAnsi="Arial" w:cs="Arial"/>
                <w:sz w:val="20"/>
                <w:szCs w:val="20"/>
              </w:rPr>
              <w:t>IRSD</w:t>
            </w:r>
            <w:proofErr w:type="spellEnd"/>
            <w:r w:rsidRPr="003339CA">
              <w:rPr>
                <w:rFonts w:ascii="Arial" w:hAnsi="Arial" w:cs="Arial"/>
                <w:sz w:val="20"/>
                <w:szCs w:val="20"/>
              </w:rPr>
              <w:t xml:space="preserve"> (Census data)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BA.42</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and 15–74 year olds across all </w:t>
            </w:r>
            <w:proofErr w:type="spellStart"/>
            <w:r w:rsidRPr="003339CA">
              <w:rPr>
                <w:rFonts w:ascii="Arial" w:hAnsi="Arial" w:cs="Arial"/>
                <w:sz w:val="20"/>
                <w:szCs w:val="20"/>
              </w:rPr>
              <w:t>Programme</w:t>
            </w:r>
            <w:proofErr w:type="spellEnd"/>
            <w:r w:rsidRPr="003339CA">
              <w:rPr>
                <w:rFonts w:ascii="Arial" w:hAnsi="Arial" w:cs="Arial"/>
                <w:sz w:val="20"/>
                <w:szCs w:val="20"/>
              </w:rPr>
              <w:t xml:space="preserve"> for the International Assessment of Adult Competencies (</w:t>
            </w:r>
            <w:proofErr w:type="spellStart"/>
            <w:r w:rsidRPr="003339CA">
              <w:rPr>
                <w:rFonts w:ascii="Arial" w:hAnsi="Arial" w:cs="Arial"/>
                <w:sz w:val="20"/>
                <w:szCs w:val="20"/>
              </w:rPr>
              <w:t>PIAAC</w:t>
            </w:r>
            <w:proofErr w:type="spellEnd"/>
            <w:r w:rsidRPr="003339CA">
              <w:rPr>
                <w:rFonts w:ascii="Arial" w:hAnsi="Arial" w:cs="Arial"/>
                <w:sz w:val="20"/>
                <w:szCs w:val="20"/>
              </w:rPr>
              <w:t xml:space="preserve">) literacy skill levels, 2011-12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BA.43</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and 15–74 year olds across all </w:t>
            </w:r>
            <w:proofErr w:type="spellStart"/>
            <w:r w:rsidRPr="003339CA">
              <w:rPr>
                <w:rFonts w:ascii="Arial" w:hAnsi="Arial" w:cs="Arial"/>
                <w:sz w:val="20"/>
                <w:szCs w:val="20"/>
              </w:rPr>
              <w:t>PIAAC</w:t>
            </w:r>
            <w:proofErr w:type="spellEnd"/>
            <w:r w:rsidRPr="003339CA">
              <w:rPr>
                <w:rFonts w:ascii="Arial" w:hAnsi="Arial" w:cs="Arial"/>
                <w:sz w:val="20"/>
                <w:szCs w:val="20"/>
              </w:rPr>
              <w:t xml:space="preserve"> numeracy skill levels, 2011-12  </w:t>
            </w:r>
          </w:p>
        </w:tc>
      </w:tr>
      <w:tr w:rsidR="003339CA" w:rsidRPr="003339CA" w:rsidTr="003339CA">
        <w:trPr>
          <w:trHeight w:val="612"/>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BA.44</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 xml:space="preserve">Proportion of 20–64 and 15–74 year olds across all </w:t>
            </w:r>
            <w:proofErr w:type="spellStart"/>
            <w:r w:rsidRPr="003339CA">
              <w:rPr>
                <w:rFonts w:ascii="Arial" w:hAnsi="Arial" w:cs="Arial"/>
                <w:sz w:val="20"/>
                <w:szCs w:val="20"/>
              </w:rPr>
              <w:t>PIAAC</w:t>
            </w:r>
            <w:proofErr w:type="spellEnd"/>
            <w:r w:rsidRPr="003339CA">
              <w:rPr>
                <w:rFonts w:ascii="Arial" w:hAnsi="Arial" w:cs="Arial"/>
                <w:sz w:val="20"/>
                <w:szCs w:val="20"/>
              </w:rPr>
              <w:t xml:space="preserve"> skill levels for the domain problem solving in technology</w:t>
            </w:r>
            <w:r w:rsidRPr="003339CA">
              <w:rPr>
                <w:rFonts w:ascii="Arial" w:hAnsi="Arial" w:cs="Arial"/>
                <w:sz w:val="20"/>
                <w:szCs w:val="20"/>
              </w:rPr>
              <w:softHyphen/>
            </w:r>
            <w:r>
              <w:rPr>
                <w:rFonts w:ascii="Arial" w:hAnsi="Arial" w:cs="Arial"/>
                <w:sz w:val="20"/>
                <w:szCs w:val="20"/>
              </w:rPr>
              <w:t>-</w:t>
            </w:r>
            <w:r w:rsidRPr="003339CA">
              <w:rPr>
                <w:rFonts w:ascii="Arial" w:hAnsi="Arial" w:cs="Arial"/>
                <w:sz w:val="20"/>
                <w:szCs w:val="20"/>
              </w:rPr>
              <w:t>rich environments (</w:t>
            </w:r>
            <w:proofErr w:type="spellStart"/>
            <w:r w:rsidRPr="003339CA">
              <w:rPr>
                <w:rFonts w:ascii="Arial" w:hAnsi="Arial" w:cs="Arial"/>
                <w:sz w:val="20"/>
                <w:szCs w:val="20"/>
              </w:rPr>
              <w:t>PSTRE</w:t>
            </w:r>
            <w:proofErr w:type="spellEnd"/>
            <w:r w:rsidRPr="003339CA">
              <w:rPr>
                <w:rFonts w:ascii="Arial" w:hAnsi="Arial" w:cs="Arial"/>
                <w:sz w:val="20"/>
                <w:szCs w:val="20"/>
              </w:rPr>
              <w:t xml:space="preserve">), 2011-12  </w:t>
            </w:r>
          </w:p>
        </w:tc>
      </w:tr>
      <w:tr w:rsidR="003339CA" w:rsidRPr="003339CA" w:rsidTr="003339CA">
        <w:trPr>
          <w:trHeight w:val="357"/>
        </w:trPr>
        <w:tc>
          <w:tcPr>
            <w:tcW w:w="1456" w:type="dxa"/>
            <w:tcBorders>
              <w:top w:val="nil"/>
              <w:left w:val="nil"/>
              <w:bottom w:val="nil"/>
              <w:right w:val="nil"/>
            </w:tcBorders>
            <w:shd w:val="clear" w:color="auto" w:fill="auto"/>
            <w:noWrap/>
            <w:hideMark/>
          </w:tcPr>
          <w:p w:rsidR="003339CA" w:rsidRPr="003339CA" w:rsidRDefault="003339CA" w:rsidP="003339CA">
            <w:pPr>
              <w:rPr>
                <w:rFonts w:ascii="Arial" w:hAnsi="Arial" w:cs="Arial"/>
                <w:b/>
                <w:bCs/>
                <w:color w:val="0000FF"/>
                <w:sz w:val="20"/>
                <w:szCs w:val="20"/>
              </w:rPr>
            </w:pPr>
            <w:r w:rsidRPr="003339CA">
              <w:rPr>
                <w:rFonts w:ascii="Arial" w:hAnsi="Arial" w:cs="Arial"/>
                <w:b/>
                <w:bCs/>
                <w:color w:val="0000FF"/>
                <w:sz w:val="20"/>
                <w:szCs w:val="20"/>
              </w:rPr>
              <w:t xml:space="preserve">Table </w:t>
            </w:r>
            <w:proofErr w:type="spellStart"/>
            <w:r w:rsidRPr="003339CA">
              <w:rPr>
                <w:rFonts w:ascii="Arial" w:hAnsi="Arial" w:cs="Arial"/>
                <w:b/>
                <w:bCs/>
                <w:color w:val="0000FF"/>
                <w:sz w:val="20"/>
                <w:szCs w:val="20"/>
              </w:rPr>
              <w:t>BA.45</w:t>
            </w:r>
            <w:proofErr w:type="spellEnd"/>
          </w:p>
        </w:tc>
        <w:tc>
          <w:tcPr>
            <w:tcW w:w="7404" w:type="dxa"/>
            <w:tcBorders>
              <w:top w:val="nil"/>
              <w:left w:val="nil"/>
              <w:bottom w:val="nil"/>
              <w:right w:val="nil"/>
            </w:tcBorders>
            <w:shd w:val="clear" w:color="auto" w:fill="auto"/>
            <w:hideMark/>
          </w:tcPr>
          <w:p w:rsidR="003339CA" w:rsidRPr="003339CA" w:rsidRDefault="003339CA" w:rsidP="003339CA">
            <w:pPr>
              <w:jc w:val="both"/>
              <w:rPr>
                <w:rFonts w:ascii="Arial" w:hAnsi="Arial" w:cs="Arial"/>
                <w:sz w:val="20"/>
                <w:szCs w:val="20"/>
              </w:rPr>
            </w:pPr>
            <w:r w:rsidRPr="003339CA">
              <w:rPr>
                <w:rFonts w:ascii="Arial" w:hAnsi="Arial" w:cs="Arial"/>
                <w:sz w:val="20"/>
                <w:szCs w:val="20"/>
              </w:rPr>
              <w:t>General Government Final Consumption Expenditure (</w:t>
            </w:r>
            <w:proofErr w:type="spellStart"/>
            <w:r w:rsidRPr="003339CA">
              <w:rPr>
                <w:rFonts w:ascii="Arial" w:hAnsi="Arial" w:cs="Arial"/>
                <w:sz w:val="20"/>
                <w:szCs w:val="20"/>
              </w:rPr>
              <w:t>GGFCE</w:t>
            </w:r>
            <w:proofErr w:type="spellEnd"/>
            <w:r w:rsidRPr="003339CA">
              <w:rPr>
                <w:rFonts w:ascii="Arial" w:hAnsi="Arial" w:cs="Arial"/>
                <w:sz w:val="20"/>
                <w:szCs w:val="20"/>
              </w:rPr>
              <w:t xml:space="preserve">), chain price index </w:t>
            </w:r>
          </w:p>
        </w:tc>
      </w:tr>
    </w:tbl>
    <w:p w:rsidR="00BA4AD1" w:rsidRPr="00B86F7C" w:rsidRDefault="00BA4AD1" w:rsidP="00BA4AD1">
      <w:pPr>
        <w:pStyle w:val="Heading2"/>
      </w:pPr>
      <w:proofErr w:type="spellStart"/>
      <w:r w:rsidRPr="001F2D7B">
        <w:t>B.6</w:t>
      </w:r>
      <w:proofErr w:type="spellEnd"/>
      <w:r w:rsidRPr="001F2D7B">
        <w:tab/>
        <w:t>References</w:t>
      </w:r>
      <w:r w:rsidRPr="00A51A5F">
        <w:t xml:space="preserve"> </w:t>
      </w:r>
    </w:p>
    <w:p w:rsidR="00AA7159" w:rsidRPr="00B86F7C" w:rsidRDefault="00AA7159" w:rsidP="00103233">
      <w:pPr>
        <w:pStyle w:val="Reference"/>
      </w:pPr>
      <w:r w:rsidRPr="00664FBD">
        <w:t>Abbott</w:t>
      </w:r>
      <w:r w:rsidR="000117A0">
        <w:noBreakHyphen/>
      </w:r>
      <w:r w:rsidRPr="00664FBD">
        <w:t xml:space="preserve">Chapman, J., Martin, K., </w:t>
      </w:r>
      <w:proofErr w:type="spellStart"/>
      <w:r w:rsidRPr="00664FBD">
        <w:t>Ol</w:t>
      </w:r>
      <w:r w:rsidR="00EE7717">
        <w:t>lington</w:t>
      </w:r>
      <w:proofErr w:type="spellEnd"/>
      <w:r w:rsidR="00EE7717">
        <w:t xml:space="preserve">, N. Venn, A. Dwyer, T. and </w:t>
      </w:r>
      <w:r w:rsidRPr="00664FBD">
        <w:t>Gall, S. 2013</w:t>
      </w:r>
      <w:r w:rsidR="00664FBD">
        <w:t>, ‘T</w:t>
      </w:r>
      <w:r w:rsidRPr="00664FBD">
        <w:t>he longitudinal association of childhood school engagement with adult educational and occupational achievement: findings from an Australian national study</w:t>
      </w:r>
      <w:r w:rsidR="00664FBD">
        <w:t>’</w:t>
      </w:r>
      <w:r w:rsidRPr="00664FBD">
        <w:t xml:space="preserve">, </w:t>
      </w:r>
      <w:r w:rsidR="00A51A5F" w:rsidRPr="00664FBD">
        <w:rPr>
          <w:i/>
        </w:rPr>
        <w:t>British Educational Research Journal</w:t>
      </w:r>
      <w:r w:rsidR="00C615B2">
        <w:rPr>
          <w:i/>
        </w:rPr>
        <w:t>,</w:t>
      </w:r>
      <w:r w:rsidR="00355F63">
        <w:rPr>
          <w:i/>
        </w:rPr>
        <w:t xml:space="preserve"> </w:t>
      </w:r>
      <w:r w:rsidR="00355F63" w:rsidRPr="003A7BB1">
        <w:t>viewed 18 October 2013,</w:t>
      </w:r>
      <w:r w:rsidR="00103233">
        <w:rPr>
          <w:i/>
        </w:rPr>
        <w:t xml:space="preserve"> </w:t>
      </w:r>
      <w:r w:rsidR="00355F63">
        <w:rPr>
          <w:i/>
        </w:rPr>
        <w:t>&lt;</w:t>
      </w:r>
      <w:proofErr w:type="spellStart"/>
      <w:r w:rsidR="0063552A">
        <w:t>www.</w:t>
      </w:r>
      <w:r w:rsidR="00C615B2" w:rsidRPr="00C615B2">
        <w:t>onlinelibrary.wiley.com</w:t>
      </w:r>
      <w:proofErr w:type="spellEnd"/>
      <w:r w:rsidR="00C615B2" w:rsidRPr="00C615B2">
        <w:t>/</w:t>
      </w:r>
      <w:proofErr w:type="spellStart"/>
      <w:r w:rsidR="00C615B2" w:rsidRPr="00C615B2">
        <w:t>doi</w:t>
      </w:r>
      <w:proofErr w:type="spellEnd"/>
      <w:r w:rsidR="000324BD" w:rsidRPr="000324BD">
        <w:t>/</w:t>
      </w:r>
      <w:r w:rsidR="00103233">
        <w:t>10.1002/</w:t>
      </w:r>
      <w:proofErr w:type="spellStart"/>
      <w:r w:rsidR="00103233">
        <w:t>berj.3031</w:t>
      </w:r>
      <w:proofErr w:type="spellEnd"/>
      <w:r w:rsidR="00103233">
        <w:t>/</w:t>
      </w:r>
      <w:r w:rsidR="00355F63">
        <w:t>abstract&gt;.</w:t>
      </w:r>
      <w:r w:rsidR="000324BD" w:rsidRPr="000324BD">
        <w:t xml:space="preserve"> </w:t>
      </w:r>
    </w:p>
    <w:p w:rsidR="00AA7159" w:rsidRDefault="00AA7159" w:rsidP="00103233">
      <w:pPr>
        <w:pStyle w:val="Reference"/>
      </w:pPr>
      <w:r w:rsidRPr="00F47881">
        <w:lastRenderedPageBreak/>
        <w:t>Abbott</w:t>
      </w:r>
      <w:r w:rsidR="000117A0">
        <w:noBreakHyphen/>
      </w:r>
      <w:r w:rsidRPr="00F47881">
        <w:t>Chapman, J</w:t>
      </w:r>
      <w:r w:rsidR="00EE7717">
        <w:t>.</w:t>
      </w:r>
      <w:r w:rsidRPr="00F47881">
        <w:t xml:space="preserve"> 2011, </w:t>
      </w:r>
      <w:r w:rsidRPr="00F47881">
        <w:rPr>
          <w:i/>
        </w:rPr>
        <w:t>Making the most of the mosaic: facilitating post</w:t>
      </w:r>
      <w:r w:rsidR="000117A0">
        <w:rPr>
          <w:i/>
        </w:rPr>
        <w:noBreakHyphen/>
      </w:r>
      <w:r w:rsidRPr="00F47881">
        <w:rPr>
          <w:i/>
        </w:rPr>
        <w:t xml:space="preserve">school transitions to higher education of disadvantaged students, </w:t>
      </w:r>
      <w:r w:rsidRPr="00F47881">
        <w:t>The Australian Association for Research in Education</w:t>
      </w:r>
      <w:r w:rsidR="007D0F96">
        <w:t>, vol.</w:t>
      </w:r>
      <w:r w:rsidR="00103233">
        <w:t> </w:t>
      </w:r>
      <w:r w:rsidRPr="00F47881">
        <w:t>38</w:t>
      </w:r>
      <w:r w:rsidR="007D0F96">
        <w:t>, pp.</w:t>
      </w:r>
      <w:r w:rsidR="009001F2">
        <w:t> </w:t>
      </w:r>
      <w:r w:rsidR="007D0F96">
        <w:t>5</w:t>
      </w:r>
      <w:r w:rsidRPr="00F47881">
        <w:t>7</w:t>
      </w:r>
      <w:r w:rsidR="009001F2">
        <w:t>–</w:t>
      </w:r>
      <w:r w:rsidRPr="00F47881">
        <w:t>71.</w:t>
      </w:r>
    </w:p>
    <w:p w:rsidR="00356B03" w:rsidRDefault="00C14CA6" w:rsidP="00103233">
      <w:pPr>
        <w:pStyle w:val="Reference"/>
      </w:pPr>
      <w:r w:rsidRPr="00F47881">
        <w:t>ABS (Australian Bureau of Statistics)</w:t>
      </w:r>
      <w:r w:rsidR="00437EE5" w:rsidRPr="00F47881">
        <w:t xml:space="preserve">, </w:t>
      </w:r>
      <w:proofErr w:type="spellStart"/>
      <w:r w:rsidR="00356B03" w:rsidRPr="00F47881">
        <w:t>201</w:t>
      </w:r>
      <w:r w:rsidR="00EA48A7">
        <w:t>5</w:t>
      </w:r>
      <w:r w:rsidR="005B3E30">
        <w:t>a</w:t>
      </w:r>
      <w:proofErr w:type="spellEnd"/>
      <w:r w:rsidR="0027418A" w:rsidRPr="00F47881">
        <w:t xml:space="preserve">, </w:t>
      </w:r>
      <w:r w:rsidR="0027418A" w:rsidRPr="00F47881">
        <w:rPr>
          <w:i/>
        </w:rPr>
        <w:t>Australian National Accounts: National Income, Expenditure and Product, Jun 201</w:t>
      </w:r>
      <w:r w:rsidR="00EA48A7">
        <w:rPr>
          <w:i/>
        </w:rPr>
        <w:t>5</w:t>
      </w:r>
      <w:r w:rsidR="00A97687">
        <w:t>,</w:t>
      </w:r>
      <w:r w:rsidR="00103233">
        <w:t xml:space="preserve"> Cat. </w:t>
      </w:r>
      <w:r w:rsidR="0027418A" w:rsidRPr="00F47881">
        <w:t>no.</w:t>
      </w:r>
      <w:r w:rsidR="00103233">
        <w:t> </w:t>
      </w:r>
      <w:r w:rsidR="0027418A" w:rsidRPr="00F47881">
        <w:t>5206.0, Canberra.</w:t>
      </w:r>
    </w:p>
    <w:p w:rsidR="00EA48A7" w:rsidRPr="00F47881" w:rsidRDefault="005B3E30" w:rsidP="00103233">
      <w:pPr>
        <w:pStyle w:val="Reference"/>
      </w:pPr>
      <w:r>
        <w:t>—— </w:t>
      </w:r>
      <w:proofErr w:type="spellStart"/>
      <w:r>
        <w:t>2015b</w:t>
      </w:r>
      <w:proofErr w:type="spellEnd"/>
      <w:r w:rsidR="00EA48A7" w:rsidRPr="00F47881">
        <w:t xml:space="preserve">, </w:t>
      </w:r>
      <w:r w:rsidR="00EA48A7" w:rsidRPr="00F47881">
        <w:rPr>
          <w:i/>
        </w:rPr>
        <w:t xml:space="preserve">Labour Force, Australia, </w:t>
      </w:r>
      <w:r w:rsidR="00EA48A7">
        <w:rPr>
          <w:i/>
        </w:rPr>
        <w:t xml:space="preserve">Detailed, Quarterly, May 2015, </w:t>
      </w:r>
      <w:r w:rsidR="00EA48A7">
        <w:t>Cat. no. 6291.0.55.003, Canberra.</w:t>
      </w:r>
    </w:p>
    <w:p w:rsidR="00C14CA6" w:rsidRPr="00F47881" w:rsidRDefault="00356B03" w:rsidP="00103233">
      <w:pPr>
        <w:pStyle w:val="Reference"/>
      </w:pPr>
      <w:r w:rsidRPr="00F47881">
        <w:t xml:space="preserve">—— 2010, </w:t>
      </w:r>
      <w:r w:rsidR="00437EE5" w:rsidRPr="00F47881">
        <w:rPr>
          <w:i/>
        </w:rPr>
        <w:t>Research paper: Measuring Economic Returns to Post</w:t>
      </w:r>
      <w:r w:rsidR="000117A0">
        <w:rPr>
          <w:i/>
        </w:rPr>
        <w:noBreakHyphen/>
      </w:r>
      <w:r w:rsidR="00437EE5" w:rsidRPr="00F47881">
        <w:rPr>
          <w:i/>
        </w:rPr>
        <w:t xml:space="preserve">School Education in Australia, </w:t>
      </w:r>
      <w:r w:rsidR="00103233">
        <w:t>Cat. no. </w:t>
      </w:r>
      <w:r w:rsidR="00EA48A7">
        <w:t>1351.0.55.032, Canberra.</w:t>
      </w:r>
    </w:p>
    <w:p w:rsidR="0043098B" w:rsidRPr="00D53C80" w:rsidRDefault="00986D1A" w:rsidP="0043098B">
      <w:pPr>
        <w:pStyle w:val="Reference"/>
      </w:pPr>
      <w:proofErr w:type="spellStart"/>
      <w:r>
        <w:t>AIHW</w:t>
      </w:r>
      <w:proofErr w:type="spellEnd"/>
      <w:r>
        <w:t xml:space="preserve"> (Australian Institu</w:t>
      </w:r>
      <w:r w:rsidR="003F72D0">
        <w:t xml:space="preserve">te of Health and Welfare) </w:t>
      </w:r>
      <w:r w:rsidR="0043098B" w:rsidRPr="00D53C80">
        <w:t>201</w:t>
      </w:r>
      <w:r w:rsidR="0043098B">
        <w:t>1</w:t>
      </w:r>
      <w:r w:rsidR="0043098B" w:rsidRPr="00D53C80">
        <w:t xml:space="preserve">, </w:t>
      </w:r>
      <w:r w:rsidR="0043098B" w:rsidRPr="00D53C80">
        <w:rPr>
          <w:i/>
        </w:rPr>
        <w:t>National outcome measures fo</w:t>
      </w:r>
      <w:r w:rsidR="0043098B">
        <w:rPr>
          <w:i/>
        </w:rPr>
        <w:t xml:space="preserve">r early childhood development: </w:t>
      </w:r>
      <w:r w:rsidR="0043098B" w:rsidRPr="00D53C80">
        <w:rPr>
          <w:i/>
        </w:rPr>
        <w:t xml:space="preserve">development of an indicator based reporting framework, </w:t>
      </w:r>
      <w:r w:rsidR="0043098B" w:rsidRPr="00D53C80">
        <w:t>Cat. no. </w:t>
      </w:r>
      <w:proofErr w:type="spellStart"/>
      <w:r w:rsidR="0043098B" w:rsidRPr="00D53C80">
        <w:t>PHE</w:t>
      </w:r>
      <w:proofErr w:type="spellEnd"/>
      <w:r w:rsidR="0043098B" w:rsidRPr="00D53C80">
        <w:t> 134, Canberra.</w:t>
      </w:r>
    </w:p>
    <w:p w:rsidR="004707BE" w:rsidRDefault="004707BE" w:rsidP="00103233">
      <w:pPr>
        <w:pStyle w:val="Reference"/>
      </w:pPr>
      <w:r>
        <w:t>Australian Government Department of Education</w:t>
      </w:r>
      <w:r w:rsidR="00A82D34">
        <w:t xml:space="preserve"> and Training </w:t>
      </w:r>
      <w:proofErr w:type="spellStart"/>
      <w:r w:rsidR="00A82D34">
        <w:t>2015</w:t>
      </w:r>
      <w:r w:rsidR="00363167">
        <w:t>a</w:t>
      </w:r>
      <w:proofErr w:type="spellEnd"/>
      <w:r>
        <w:t xml:space="preserve">, </w:t>
      </w:r>
      <w:r w:rsidR="00A25C36">
        <w:t xml:space="preserve">Higher Education Statistics Collection, </w:t>
      </w:r>
      <w:r>
        <w:t>Higher Education Data Cube (</w:t>
      </w:r>
      <w:proofErr w:type="spellStart"/>
      <w:r>
        <w:t>uCube</w:t>
      </w:r>
      <w:proofErr w:type="spellEnd"/>
      <w:r>
        <w:t>)</w:t>
      </w:r>
      <w:r w:rsidR="00077174">
        <w:t>, viewed 8 October 2015,</w:t>
      </w:r>
      <w:r>
        <w:t xml:space="preserve"> </w:t>
      </w:r>
      <w:r w:rsidR="00077174">
        <w:t>&lt;</w:t>
      </w:r>
      <w:r w:rsidR="00A82D34">
        <w:t>http://</w:t>
      </w:r>
      <w:proofErr w:type="spellStart"/>
      <w:r>
        <w:t>highereducationstatistics.</w:t>
      </w:r>
      <w:r w:rsidR="00CA06B7">
        <w:t>education.gov.au</w:t>
      </w:r>
      <w:proofErr w:type="spellEnd"/>
      <w:r w:rsidR="00CA06B7">
        <w:t>/</w:t>
      </w:r>
      <w:r w:rsidR="00077174">
        <w:t>&gt;</w:t>
      </w:r>
      <w:r>
        <w:t>.</w:t>
      </w:r>
    </w:p>
    <w:p w:rsidR="00363167" w:rsidRPr="00ED5BBD" w:rsidRDefault="007F5D2C" w:rsidP="00103233">
      <w:pPr>
        <w:pStyle w:val="Reference"/>
      </w:pPr>
      <w:r>
        <w:t>——</w:t>
      </w:r>
      <w:proofErr w:type="spellStart"/>
      <w:r>
        <w:t>2015</w:t>
      </w:r>
      <w:r w:rsidR="00363167">
        <w:t>b</w:t>
      </w:r>
      <w:proofErr w:type="spellEnd"/>
      <w:r w:rsidR="00363167">
        <w:t xml:space="preserve">, </w:t>
      </w:r>
      <w:r>
        <w:rPr>
          <w:i/>
        </w:rPr>
        <w:t>Selected Higher Education Statistics</w:t>
      </w:r>
      <w:r>
        <w:t xml:space="preserve"> –</w:t>
      </w:r>
      <w:r>
        <w:rPr>
          <w:i/>
        </w:rPr>
        <w:t xml:space="preserve"> 2014 Staff D</w:t>
      </w:r>
      <w:r w:rsidR="00363167" w:rsidRPr="00363167">
        <w:rPr>
          <w:i/>
        </w:rPr>
        <w:t>ata,</w:t>
      </w:r>
      <w:r w:rsidR="00363167">
        <w:t xml:space="preserve"> Canberra. </w:t>
      </w:r>
    </w:p>
    <w:p w:rsidR="00AA7159" w:rsidRPr="00AE4CC3" w:rsidRDefault="00AA7159" w:rsidP="00103233">
      <w:pPr>
        <w:pStyle w:val="Reference"/>
      </w:pPr>
      <w:proofErr w:type="spellStart"/>
      <w:r w:rsidRPr="00EC15B7">
        <w:t>Buddelmeyer</w:t>
      </w:r>
      <w:proofErr w:type="spellEnd"/>
      <w:r w:rsidRPr="00EC15B7">
        <w:t>,</w:t>
      </w:r>
      <w:r w:rsidR="00EC15B7" w:rsidRPr="00EC15B7">
        <w:t xml:space="preserve"> H.,</w:t>
      </w:r>
      <w:r w:rsidRPr="00EC15B7">
        <w:t xml:space="preserve"> </w:t>
      </w:r>
      <w:r w:rsidRPr="00AE4CC3">
        <w:t>Leung,</w:t>
      </w:r>
      <w:r w:rsidR="00EC15B7" w:rsidRPr="00AE4CC3">
        <w:t xml:space="preserve"> F. and</w:t>
      </w:r>
      <w:r w:rsidRPr="00AE4CC3">
        <w:t xml:space="preserve"> </w:t>
      </w:r>
      <w:proofErr w:type="spellStart"/>
      <w:r w:rsidRPr="00AE4CC3">
        <w:t>Scutella</w:t>
      </w:r>
      <w:proofErr w:type="spellEnd"/>
      <w:r w:rsidR="00EC15B7" w:rsidRPr="00AE4CC3">
        <w:t xml:space="preserve">, R. </w:t>
      </w:r>
      <w:r w:rsidRPr="00AE4CC3">
        <w:t>2012</w:t>
      </w:r>
      <w:r w:rsidR="00EC15B7" w:rsidRPr="00AE4CC3">
        <w:t xml:space="preserve">, </w:t>
      </w:r>
      <w:r w:rsidRPr="00AE4CC3">
        <w:rPr>
          <w:i/>
        </w:rPr>
        <w:t>Educating</w:t>
      </w:r>
      <w:r w:rsidR="00EC15B7" w:rsidRPr="00AE4CC3">
        <w:rPr>
          <w:i/>
        </w:rPr>
        <w:t xml:space="preserve"> oneself out of social exclusion</w:t>
      </w:r>
      <w:r w:rsidR="00EC15B7" w:rsidRPr="00AE4CC3">
        <w:t xml:space="preserve">, </w:t>
      </w:r>
      <w:proofErr w:type="spellStart"/>
      <w:r w:rsidR="00EC15B7" w:rsidRPr="00AE4CC3">
        <w:t>NCVER</w:t>
      </w:r>
      <w:proofErr w:type="spellEnd"/>
      <w:r w:rsidR="00EC15B7" w:rsidRPr="00AE4CC3">
        <w:t>, Adelaide.</w:t>
      </w:r>
    </w:p>
    <w:p w:rsidR="00AA7159" w:rsidRPr="00734300" w:rsidRDefault="00AA7159" w:rsidP="00103233">
      <w:pPr>
        <w:pStyle w:val="Reference"/>
      </w:pPr>
      <w:r w:rsidRPr="00734300">
        <w:t xml:space="preserve">Cutler, D. and </w:t>
      </w:r>
      <w:proofErr w:type="spellStart"/>
      <w:r w:rsidRPr="00734300">
        <w:t>Lleras</w:t>
      </w:r>
      <w:r w:rsidR="000117A0">
        <w:noBreakHyphen/>
      </w:r>
      <w:r w:rsidRPr="00734300">
        <w:t>Muney</w:t>
      </w:r>
      <w:proofErr w:type="spellEnd"/>
      <w:r w:rsidRPr="00734300">
        <w:t>, A. 2007</w:t>
      </w:r>
      <w:r w:rsidR="00956E7B" w:rsidRPr="00734300">
        <w:t>,</w:t>
      </w:r>
      <w:r w:rsidRPr="00734300">
        <w:t xml:space="preserve"> </w:t>
      </w:r>
      <w:r w:rsidRPr="00734300">
        <w:rPr>
          <w:i/>
        </w:rPr>
        <w:t>Education and Health</w:t>
      </w:r>
      <w:r w:rsidR="00103233">
        <w:t>, Policy Brief no. </w:t>
      </w:r>
      <w:r w:rsidRPr="00734300">
        <w:t>9, National Poverty Centre</w:t>
      </w:r>
      <w:r w:rsidR="00734300" w:rsidRPr="00734300">
        <w:t>, University of Michigan</w:t>
      </w:r>
      <w:r w:rsidRPr="00734300">
        <w:t xml:space="preserve">. </w:t>
      </w:r>
    </w:p>
    <w:p w:rsidR="00D136E7" w:rsidRDefault="00D136E7" w:rsidP="00103233">
      <w:pPr>
        <w:pStyle w:val="Reference"/>
      </w:pPr>
      <w:proofErr w:type="spellStart"/>
      <w:r>
        <w:t>Gemici</w:t>
      </w:r>
      <w:proofErr w:type="spellEnd"/>
      <w:r>
        <w:t xml:space="preserve">, S., </w:t>
      </w:r>
      <w:proofErr w:type="spellStart"/>
      <w:r>
        <w:t>Bednarz</w:t>
      </w:r>
      <w:proofErr w:type="spellEnd"/>
      <w:r>
        <w:t xml:space="preserve">, A., </w:t>
      </w:r>
      <w:proofErr w:type="spellStart"/>
      <w:r>
        <w:t>Karmel</w:t>
      </w:r>
      <w:proofErr w:type="spellEnd"/>
      <w:r>
        <w:t xml:space="preserve">, T. and Lim, P. 2014, </w:t>
      </w:r>
      <w:r>
        <w:rPr>
          <w:i/>
        </w:rPr>
        <w:t>The factors affecting the educational and occupational aspirations of young Australians</w:t>
      </w:r>
      <w:r w:rsidRPr="00D136E7">
        <w:rPr>
          <w:i/>
        </w:rPr>
        <w:t>,</w:t>
      </w:r>
      <w:r>
        <w:t xml:space="preserve"> </w:t>
      </w:r>
      <w:proofErr w:type="spellStart"/>
      <w:r>
        <w:t>NCVER</w:t>
      </w:r>
      <w:proofErr w:type="spellEnd"/>
      <w:r>
        <w:t>, Adelaide.</w:t>
      </w:r>
    </w:p>
    <w:p w:rsidR="007251B8" w:rsidRDefault="007251B8" w:rsidP="00103233">
      <w:pPr>
        <w:pStyle w:val="Reference"/>
      </w:pPr>
      <w:r w:rsidRPr="005C0AF2">
        <w:t>Hancock, K. J., Shepherd, C. C. J., Lawrence, D.</w:t>
      </w:r>
      <w:r w:rsidR="008A4981" w:rsidRPr="005C0AF2">
        <w:t xml:space="preserve"> and </w:t>
      </w:r>
      <w:proofErr w:type="spellStart"/>
      <w:r w:rsidR="008A4981" w:rsidRPr="005C0AF2">
        <w:t>Z</w:t>
      </w:r>
      <w:r w:rsidRPr="005C0AF2">
        <w:t>ubrick</w:t>
      </w:r>
      <w:proofErr w:type="spellEnd"/>
      <w:r w:rsidRPr="005C0AF2">
        <w:t>, S. R. 2013</w:t>
      </w:r>
      <w:r w:rsidR="008A4981" w:rsidRPr="005C0AF2">
        <w:t>,</w:t>
      </w:r>
      <w:r w:rsidRPr="005C0AF2">
        <w:t xml:space="preserve"> </w:t>
      </w:r>
      <w:r w:rsidRPr="005C0AF2">
        <w:rPr>
          <w:i/>
        </w:rPr>
        <w:t>Student attendance and educational outcomes: Every day counts.</w:t>
      </w:r>
      <w:r w:rsidRPr="005C0AF2">
        <w:t xml:space="preserve"> Report for the Department of Education, Employment and Workplace Relations, Canberra.</w:t>
      </w:r>
    </w:p>
    <w:p w:rsidR="00D136E7" w:rsidRPr="00F47881" w:rsidRDefault="00D136E7" w:rsidP="00103233">
      <w:pPr>
        <w:pStyle w:val="Reference"/>
      </w:pPr>
      <w:proofErr w:type="spellStart"/>
      <w:r>
        <w:t>Homel</w:t>
      </w:r>
      <w:proofErr w:type="spellEnd"/>
      <w:r>
        <w:t xml:space="preserve">, J. and Ryan, C. 2014, </w:t>
      </w:r>
      <w:r w:rsidRPr="00D136E7">
        <w:rPr>
          <w:i/>
        </w:rPr>
        <w:t>Educational outcomes: the impact of aspirations and the role of student background characteristics,</w:t>
      </w:r>
      <w:r>
        <w:t xml:space="preserve"> </w:t>
      </w:r>
      <w:proofErr w:type="spellStart"/>
      <w:r>
        <w:t>NCVER</w:t>
      </w:r>
      <w:proofErr w:type="spellEnd"/>
      <w:r>
        <w:t>, Adelaide.</w:t>
      </w:r>
    </w:p>
    <w:p w:rsidR="007C5D9C" w:rsidRPr="007C5D9C" w:rsidRDefault="007C5D9C" w:rsidP="00103233">
      <w:pPr>
        <w:pStyle w:val="Reference"/>
      </w:pPr>
      <w:proofErr w:type="spellStart"/>
      <w:r>
        <w:t>Jackiewicz</w:t>
      </w:r>
      <w:proofErr w:type="spellEnd"/>
      <w:r>
        <w:t xml:space="preserve">, S., </w:t>
      </w:r>
      <w:proofErr w:type="spellStart"/>
      <w:r>
        <w:t>Saggers</w:t>
      </w:r>
      <w:proofErr w:type="spellEnd"/>
      <w:r>
        <w:t>, S. and Frances, K. 2011, Equity of access: Requirements of Indigenous families and communities to ensure equitable access to government</w:t>
      </w:r>
      <w:r w:rsidR="000117A0">
        <w:noBreakHyphen/>
      </w:r>
      <w:r>
        <w:t xml:space="preserve">approved childcare settings in Australia, </w:t>
      </w:r>
      <w:r>
        <w:rPr>
          <w:i/>
        </w:rPr>
        <w:t>Australasian Journal of Early Childhood</w:t>
      </w:r>
      <w:r w:rsidR="00103233">
        <w:t>, vol. </w:t>
      </w:r>
      <w:r>
        <w:t>36, no.</w:t>
      </w:r>
      <w:r w:rsidR="00103233">
        <w:t> </w:t>
      </w:r>
      <w:r>
        <w:t>3, pp.</w:t>
      </w:r>
      <w:r w:rsidR="009001F2">
        <w:t> </w:t>
      </w:r>
      <w:r>
        <w:t>100</w:t>
      </w:r>
      <w:r w:rsidR="009001F2">
        <w:t>–</w:t>
      </w:r>
      <w:r>
        <w:t>108.</w:t>
      </w:r>
    </w:p>
    <w:p w:rsidR="00AA7159" w:rsidRPr="005C0AF2" w:rsidRDefault="00AA7159" w:rsidP="00103233">
      <w:pPr>
        <w:pStyle w:val="Reference"/>
      </w:pPr>
      <w:proofErr w:type="spellStart"/>
      <w:r w:rsidRPr="005C0AF2">
        <w:t>Karmel</w:t>
      </w:r>
      <w:proofErr w:type="spellEnd"/>
      <w:r w:rsidRPr="005C0AF2">
        <w:t xml:space="preserve">, T. and </w:t>
      </w:r>
      <w:proofErr w:type="spellStart"/>
      <w:r w:rsidRPr="005C0AF2">
        <w:t>Fieger</w:t>
      </w:r>
      <w:proofErr w:type="spellEnd"/>
      <w:r w:rsidRPr="005C0AF2">
        <w:t>, P. 2012</w:t>
      </w:r>
      <w:r w:rsidR="005C0AF2" w:rsidRPr="005C0AF2">
        <w:t>,</w:t>
      </w:r>
      <w:r w:rsidRPr="005C0AF2">
        <w:t xml:space="preserve"> </w:t>
      </w:r>
      <w:r w:rsidRPr="005C0AF2">
        <w:rPr>
          <w:i/>
        </w:rPr>
        <w:t>The value of completing a VET qualification</w:t>
      </w:r>
      <w:r w:rsidR="005C0AF2" w:rsidRPr="005C0AF2">
        <w:rPr>
          <w:i/>
        </w:rPr>
        <w:t>,</w:t>
      </w:r>
      <w:r w:rsidR="000117A0">
        <w:rPr>
          <w:i/>
        </w:rPr>
        <w:t xml:space="preserve"> </w:t>
      </w:r>
      <w:proofErr w:type="spellStart"/>
      <w:r w:rsidR="005C0AF2" w:rsidRPr="005C0AF2">
        <w:t>NCVER</w:t>
      </w:r>
      <w:proofErr w:type="spellEnd"/>
      <w:r w:rsidR="005C0AF2" w:rsidRPr="005C0AF2">
        <w:t>, Adelaide.</w:t>
      </w:r>
    </w:p>
    <w:p w:rsidR="003D2E27" w:rsidRPr="00F47881" w:rsidRDefault="00D15368" w:rsidP="00103233">
      <w:pPr>
        <w:pStyle w:val="Reference"/>
      </w:pPr>
      <w:proofErr w:type="spellStart"/>
      <w:r w:rsidRPr="00F47881">
        <w:t>McTurk</w:t>
      </w:r>
      <w:proofErr w:type="spellEnd"/>
      <w:r w:rsidRPr="00F47881">
        <w:t xml:space="preserve">, </w:t>
      </w:r>
      <w:r w:rsidR="00961153" w:rsidRPr="00F47881">
        <w:t xml:space="preserve">N., Tess, L., Robinson, G., </w:t>
      </w:r>
      <w:proofErr w:type="spellStart"/>
      <w:r w:rsidR="00961153" w:rsidRPr="00F47881">
        <w:t>Nutton</w:t>
      </w:r>
      <w:proofErr w:type="spellEnd"/>
      <w:r w:rsidR="00961153" w:rsidRPr="00F47881">
        <w:t>, G.</w:t>
      </w:r>
      <w:r w:rsidR="00D608E7" w:rsidRPr="00F47881">
        <w:t xml:space="preserve"> and </w:t>
      </w:r>
      <w:proofErr w:type="spellStart"/>
      <w:r w:rsidR="00961153" w:rsidRPr="00F47881">
        <w:t>Carapetis</w:t>
      </w:r>
      <w:proofErr w:type="spellEnd"/>
      <w:r w:rsidR="00D608E7" w:rsidRPr="00F47881">
        <w:t xml:space="preserve"> J. R. </w:t>
      </w:r>
      <w:r w:rsidR="003D2E27" w:rsidRPr="00F47881">
        <w:t xml:space="preserve">2011, </w:t>
      </w:r>
      <w:r w:rsidR="007D0F96">
        <w:t>‘</w:t>
      </w:r>
      <w:r w:rsidR="003D2E27" w:rsidRPr="007D0F96">
        <w:t>Defining and assessing the school readiness of Indigenous Australian children</w:t>
      </w:r>
      <w:r w:rsidR="007D0F96">
        <w:t>’</w:t>
      </w:r>
      <w:r w:rsidR="003D2E27" w:rsidRPr="00F47881">
        <w:rPr>
          <w:i/>
        </w:rPr>
        <w:t xml:space="preserve">, </w:t>
      </w:r>
      <w:r w:rsidR="003D2E27" w:rsidRPr="007D0F96">
        <w:rPr>
          <w:i/>
        </w:rPr>
        <w:t>Australasian Journal of Early Childhood</w:t>
      </w:r>
      <w:r w:rsidR="003D2E27" w:rsidRPr="00F47881">
        <w:t xml:space="preserve">, </w:t>
      </w:r>
      <w:r w:rsidR="005C0AF2">
        <w:t>vol.</w:t>
      </w:r>
      <w:r w:rsidR="00103233">
        <w:t> </w:t>
      </w:r>
      <w:r w:rsidR="003D2E27" w:rsidRPr="00F47881">
        <w:t>36</w:t>
      </w:r>
      <w:r w:rsidR="005C0AF2">
        <w:t>, no.</w:t>
      </w:r>
      <w:r w:rsidR="00103233">
        <w:t> </w:t>
      </w:r>
      <w:r w:rsidR="003D2E27" w:rsidRPr="00F47881">
        <w:t>1</w:t>
      </w:r>
      <w:r w:rsidR="005C0AF2">
        <w:t>, pp.</w:t>
      </w:r>
      <w:r w:rsidR="009001F2">
        <w:t> </w:t>
      </w:r>
      <w:r w:rsidR="003D2E27" w:rsidRPr="00F47881">
        <w:t>69</w:t>
      </w:r>
      <w:r w:rsidR="009001F2">
        <w:t>–</w:t>
      </w:r>
      <w:r w:rsidR="003D2E27" w:rsidRPr="00F47881">
        <w:t>76.</w:t>
      </w:r>
    </w:p>
    <w:p w:rsidR="008B2FBF" w:rsidRPr="00F47881" w:rsidRDefault="00B206D4" w:rsidP="00103233">
      <w:pPr>
        <w:pStyle w:val="Reference"/>
      </w:pPr>
      <w:r>
        <w:t xml:space="preserve">Murray, </w:t>
      </w:r>
      <w:r w:rsidR="008B2FBF" w:rsidRPr="00F47881">
        <w:t>J, 2009</w:t>
      </w:r>
      <w:r w:rsidR="008B2FBF" w:rsidRPr="00F47881">
        <w:rPr>
          <w:i/>
        </w:rPr>
        <w:t xml:space="preserve"> </w:t>
      </w:r>
      <w:r w:rsidR="007D0F96">
        <w:rPr>
          <w:i/>
        </w:rPr>
        <w:t>‘</w:t>
      </w:r>
      <w:r w:rsidR="008B2FBF" w:rsidRPr="007D0F96">
        <w:t>The wider social benefits of higher education: What do we know about them?</w:t>
      </w:r>
      <w:r w:rsidR="007D0F96">
        <w:t>’</w:t>
      </w:r>
      <w:r w:rsidR="008B2FBF" w:rsidRPr="007D0F96">
        <w:t>,</w:t>
      </w:r>
      <w:r w:rsidR="008B2FBF" w:rsidRPr="00F47881">
        <w:t xml:space="preserve"> </w:t>
      </w:r>
      <w:r w:rsidR="008B2FBF" w:rsidRPr="007D0F96">
        <w:rPr>
          <w:i/>
        </w:rPr>
        <w:t>Australian Journal of Education</w:t>
      </w:r>
      <w:r w:rsidR="008B2FBF" w:rsidRPr="00F47881">
        <w:t xml:space="preserve">, </w:t>
      </w:r>
      <w:r w:rsidR="00103233">
        <w:t>vol. </w:t>
      </w:r>
      <w:r w:rsidR="008B2FBF" w:rsidRPr="00F47881">
        <w:t>53</w:t>
      </w:r>
      <w:r w:rsidR="005C0AF2">
        <w:t>, no.</w:t>
      </w:r>
      <w:r w:rsidR="00103233">
        <w:t> </w:t>
      </w:r>
      <w:r w:rsidR="008B2FBF" w:rsidRPr="00F47881">
        <w:t xml:space="preserve">3, </w:t>
      </w:r>
      <w:r w:rsidR="005C0AF2">
        <w:t>pp.</w:t>
      </w:r>
      <w:r w:rsidR="009001F2">
        <w:t> </w:t>
      </w:r>
      <w:r w:rsidR="008B2FBF" w:rsidRPr="00F47881">
        <w:t>230</w:t>
      </w:r>
      <w:r w:rsidR="009001F2">
        <w:t>–</w:t>
      </w:r>
      <w:r w:rsidR="008B2FBF" w:rsidRPr="00F47881">
        <w:t xml:space="preserve">244. </w:t>
      </w:r>
    </w:p>
    <w:p w:rsidR="00C14CA6" w:rsidRPr="00BF5D77" w:rsidRDefault="00C14CA6" w:rsidP="00103233">
      <w:pPr>
        <w:pStyle w:val="Reference"/>
        <w:rPr>
          <w:i/>
        </w:rPr>
      </w:pPr>
      <w:r w:rsidRPr="00F47881">
        <w:lastRenderedPageBreak/>
        <w:t>OECD (Organisation for Economic Co</w:t>
      </w:r>
      <w:r w:rsidR="000117A0">
        <w:noBreakHyphen/>
      </w:r>
      <w:r w:rsidRPr="00F47881">
        <w:t xml:space="preserve">operation and Development) </w:t>
      </w:r>
      <w:r w:rsidR="00A13ED1">
        <w:t>2008,</w:t>
      </w:r>
      <w:r w:rsidR="00E11063" w:rsidRPr="00F47881">
        <w:t xml:space="preserve"> </w:t>
      </w:r>
      <w:r w:rsidR="00E11063" w:rsidRPr="00F47881">
        <w:rPr>
          <w:i/>
        </w:rPr>
        <w:t>Economic Surveys: Australia</w:t>
      </w:r>
      <w:r w:rsidR="00937004" w:rsidRPr="00F47881">
        <w:rPr>
          <w:i/>
        </w:rPr>
        <w:t xml:space="preserve">, </w:t>
      </w:r>
      <w:r w:rsidR="00937004" w:rsidRPr="00F47881">
        <w:t>France.</w:t>
      </w:r>
    </w:p>
    <w:p w:rsidR="00192163" w:rsidRDefault="00192163" w:rsidP="00103233">
      <w:pPr>
        <w:pStyle w:val="Reference"/>
      </w:pPr>
      <w:r w:rsidRPr="005C0AF2">
        <w:t xml:space="preserve">—— 2013, </w:t>
      </w:r>
      <w:r w:rsidRPr="005C0AF2">
        <w:rPr>
          <w:i/>
        </w:rPr>
        <w:t>Education at a Glance: OECD indicators 2013</w:t>
      </w:r>
      <w:r w:rsidRPr="005C0AF2">
        <w:t>, France.</w:t>
      </w:r>
    </w:p>
    <w:p w:rsidR="000C7FE9" w:rsidRPr="00F47881" w:rsidRDefault="000C7FE9" w:rsidP="00103233">
      <w:pPr>
        <w:pStyle w:val="Reference"/>
      </w:pPr>
      <w:r>
        <w:t>PC (</w:t>
      </w:r>
      <w:r w:rsidRPr="00F33D94">
        <w:t>P</w:t>
      </w:r>
      <w:r>
        <w:t xml:space="preserve">roductivity </w:t>
      </w:r>
      <w:r w:rsidRPr="00F33D94">
        <w:t>Commission</w:t>
      </w:r>
      <w:r>
        <w:t>)</w:t>
      </w:r>
      <w:r w:rsidRPr="00F33D94">
        <w:t xml:space="preserve"> </w:t>
      </w:r>
      <w:r>
        <w:t xml:space="preserve">2011, </w:t>
      </w:r>
      <w:r>
        <w:rPr>
          <w:i/>
        </w:rPr>
        <w:t xml:space="preserve">Vocational Education and Training Workforce, </w:t>
      </w:r>
      <w:r>
        <w:t xml:space="preserve">Research Report, Canberra. </w:t>
      </w:r>
    </w:p>
    <w:p w:rsidR="003F72D0" w:rsidRDefault="003F72D0" w:rsidP="00445AEB">
      <w:pPr>
        <w:pStyle w:val="Reference"/>
      </w:pPr>
      <w:bookmarkStart w:id="41" w:name="OLE_LINK20"/>
      <w:r>
        <w:t xml:space="preserve">Purdie, N. and Buckley, S. 2010, </w:t>
      </w:r>
      <w:r w:rsidRPr="003F72D0">
        <w:rPr>
          <w:i/>
        </w:rPr>
        <w:t xml:space="preserve">School attendance and retention of Indigenous Australian students, </w:t>
      </w:r>
      <w:r>
        <w:t xml:space="preserve">Issues Paper No. 1 produced for the Closing the Gap Clearinghouse, Cat no. </w:t>
      </w:r>
      <w:proofErr w:type="spellStart"/>
      <w:r>
        <w:t>IHW</w:t>
      </w:r>
      <w:proofErr w:type="spellEnd"/>
      <w:r>
        <w:t xml:space="preserve"> 33 ISBN 979-1-74249-060-1, Canberra.</w:t>
      </w:r>
    </w:p>
    <w:p w:rsidR="00AA7159" w:rsidRDefault="00AA7159" w:rsidP="00445AEB">
      <w:pPr>
        <w:pStyle w:val="Reference"/>
      </w:pPr>
      <w:r w:rsidRPr="005C0AF2">
        <w:t>Ramey, C. T., Sparling, J. J.</w:t>
      </w:r>
      <w:r w:rsidR="005C0AF2" w:rsidRPr="005C0AF2">
        <w:t xml:space="preserve"> and</w:t>
      </w:r>
      <w:r w:rsidRPr="005C0AF2">
        <w:t xml:space="preserve"> Ramey, S. L. 2012</w:t>
      </w:r>
      <w:r w:rsidR="005C0AF2" w:rsidRPr="005C0AF2">
        <w:t>,</w:t>
      </w:r>
      <w:r w:rsidRPr="005C0AF2">
        <w:t xml:space="preserve"> </w:t>
      </w:r>
      <w:r w:rsidRPr="005C0AF2">
        <w:rPr>
          <w:i/>
        </w:rPr>
        <w:t>Abecedarian: The ideas, the approach, and the findings</w:t>
      </w:r>
      <w:r w:rsidR="005C0AF2" w:rsidRPr="005C0AF2">
        <w:rPr>
          <w:i/>
        </w:rPr>
        <w:t>,</w:t>
      </w:r>
      <w:r w:rsidRPr="005C0AF2">
        <w:t xml:space="preserve"> Los Altos</w:t>
      </w:r>
      <w:r w:rsidR="005C0AF2">
        <w:t xml:space="preserve">, CA: </w:t>
      </w:r>
      <w:proofErr w:type="spellStart"/>
      <w:r w:rsidR="005C0AF2">
        <w:t>Sociometrics</w:t>
      </w:r>
      <w:proofErr w:type="spellEnd"/>
      <w:r w:rsidR="005C0AF2">
        <w:t xml:space="preserve"> Corporation.</w:t>
      </w:r>
    </w:p>
    <w:p w:rsidR="00EE7717" w:rsidRPr="001D4399" w:rsidRDefault="00EE7717" w:rsidP="00103233">
      <w:pPr>
        <w:pStyle w:val="Reference"/>
        <w:rPr>
          <w:i/>
        </w:rPr>
      </w:pPr>
      <w:r w:rsidRPr="001D4399">
        <w:t xml:space="preserve">Reynolds, A. J., Temple, J. A., and White, B. A. 2009, </w:t>
      </w:r>
      <w:r w:rsidRPr="001D4399">
        <w:rPr>
          <w:i/>
        </w:rPr>
        <w:t>Cost</w:t>
      </w:r>
      <w:r w:rsidR="000117A0">
        <w:rPr>
          <w:i/>
        </w:rPr>
        <w:noBreakHyphen/>
      </w:r>
      <w:r w:rsidRPr="001D4399">
        <w:rPr>
          <w:i/>
        </w:rPr>
        <w:t>Effective Early Childhood Development Programs: A Synthesis of Evidence in the First Decade of Life</w:t>
      </w:r>
      <w:r w:rsidRPr="001D4399">
        <w:t>, Encyclopaedia of Education.</w:t>
      </w:r>
    </w:p>
    <w:p w:rsidR="00AA7159" w:rsidRPr="007D0F96" w:rsidRDefault="00AA7159" w:rsidP="00103233">
      <w:pPr>
        <w:pStyle w:val="Reference"/>
      </w:pPr>
      <w:r w:rsidRPr="007D0F96">
        <w:t>Ryan</w:t>
      </w:r>
      <w:r w:rsidR="007D0F96" w:rsidRPr="007D0F96">
        <w:t>, C.</w:t>
      </w:r>
      <w:r w:rsidRPr="007D0F96">
        <w:t xml:space="preserve"> 2011, </w:t>
      </w:r>
      <w:r w:rsidRPr="007D0F96">
        <w:rPr>
          <w:i/>
        </w:rPr>
        <w:t>Year 12 completion and youth transitions</w:t>
      </w:r>
      <w:r w:rsidRPr="007D0F96">
        <w:t xml:space="preserve">, </w:t>
      </w:r>
      <w:proofErr w:type="spellStart"/>
      <w:r w:rsidR="007D0F96" w:rsidRPr="007D0F96">
        <w:t>NCVER</w:t>
      </w:r>
      <w:proofErr w:type="spellEnd"/>
      <w:r w:rsidR="007D0F96" w:rsidRPr="007D0F96">
        <w:t>, Adelaide.</w:t>
      </w:r>
    </w:p>
    <w:bookmarkEnd w:id="41"/>
    <w:p w:rsidR="00BA59BA" w:rsidRDefault="00BA59BA" w:rsidP="00BA59BA">
      <w:pPr>
        <w:pStyle w:val="Reference"/>
      </w:pPr>
      <w:r w:rsidRPr="00BA59BA">
        <w:t xml:space="preserve">Shomos, A. 2010, </w:t>
      </w:r>
      <w:r w:rsidRPr="00BA59BA">
        <w:rPr>
          <w:i/>
        </w:rPr>
        <w:t xml:space="preserve">Links Between Literacy and Numeracy Skills and Labour Market Outcomes, </w:t>
      </w:r>
      <w:r w:rsidRPr="00BA59BA">
        <w:t xml:space="preserve">Productivity Commission Staff </w:t>
      </w:r>
      <w:r>
        <w:t>Working Paper, Melbourne</w:t>
      </w:r>
      <w:r w:rsidRPr="00BA59BA">
        <w:t>.</w:t>
      </w:r>
    </w:p>
    <w:p w:rsidR="00AA7159" w:rsidRDefault="0049517D" w:rsidP="00103233">
      <w:pPr>
        <w:pStyle w:val="Reference"/>
      </w:pPr>
      <w:r w:rsidRPr="001D4399">
        <w:t>Tayler, C</w:t>
      </w:r>
      <w:r w:rsidR="005C0AF2" w:rsidRPr="001D4399">
        <w:t>.,</w:t>
      </w:r>
      <w:r w:rsidRPr="001D4399">
        <w:t xml:space="preserve"> </w:t>
      </w:r>
      <w:proofErr w:type="spellStart"/>
      <w:r w:rsidRPr="001D4399">
        <w:t>Ishimine</w:t>
      </w:r>
      <w:proofErr w:type="spellEnd"/>
      <w:r w:rsidRPr="001D4399">
        <w:t>, K</w:t>
      </w:r>
      <w:r w:rsidR="005C0AF2" w:rsidRPr="001D4399">
        <w:t>.,</w:t>
      </w:r>
      <w:r w:rsidRPr="001D4399">
        <w:t xml:space="preserve"> </w:t>
      </w:r>
      <w:proofErr w:type="spellStart"/>
      <w:r w:rsidRPr="001D4399">
        <w:t>Cloney</w:t>
      </w:r>
      <w:proofErr w:type="spellEnd"/>
      <w:r w:rsidRPr="001D4399">
        <w:t>, D</w:t>
      </w:r>
      <w:r w:rsidR="005C0AF2" w:rsidRPr="001D4399">
        <w:t>.,</w:t>
      </w:r>
      <w:r w:rsidRPr="001D4399">
        <w:t xml:space="preserve"> Cleveland, G</w:t>
      </w:r>
      <w:r w:rsidR="005C0AF2" w:rsidRPr="001D4399">
        <w:t>. and</w:t>
      </w:r>
      <w:r w:rsidRPr="001D4399">
        <w:t xml:space="preserve"> Thorpe, K. 2013</w:t>
      </w:r>
      <w:r w:rsidR="005C0AF2" w:rsidRPr="001D4399">
        <w:t>,</w:t>
      </w:r>
      <w:r w:rsidRPr="001D4399">
        <w:t xml:space="preserve"> </w:t>
      </w:r>
      <w:r w:rsidR="00BA7C82" w:rsidRPr="001D4399">
        <w:t xml:space="preserve">The </w:t>
      </w:r>
      <w:r w:rsidR="005C0AF2" w:rsidRPr="001D4399">
        <w:t>q</w:t>
      </w:r>
      <w:r w:rsidR="00BA7C82" w:rsidRPr="001D4399">
        <w:t xml:space="preserve">uality of </w:t>
      </w:r>
      <w:r w:rsidR="005C0AF2" w:rsidRPr="001D4399">
        <w:t>e</w:t>
      </w:r>
      <w:r w:rsidR="00BA7C82" w:rsidRPr="001D4399">
        <w:t xml:space="preserve">arly </w:t>
      </w:r>
      <w:r w:rsidR="005C0AF2" w:rsidRPr="001D4399">
        <w:t>c</w:t>
      </w:r>
      <w:r w:rsidR="00BA7C82" w:rsidRPr="001D4399">
        <w:t xml:space="preserve">hildhood </w:t>
      </w:r>
      <w:r w:rsidR="005C0AF2" w:rsidRPr="001D4399">
        <w:t>e</w:t>
      </w:r>
      <w:r w:rsidR="00BA7C82" w:rsidRPr="001D4399">
        <w:t xml:space="preserve">ducation and </w:t>
      </w:r>
      <w:r w:rsidR="005C0AF2" w:rsidRPr="001D4399">
        <w:t>c</w:t>
      </w:r>
      <w:r w:rsidR="00BA7C82" w:rsidRPr="001D4399">
        <w:t xml:space="preserve">are </w:t>
      </w:r>
      <w:r w:rsidR="005C0AF2" w:rsidRPr="001D4399">
        <w:t>s</w:t>
      </w:r>
      <w:r w:rsidR="00BA7C82" w:rsidRPr="001D4399">
        <w:t>ervices in Australia</w:t>
      </w:r>
      <w:r w:rsidRPr="001D4399">
        <w:t xml:space="preserve">, </w:t>
      </w:r>
      <w:r w:rsidR="00BA7C82" w:rsidRPr="001D4399">
        <w:rPr>
          <w:i/>
        </w:rPr>
        <w:t>Australasian Journal of Early Childhood</w:t>
      </w:r>
      <w:r w:rsidR="00BA7C82" w:rsidRPr="001D4399">
        <w:t xml:space="preserve">, </w:t>
      </w:r>
      <w:r w:rsidRPr="001D4399">
        <w:t>v</w:t>
      </w:r>
      <w:r w:rsidR="00BA7C82" w:rsidRPr="001D4399">
        <w:t>ol.</w:t>
      </w:r>
      <w:r w:rsidR="00103233">
        <w:t> </w:t>
      </w:r>
      <w:r w:rsidR="00BA7C82" w:rsidRPr="001D4399">
        <w:t xml:space="preserve">38, </w:t>
      </w:r>
      <w:r w:rsidRPr="001D4399">
        <w:t>no.</w:t>
      </w:r>
      <w:r w:rsidR="00103233">
        <w:t> </w:t>
      </w:r>
      <w:r w:rsidRPr="001D4399">
        <w:t>2, pp.</w:t>
      </w:r>
      <w:r w:rsidR="009001F2">
        <w:t> </w:t>
      </w:r>
      <w:r w:rsidR="001D4399" w:rsidRPr="001D4399">
        <w:t>13</w:t>
      </w:r>
      <w:r w:rsidR="009001F2">
        <w:t>–</w:t>
      </w:r>
      <w:r w:rsidR="001D4399" w:rsidRPr="001D4399">
        <w:t>21</w:t>
      </w:r>
      <w:r w:rsidRPr="001D4399">
        <w:t>.</w:t>
      </w:r>
    </w:p>
    <w:p w:rsidR="00E17822" w:rsidRPr="001D4399" w:rsidRDefault="00E17822" w:rsidP="00103233">
      <w:pPr>
        <w:pStyle w:val="Reference"/>
      </w:pPr>
      <w:r>
        <w:t xml:space="preserve">Webb, S, Black, R, Morton, R, </w:t>
      </w:r>
      <w:proofErr w:type="spellStart"/>
      <w:r>
        <w:t>Plowright</w:t>
      </w:r>
      <w:proofErr w:type="spellEnd"/>
      <w:r>
        <w:t xml:space="preserve">, S and Roy, R. 2015, </w:t>
      </w:r>
      <w:r w:rsidRPr="00E17822">
        <w:rPr>
          <w:i/>
        </w:rPr>
        <w:t xml:space="preserve">Geographical and place dimensions of post-school participation in education and work, </w:t>
      </w:r>
      <w:proofErr w:type="spellStart"/>
      <w:r>
        <w:t>NCVER</w:t>
      </w:r>
      <w:proofErr w:type="spellEnd"/>
      <w:r>
        <w:t>, Adelaide.</w:t>
      </w:r>
    </w:p>
    <w:sectPr w:rsidR="00E17822" w:rsidRPr="001D4399" w:rsidSect="00FB4374">
      <w:headerReference w:type="even" r:id="rId36"/>
      <w:headerReference w:type="default" r:id="rId37"/>
      <w:footerReference w:type="even" r:id="rId38"/>
      <w:footerReference w:type="default" r:id="rId39"/>
      <w:pgSz w:w="11907" w:h="16840" w:code="9"/>
      <w:pgMar w:top="1985"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5D4" w:rsidRDefault="00F545D4">
      <w:r>
        <w:separator/>
      </w:r>
    </w:p>
  </w:endnote>
  <w:endnote w:type="continuationSeparator" w:id="0">
    <w:p w:rsidR="00F545D4" w:rsidRDefault="00F545D4">
      <w:r>
        <w:continuationSeparator/>
      </w:r>
    </w:p>
  </w:endnote>
  <w:endnote w:type="continuationNotice" w:id="1">
    <w:p w:rsidR="00F545D4" w:rsidRDefault="00F54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F545D4" w:rsidTr="00825EF8">
      <w:trPr>
        <w:trHeight w:hRule="exact" w:val="567"/>
      </w:trPr>
      <w:tc>
        <w:tcPr>
          <w:tcW w:w="510" w:type="dxa"/>
        </w:tcPr>
        <w:p w:rsidR="00F545D4" w:rsidRPr="00A24443" w:rsidRDefault="00F545D4" w:rsidP="00E33A19">
          <w:pPr>
            <w:pStyle w:val="Footer"/>
            <w:tabs>
              <w:tab w:val="left" w:pos="0"/>
            </w:tabs>
            <w:ind w:right="0"/>
            <w:rPr>
              <w:rStyle w:val="PageNumber"/>
              <w:caps w:val="0"/>
            </w:rPr>
          </w:pPr>
          <w:proofErr w:type="spellStart"/>
          <w:r>
            <w:rPr>
              <w:rStyle w:val="PageNumber"/>
              <w:caps w:val="0"/>
            </w:rPr>
            <w:t>B.</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610F">
            <w:rPr>
              <w:rStyle w:val="PageNumber"/>
              <w:caps w:val="0"/>
              <w:noProof/>
            </w:rPr>
            <w:t>46</w:t>
          </w:r>
          <w:r w:rsidRPr="00A24443">
            <w:rPr>
              <w:rStyle w:val="PageNumber"/>
              <w:caps w:val="0"/>
            </w:rPr>
            <w:fldChar w:fldCharType="end"/>
          </w:r>
        </w:p>
      </w:tc>
      <w:tc>
        <w:tcPr>
          <w:tcW w:w="7767" w:type="dxa"/>
        </w:tcPr>
        <w:p w:rsidR="00F545D4" w:rsidRPr="0013739A" w:rsidRDefault="00F545D4" w:rsidP="00E33A19">
          <w:pPr>
            <w:pStyle w:val="Footer"/>
            <w:rPr>
              <w:rFonts w:cs="Arial"/>
            </w:rPr>
          </w:pPr>
          <w:r>
            <w:rPr>
              <w:rFonts w:cs="Arial"/>
            </w:rPr>
            <w:t>Report on Government Services 2016</w:t>
          </w:r>
          <w:bookmarkStart w:id="42" w:name="DraftReportEven"/>
          <w:bookmarkEnd w:id="42"/>
        </w:p>
      </w:tc>
      <w:tc>
        <w:tcPr>
          <w:tcW w:w="511" w:type="dxa"/>
        </w:tcPr>
        <w:p w:rsidR="00F545D4" w:rsidRDefault="00F545D4" w:rsidP="00E33A19">
          <w:pPr>
            <w:pStyle w:val="Footer"/>
          </w:pPr>
        </w:p>
      </w:tc>
    </w:tr>
  </w:tbl>
  <w:p w:rsidR="00F545D4" w:rsidRPr="00E9688D" w:rsidRDefault="00F545D4">
    <w:pPr>
      <w:pStyle w:val="FooterEnd"/>
      <w:rPr>
        <w:color w:val="0000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1"/>
    </w:tblGrid>
    <w:tr w:rsidR="00F545D4" w:rsidTr="00825EF8">
      <w:trPr>
        <w:trHeight w:hRule="exact" w:val="567"/>
      </w:trPr>
      <w:tc>
        <w:tcPr>
          <w:tcW w:w="510" w:type="dxa"/>
        </w:tcPr>
        <w:p w:rsidR="00F545D4" w:rsidRDefault="00F545D4" w:rsidP="00E33A19">
          <w:pPr>
            <w:pStyle w:val="Footer"/>
            <w:ind w:right="360" w:firstLine="360"/>
          </w:pPr>
        </w:p>
      </w:tc>
      <w:tc>
        <w:tcPr>
          <w:tcW w:w="7768" w:type="dxa"/>
        </w:tcPr>
        <w:p w:rsidR="00F545D4" w:rsidRPr="00BA5B14" w:rsidRDefault="00F545D4" w:rsidP="005D1F91">
          <w:pPr>
            <w:pStyle w:val="Footer"/>
            <w:jc w:val="right"/>
            <w:rPr>
              <w:rFonts w:cs="Arial"/>
            </w:rPr>
          </w:pPr>
          <w:r>
            <w:rPr>
              <w:rFonts w:cs="Arial"/>
            </w:rPr>
            <w:t>Child Care, Education and Training Sector Overview</w:t>
          </w:r>
        </w:p>
      </w:tc>
      <w:tc>
        <w:tcPr>
          <w:tcW w:w="511" w:type="dxa"/>
        </w:tcPr>
        <w:p w:rsidR="00F545D4" w:rsidRPr="00A24443" w:rsidRDefault="00F545D4" w:rsidP="00E33A19">
          <w:pPr>
            <w:pStyle w:val="Footer"/>
            <w:jc w:val="right"/>
            <w:rPr>
              <w:caps w:val="0"/>
            </w:rPr>
          </w:pPr>
          <w:proofErr w:type="spellStart"/>
          <w:r>
            <w:rPr>
              <w:rStyle w:val="PageNumber"/>
              <w:caps w:val="0"/>
            </w:rPr>
            <w:t>B.</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610F">
            <w:rPr>
              <w:rStyle w:val="PageNumber"/>
              <w:caps w:val="0"/>
              <w:noProof/>
            </w:rPr>
            <w:t>45</w:t>
          </w:r>
          <w:r w:rsidRPr="00A24443">
            <w:rPr>
              <w:rStyle w:val="PageNumber"/>
              <w:caps w:val="0"/>
            </w:rPr>
            <w:fldChar w:fldCharType="end"/>
          </w:r>
        </w:p>
      </w:tc>
    </w:tr>
  </w:tbl>
  <w:p w:rsidR="00F545D4" w:rsidRPr="00E9688D" w:rsidRDefault="00F545D4">
    <w:pPr>
      <w:pStyle w:val="FooterEnd"/>
      <w:rPr>
        <w:color w:val="0000FF"/>
      </w:rPr>
    </w:pPr>
    <w:bookmarkStart w:id="43" w:name="_AppendixByChapter"/>
    <w:bookmarkStart w:id="44" w:name="OLE_LINK18"/>
    <w:bookmarkEnd w:id="43"/>
    <w:bookmarkEnd w:id="4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5D4" w:rsidRDefault="00F545D4">
      <w:r>
        <w:separator/>
      </w:r>
    </w:p>
  </w:footnote>
  <w:footnote w:type="continuationSeparator" w:id="0">
    <w:p w:rsidR="00F545D4" w:rsidRDefault="00F545D4">
      <w:r>
        <w:continuationSeparator/>
      </w:r>
    </w:p>
  </w:footnote>
  <w:footnote w:type="continuationNotice" w:id="1">
    <w:p w:rsidR="00F545D4" w:rsidRDefault="00F545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43"/>
      <w:gridCol w:w="6946"/>
    </w:tblGrid>
    <w:tr w:rsidR="00F545D4" w:rsidRPr="00E9688D" w:rsidTr="00223670">
      <w:tc>
        <w:tcPr>
          <w:tcW w:w="1843" w:type="dxa"/>
          <w:tcBorders>
            <w:top w:val="single" w:sz="24" w:space="0" w:color="auto"/>
          </w:tcBorders>
        </w:tcPr>
        <w:p w:rsidR="00F545D4" w:rsidRDefault="00F545D4">
          <w:pPr>
            <w:pStyle w:val="HeaderEven"/>
          </w:pPr>
        </w:p>
      </w:tc>
      <w:tc>
        <w:tcPr>
          <w:tcW w:w="6946" w:type="dxa"/>
          <w:tcBorders>
            <w:top w:val="single" w:sz="6" w:space="0" w:color="auto"/>
          </w:tcBorders>
        </w:tcPr>
        <w:p w:rsidR="00F545D4" w:rsidRPr="00830675" w:rsidRDefault="00F545D4" w:rsidP="00825EF8">
          <w:pPr>
            <w:pStyle w:val="HeaderEven"/>
            <w:jc w:val="right"/>
            <w:rPr>
              <w:szCs w:val="24"/>
            </w:rPr>
          </w:pPr>
        </w:p>
      </w:tc>
    </w:tr>
  </w:tbl>
  <w:p w:rsidR="00F545D4" w:rsidRPr="00E9688D" w:rsidRDefault="00F545D4">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545D4" w:rsidTr="00E33A19">
      <w:tc>
        <w:tcPr>
          <w:tcW w:w="6634" w:type="dxa"/>
          <w:tcBorders>
            <w:top w:val="single" w:sz="6" w:space="0" w:color="auto"/>
          </w:tcBorders>
        </w:tcPr>
        <w:p w:rsidR="00F545D4" w:rsidRDefault="00F545D4" w:rsidP="00825EF8">
          <w:pPr>
            <w:pStyle w:val="HeaderOdd"/>
          </w:pPr>
        </w:p>
      </w:tc>
      <w:tc>
        <w:tcPr>
          <w:tcW w:w="2155" w:type="dxa"/>
          <w:tcBorders>
            <w:top w:val="single" w:sz="24" w:space="0" w:color="auto"/>
          </w:tcBorders>
        </w:tcPr>
        <w:p w:rsidR="00F545D4" w:rsidRDefault="00F545D4" w:rsidP="00E33A19">
          <w:pPr>
            <w:pStyle w:val="HeaderOdd"/>
          </w:pPr>
        </w:p>
      </w:tc>
    </w:tr>
  </w:tbl>
  <w:p w:rsidR="00F545D4" w:rsidRPr="00E9688D" w:rsidRDefault="00F545D4">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7F8EDFC2"/>
    <w:lvl w:ilvl="0" w:tplc="B374175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B7D01BD8"/>
    <w:lvl w:ilvl="0" w:tplc="A08CA6A6">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84D7C3D"/>
    <w:multiLevelType w:val="singleLevel"/>
    <w:tmpl w:val="D3A85F8C"/>
    <w:lvl w:ilvl="0">
      <w:start w:val="1"/>
      <w:numFmt w:val="bullet"/>
      <w:pStyle w:val="formattedparas"/>
      <w:lvlText w:val=""/>
      <w:lvlJc w:val="left"/>
      <w:pPr>
        <w:tabs>
          <w:tab w:val="num" w:pos="360"/>
        </w:tabs>
        <w:ind w:left="360" w:hanging="360"/>
      </w:pPr>
      <w:rPr>
        <w:rFonts w:ascii="Symbol" w:hAnsi="Symbol"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3"/>
  </w:num>
  <w:num w:numId="3">
    <w:abstractNumId w:val="4"/>
  </w:num>
  <w:num w:numId="4">
    <w:abstractNumId w:val="7"/>
  </w:num>
  <w:num w:numId="5">
    <w:abstractNumId w:val="14"/>
  </w:num>
  <w:num w:numId="6">
    <w:abstractNumId w:val="12"/>
  </w:num>
  <w:num w:numId="7">
    <w:abstractNumId w:val="22"/>
  </w:num>
  <w:num w:numId="8">
    <w:abstractNumId w:val="23"/>
  </w:num>
  <w:num w:numId="9">
    <w:abstractNumId w:val="10"/>
  </w:num>
  <w:num w:numId="10">
    <w:abstractNumId w:val="15"/>
  </w:num>
  <w:num w:numId="11">
    <w:abstractNumId w:val="16"/>
  </w:num>
  <w:num w:numId="12">
    <w:abstractNumId w:val="2"/>
  </w:num>
  <w:num w:numId="13">
    <w:abstractNumId w:val="6"/>
  </w:num>
  <w:num w:numId="14">
    <w:abstractNumId w:val="5"/>
  </w:num>
  <w:num w:numId="15">
    <w:abstractNumId w:val="21"/>
  </w:num>
  <w:num w:numId="16">
    <w:abstractNumId w:val="11"/>
  </w:num>
  <w:num w:numId="17">
    <w:abstractNumId w:val="13"/>
  </w:num>
  <w:num w:numId="18">
    <w:abstractNumId w:val="17"/>
  </w:num>
  <w:num w:numId="19">
    <w:abstractNumId w:val="19"/>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9"/>
  </w:num>
  <w:num w:numId="2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246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ECET SECTOR SUMMARY"/>
    <w:docVar w:name="ShortReportTitle" w:val="REPORT ON GOVERNMENT SERVICES 2014"/>
    <w:docVar w:name="SideNote" w:val="1"/>
    <w:docVar w:name="UseShortChapter" w:val="0"/>
    <w:docVar w:name="UseShortReport" w:val="0"/>
  </w:docVars>
  <w:rsids>
    <w:rsidRoot w:val="00193FB7"/>
    <w:rsid w:val="00000B4B"/>
    <w:rsid w:val="00000F7B"/>
    <w:rsid w:val="0000225C"/>
    <w:rsid w:val="000026EF"/>
    <w:rsid w:val="00002716"/>
    <w:rsid w:val="000028BC"/>
    <w:rsid w:val="000028F8"/>
    <w:rsid w:val="00002E45"/>
    <w:rsid w:val="00002EE5"/>
    <w:rsid w:val="00002F98"/>
    <w:rsid w:val="0000357F"/>
    <w:rsid w:val="000035B8"/>
    <w:rsid w:val="00004206"/>
    <w:rsid w:val="000043BD"/>
    <w:rsid w:val="000048AF"/>
    <w:rsid w:val="00004B04"/>
    <w:rsid w:val="00004EDD"/>
    <w:rsid w:val="000054FF"/>
    <w:rsid w:val="000057A1"/>
    <w:rsid w:val="00005A0A"/>
    <w:rsid w:val="00005DC2"/>
    <w:rsid w:val="00006544"/>
    <w:rsid w:val="0000665C"/>
    <w:rsid w:val="0000686F"/>
    <w:rsid w:val="00006D38"/>
    <w:rsid w:val="00006D4C"/>
    <w:rsid w:val="00006F55"/>
    <w:rsid w:val="0000731E"/>
    <w:rsid w:val="000076A1"/>
    <w:rsid w:val="00007AB6"/>
    <w:rsid w:val="00010284"/>
    <w:rsid w:val="000103EB"/>
    <w:rsid w:val="0001078E"/>
    <w:rsid w:val="000108B7"/>
    <w:rsid w:val="00010D3C"/>
    <w:rsid w:val="00011377"/>
    <w:rsid w:val="000117A0"/>
    <w:rsid w:val="00012D1B"/>
    <w:rsid w:val="00012F52"/>
    <w:rsid w:val="00012FC0"/>
    <w:rsid w:val="000138EF"/>
    <w:rsid w:val="00013A86"/>
    <w:rsid w:val="00013E92"/>
    <w:rsid w:val="000145AD"/>
    <w:rsid w:val="00015082"/>
    <w:rsid w:val="000158D4"/>
    <w:rsid w:val="00015CB2"/>
    <w:rsid w:val="000162C5"/>
    <w:rsid w:val="000164C7"/>
    <w:rsid w:val="000165C0"/>
    <w:rsid w:val="00016AF8"/>
    <w:rsid w:val="00016DE9"/>
    <w:rsid w:val="00016EAA"/>
    <w:rsid w:val="00017381"/>
    <w:rsid w:val="0001749F"/>
    <w:rsid w:val="0002037B"/>
    <w:rsid w:val="0002095F"/>
    <w:rsid w:val="00020AAB"/>
    <w:rsid w:val="000214D6"/>
    <w:rsid w:val="000217CD"/>
    <w:rsid w:val="000218B9"/>
    <w:rsid w:val="00021BC1"/>
    <w:rsid w:val="00021EDF"/>
    <w:rsid w:val="000221F0"/>
    <w:rsid w:val="0002373F"/>
    <w:rsid w:val="00023F4E"/>
    <w:rsid w:val="0002432F"/>
    <w:rsid w:val="000243A9"/>
    <w:rsid w:val="000253DB"/>
    <w:rsid w:val="00025649"/>
    <w:rsid w:val="00025E80"/>
    <w:rsid w:val="000264E9"/>
    <w:rsid w:val="00026547"/>
    <w:rsid w:val="00026C58"/>
    <w:rsid w:val="00026EC3"/>
    <w:rsid w:val="000272A3"/>
    <w:rsid w:val="00030228"/>
    <w:rsid w:val="00031287"/>
    <w:rsid w:val="000314D3"/>
    <w:rsid w:val="000324BD"/>
    <w:rsid w:val="0003267A"/>
    <w:rsid w:val="00032B0F"/>
    <w:rsid w:val="00032BEA"/>
    <w:rsid w:val="00032D11"/>
    <w:rsid w:val="00032E89"/>
    <w:rsid w:val="00033048"/>
    <w:rsid w:val="000337DB"/>
    <w:rsid w:val="000339BF"/>
    <w:rsid w:val="00034878"/>
    <w:rsid w:val="00034C41"/>
    <w:rsid w:val="00034E7F"/>
    <w:rsid w:val="00035A88"/>
    <w:rsid w:val="0003610F"/>
    <w:rsid w:val="00036450"/>
    <w:rsid w:val="00036BE1"/>
    <w:rsid w:val="00036E39"/>
    <w:rsid w:val="000371E4"/>
    <w:rsid w:val="000402A1"/>
    <w:rsid w:val="000406B7"/>
    <w:rsid w:val="00040FFC"/>
    <w:rsid w:val="00041A9A"/>
    <w:rsid w:val="0004274D"/>
    <w:rsid w:val="00042A80"/>
    <w:rsid w:val="00042FE2"/>
    <w:rsid w:val="000434B0"/>
    <w:rsid w:val="000437D9"/>
    <w:rsid w:val="00043DE7"/>
    <w:rsid w:val="00043FF3"/>
    <w:rsid w:val="00044505"/>
    <w:rsid w:val="0004577C"/>
    <w:rsid w:val="000460BC"/>
    <w:rsid w:val="000460FE"/>
    <w:rsid w:val="000464AC"/>
    <w:rsid w:val="000465E6"/>
    <w:rsid w:val="00046A9D"/>
    <w:rsid w:val="00046E3F"/>
    <w:rsid w:val="000475E2"/>
    <w:rsid w:val="0004770D"/>
    <w:rsid w:val="00047944"/>
    <w:rsid w:val="0004797A"/>
    <w:rsid w:val="00047A8B"/>
    <w:rsid w:val="00047BF0"/>
    <w:rsid w:val="000530E2"/>
    <w:rsid w:val="00053157"/>
    <w:rsid w:val="0005320F"/>
    <w:rsid w:val="00053CAE"/>
    <w:rsid w:val="00053EFA"/>
    <w:rsid w:val="00053F2B"/>
    <w:rsid w:val="0005489F"/>
    <w:rsid w:val="00054B2A"/>
    <w:rsid w:val="00054DC3"/>
    <w:rsid w:val="00054EA2"/>
    <w:rsid w:val="00054F00"/>
    <w:rsid w:val="00055193"/>
    <w:rsid w:val="00055319"/>
    <w:rsid w:val="00055B74"/>
    <w:rsid w:val="00055D19"/>
    <w:rsid w:val="0005642F"/>
    <w:rsid w:val="0005665A"/>
    <w:rsid w:val="00056B8C"/>
    <w:rsid w:val="00056D6B"/>
    <w:rsid w:val="00057018"/>
    <w:rsid w:val="000573EB"/>
    <w:rsid w:val="00057607"/>
    <w:rsid w:val="0005779E"/>
    <w:rsid w:val="00057CAA"/>
    <w:rsid w:val="00061124"/>
    <w:rsid w:val="00061391"/>
    <w:rsid w:val="00061554"/>
    <w:rsid w:val="00061BEC"/>
    <w:rsid w:val="00061BFB"/>
    <w:rsid w:val="00061ECD"/>
    <w:rsid w:val="0006275C"/>
    <w:rsid w:val="000634FC"/>
    <w:rsid w:val="00063587"/>
    <w:rsid w:val="0006381F"/>
    <w:rsid w:val="00063DF0"/>
    <w:rsid w:val="000648D0"/>
    <w:rsid w:val="0006503F"/>
    <w:rsid w:val="00065A55"/>
    <w:rsid w:val="00065A95"/>
    <w:rsid w:val="00065D8C"/>
    <w:rsid w:val="00066835"/>
    <w:rsid w:val="000669EE"/>
    <w:rsid w:val="00066ED7"/>
    <w:rsid w:val="000677E0"/>
    <w:rsid w:val="00067B4B"/>
    <w:rsid w:val="00067C42"/>
    <w:rsid w:val="000700CF"/>
    <w:rsid w:val="000700D5"/>
    <w:rsid w:val="00070727"/>
    <w:rsid w:val="00070A9D"/>
    <w:rsid w:val="00071358"/>
    <w:rsid w:val="000719E2"/>
    <w:rsid w:val="00072352"/>
    <w:rsid w:val="0007254D"/>
    <w:rsid w:val="00072A62"/>
    <w:rsid w:val="00072E87"/>
    <w:rsid w:val="00073451"/>
    <w:rsid w:val="00073E38"/>
    <w:rsid w:val="00074300"/>
    <w:rsid w:val="0007485F"/>
    <w:rsid w:val="00074B4E"/>
    <w:rsid w:val="00075141"/>
    <w:rsid w:val="00075299"/>
    <w:rsid w:val="000756FE"/>
    <w:rsid w:val="0007591F"/>
    <w:rsid w:val="0007595B"/>
    <w:rsid w:val="00075A4E"/>
    <w:rsid w:val="000760EC"/>
    <w:rsid w:val="000761BC"/>
    <w:rsid w:val="000761D2"/>
    <w:rsid w:val="0007669C"/>
    <w:rsid w:val="00076FA0"/>
    <w:rsid w:val="00077174"/>
    <w:rsid w:val="0007720D"/>
    <w:rsid w:val="00077346"/>
    <w:rsid w:val="0008005A"/>
    <w:rsid w:val="00080710"/>
    <w:rsid w:val="00080AA9"/>
    <w:rsid w:val="00080B11"/>
    <w:rsid w:val="00080DF0"/>
    <w:rsid w:val="000811F6"/>
    <w:rsid w:val="00081244"/>
    <w:rsid w:val="0008191B"/>
    <w:rsid w:val="00082006"/>
    <w:rsid w:val="000823DA"/>
    <w:rsid w:val="000825E9"/>
    <w:rsid w:val="00082FDE"/>
    <w:rsid w:val="0008306B"/>
    <w:rsid w:val="00083A05"/>
    <w:rsid w:val="00083ED9"/>
    <w:rsid w:val="00083F64"/>
    <w:rsid w:val="000845A8"/>
    <w:rsid w:val="000847DE"/>
    <w:rsid w:val="000848B0"/>
    <w:rsid w:val="0008567C"/>
    <w:rsid w:val="00085912"/>
    <w:rsid w:val="00085F97"/>
    <w:rsid w:val="00086036"/>
    <w:rsid w:val="00086064"/>
    <w:rsid w:val="00086380"/>
    <w:rsid w:val="000866DE"/>
    <w:rsid w:val="00087175"/>
    <w:rsid w:val="000871D0"/>
    <w:rsid w:val="00087577"/>
    <w:rsid w:val="000877C4"/>
    <w:rsid w:val="00087F44"/>
    <w:rsid w:val="00090009"/>
    <w:rsid w:val="0009006F"/>
    <w:rsid w:val="000907E5"/>
    <w:rsid w:val="00091B08"/>
    <w:rsid w:val="00091C52"/>
    <w:rsid w:val="00091F37"/>
    <w:rsid w:val="000921A1"/>
    <w:rsid w:val="00092B91"/>
    <w:rsid w:val="00092E74"/>
    <w:rsid w:val="00093E01"/>
    <w:rsid w:val="0009450C"/>
    <w:rsid w:val="0009450E"/>
    <w:rsid w:val="0009490F"/>
    <w:rsid w:val="00094973"/>
    <w:rsid w:val="0009512C"/>
    <w:rsid w:val="000954F8"/>
    <w:rsid w:val="000959B3"/>
    <w:rsid w:val="00095F44"/>
    <w:rsid w:val="0009649C"/>
    <w:rsid w:val="000969D6"/>
    <w:rsid w:val="00096CC1"/>
    <w:rsid w:val="00096D15"/>
    <w:rsid w:val="00097182"/>
    <w:rsid w:val="00097712"/>
    <w:rsid w:val="000978CF"/>
    <w:rsid w:val="00097B1B"/>
    <w:rsid w:val="00097D9C"/>
    <w:rsid w:val="000A09A5"/>
    <w:rsid w:val="000A0AC1"/>
    <w:rsid w:val="000A1592"/>
    <w:rsid w:val="000A15BA"/>
    <w:rsid w:val="000A1F1C"/>
    <w:rsid w:val="000A27DD"/>
    <w:rsid w:val="000A2D14"/>
    <w:rsid w:val="000A2EE9"/>
    <w:rsid w:val="000A314F"/>
    <w:rsid w:val="000A3379"/>
    <w:rsid w:val="000A358B"/>
    <w:rsid w:val="000A3B1D"/>
    <w:rsid w:val="000A3C6C"/>
    <w:rsid w:val="000A4092"/>
    <w:rsid w:val="000A420E"/>
    <w:rsid w:val="000A4AAC"/>
    <w:rsid w:val="000A5275"/>
    <w:rsid w:val="000A58AB"/>
    <w:rsid w:val="000A58BE"/>
    <w:rsid w:val="000A593E"/>
    <w:rsid w:val="000A6F01"/>
    <w:rsid w:val="000A6F48"/>
    <w:rsid w:val="000A6FF4"/>
    <w:rsid w:val="000A7065"/>
    <w:rsid w:val="000A7208"/>
    <w:rsid w:val="000A764B"/>
    <w:rsid w:val="000A784F"/>
    <w:rsid w:val="000A7A88"/>
    <w:rsid w:val="000A7F32"/>
    <w:rsid w:val="000B043E"/>
    <w:rsid w:val="000B04C8"/>
    <w:rsid w:val="000B0786"/>
    <w:rsid w:val="000B0B7D"/>
    <w:rsid w:val="000B0CC9"/>
    <w:rsid w:val="000B1460"/>
    <w:rsid w:val="000B1BF6"/>
    <w:rsid w:val="000B1D08"/>
    <w:rsid w:val="000B213B"/>
    <w:rsid w:val="000B22D4"/>
    <w:rsid w:val="000B23CF"/>
    <w:rsid w:val="000B24FD"/>
    <w:rsid w:val="000B2D03"/>
    <w:rsid w:val="000B2D0D"/>
    <w:rsid w:val="000B2F91"/>
    <w:rsid w:val="000B2FE8"/>
    <w:rsid w:val="000B3300"/>
    <w:rsid w:val="000B33D2"/>
    <w:rsid w:val="000B3C20"/>
    <w:rsid w:val="000B45C2"/>
    <w:rsid w:val="000B4C34"/>
    <w:rsid w:val="000B52B9"/>
    <w:rsid w:val="000B5395"/>
    <w:rsid w:val="000B5D0A"/>
    <w:rsid w:val="000B6051"/>
    <w:rsid w:val="000B62E4"/>
    <w:rsid w:val="000B63D7"/>
    <w:rsid w:val="000B6E18"/>
    <w:rsid w:val="000B6FB6"/>
    <w:rsid w:val="000B7975"/>
    <w:rsid w:val="000B7E6E"/>
    <w:rsid w:val="000C000B"/>
    <w:rsid w:val="000C050A"/>
    <w:rsid w:val="000C053D"/>
    <w:rsid w:val="000C05AB"/>
    <w:rsid w:val="000C05EA"/>
    <w:rsid w:val="000C11EA"/>
    <w:rsid w:val="000C1858"/>
    <w:rsid w:val="000C1A27"/>
    <w:rsid w:val="000C232E"/>
    <w:rsid w:val="000C300D"/>
    <w:rsid w:val="000C34E8"/>
    <w:rsid w:val="000C350F"/>
    <w:rsid w:val="000C3759"/>
    <w:rsid w:val="000C3A04"/>
    <w:rsid w:val="000C3A95"/>
    <w:rsid w:val="000C3EC5"/>
    <w:rsid w:val="000C401E"/>
    <w:rsid w:val="000C4390"/>
    <w:rsid w:val="000C4463"/>
    <w:rsid w:val="000C4DB1"/>
    <w:rsid w:val="000C56F6"/>
    <w:rsid w:val="000C5EB7"/>
    <w:rsid w:val="000C5EEE"/>
    <w:rsid w:val="000C64ED"/>
    <w:rsid w:val="000C651E"/>
    <w:rsid w:val="000C6757"/>
    <w:rsid w:val="000C6949"/>
    <w:rsid w:val="000C6CF7"/>
    <w:rsid w:val="000C6DCB"/>
    <w:rsid w:val="000C6E0B"/>
    <w:rsid w:val="000C6EB6"/>
    <w:rsid w:val="000C7A3D"/>
    <w:rsid w:val="000C7BFC"/>
    <w:rsid w:val="000C7F89"/>
    <w:rsid w:val="000C7FE9"/>
    <w:rsid w:val="000D04A9"/>
    <w:rsid w:val="000D0A28"/>
    <w:rsid w:val="000D1D10"/>
    <w:rsid w:val="000D213C"/>
    <w:rsid w:val="000D2326"/>
    <w:rsid w:val="000D2B0C"/>
    <w:rsid w:val="000D2B66"/>
    <w:rsid w:val="000D2B91"/>
    <w:rsid w:val="000D2C2F"/>
    <w:rsid w:val="000D3385"/>
    <w:rsid w:val="000D36BA"/>
    <w:rsid w:val="000D3D20"/>
    <w:rsid w:val="000D47E3"/>
    <w:rsid w:val="000D4BD5"/>
    <w:rsid w:val="000D4BFA"/>
    <w:rsid w:val="000D5208"/>
    <w:rsid w:val="000D5304"/>
    <w:rsid w:val="000D5D55"/>
    <w:rsid w:val="000D5DDF"/>
    <w:rsid w:val="000D6F2E"/>
    <w:rsid w:val="000D7555"/>
    <w:rsid w:val="000D759B"/>
    <w:rsid w:val="000D7E71"/>
    <w:rsid w:val="000D7FCC"/>
    <w:rsid w:val="000E0757"/>
    <w:rsid w:val="000E0C6A"/>
    <w:rsid w:val="000E1BAD"/>
    <w:rsid w:val="000E20A9"/>
    <w:rsid w:val="000E20FF"/>
    <w:rsid w:val="000E2520"/>
    <w:rsid w:val="000E2A69"/>
    <w:rsid w:val="000E2B0E"/>
    <w:rsid w:val="000E2BDD"/>
    <w:rsid w:val="000E318D"/>
    <w:rsid w:val="000E3539"/>
    <w:rsid w:val="000E3728"/>
    <w:rsid w:val="000E3A48"/>
    <w:rsid w:val="000E494A"/>
    <w:rsid w:val="000E5000"/>
    <w:rsid w:val="000E5533"/>
    <w:rsid w:val="000E5CBC"/>
    <w:rsid w:val="000E5F6D"/>
    <w:rsid w:val="000E6306"/>
    <w:rsid w:val="000E6D56"/>
    <w:rsid w:val="000E73C8"/>
    <w:rsid w:val="000F1E41"/>
    <w:rsid w:val="000F1FD9"/>
    <w:rsid w:val="000F2227"/>
    <w:rsid w:val="000F23DB"/>
    <w:rsid w:val="000F3145"/>
    <w:rsid w:val="000F4A5B"/>
    <w:rsid w:val="000F4D0F"/>
    <w:rsid w:val="000F53C5"/>
    <w:rsid w:val="000F5A26"/>
    <w:rsid w:val="000F5A5E"/>
    <w:rsid w:val="000F5AB5"/>
    <w:rsid w:val="000F668B"/>
    <w:rsid w:val="000F6D0C"/>
    <w:rsid w:val="000F7334"/>
    <w:rsid w:val="000F7D43"/>
    <w:rsid w:val="000F7E22"/>
    <w:rsid w:val="00100522"/>
    <w:rsid w:val="00100BA4"/>
    <w:rsid w:val="00100C65"/>
    <w:rsid w:val="00100CDF"/>
    <w:rsid w:val="0010135E"/>
    <w:rsid w:val="00101E3D"/>
    <w:rsid w:val="00101F23"/>
    <w:rsid w:val="00102031"/>
    <w:rsid w:val="00102B35"/>
    <w:rsid w:val="00102C30"/>
    <w:rsid w:val="00102E93"/>
    <w:rsid w:val="0010307E"/>
    <w:rsid w:val="00103233"/>
    <w:rsid w:val="00103290"/>
    <w:rsid w:val="0010383A"/>
    <w:rsid w:val="00103989"/>
    <w:rsid w:val="00103E0A"/>
    <w:rsid w:val="00104044"/>
    <w:rsid w:val="0010493F"/>
    <w:rsid w:val="00105924"/>
    <w:rsid w:val="00105BF2"/>
    <w:rsid w:val="00105D32"/>
    <w:rsid w:val="00106327"/>
    <w:rsid w:val="001064CD"/>
    <w:rsid w:val="001064E2"/>
    <w:rsid w:val="00106650"/>
    <w:rsid w:val="00106780"/>
    <w:rsid w:val="001069B8"/>
    <w:rsid w:val="001069DE"/>
    <w:rsid w:val="00106C04"/>
    <w:rsid w:val="00106DC5"/>
    <w:rsid w:val="00107670"/>
    <w:rsid w:val="00107AC8"/>
    <w:rsid w:val="00107D4F"/>
    <w:rsid w:val="00110327"/>
    <w:rsid w:val="0011040D"/>
    <w:rsid w:val="001107EE"/>
    <w:rsid w:val="00111261"/>
    <w:rsid w:val="0011144A"/>
    <w:rsid w:val="00111558"/>
    <w:rsid w:val="001117D4"/>
    <w:rsid w:val="00111E40"/>
    <w:rsid w:val="00111FB1"/>
    <w:rsid w:val="00112217"/>
    <w:rsid w:val="001129C9"/>
    <w:rsid w:val="00112D9E"/>
    <w:rsid w:val="00112EDC"/>
    <w:rsid w:val="00112F76"/>
    <w:rsid w:val="00113078"/>
    <w:rsid w:val="001130FF"/>
    <w:rsid w:val="00113AB2"/>
    <w:rsid w:val="00114052"/>
    <w:rsid w:val="00114337"/>
    <w:rsid w:val="0011449E"/>
    <w:rsid w:val="00114836"/>
    <w:rsid w:val="00114E9F"/>
    <w:rsid w:val="001156EA"/>
    <w:rsid w:val="00115AD5"/>
    <w:rsid w:val="00115AE8"/>
    <w:rsid w:val="00115C74"/>
    <w:rsid w:val="00115F17"/>
    <w:rsid w:val="001168BE"/>
    <w:rsid w:val="00116996"/>
    <w:rsid w:val="00116A7F"/>
    <w:rsid w:val="00116D2D"/>
    <w:rsid w:val="0011752E"/>
    <w:rsid w:val="0011762B"/>
    <w:rsid w:val="00117773"/>
    <w:rsid w:val="001205F1"/>
    <w:rsid w:val="00120F49"/>
    <w:rsid w:val="00121181"/>
    <w:rsid w:val="00121D0C"/>
    <w:rsid w:val="0012214C"/>
    <w:rsid w:val="00122238"/>
    <w:rsid w:val="00122450"/>
    <w:rsid w:val="00122D26"/>
    <w:rsid w:val="00122D6F"/>
    <w:rsid w:val="001237E5"/>
    <w:rsid w:val="001238A3"/>
    <w:rsid w:val="00123B2E"/>
    <w:rsid w:val="00123D6B"/>
    <w:rsid w:val="00123E05"/>
    <w:rsid w:val="00123E6E"/>
    <w:rsid w:val="00124178"/>
    <w:rsid w:val="00124898"/>
    <w:rsid w:val="00124FC0"/>
    <w:rsid w:val="001254E4"/>
    <w:rsid w:val="0012599D"/>
    <w:rsid w:val="00125CE0"/>
    <w:rsid w:val="00125CEA"/>
    <w:rsid w:val="00125ECB"/>
    <w:rsid w:val="00126089"/>
    <w:rsid w:val="001263C5"/>
    <w:rsid w:val="00126FF4"/>
    <w:rsid w:val="001271C5"/>
    <w:rsid w:val="001273D6"/>
    <w:rsid w:val="0012765F"/>
    <w:rsid w:val="00127923"/>
    <w:rsid w:val="0012794F"/>
    <w:rsid w:val="001279A1"/>
    <w:rsid w:val="00127D62"/>
    <w:rsid w:val="00130113"/>
    <w:rsid w:val="001303E7"/>
    <w:rsid w:val="00130761"/>
    <w:rsid w:val="001308A6"/>
    <w:rsid w:val="001308E5"/>
    <w:rsid w:val="00131073"/>
    <w:rsid w:val="00131CB1"/>
    <w:rsid w:val="001323EC"/>
    <w:rsid w:val="001324A5"/>
    <w:rsid w:val="00132CF8"/>
    <w:rsid w:val="00132E9F"/>
    <w:rsid w:val="001332B0"/>
    <w:rsid w:val="00133751"/>
    <w:rsid w:val="00133B0A"/>
    <w:rsid w:val="00133DE3"/>
    <w:rsid w:val="00134A2B"/>
    <w:rsid w:val="00134BBE"/>
    <w:rsid w:val="00134BFA"/>
    <w:rsid w:val="001354A4"/>
    <w:rsid w:val="00135A8D"/>
    <w:rsid w:val="00136042"/>
    <w:rsid w:val="00136346"/>
    <w:rsid w:val="001365A1"/>
    <w:rsid w:val="001367E4"/>
    <w:rsid w:val="00136ECB"/>
    <w:rsid w:val="00137171"/>
    <w:rsid w:val="0013718B"/>
    <w:rsid w:val="0013743C"/>
    <w:rsid w:val="001400C4"/>
    <w:rsid w:val="00140883"/>
    <w:rsid w:val="00141509"/>
    <w:rsid w:val="00141C3F"/>
    <w:rsid w:val="00141EEC"/>
    <w:rsid w:val="001428EC"/>
    <w:rsid w:val="00142947"/>
    <w:rsid w:val="00142AFA"/>
    <w:rsid w:val="00142C83"/>
    <w:rsid w:val="001430B0"/>
    <w:rsid w:val="00143255"/>
    <w:rsid w:val="0014350B"/>
    <w:rsid w:val="0014392C"/>
    <w:rsid w:val="001439BF"/>
    <w:rsid w:val="001439E0"/>
    <w:rsid w:val="00143D8C"/>
    <w:rsid w:val="00143F3D"/>
    <w:rsid w:val="00143FB7"/>
    <w:rsid w:val="00144065"/>
    <w:rsid w:val="001442EA"/>
    <w:rsid w:val="001446B5"/>
    <w:rsid w:val="00144866"/>
    <w:rsid w:val="00144A3E"/>
    <w:rsid w:val="00144C7E"/>
    <w:rsid w:val="001453BC"/>
    <w:rsid w:val="00146323"/>
    <w:rsid w:val="00146551"/>
    <w:rsid w:val="0014691B"/>
    <w:rsid w:val="00146BD2"/>
    <w:rsid w:val="0014731E"/>
    <w:rsid w:val="00147D18"/>
    <w:rsid w:val="00150FEA"/>
    <w:rsid w:val="001513F5"/>
    <w:rsid w:val="0015151B"/>
    <w:rsid w:val="00151628"/>
    <w:rsid w:val="00151789"/>
    <w:rsid w:val="00151A61"/>
    <w:rsid w:val="00152081"/>
    <w:rsid w:val="00152788"/>
    <w:rsid w:val="00152B82"/>
    <w:rsid w:val="0015319B"/>
    <w:rsid w:val="001532AE"/>
    <w:rsid w:val="0015344E"/>
    <w:rsid w:val="00153558"/>
    <w:rsid w:val="001538B4"/>
    <w:rsid w:val="001538C9"/>
    <w:rsid w:val="001539B7"/>
    <w:rsid w:val="00153ABE"/>
    <w:rsid w:val="00153C46"/>
    <w:rsid w:val="0015496E"/>
    <w:rsid w:val="00154F26"/>
    <w:rsid w:val="001556DB"/>
    <w:rsid w:val="00155742"/>
    <w:rsid w:val="00155BB3"/>
    <w:rsid w:val="00155D09"/>
    <w:rsid w:val="00156121"/>
    <w:rsid w:val="00156222"/>
    <w:rsid w:val="00156503"/>
    <w:rsid w:val="00156D01"/>
    <w:rsid w:val="00156D63"/>
    <w:rsid w:val="001607DB"/>
    <w:rsid w:val="00160B02"/>
    <w:rsid w:val="00161104"/>
    <w:rsid w:val="00161368"/>
    <w:rsid w:val="001615D1"/>
    <w:rsid w:val="0016191F"/>
    <w:rsid w:val="00161A92"/>
    <w:rsid w:val="001622A5"/>
    <w:rsid w:val="001622B6"/>
    <w:rsid w:val="00162986"/>
    <w:rsid w:val="001631EC"/>
    <w:rsid w:val="0016400A"/>
    <w:rsid w:val="001640A3"/>
    <w:rsid w:val="001640FB"/>
    <w:rsid w:val="001645DA"/>
    <w:rsid w:val="00164831"/>
    <w:rsid w:val="00164DC5"/>
    <w:rsid w:val="0016539C"/>
    <w:rsid w:val="001658B4"/>
    <w:rsid w:val="00165FFC"/>
    <w:rsid w:val="001666EA"/>
    <w:rsid w:val="001668A6"/>
    <w:rsid w:val="00167314"/>
    <w:rsid w:val="001702AC"/>
    <w:rsid w:val="00170458"/>
    <w:rsid w:val="001707DD"/>
    <w:rsid w:val="001708F0"/>
    <w:rsid w:val="001714D5"/>
    <w:rsid w:val="001715B5"/>
    <w:rsid w:val="00171A36"/>
    <w:rsid w:val="00171E4C"/>
    <w:rsid w:val="0017206F"/>
    <w:rsid w:val="00172B32"/>
    <w:rsid w:val="00173B6F"/>
    <w:rsid w:val="001740A0"/>
    <w:rsid w:val="0017498B"/>
    <w:rsid w:val="00175D20"/>
    <w:rsid w:val="001764C7"/>
    <w:rsid w:val="001766D1"/>
    <w:rsid w:val="0017682E"/>
    <w:rsid w:val="00176902"/>
    <w:rsid w:val="001771BD"/>
    <w:rsid w:val="00177239"/>
    <w:rsid w:val="0017729C"/>
    <w:rsid w:val="00177D00"/>
    <w:rsid w:val="001802C6"/>
    <w:rsid w:val="00180CF4"/>
    <w:rsid w:val="00180CFD"/>
    <w:rsid w:val="00180EFF"/>
    <w:rsid w:val="001811CA"/>
    <w:rsid w:val="0018146A"/>
    <w:rsid w:val="0018189A"/>
    <w:rsid w:val="00181B2A"/>
    <w:rsid w:val="00181B8E"/>
    <w:rsid w:val="0018259F"/>
    <w:rsid w:val="00182938"/>
    <w:rsid w:val="00182B04"/>
    <w:rsid w:val="00182B4C"/>
    <w:rsid w:val="00182BF5"/>
    <w:rsid w:val="00182E38"/>
    <w:rsid w:val="001833EF"/>
    <w:rsid w:val="001838A5"/>
    <w:rsid w:val="001842A6"/>
    <w:rsid w:val="00184300"/>
    <w:rsid w:val="00184346"/>
    <w:rsid w:val="0018438A"/>
    <w:rsid w:val="001847DB"/>
    <w:rsid w:val="00185038"/>
    <w:rsid w:val="001853B0"/>
    <w:rsid w:val="00185AB2"/>
    <w:rsid w:val="00185D84"/>
    <w:rsid w:val="0018639B"/>
    <w:rsid w:val="001863AF"/>
    <w:rsid w:val="00186BE8"/>
    <w:rsid w:val="00186CD8"/>
    <w:rsid w:val="0018716F"/>
    <w:rsid w:val="0018768F"/>
    <w:rsid w:val="00187ACC"/>
    <w:rsid w:val="00187EE9"/>
    <w:rsid w:val="0019005D"/>
    <w:rsid w:val="00190382"/>
    <w:rsid w:val="00190B58"/>
    <w:rsid w:val="00190D60"/>
    <w:rsid w:val="00190E80"/>
    <w:rsid w:val="0019115E"/>
    <w:rsid w:val="00192163"/>
    <w:rsid w:val="001927A4"/>
    <w:rsid w:val="00192EED"/>
    <w:rsid w:val="00193392"/>
    <w:rsid w:val="00193669"/>
    <w:rsid w:val="00193870"/>
    <w:rsid w:val="00193CFB"/>
    <w:rsid w:val="00193FB7"/>
    <w:rsid w:val="00194983"/>
    <w:rsid w:val="001949EF"/>
    <w:rsid w:val="00195390"/>
    <w:rsid w:val="00195F94"/>
    <w:rsid w:val="0019632A"/>
    <w:rsid w:val="0019635E"/>
    <w:rsid w:val="001968E8"/>
    <w:rsid w:val="00196BF0"/>
    <w:rsid w:val="001A01CB"/>
    <w:rsid w:val="001A05DE"/>
    <w:rsid w:val="001A0610"/>
    <w:rsid w:val="001A07A9"/>
    <w:rsid w:val="001A0913"/>
    <w:rsid w:val="001A13A1"/>
    <w:rsid w:val="001A19CE"/>
    <w:rsid w:val="001A22F2"/>
    <w:rsid w:val="001A231A"/>
    <w:rsid w:val="001A2622"/>
    <w:rsid w:val="001A263A"/>
    <w:rsid w:val="001A27C6"/>
    <w:rsid w:val="001A28CC"/>
    <w:rsid w:val="001A2A8D"/>
    <w:rsid w:val="001A2FEE"/>
    <w:rsid w:val="001A33A1"/>
    <w:rsid w:val="001A3643"/>
    <w:rsid w:val="001A3A7C"/>
    <w:rsid w:val="001A3C91"/>
    <w:rsid w:val="001A3D9C"/>
    <w:rsid w:val="001A3E61"/>
    <w:rsid w:val="001A3F48"/>
    <w:rsid w:val="001A42F3"/>
    <w:rsid w:val="001A4470"/>
    <w:rsid w:val="001A460E"/>
    <w:rsid w:val="001A5359"/>
    <w:rsid w:val="001A58A8"/>
    <w:rsid w:val="001A5F10"/>
    <w:rsid w:val="001A6051"/>
    <w:rsid w:val="001A6115"/>
    <w:rsid w:val="001A66AD"/>
    <w:rsid w:val="001A6855"/>
    <w:rsid w:val="001A6E62"/>
    <w:rsid w:val="001A7090"/>
    <w:rsid w:val="001A70EE"/>
    <w:rsid w:val="001A7120"/>
    <w:rsid w:val="001A76BE"/>
    <w:rsid w:val="001B0119"/>
    <w:rsid w:val="001B0579"/>
    <w:rsid w:val="001B08BE"/>
    <w:rsid w:val="001B12A1"/>
    <w:rsid w:val="001B12D7"/>
    <w:rsid w:val="001B17A5"/>
    <w:rsid w:val="001B1C54"/>
    <w:rsid w:val="001B1CD7"/>
    <w:rsid w:val="001B1E5D"/>
    <w:rsid w:val="001B29AF"/>
    <w:rsid w:val="001B2B44"/>
    <w:rsid w:val="001B2BAC"/>
    <w:rsid w:val="001B31B2"/>
    <w:rsid w:val="001B3C24"/>
    <w:rsid w:val="001B3D37"/>
    <w:rsid w:val="001B3DAD"/>
    <w:rsid w:val="001B4413"/>
    <w:rsid w:val="001B49A2"/>
    <w:rsid w:val="001B4F5A"/>
    <w:rsid w:val="001B56AD"/>
    <w:rsid w:val="001B5883"/>
    <w:rsid w:val="001B6132"/>
    <w:rsid w:val="001B711C"/>
    <w:rsid w:val="001B7320"/>
    <w:rsid w:val="001B73B7"/>
    <w:rsid w:val="001B7BFD"/>
    <w:rsid w:val="001C00EF"/>
    <w:rsid w:val="001C0475"/>
    <w:rsid w:val="001C04D5"/>
    <w:rsid w:val="001C055E"/>
    <w:rsid w:val="001C0C5A"/>
    <w:rsid w:val="001C0D21"/>
    <w:rsid w:val="001C101D"/>
    <w:rsid w:val="001C1248"/>
    <w:rsid w:val="001C13D8"/>
    <w:rsid w:val="001C14A8"/>
    <w:rsid w:val="001C1549"/>
    <w:rsid w:val="001C1589"/>
    <w:rsid w:val="001C178A"/>
    <w:rsid w:val="001C260D"/>
    <w:rsid w:val="001C2694"/>
    <w:rsid w:val="001C2D54"/>
    <w:rsid w:val="001C2D75"/>
    <w:rsid w:val="001C3176"/>
    <w:rsid w:val="001C37E8"/>
    <w:rsid w:val="001C3A07"/>
    <w:rsid w:val="001C42C3"/>
    <w:rsid w:val="001C45DD"/>
    <w:rsid w:val="001C526C"/>
    <w:rsid w:val="001C539C"/>
    <w:rsid w:val="001C5932"/>
    <w:rsid w:val="001C5B16"/>
    <w:rsid w:val="001C5E6D"/>
    <w:rsid w:val="001C6588"/>
    <w:rsid w:val="001C6900"/>
    <w:rsid w:val="001C7133"/>
    <w:rsid w:val="001C7A40"/>
    <w:rsid w:val="001C7DC6"/>
    <w:rsid w:val="001D01D2"/>
    <w:rsid w:val="001D02C0"/>
    <w:rsid w:val="001D0F2E"/>
    <w:rsid w:val="001D211F"/>
    <w:rsid w:val="001D2486"/>
    <w:rsid w:val="001D2730"/>
    <w:rsid w:val="001D281F"/>
    <w:rsid w:val="001D2BDE"/>
    <w:rsid w:val="001D2ECF"/>
    <w:rsid w:val="001D4399"/>
    <w:rsid w:val="001D4607"/>
    <w:rsid w:val="001D491B"/>
    <w:rsid w:val="001D52DB"/>
    <w:rsid w:val="001D5485"/>
    <w:rsid w:val="001D5A46"/>
    <w:rsid w:val="001D608D"/>
    <w:rsid w:val="001D61EC"/>
    <w:rsid w:val="001D63BE"/>
    <w:rsid w:val="001D68C8"/>
    <w:rsid w:val="001D6B9D"/>
    <w:rsid w:val="001D6C7A"/>
    <w:rsid w:val="001D6C89"/>
    <w:rsid w:val="001D6C96"/>
    <w:rsid w:val="001D6EA8"/>
    <w:rsid w:val="001D7012"/>
    <w:rsid w:val="001D7F24"/>
    <w:rsid w:val="001E0096"/>
    <w:rsid w:val="001E0211"/>
    <w:rsid w:val="001E02DA"/>
    <w:rsid w:val="001E04A8"/>
    <w:rsid w:val="001E04E2"/>
    <w:rsid w:val="001E0A7A"/>
    <w:rsid w:val="001E0AB7"/>
    <w:rsid w:val="001E0FA7"/>
    <w:rsid w:val="001E117A"/>
    <w:rsid w:val="001E123A"/>
    <w:rsid w:val="001E1722"/>
    <w:rsid w:val="001E178C"/>
    <w:rsid w:val="001E19C8"/>
    <w:rsid w:val="001E1C3C"/>
    <w:rsid w:val="001E1DCF"/>
    <w:rsid w:val="001E1F1D"/>
    <w:rsid w:val="001E2152"/>
    <w:rsid w:val="001E2E20"/>
    <w:rsid w:val="001E304E"/>
    <w:rsid w:val="001E35AA"/>
    <w:rsid w:val="001E381D"/>
    <w:rsid w:val="001E3AFA"/>
    <w:rsid w:val="001E3C31"/>
    <w:rsid w:val="001E4473"/>
    <w:rsid w:val="001E49EF"/>
    <w:rsid w:val="001E4FD1"/>
    <w:rsid w:val="001E54DF"/>
    <w:rsid w:val="001E5715"/>
    <w:rsid w:val="001E5768"/>
    <w:rsid w:val="001E6021"/>
    <w:rsid w:val="001E6038"/>
    <w:rsid w:val="001E6375"/>
    <w:rsid w:val="001E64CE"/>
    <w:rsid w:val="001E6920"/>
    <w:rsid w:val="001E6FF7"/>
    <w:rsid w:val="001E728F"/>
    <w:rsid w:val="001E7344"/>
    <w:rsid w:val="001E7356"/>
    <w:rsid w:val="001E74B2"/>
    <w:rsid w:val="001F02B2"/>
    <w:rsid w:val="001F0406"/>
    <w:rsid w:val="001F0484"/>
    <w:rsid w:val="001F04A4"/>
    <w:rsid w:val="001F0910"/>
    <w:rsid w:val="001F1110"/>
    <w:rsid w:val="001F15E8"/>
    <w:rsid w:val="001F1D75"/>
    <w:rsid w:val="001F204D"/>
    <w:rsid w:val="001F2D7B"/>
    <w:rsid w:val="001F2DAE"/>
    <w:rsid w:val="001F36ED"/>
    <w:rsid w:val="001F37D9"/>
    <w:rsid w:val="001F415D"/>
    <w:rsid w:val="001F4CDA"/>
    <w:rsid w:val="001F5419"/>
    <w:rsid w:val="001F5480"/>
    <w:rsid w:val="001F572D"/>
    <w:rsid w:val="001F5C91"/>
    <w:rsid w:val="001F5F06"/>
    <w:rsid w:val="001F60E5"/>
    <w:rsid w:val="001F622E"/>
    <w:rsid w:val="001F6693"/>
    <w:rsid w:val="001F733F"/>
    <w:rsid w:val="001F7E72"/>
    <w:rsid w:val="002001C6"/>
    <w:rsid w:val="00200A18"/>
    <w:rsid w:val="002011A9"/>
    <w:rsid w:val="0020144A"/>
    <w:rsid w:val="00201C93"/>
    <w:rsid w:val="00202092"/>
    <w:rsid w:val="00202687"/>
    <w:rsid w:val="00202C5D"/>
    <w:rsid w:val="00202D41"/>
    <w:rsid w:val="00203087"/>
    <w:rsid w:val="00204881"/>
    <w:rsid w:val="00204DD6"/>
    <w:rsid w:val="0020511C"/>
    <w:rsid w:val="002054C5"/>
    <w:rsid w:val="00205558"/>
    <w:rsid w:val="0020619D"/>
    <w:rsid w:val="00206AA1"/>
    <w:rsid w:val="00207704"/>
    <w:rsid w:val="00207ABE"/>
    <w:rsid w:val="00207EF2"/>
    <w:rsid w:val="00210533"/>
    <w:rsid w:val="00210918"/>
    <w:rsid w:val="00210AAB"/>
    <w:rsid w:val="00210C83"/>
    <w:rsid w:val="002110C2"/>
    <w:rsid w:val="002114B2"/>
    <w:rsid w:val="00211551"/>
    <w:rsid w:val="00211716"/>
    <w:rsid w:val="00211D26"/>
    <w:rsid w:val="002124F7"/>
    <w:rsid w:val="0021374A"/>
    <w:rsid w:val="00213912"/>
    <w:rsid w:val="002142EE"/>
    <w:rsid w:val="00214894"/>
    <w:rsid w:val="0021512F"/>
    <w:rsid w:val="00215A88"/>
    <w:rsid w:val="002164DC"/>
    <w:rsid w:val="002169AE"/>
    <w:rsid w:val="00216F2A"/>
    <w:rsid w:val="00217047"/>
    <w:rsid w:val="00217164"/>
    <w:rsid w:val="002175F6"/>
    <w:rsid w:val="002203A8"/>
    <w:rsid w:val="0022070C"/>
    <w:rsid w:val="00220869"/>
    <w:rsid w:val="00220874"/>
    <w:rsid w:val="00220A4C"/>
    <w:rsid w:val="00220D76"/>
    <w:rsid w:val="002210E2"/>
    <w:rsid w:val="0022130F"/>
    <w:rsid w:val="00221521"/>
    <w:rsid w:val="00221523"/>
    <w:rsid w:val="00221905"/>
    <w:rsid w:val="00221A78"/>
    <w:rsid w:val="00221BA3"/>
    <w:rsid w:val="00221EA0"/>
    <w:rsid w:val="00222B34"/>
    <w:rsid w:val="00222BE9"/>
    <w:rsid w:val="00223019"/>
    <w:rsid w:val="0022343C"/>
    <w:rsid w:val="002235C8"/>
    <w:rsid w:val="00223670"/>
    <w:rsid w:val="002238A1"/>
    <w:rsid w:val="00223B08"/>
    <w:rsid w:val="00223D02"/>
    <w:rsid w:val="00223ED7"/>
    <w:rsid w:val="00224096"/>
    <w:rsid w:val="00224388"/>
    <w:rsid w:val="002245D9"/>
    <w:rsid w:val="002245E2"/>
    <w:rsid w:val="00224B2E"/>
    <w:rsid w:val="00224EAB"/>
    <w:rsid w:val="002250A1"/>
    <w:rsid w:val="00225481"/>
    <w:rsid w:val="00225487"/>
    <w:rsid w:val="002257F4"/>
    <w:rsid w:val="00225A1C"/>
    <w:rsid w:val="00225A2B"/>
    <w:rsid w:val="00225EEE"/>
    <w:rsid w:val="0022613F"/>
    <w:rsid w:val="00226CF7"/>
    <w:rsid w:val="00227074"/>
    <w:rsid w:val="00227880"/>
    <w:rsid w:val="00227E82"/>
    <w:rsid w:val="00227FD4"/>
    <w:rsid w:val="00230158"/>
    <w:rsid w:val="002309B6"/>
    <w:rsid w:val="0023102C"/>
    <w:rsid w:val="00231B1C"/>
    <w:rsid w:val="00232012"/>
    <w:rsid w:val="002325C5"/>
    <w:rsid w:val="002327D6"/>
    <w:rsid w:val="0023286A"/>
    <w:rsid w:val="00232C3F"/>
    <w:rsid w:val="00232CE2"/>
    <w:rsid w:val="00232DE5"/>
    <w:rsid w:val="002333D4"/>
    <w:rsid w:val="0023340C"/>
    <w:rsid w:val="00233780"/>
    <w:rsid w:val="00234225"/>
    <w:rsid w:val="00234556"/>
    <w:rsid w:val="00234893"/>
    <w:rsid w:val="00234E0F"/>
    <w:rsid w:val="00234F85"/>
    <w:rsid w:val="00235116"/>
    <w:rsid w:val="0023581A"/>
    <w:rsid w:val="00235EA0"/>
    <w:rsid w:val="002361E3"/>
    <w:rsid w:val="00236205"/>
    <w:rsid w:val="00236C9F"/>
    <w:rsid w:val="00236D24"/>
    <w:rsid w:val="00236E72"/>
    <w:rsid w:val="0023705A"/>
    <w:rsid w:val="002370D0"/>
    <w:rsid w:val="00237323"/>
    <w:rsid w:val="0023732E"/>
    <w:rsid w:val="002375A1"/>
    <w:rsid w:val="002378BC"/>
    <w:rsid w:val="00237E60"/>
    <w:rsid w:val="00237F2E"/>
    <w:rsid w:val="00237FDC"/>
    <w:rsid w:val="002400D0"/>
    <w:rsid w:val="0024064C"/>
    <w:rsid w:val="00240873"/>
    <w:rsid w:val="00240C35"/>
    <w:rsid w:val="00240FF6"/>
    <w:rsid w:val="00241111"/>
    <w:rsid w:val="00241205"/>
    <w:rsid w:val="0024268B"/>
    <w:rsid w:val="00243C6D"/>
    <w:rsid w:val="002440C5"/>
    <w:rsid w:val="00244238"/>
    <w:rsid w:val="0024437B"/>
    <w:rsid w:val="0024525B"/>
    <w:rsid w:val="00245906"/>
    <w:rsid w:val="002459A4"/>
    <w:rsid w:val="00245A09"/>
    <w:rsid w:val="00245A69"/>
    <w:rsid w:val="0024618C"/>
    <w:rsid w:val="00246F8C"/>
    <w:rsid w:val="0024712E"/>
    <w:rsid w:val="0024721F"/>
    <w:rsid w:val="002473E7"/>
    <w:rsid w:val="002474B4"/>
    <w:rsid w:val="00247757"/>
    <w:rsid w:val="00247E3B"/>
    <w:rsid w:val="0025022E"/>
    <w:rsid w:val="0025030D"/>
    <w:rsid w:val="00250452"/>
    <w:rsid w:val="00251343"/>
    <w:rsid w:val="002516C1"/>
    <w:rsid w:val="002516E8"/>
    <w:rsid w:val="00251A87"/>
    <w:rsid w:val="00251E8A"/>
    <w:rsid w:val="002520C0"/>
    <w:rsid w:val="002520F4"/>
    <w:rsid w:val="00252F93"/>
    <w:rsid w:val="002533BD"/>
    <w:rsid w:val="0025342B"/>
    <w:rsid w:val="0025369F"/>
    <w:rsid w:val="00253A47"/>
    <w:rsid w:val="00253AB9"/>
    <w:rsid w:val="00253B66"/>
    <w:rsid w:val="00253DEB"/>
    <w:rsid w:val="00253FF1"/>
    <w:rsid w:val="002549BE"/>
    <w:rsid w:val="0025516F"/>
    <w:rsid w:val="002553B1"/>
    <w:rsid w:val="002553CC"/>
    <w:rsid w:val="00255C07"/>
    <w:rsid w:val="00255F3E"/>
    <w:rsid w:val="002560BF"/>
    <w:rsid w:val="00256365"/>
    <w:rsid w:val="0025676B"/>
    <w:rsid w:val="00256A8A"/>
    <w:rsid w:val="00256EBE"/>
    <w:rsid w:val="00256F2C"/>
    <w:rsid w:val="002572A5"/>
    <w:rsid w:val="002577CA"/>
    <w:rsid w:val="00257825"/>
    <w:rsid w:val="0026004E"/>
    <w:rsid w:val="00260A82"/>
    <w:rsid w:val="00260A9A"/>
    <w:rsid w:val="00260B4F"/>
    <w:rsid w:val="002612A6"/>
    <w:rsid w:val="00261A18"/>
    <w:rsid w:val="00261C3D"/>
    <w:rsid w:val="00261D0B"/>
    <w:rsid w:val="00262223"/>
    <w:rsid w:val="00262508"/>
    <w:rsid w:val="002625E0"/>
    <w:rsid w:val="00262887"/>
    <w:rsid w:val="002629AC"/>
    <w:rsid w:val="00262D1C"/>
    <w:rsid w:val="002631D1"/>
    <w:rsid w:val="00263403"/>
    <w:rsid w:val="002634FA"/>
    <w:rsid w:val="0026365C"/>
    <w:rsid w:val="002637A6"/>
    <w:rsid w:val="00263ED4"/>
    <w:rsid w:val="0026426B"/>
    <w:rsid w:val="0026475C"/>
    <w:rsid w:val="00264E04"/>
    <w:rsid w:val="00265327"/>
    <w:rsid w:val="002655AA"/>
    <w:rsid w:val="002657CC"/>
    <w:rsid w:val="00265BB2"/>
    <w:rsid w:val="00265F84"/>
    <w:rsid w:val="002662AC"/>
    <w:rsid w:val="002663F7"/>
    <w:rsid w:val="00266966"/>
    <w:rsid w:val="00266DF6"/>
    <w:rsid w:val="002672B9"/>
    <w:rsid w:val="00267449"/>
    <w:rsid w:val="002700DE"/>
    <w:rsid w:val="002706DF"/>
    <w:rsid w:val="002711AA"/>
    <w:rsid w:val="00271701"/>
    <w:rsid w:val="00271B38"/>
    <w:rsid w:val="00271F5F"/>
    <w:rsid w:val="00272747"/>
    <w:rsid w:val="00272DE1"/>
    <w:rsid w:val="00272DE3"/>
    <w:rsid w:val="002732DF"/>
    <w:rsid w:val="00273ED7"/>
    <w:rsid w:val="0027411A"/>
    <w:rsid w:val="0027412E"/>
    <w:rsid w:val="0027418A"/>
    <w:rsid w:val="00274CB4"/>
    <w:rsid w:val="00274E2B"/>
    <w:rsid w:val="0027525D"/>
    <w:rsid w:val="002756DA"/>
    <w:rsid w:val="00275AB4"/>
    <w:rsid w:val="0027627D"/>
    <w:rsid w:val="00276AD7"/>
    <w:rsid w:val="00276EC7"/>
    <w:rsid w:val="00276F42"/>
    <w:rsid w:val="002770B4"/>
    <w:rsid w:val="002774AE"/>
    <w:rsid w:val="00277809"/>
    <w:rsid w:val="0028062E"/>
    <w:rsid w:val="00280D59"/>
    <w:rsid w:val="00281147"/>
    <w:rsid w:val="00281321"/>
    <w:rsid w:val="00281342"/>
    <w:rsid w:val="0028154F"/>
    <w:rsid w:val="00281729"/>
    <w:rsid w:val="002817E4"/>
    <w:rsid w:val="00281CD8"/>
    <w:rsid w:val="00281D6C"/>
    <w:rsid w:val="00281E24"/>
    <w:rsid w:val="00281FFA"/>
    <w:rsid w:val="002820AA"/>
    <w:rsid w:val="0028218B"/>
    <w:rsid w:val="0028279F"/>
    <w:rsid w:val="00283C0B"/>
    <w:rsid w:val="00284083"/>
    <w:rsid w:val="00284151"/>
    <w:rsid w:val="00284591"/>
    <w:rsid w:val="00284C0D"/>
    <w:rsid w:val="0028554C"/>
    <w:rsid w:val="002859E3"/>
    <w:rsid w:val="002867A6"/>
    <w:rsid w:val="00286B42"/>
    <w:rsid w:val="00286D41"/>
    <w:rsid w:val="002901AA"/>
    <w:rsid w:val="00290627"/>
    <w:rsid w:val="00290C08"/>
    <w:rsid w:val="00290C1D"/>
    <w:rsid w:val="00290CCC"/>
    <w:rsid w:val="002911FD"/>
    <w:rsid w:val="00291348"/>
    <w:rsid w:val="00291733"/>
    <w:rsid w:val="002917F0"/>
    <w:rsid w:val="0029202E"/>
    <w:rsid w:val="00292570"/>
    <w:rsid w:val="00292640"/>
    <w:rsid w:val="0029281A"/>
    <w:rsid w:val="00292E25"/>
    <w:rsid w:val="00292F27"/>
    <w:rsid w:val="00293037"/>
    <w:rsid w:val="0029318D"/>
    <w:rsid w:val="00293660"/>
    <w:rsid w:val="00293CF5"/>
    <w:rsid w:val="00293F11"/>
    <w:rsid w:val="00294532"/>
    <w:rsid w:val="00294689"/>
    <w:rsid w:val="00294C5E"/>
    <w:rsid w:val="00294C89"/>
    <w:rsid w:val="002953CF"/>
    <w:rsid w:val="0029552E"/>
    <w:rsid w:val="002957C3"/>
    <w:rsid w:val="0029593B"/>
    <w:rsid w:val="00295B4F"/>
    <w:rsid w:val="00295BCE"/>
    <w:rsid w:val="00296264"/>
    <w:rsid w:val="002962D2"/>
    <w:rsid w:val="0029658A"/>
    <w:rsid w:val="0029677E"/>
    <w:rsid w:val="0029692A"/>
    <w:rsid w:val="002969DE"/>
    <w:rsid w:val="00296B35"/>
    <w:rsid w:val="00296CB0"/>
    <w:rsid w:val="00296CF7"/>
    <w:rsid w:val="00297174"/>
    <w:rsid w:val="00297504"/>
    <w:rsid w:val="00297E50"/>
    <w:rsid w:val="002A0FDE"/>
    <w:rsid w:val="002A1B60"/>
    <w:rsid w:val="002A2282"/>
    <w:rsid w:val="002A304F"/>
    <w:rsid w:val="002A3990"/>
    <w:rsid w:val="002A3ABC"/>
    <w:rsid w:val="002A3CCE"/>
    <w:rsid w:val="002A3E50"/>
    <w:rsid w:val="002A4143"/>
    <w:rsid w:val="002A43D5"/>
    <w:rsid w:val="002A4728"/>
    <w:rsid w:val="002A4757"/>
    <w:rsid w:val="002A4870"/>
    <w:rsid w:val="002A4E98"/>
    <w:rsid w:val="002A51A0"/>
    <w:rsid w:val="002A51F8"/>
    <w:rsid w:val="002A5781"/>
    <w:rsid w:val="002A5891"/>
    <w:rsid w:val="002A5AB2"/>
    <w:rsid w:val="002A61E6"/>
    <w:rsid w:val="002A68D6"/>
    <w:rsid w:val="002A6AEC"/>
    <w:rsid w:val="002A6DAA"/>
    <w:rsid w:val="002A6E78"/>
    <w:rsid w:val="002A6EBB"/>
    <w:rsid w:val="002A7150"/>
    <w:rsid w:val="002A7898"/>
    <w:rsid w:val="002A7AC8"/>
    <w:rsid w:val="002A7C85"/>
    <w:rsid w:val="002B04DD"/>
    <w:rsid w:val="002B07F0"/>
    <w:rsid w:val="002B0858"/>
    <w:rsid w:val="002B08D6"/>
    <w:rsid w:val="002B0A8C"/>
    <w:rsid w:val="002B0AFE"/>
    <w:rsid w:val="002B0D39"/>
    <w:rsid w:val="002B11EC"/>
    <w:rsid w:val="002B154C"/>
    <w:rsid w:val="002B1953"/>
    <w:rsid w:val="002B1A89"/>
    <w:rsid w:val="002B2024"/>
    <w:rsid w:val="002B286A"/>
    <w:rsid w:val="002B2A1A"/>
    <w:rsid w:val="002B2B73"/>
    <w:rsid w:val="002B39B0"/>
    <w:rsid w:val="002B3BBD"/>
    <w:rsid w:val="002B3E11"/>
    <w:rsid w:val="002B48A3"/>
    <w:rsid w:val="002B5480"/>
    <w:rsid w:val="002B54E3"/>
    <w:rsid w:val="002B59DF"/>
    <w:rsid w:val="002B5CAA"/>
    <w:rsid w:val="002B5F1E"/>
    <w:rsid w:val="002B6158"/>
    <w:rsid w:val="002B63C2"/>
    <w:rsid w:val="002B67AD"/>
    <w:rsid w:val="002B6959"/>
    <w:rsid w:val="002B6ECC"/>
    <w:rsid w:val="002B6F29"/>
    <w:rsid w:val="002B75FE"/>
    <w:rsid w:val="002B76B0"/>
    <w:rsid w:val="002B7F33"/>
    <w:rsid w:val="002B7FAD"/>
    <w:rsid w:val="002C04C2"/>
    <w:rsid w:val="002C04F4"/>
    <w:rsid w:val="002C16B9"/>
    <w:rsid w:val="002C22A2"/>
    <w:rsid w:val="002C2310"/>
    <w:rsid w:val="002C25D4"/>
    <w:rsid w:val="002C2799"/>
    <w:rsid w:val="002C2D6F"/>
    <w:rsid w:val="002C3457"/>
    <w:rsid w:val="002C3683"/>
    <w:rsid w:val="002C38CE"/>
    <w:rsid w:val="002C3ADD"/>
    <w:rsid w:val="002C3DF6"/>
    <w:rsid w:val="002C52CB"/>
    <w:rsid w:val="002C54ED"/>
    <w:rsid w:val="002C56B5"/>
    <w:rsid w:val="002C581A"/>
    <w:rsid w:val="002C5CA1"/>
    <w:rsid w:val="002C6926"/>
    <w:rsid w:val="002C6B78"/>
    <w:rsid w:val="002C71BC"/>
    <w:rsid w:val="002C7339"/>
    <w:rsid w:val="002C7751"/>
    <w:rsid w:val="002C7779"/>
    <w:rsid w:val="002C798C"/>
    <w:rsid w:val="002C7A16"/>
    <w:rsid w:val="002D0590"/>
    <w:rsid w:val="002D106F"/>
    <w:rsid w:val="002D1106"/>
    <w:rsid w:val="002D1BB5"/>
    <w:rsid w:val="002D2501"/>
    <w:rsid w:val="002D2924"/>
    <w:rsid w:val="002D336E"/>
    <w:rsid w:val="002D35E0"/>
    <w:rsid w:val="002D370D"/>
    <w:rsid w:val="002D371E"/>
    <w:rsid w:val="002D38C2"/>
    <w:rsid w:val="002D3B47"/>
    <w:rsid w:val="002D4120"/>
    <w:rsid w:val="002D453E"/>
    <w:rsid w:val="002D4CEF"/>
    <w:rsid w:val="002D5060"/>
    <w:rsid w:val="002D506A"/>
    <w:rsid w:val="002D5208"/>
    <w:rsid w:val="002D5257"/>
    <w:rsid w:val="002D58CB"/>
    <w:rsid w:val="002D58DF"/>
    <w:rsid w:val="002D5F08"/>
    <w:rsid w:val="002D627D"/>
    <w:rsid w:val="002D6512"/>
    <w:rsid w:val="002D69A7"/>
    <w:rsid w:val="002D73F4"/>
    <w:rsid w:val="002D7706"/>
    <w:rsid w:val="002D7D94"/>
    <w:rsid w:val="002E00C1"/>
    <w:rsid w:val="002E0E1C"/>
    <w:rsid w:val="002E117C"/>
    <w:rsid w:val="002E1374"/>
    <w:rsid w:val="002E1438"/>
    <w:rsid w:val="002E19A8"/>
    <w:rsid w:val="002E1B79"/>
    <w:rsid w:val="002E1BE0"/>
    <w:rsid w:val="002E1E9E"/>
    <w:rsid w:val="002E1F4A"/>
    <w:rsid w:val="002E2044"/>
    <w:rsid w:val="002E2694"/>
    <w:rsid w:val="002E2CD9"/>
    <w:rsid w:val="002E2E20"/>
    <w:rsid w:val="002E2E57"/>
    <w:rsid w:val="002E34E5"/>
    <w:rsid w:val="002E39AE"/>
    <w:rsid w:val="002E4005"/>
    <w:rsid w:val="002E413F"/>
    <w:rsid w:val="002E43BA"/>
    <w:rsid w:val="002E466A"/>
    <w:rsid w:val="002E46FD"/>
    <w:rsid w:val="002E48AC"/>
    <w:rsid w:val="002E4BE6"/>
    <w:rsid w:val="002E4DFD"/>
    <w:rsid w:val="002E526F"/>
    <w:rsid w:val="002E53E0"/>
    <w:rsid w:val="002E5A43"/>
    <w:rsid w:val="002E6718"/>
    <w:rsid w:val="002E6E02"/>
    <w:rsid w:val="002E78B2"/>
    <w:rsid w:val="002E7AD7"/>
    <w:rsid w:val="002E7DFB"/>
    <w:rsid w:val="002E7F4B"/>
    <w:rsid w:val="002E7FDC"/>
    <w:rsid w:val="002F003B"/>
    <w:rsid w:val="002F023C"/>
    <w:rsid w:val="002F06BA"/>
    <w:rsid w:val="002F072F"/>
    <w:rsid w:val="002F0799"/>
    <w:rsid w:val="002F0824"/>
    <w:rsid w:val="002F1620"/>
    <w:rsid w:val="002F18ED"/>
    <w:rsid w:val="002F18F6"/>
    <w:rsid w:val="002F3B02"/>
    <w:rsid w:val="002F4109"/>
    <w:rsid w:val="002F438D"/>
    <w:rsid w:val="002F45FA"/>
    <w:rsid w:val="002F4F29"/>
    <w:rsid w:val="002F544D"/>
    <w:rsid w:val="002F5C97"/>
    <w:rsid w:val="002F5D58"/>
    <w:rsid w:val="002F6346"/>
    <w:rsid w:val="002F69A4"/>
    <w:rsid w:val="002F6D86"/>
    <w:rsid w:val="002F71B7"/>
    <w:rsid w:val="002F7539"/>
    <w:rsid w:val="002F78BA"/>
    <w:rsid w:val="002F7A27"/>
    <w:rsid w:val="002F7A45"/>
    <w:rsid w:val="002F7BFD"/>
    <w:rsid w:val="002F7EF7"/>
    <w:rsid w:val="0030063F"/>
    <w:rsid w:val="00300895"/>
    <w:rsid w:val="00300DCF"/>
    <w:rsid w:val="00300EDA"/>
    <w:rsid w:val="0030209B"/>
    <w:rsid w:val="00302233"/>
    <w:rsid w:val="003026AC"/>
    <w:rsid w:val="00302C23"/>
    <w:rsid w:val="00302E11"/>
    <w:rsid w:val="00302E99"/>
    <w:rsid w:val="003030C6"/>
    <w:rsid w:val="003031BC"/>
    <w:rsid w:val="00303270"/>
    <w:rsid w:val="0030375E"/>
    <w:rsid w:val="00303D13"/>
    <w:rsid w:val="00303FF8"/>
    <w:rsid w:val="00304143"/>
    <w:rsid w:val="00305114"/>
    <w:rsid w:val="0030521F"/>
    <w:rsid w:val="00305330"/>
    <w:rsid w:val="00305E25"/>
    <w:rsid w:val="003060DC"/>
    <w:rsid w:val="003064EA"/>
    <w:rsid w:val="00306A09"/>
    <w:rsid w:val="00306DF7"/>
    <w:rsid w:val="003076D1"/>
    <w:rsid w:val="00307852"/>
    <w:rsid w:val="00307930"/>
    <w:rsid w:val="00310602"/>
    <w:rsid w:val="00310732"/>
    <w:rsid w:val="00310806"/>
    <w:rsid w:val="0031136B"/>
    <w:rsid w:val="0031136C"/>
    <w:rsid w:val="003115F8"/>
    <w:rsid w:val="003118A5"/>
    <w:rsid w:val="00311B44"/>
    <w:rsid w:val="00312417"/>
    <w:rsid w:val="00312553"/>
    <w:rsid w:val="003127E1"/>
    <w:rsid w:val="00314564"/>
    <w:rsid w:val="00314C60"/>
    <w:rsid w:val="0031529D"/>
    <w:rsid w:val="00315ACC"/>
    <w:rsid w:val="00315BF5"/>
    <w:rsid w:val="00315CC9"/>
    <w:rsid w:val="00315EA4"/>
    <w:rsid w:val="0031648C"/>
    <w:rsid w:val="00316928"/>
    <w:rsid w:val="00317908"/>
    <w:rsid w:val="00317966"/>
    <w:rsid w:val="00317B45"/>
    <w:rsid w:val="0032048A"/>
    <w:rsid w:val="0032075B"/>
    <w:rsid w:val="00320841"/>
    <w:rsid w:val="00320D5A"/>
    <w:rsid w:val="00321BFE"/>
    <w:rsid w:val="00322260"/>
    <w:rsid w:val="003223FC"/>
    <w:rsid w:val="003232D8"/>
    <w:rsid w:val="00323690"/>
    <w:rsid w:val="0032386A"/>
    <w:rsid w:val="00323901"/>
    <w:rsid w:val="00323A2C"/>
    <w:rsid w:val="00323C30"/>
    <w:rsid w:val="00324453"/>
    <w:rsid w:val="00324873"/>
    <w:rsid w:val="00324887"/>
    <w:rsid w:val="003248BE"/>
    <w:rsid w:val="00324D39"/>
    <w:rsid w:val="00325111"/>
    <w:rsid w:val="0032530F"/>
    <w:rsid w:val="00325466"/>
    <w:rsid w:val="00325888"/>
    <w:rsid w:val="00325A6B"/>
    <w:rsid w:val="00325C90"/>
    <w:rsid w:val="00327572"/>
    <w:rsid w:val="00327604"/>
    <w:rsid w:val="00327852"/>
    <w:rsid w:val="00327867"/>
    <w:rsid w:val="00327B80"/>
    <w:rsid w:val="00327C90"/>
    <w:rsid w:val="00327D8D"/>
    <w:rsid w:val="003302D8"/>
    <w:rsid w:val="0033060D"/>
    <w:rsid w:val="003309CF"/>
    <w:rsid w:val="00330A99"/>
    <w:rsid w:val="0033104C"/>
    <w:rsid w:val="003316C6"/>
    <w:rsid w:val="00331C97"/>
    <w:rsid w:val="00331DF4"/>
    <w:rsid w:val="0033203B"/>
    <w:rsid w:val="00332321"/>
    <w:rsid w:val="003323DF"/>
    <w:rsid w:val="00332652"/>
    <w:rsid w:val="00332D6A"/>
    <w:rsid w:val="0033373B"/>
    <w:rsid w:val="003339CA"/>
    <w:rsid w:val="00333B63"/>
    <w:rsid w:val="00334765"/>
    <w:rsid w:val="00334960"/>
    <w:rsid w:val="00335257"/>
    <w:rsid w:val="0033546B"/>
    <w:rsid w:val="003359F2"/>
    <w:rsid w:val="00335A0F"/>
    <w:rsid w:val="00335E0D"/>
    <w:rsid w:val="00336057"/>
    <w:rsid w:val="00336503"/>
    <w:rsid w:val="00336909"/>
    <w:rsid w:val="00336B64"/>
    <w:rsid w:val="00336DF1"/>
    <w:rsid w:val="0033753B"/>
    <w:rsid w:val="00337D49"/>
    <w:rsid w:val="00340079"/>
    <w:rsid w:val="00340381"/>
    <w:rsid w:val="003405F7"/>
    <w:rsid w:val="00340849"/>
    <w:rsid w:val="00340DF3"/>
    <w:rsid w:val="00340E11"/>
    <w:rsid w:val="0034112A"/>
    <w:rsid w:val="00342144"/>
    <w:rsid w:val="00342777"/>
    <w:rsid w:val="00342D8B"/>
    <w:rsid w:val="00343AFB"/>
    <w:rsid w:val="00344169"/>
    <w:rsid w:val="00344640"/>
    <w:rsid w:val="003446C0"/>
    <w:rsid w:val="00344C61"/>
    <w:rsid w:val="00344F6C"/>
    <w:rsid w:val="003460B4"/>
    <w:rsid w:val="00346724"/>
    <w:rsid w:val="00346C28"/>
    <w:rsid w:val="00346C60"/>
    <w:rsid w:val="00346D3B"/>
    <w:rsid w:val="003470CA"/>
    <w:rsid w:val="0034732F"/>
    <w:rsid w:val="00347366"/>
    <w:rsid w:val="003507CE"/>
    <w:rsid w:val="00350B78"/>
    <w:rsid w:val="00350C28"/>
    <w:rsid w:val="00350D70"/>
    <w:rsid w:val="00350DDC"/>
    <w:rsid w:val="003513A8"/>
    <w:rsid w:val="003513B3"/>
    <w:rsid w:val="00351453"/>
    <w:rsid w:val="00352211"/>
    <w:rsid w:val="003522D2"/>
    <w:rsid w:val="003543DD"/>
    <w:rsid w:val="00354AF8"/>
    <w:rsid w:val="00354E7B"/>
    <w:rsid w:val="00354FE0"/>
    <w:rsid w:val="00355311"/>
    <w:rsid w:val="00355F63"/>
    <w:rsid w:val="00355F65"/>
    <w:rsid w:val="00356525"/>
    <w:rsid w:val="00356A10"/>
    <w:rsid w:val="00356B03"/>
    <w:rsid w:val="00356F0E"/>
    <w:rsid w:val="00356FDB"/>
    <w:rsid w:val="00357189"/>
    <w:rsid w:val="003571B1"/>
    <w:rsid w:val="003571C0"/>
    <w:rsid w:val="003574F3"/>
    <w:rsid w:val="00357AB9"/>
    <w:rsid w:val="00357D12"/>
    <w:rsid w:val="003608FD"/>
    <w:rsid w:val="00361016"/>
    <w:rsid w:val="0036108D"/>
    <w:rsid w:val="00361784"/>
    <w:rsid w:val="00361986"/>
    <w:rsid w:val="00361D70"/>
    <w:rsid w:val="00361EFF"/>
    <w:rsid w:val="003623FC"/>
    <w:rsid w:val="00362572"/>
    <w:rsid w:val="00363167"/>
    <w:rsid w:val="00363518"/>
    <w:rsid w:val="00364016"/>
    <w:rsid w:val="00364272"/>
    <w:rsid w:val="00364695"/>
    <w:rsid w:val="00364717"/>
    <w:rsid w:val="00364B66"/>
    <w:rsid w:val="00364C18"/>
    <w:rsid w:val="003652F4"/>
    <w:rsid w:val="00365984"/>
    <w:rsid w:val="0036615C"/>
    <w:rsid w:val="0036661F"/>
    <w:rsid w:val="003666E0"/>
    <w:rsid w:val="0036688F"/>
    <w:rsid w:val="00366896"/>
    <w:rsid w:val="003668B8"/>
    <w:rsid w:val="00367169"/>
    <w:rsid w:val="00367189"/>
    <w:rsid w:val="00367260"/>
    <w:rsid w:val="00367360"/>
    <w:rsid w:val="003677AD"/>
    <w:rsid w:val="003706CC"/>
    <w:rsid w:val="00370911"/>
    <w:rsid w:val="00370A87"/>
    <w:rsid w:val="00371807"/>
    <w:rsid w:val="00371988"/>
    <w:rsid w:val="00371D1B"/>
    <w:rsid w:val="003725D3"/>
    <w:rsid w:val="00372AF0"/>
    <w:rsid w:val="003737AF"/>
    <w:rsid w:val="00373B4D"/>
    <w:rsid w:val="003743B0"/>
    <w:rsid w:val="00374749"/>
    <w:rsid w:val="00374A53"/>
    <w:rsid w:val="00374AF8"/>
    <w:rsid w:val="003757FB"/>
    <w:rsid w:val="0037590F"/>
    <w:rsid w:val="003759A8"/>
    <w:rsid w:val="00375E14"/>
    <w:rsid w:val="00375E7B"/>
    <w:rsid w:val="003763EA"/>
    <w:rsid w:val="003765E9"/>
    <w:rsid w:val="00376824"/>
    <w:rsid w:val="00376BB2"/>
    <w:rsid w:val="00376EB6"/>
    <w:rsid w:val="00376FDB"/>
    <w:rsid w:val="003775F9"/>
    <w:rsid w:val="003778D9"/>
    <w:rsid w:val="00377BA6"/>
    <w:rsid w:val="00377CF0"/>
    <w:rsid w:val="003802DC"/>
    <w:rsid w:val="00380B81"/>
    <w:rsid w:val="00380DE7"/>
    <w:rsid w:val="00380E0E"/>
    <w:rsid w:val="00380F47"/>
    <w:rsid w:val="003814FF"/>
    <w:rsid w:val="00381586"/>
    <w:rsid w:val="0038185D"/>
    <w:rsid w:val="003819DF"/>
    <w:rsid w:val="00381B3C"/>
    <w:rsid w:val="00381EBA"/>
    <w:rsid w:val="0038249A"/>
    <w:rsid w:val="00382B91"/>
    <w:rsid w:val="00382D9B"/>
    <w:rsid w:val="0038389F"/>
    <w:rsid w:val="00383A8A"/>
    <w:rsid w:val="00383FE2"/>
    <w:rsid w:val="0038412D"/>
    <w:rsid w:val="00384B5D"/>
    <w:rsid w:val="00384DB0"/>
    <w:rsid w:val="003851AA"/>
    <w:rsid w:val="00385792"/>
    <w:rsid w:val="0038582B"/>
    <w:rsid w:val="00385A05"/>
    <w:rsid w:val="00385B75"/>
    <w:rsid w:val="0038659E"/>
    <w:rsid w:val="0038669D"/>
    <w:rsid w:val="003867DF"/>
    <w:rsid w:val="0038686B"/>
    <w:rsid w:val="0038703A"/>
    <w:rsid w:val="003879D4"/>
    <w:rsid w:val="00387A3F"/>
    <w:rsid w:val="00387CE0"/>
    <w:rsid w:val="003901C7"/>
    <w:rsid w:val="0039020F"/>
    <w:rsid w:val="00390313"/>
    <w:rsid w:val="00390B6F"/>
    <w:rsid w:val="00390D5F"/>
    <w:rsid w:val="0039172D"/>
    <w:rsid w:val="003928ED"/>
    <w:rsid w:val="00392923"/>
    <w:rsid w:val="00392B6A"/>
    <w:rsid w:val="00392D75"/>
    <w:rsid w:val="00392DAB"/>
    <w:rsid w:val="003933FE"/>
    <w:rsid w:val="00393438"/>
    <w:rsid w:val="003936A8"/>
    <w:rsid w:val="00393C62"/>
    <w:rsid w:val="00393F52"/>
    <w:rsid w:val="00394011"/>
    <w:rsid w:val="003944F4"/>
    <w:rsid w:val="00394C61"/>
    <w:rsid w:val="00395295"/>
    <w:rsid w:val="0039597C"/>
    <w:rsid w:val="00395CE3"/>
    <w:rsid w:val="00395E7E"/>
    <w:rsid w:val="003967C4"/>
    <w:rsid w:val="00397694"/>
    <w:rsid w:val="003977EB"/>
    <w:rsid w:val="00397992"/>
    <w:rsid w:val="00397EC5"/>
    <w:rsid w:val="003A0237"/>
    <w:rsid w:val="003A0E72"/>
    <w:rsid w:val="003A0EA6"/>
    <w:rsid w:val="003A24D2"/>
    <w:rsid w:val="003A28CF"/>
    <w:rsid w:val="003A2E51"/>
    <w:rsid w:val="003A2EB1"/>
    <w:rsid w:val="003A2F65"/>
    <w:rsid w:val="003A3278"/>
    <w:rsid w:val="003A3602"/>
    <w:rsid w:val="003A42EE"/>
    <w:rsid w:val="003A4D64"/>
    <w:rsid w:val="003A5859"/>
    <w:rsid w:val="003A5F67"/>
    <w:rsid w:val="003A657E"/>
    <w:rsid w:val="003A684D"/>
    <w:rsid w:val="003A687E"/>
    <w:rsid w:val="003A715B"/>
    <w:rsid w:val="003A7BB1"/>
    <w:rsid w:val="003A7FF7"/>
    <w:rsid w:val="003B08D9"/>
    <w:rsid w:val="003B0A49"/>
    <w:rsid w:val="003B0A7E"/>
    <w:rsid w:val="003B0CBF"/>
    <w:rsid w:val="003B0DEC"/>
    <w:rsid w:val="003B122B"/>
    <w:rsid w:val="003B1288"/>
    <w:rsid w:val="003B17A1"/>
    <w:rsid w:val="003B1FD7"/>
    <w:rsid w:val="003B203A"/>
    <w:rsid w:val="003B20EA"/>
    <w:rsid w:val="003B28DA"/>
    <w:rsid w:val="003B2DAA"/>
    <w:rsid w:val="003B3239"/>
    <w:rsid w:val="003B34E8"/>
    <w:rsid w:val="003B3694"/>
    <w:rsid w:val="003B376A"/>
    <w:rsid w:val="003B38B7"/>
    <w:rsid w:val="003B435B"/>
    <w:rsid w:val="003B4A70"/>
    <w:rsid w:val="003B5E06"/>
    <w:rsid w:val="003B5EEA"/>
    <w:rsid w:val="003B6036"/>
    <w:rsid w:val="003B6515"/>
    <w:rsid w:val="003B6C30"/>
    <w:rsid w:val="003B7AC4"/>
    <w:rsid w:val="003B7EB8"/>
    <w:rsid w:val="003C00EF"/>
    <w:rsid w:val="003C0DD1"/>
    <w:rsid w:val="003C0FE6"/>
    <w:rsid w:val="003C13F5"/>
    <w:rsid w:val="003C145E"/>
    <w:rsid w:val="003C15F3"/>
    <w:rsid w:val="003C1B3D"/>
    <w:rsid w:val="003C1E80"/>
    <w:rsid w:val="003C21AC"/>
    <w:rsid w:val="003C2469"/>
    <w:rsid w:val="003C25B6"/>
    <w:rsid w:val="003C2BD5"/>
    <w:rsid w:val="003C30D4"/>
    <w:rsid w:val="003C33E3"/>
    <w:rsid w:val="003C3A2F"/>
    <w:rsid w:val="003C3EBD"/>
    <w:rsid w:val="003C4C3F"/>
    <w:rsid w:val="003C4C98"/>
    <w:rsid w:val="003C5140"/>
    <w:rsid w:val="003C53DD"/>
    <w:rsid w:val="003C58A0"/>
    <w:rsid w:val="003C594D"/>
    <w:rsid w:val="003C59E6"/>
    <w:rsid w:val="003C5C96"/>
    <w:rsid w:val="003C5F4C"/>
    <w:rsid w:val="003C63D3"/>
    <w:rsid w:val="003C68A3"/>
    <w:rsid w:val="003C6983"/>
    <w:rsid w:val="003C6BC8"/>
    <w:rsid w:val="003C7367"/>
    <w:rsid w:val="003C7EF1"/>
    <w:rsid w:val="003D00C2"/>
    <w:rsid w:val="003D086F"/>
    <w:rsid w:val="003D0C8C"/>
    <w:rsid w:val="003D0D5F"/>
    <w:rsid w:val="003D10B2"/>
    <w:rsid w:val="003D188A"/>
    <w:rsid w:val="003D1BC1"/>
    <w:rsid w:val="003D1C1F"/>
    <w:rsid w:val="003D2A7E"/>
    <w:rsid w:val="003D2E27"/>
    <w:rsid w:val="003D2EBC"/>
    <w:rsid w:val="003D3E84"/>
    <w:rsid w:val="003D3F90"/>
    <w:rsid w:val="003D535C"/>
    <w:rsid w:val="003D59B0"/>
    <w:rsid w:val="003D6318"/>
    <w:rsid w:val="003D69FB"/>
    <w:rsid w:val="003D6F32"/>
    <w:rsid w:val="003D761A"/>
    <w:rsid w:val="003D769B"/>
    <w:rsid w:val="003D7D2F"/>
    <w:rsid w:val="003D7EC0"/>
    <w:rsid w:val="003E00D0"/>
    <w:rsid w:val="003E0304"/>
    <w:rsid w:val="003E0A49"/>
    <w:rsid w:val="003E0A78"/>
    <w:rsid w:val="003E0B52"/>
    <w:rsid w:val="003E0B85"/>
    <w:rsid w:val="003E141C"/>
    <w:rsid w:val="003E15C2"/>
    <w:rsid w:val="003E1820"/>
    <w:rsid w:val="003E1BD0"/>
    <w:rsid w:val="003E1CA0"/>
    <w:rsid w:val="003E1F60"/>
    <w:rsid w:val="003E27F1"/>
    <w:rsid w:val="003E281F"/>
    <w:rsid w:val="003E2DFE"/>
    <w:rsid w:val="003E2E4F"/>
    <w:rsid w:val="003E4BDF"/>
    <w:rsid w:val="003E4CEC"/>
    <w:rsid w:val="003E5692"/>
    <w:rsid w:val="003E5718"/>
    <w:rsid w:val="003E65E7"/>
    <w:rsid w:val="003E6BBB"/>
    <w:rsid w:val="003E6E7F"/>
    <w:rsid w:val="003E7268"/>
    <w:rsid w:val="003E781E"/>
    <w:rsid w:val="003F001C"/>
    <w:rsid w:val="003F0368"/>
    <w:rsid w:val="003F10FD"/>
    <w:rsid w:val="003F11B9"/>
    <w:rsid w:val="003F1200"/>
    <w:rsid w:val="003F1921"/>
    <w:rsid w:val="003F1CAC"/>
    <w:rsid w:val="003F25A4"/>
    <w:rsid w:val="003F27F8"/>
    <w:rsid w:val="003F2E19"/>
    <w:rsid w:val="003F2EA9"/>
    <w:rsid w:val="003F3F35"/>
    <w:rsid w:val="003F43B1"/>
    <w:rsid w:val="003F4805"/>
    <w:rsid w:val="003F494A"/>
    <w:rsid w:val="003F4B04"/>
    <w:rsid w:val="003F4CFD"/>
    <w:rsid w:val="003F4DD3"/>
    <w:rsid w:val="003F4EC8"/>
    <w:rsid w:val="003F6133"/>
    <w:rsid w:val="003F6398"/>
    <w:rsid w:val="003F6AA7"/>
    <w:rsid w:val="003F6C13"/>
    <w:rsid w:val="003F7129"/>
    <w:rsid w:val="003F72D0"/>
    <w:rsid w:val="003F74DD"/>
    <w:rsid w:val="00400285"/>
    <w:rsid w:val="00400480"/>
    <w:rsid w:val="00400AA3"/>
    <w:rsid w:val="00400C92"/>
    <w:rsid w:val="004016B3"/>
    <w:rsid w:val="00401B9D"/>
    <w:rsid w:val="0040216D"/>
    <w:rsid w:val="00402330"/>
    <w:rsid w:val="004028F9"/>
    <w:rsid w:val="0040315D"/>
    <w:rsid w:val="00403258"/>
    <w:rsid w:val="0040328B"/>
    <w:rsid w:val="00403A45"/>
    <w:rsid w:val="00404125"/>
    <w:rsid w:val="0040413B"/>
    <w:rsid w:val="0040415A"/>
    <w:rsid w:val="00404DD4"/>
    <w:rsid w:val="00404E97"/>
    <w:rsid w:val="00405C69"/>
    <w:rsid w:val="004060A1"/>
    <w:rsid w:val="0040621C"/>
    <w:rsid w:val="004066B0"/>
    <w:rsid w:val="00407414"/>
    <w:rsid w:val="00407C24"/>
    <w:rsid w:val="00407D01"/>
    <w:rsid w:val="00407D03"/>
    <w:rsid w:val="004106D7"/>
    <w:rsid w:val="004106F1"/>
    <w:rsid w:val="00410AC7"/>
    <w:rsid w:val="00410D52"/>
    <w:rsid w:val="00410E94"/>
    <w:rsid w:val="004112F7"/>
    <w:rsid w:val="004115C6"/>
    <w:rsid w:val="00411C3E"/>
    <w:rsid w:val="00411E81"/>
    <w:rsid w:val="00411FA7"/>
    <w:rsid w:val="0041225E"/>
    <w:rsid w:val="00412FEB"/>
    <w:rsid w:val="00413495"/>
    <w:rsid w:val="004134CC"/>
    <w:rsid w:val="0041359E"/>
    <w:rsid w:val="00413601"/>
    <w:rsid w:val="00413910"/>
    <w:rsid w:val="00413D18"/>
    <w:rsid w:val="00413E4E"/>
    <w:rsid w:val="0041422C"/>
    <w:rsid w:val="00414587"/>
    <w:rsid w:val="00414B20"/>
    <w:rsid w:val="00414F96"/>
    <w:rsid w:val="00414FD7"/>
    <w:rsid w:val="0041592B"/>
    <w:rsid w:val="00415DBB"/>
    <w:rsid w:val="00416077"/>
    <w:rsid w:val="004160D5"/>
    <w:rsid w:val="004167EB"/>
    <w:rsid w:val="00416A90"/>
    <w:rsid w:val="00416E99"/>
    <w:rsid w:val="00417177"/>
    <w:rsid w:val="00417959"/>
    <w:rsid w:val="00417AB3"/>
    <w:rsid w:val="00417BFA"/>
    <w:rsid w:val="00417F87"/>
    <w:rsid w:val="004201D7"/>
    <w:rsid w:val="0042029C"/>
    <w:rsid w:val="00420B15"/>
    <w:rsid w:val="00421062"/>
    <w:rsid w:val="004211A5"/>
    <w:rsid w:val="00421520"/>
    <w:rsid w:val="004215BC"/>
    <w:rsid w:val="004220D1"/>
    <w:rsid w:val="004221C1"/>
    <w:rsid w:val="0042251D"/>
    <w:rsid w:val="00422756"/>
    <w:rsid w:val="00422A9C"/>
    <w:rsid w:val="00422B26"/>
    <w:rsid w:val="00422BEA"/>
    <w:rsid w:val="00422E88"/>
    <w:rsid w:val="00423DF6"/>
    <w:rsid w:val="00424A02"/>
    <w:rsid w:val="00424E16"/>
    <w:rsid w:val="004251BE"/>
    <w:rsid w:val="004259D3"/>
    <w:rsid w:val="00425CE5"/>
    <w:rsid w:val="00425DB7"/>
    <w:rsid w:val="004268B1"/>
    <w:rsid w:val="00426CF4"/>
    <w:rsid w:val="00427B75"/>
    <w:rsid w:val="00427E86"/>
    <w:rsid w:val="0043009C"/>
    <w:rsid w:val="0043029E"/>
    <w:rsid w:val="004306AD"/>
    <w:rsid w:val="0043098B"/>
    <w:rsid w:val="00430BDA"/>
    <w:rsid w:val="00430F46"/>
    <w:rsid w:val="00431442"/>
    <w:rsid w:val="004323C7"/>
    <w:rsid w:val="004326A5"/>
    <w:rsid w:val="00433E19"/>
    <w:rsid w:val="00434106"/>
    <w:rsid w:val="0043449E"/>
    <w:rsid w:val="004344C6"/>
    <w:rsid w:val="00434537"/>
    <w:rsid w:val="00435192"/>
    <w:rsid w:val="004355A8"/>
    <w:rsid w:val="0043623D"/>
    <w:rsid w:val="00437223"/>
    <w:rsid w:val="0043799F"/>
    <w:rsid w:val="00437EE5"/>
    <w:rsid w:val="00440150"/>
    <w:rsid w:val="00440B96"/>
    <w:rsid w:val="00440C0F"/>
    <w:rsid w:val="00440C16"/>
    <w:rsid w:val="00440C9F"/>
    <w:rsid w:val="0044102B"/>
    <w:rsid w:val="004413BC"/>
    <w:rsid w:val="004419C7"/>
    <w:rsid w:val="00441AE6"/>
    <w:rsid w:val="00441C44"/>
    <w:rsid w:val="00441DF6"/>
    <w:rsid w:val="00441EE2"/>
    <w:rsid w:val="004426AD"/>
    <w:rsid w:val="004426EE"/>
    <w:rsid w:val="00442FDC"/>
    <w:rsid w:val="004438BD"/>
    <w:rsid w:val="004439A1"/>
    <w:rsid w:val="00443F49"/>
    <w:rsid w:val="00443FA8"/>
    <w:rsid w:val="00444220"/>
    <w:rsid w:val="0044460F"/>
    <w:rsid w:val="00444CDC"/>
    <w:rsid w:val="004450BB"/>
    <w:rsid w:val="0044513E"/>
    <w:rsid w:val="00445156"/>
    <w:rsid w:val="004453A9"/>
    <w:rsid w:val="00445AEB"/>
    <w:rsid w:val="00445B47"/>
    <w:rsid w:val="00446480"/>
    <w:rsid w:val="00446949"/>
    <w:rsid w:val="00446A9A"/>
    <w:rsid w:val="00446E64"/>
    <w:rsid w:val="0044705D"/>
    <w:rsid w:val="004502E0"/>
    <w:rsid w:val="00450471"/>
    <w:rsid w:val="0045090F"/>
    <w:rsid w:val="00450EBA"/>
    <w:rsid w:val="004515AC"/>
    <w:rsid w:val="0045188F"/>
    <w:rsid w:val="00452118"/>
    <w:rsid w:val="0045218D"/>
    <w:rsid w:val="00452439"/>
    <w:rsid w:val="00452EC5"/>
    <w:rsid w:val="00452EF4"/>
    <w:rsid w:val="00452FF4"/>
    <w:rsid w:val="00453501"/>
    <w:rsid w:val="004535AA"/>
    <w:rsid w:val="0045442F"/>
    <w:rsid w:val="004544F2"/>
    <w:rsid w:val="00455695"/>
    <w:rsid w:val="00455727"/>
    <w:rsid w:val="00455CF3"/>
    <w:rsid w:val="00456684"/>
    <w:rsid w:val="00457663"/>
    <w:rsid w:val="00457E64"/>
    <w:rsid w:val="00460351"/>
    <w:rsid w:val="0046061F"/>
    <w:rsid w:val="0046068B"/>
    <w:rsid w:val="00461E97"/>
    <w:rsid w:val="00462422"/>
    <w:rsid w:val="0046255F"/>
    <w:rsid w:val="004627C4"/>
    <w:rsid w:val="00462DF5"/>
    <w:rsid w:val="00463109"/>
    <w:rsid w:val="004632EF"/>
    <w:rsid w:val="00463513"/>
    <w:rsid w:val="00463CF6"/>
    <w:rsid w:val="00463D6C"/>
    <w:rsid w:val="00464072"/>
    <w:rsid w:val="00464172"/>
    <w:rsid w:val="00464C24"/>
    <w:rsid w:val="004650D0"/>
    <w:rsid w:val="0046598A"/>
    <w:rsid w:val="00465A90"/>
    <w:rsid w:val="004662F7"/>
    <w:rsid w:val="00466792"/>
    <w:rsid w:val="00466B43"/>
    <w:rsid w:val="0046715D"/>
    <w:rsid w:val="0046719B"/>
    <w:rsid w:val="00467317"/>
    <w:rsid w:val="00467C57"/>
    <w:rsid w:val="00467F35"/>
    <w:rsid w:val="0047015E"/>
    <w:rsid w:val="004707BE"/>
    <w:rsid w:val="00470B74"/>
    <w:rsid w:val="00470F47"/>
    <w:rsid w:val="00471238"/>
    <w:rsid w:val="004715A5"/>
    <w:rsid w:val="00471788"/>
    <w:rsid w:val="00471C5D"/>
    <w:rsid w:val="00471CDF"/>
    <w:rsid w:val="00472AAE"/>
    <w:rsid w:val="00472C76"/>
    <w:rsid w:val="004739E1"/>
    <w:rsid w:val="004739E9"/>
    <w:rsid w:val="00474204"/>
    <w:rsid w:val="00475552"/>
    <w:rsid w:val="004757B4"/>
    <w:rsid w:val="00475A22"/>
    <w:rsid w:val="00475B42"/>
    <w:rsid w:val="00475DBA"/>
    <w:rsid w:val="00475F94"/>
    <w:rsid w:val="0047630E"/>
    <w:rsid w:val="0047677D"/>
    <w:rsid w:val="00476834"/>
    <w:rsid w:val="00476B90"/>
    <w:rsid w:val="00476E60"/>
    <w:rsid w:val="004776B9"/>
    <w:rsid w:val="004801B5"/>
    <w:rsid w:val="00480ADA"/>
    <w:rsid w:val="00480D89"/>
    <w:rsid w:val="004811D2"/>
    <w:rsid w:val="00481342"/>
    <w:rsid w:val="004814EF"/>
    <w:rsid w:val="00481DC3"/>
    <w:rsid w:val="00481E93"/>
    <w:rsid w:val="00481F62"/>
    <w:rsid w:val="00482624"/>
    <w:rsid w:val="00482B66"/>
    <w:rsid w:val="00482D39"/>
    <w:rsid w:val="004833BD"/>
    <w:rsid w:val="00483478"/>
    <w:rsid w:val="0048394B"/>
    <w:rsid w:val="00483C96"/>
    <w:rsid w:val="0048450E"/>
    <w:rsid w:val="0048456D"/>
    <w:rsid w:val="0048470F"/>
    <w:rsid w:val="00484763"/>
    <w:rsid w:val="00484821"/>
    <w:rsid w:val="00484A48"/>
    <w:rsid w:val="00484C4A"/>
    <w:rsid w:val="00484E95"/>
    <w:rsid w:val="00485406"/>
    <w:rsid w:val="00485DDA"/>
    <w:rsid w:val="004863BC"/>
    <w:rsid w:val="00486DF3"/>
    <w:rsid w:val="00486E68"/>
    <w:rsid w:val="00487139"/>
    <w:rsid w:val="004872E8"/>
    <w:rsid w:val="00490172"/>
    <w:rsid w:val="00490570"/>
    <w:rsid w:val="00490578"/>
    <w:rsid w:val="0049067B"/>
    <w:rsid w:val="00491C8F"/>
    <w:rsid w:val="00491E51"/>
    <w:rsid w:val="0049219E"/>
    <w:rsid w:val="004929D0"/>
    <w:rsid w:val="00492B3F"/>
    <w:rsid w:val="00493003"/>
    <w:rsid w:val="004932F4"/>
    <w:rsid w:val="00493D7C"/>
    <w:rsid w:val="00493DBB"/>
    <w:rsid w:val="00493F3D"/>
    <w:rsid w:val="00493F5B"/>
    <w:rsid w:val="00494AEA"/>
    <w:rsid w:val="00494EF8"/>
    <w:rsid w:val="0049517D"/>
    <w:rsid w:val="004952BC"/>
    <w:rsid w:val="004952EC"/>
    <w:rsid w:val="0049586D"/>
    <w:rsid w:val="00495D40"/>
    <w:rsid w:val="00495F87"/>
    <w:rsid w:val="004962EC"/>
    <w:rsid w:val="00496BBA"/>
    <w:rsid w:val="0049752E"/>
    <w:rsid w:val="004976E2"/>
    <w:rsid w:val="0049774A"/>
    <w:rsid w:val="00497CED"/>
    <w:rsid w:val="00497FB3"/>
    <w:rsid w:val="004A009E"/>
    <w:rsid w:val="004A0A14"/>
    <w:rsid w:val="004A0F91"/>
    <w:rsid w:val="004A181D"/>
    <w:rsid w:val="004A1877"/>
    <w:rsid w:val="004A1A4B"/>
    <w:rsid w:val="004A1AB7"/>
    <w:rsid w:val="004A1B02"/>
    <w:rsid w:val="004A1CB8"/>
    <w:rsid w:val="004A256B"/>
    <w:rsid w:val="004A294B"/>
    <w:rsid w:val="004A2FE0"/>
    <w:rsid w:val="004A31F8"/>
    <w:rsid w:val="004A3281"/>
    <w:rsid w:val="004A3B6C"/>
    <w:rsid w:val="004A4089"/>
    <w:rsid w:val="004A40FB"/>
    <w:rsid w:val="004A47BF"/>
    <w:rsid w:val="004A4BE8"/>
    <w:rsid w:val="004A4CE0"/>
    <w:rsid w:val="004A4E9C"/>
    <w:rsid w:val="004A4FFF"/>
    <w:rsid w:val="004A59DC"/>
    <w:rsid w:val="004A59ED"/>
    <w:rsid w:val="004A6B5D"/>
    <w:rsid w:val="004A6E2E"/>
    <w:rsid w:val="004A713E"/>
    <w:rsid w:val="004A78E2"/>
    <w:rsid w:val="004A7A77"/>
    <w:rsid w:val="004A7B30"/>
    <w:rsid w:val="004A7E00"/>
    <w:rsid w:val="004A7E41"/>
    <w:rsid w:val="004B04B9"/>
    <w:rsid w:val="004B09FC"/>
    <w:rsid w:val="004B1652"/>
    <w:rsid w:val="004B17DC"/>
    <w:rsid w:val="004B1BEA"/>
    <w:rsid w:val="004B20F0"/>
    <w:rsid w:val="004B22F1"/>
    <w:rsid w:val="004B2E06"/>
    <w:rsid w:val="004B3442"/>
    <w:rsid w:val="004B3B40"/>
    <w:rsid w:val="004B422D"/>
    <w:rsid w:val="004B45D9"/>
    <w:rsid w:val="004B47C7"/>
    <w:rsid w:val="004B4987"/>
    <w:rsid w:val="004B49A7"/>
    <w:rsid w:val="004B49BC"/>
    <w:rsid w:val="004B4A9C"/>
    <w:rsid w:val="004B51A8"/>
    <w:rsid w:val="004B5455"/>
    <w:rsid w:val="004B55EF"/>
    <w:rsid w:val="004B57C9"/>
    <w:rsid w:val="004B598F"/>
    <w:rsid w:val="004B5BED"/>
    <w:rsid w:val="004B5CBA"/>
    <w:rsid w:val="004B5CBF"/>
    <w:rsid w:val="004B5F4B"/>
    <w:rsid w:val="004B5F7A"/>
    <w:rsid w:val="004B6243"/>
    <w:rsid w:val="004B6317"/>
    <w:rsid w:val="004B64AF"/>
    <w:rsid w:val="004B64F0"/>
    <w:rsid w:val="004B6507"/>
    <w:rsid w:val="004B7071"/>
    <w:rsid w:val="004B7319"/>
    <w:rsid w:val="004B73B7"/>
    <w:rsid w:val="004B73BE"/>
    <w:rsid w:val="004B74D4"/>
    <w:rsid w:val="004B7622"/>
    <w:rsid w:val="004C04F4"/>
    <w:rsid w:val="004C0DAB"/>
    <w:rsid w:val="004C0F79"/>
    <w:rsid w:val="004C11E9"/>
    <w:rsid w:val="004C1B3D"/>
    <w:rsid w:val="004C1BF4"/>
    <w:rsid w:val="004C1C3F"/>
    <w:rsid w:val="004C1FC3"/>
    <w:rsid w:val="004C26D9"/>
    <w:rsid w:val="004C2C4A"/>
    <w:rsid w:val="004C37FE"/>
    <w:rsid w:val="004C3A97"/>
    <w:rsid w:val="004C408F"/>
    <w:rsid w:val="004C43F5"/>
    <w:rsid w:val="004C444C"/>
    <w:rsid w:val="004C47E3"/>
    <w:rsid w:val="004C4AB9"/>
    <w:rsid w:val="004C56CF"/>
    <w:rsid w:val="004C5795"/>
    <w:rsid w:val="004C5826"/>
    <w:rsid w:val="004C58E9"/>
    <w:rsid w:val="004C599D"/>
    <w:rsid w:val="004C5D40"/>
    <w:rsid w:val="004C5DBF"/>
    <w:rsid w:val="004C6115"/>
    <w:rsid w:val="004C6B85"/>
    <w:rsid w:val="004C6DC3"/>
    <w:rsid w:val="004C7098"/>
    <w:rsid w:val="004C751D"/>
    <w:rsid w:val="004C77D1"/>
    <w:rsid w:val="004D02A3"/>
    <w:rsid w:val="004D06F2"/>
    <w:rsid w:val="004D092F"/>
    <w:rsid w:val="004D0A1B"/>
    <w:rsid w:val="004D0E9A"/>
    <w:rsid w:val="004D149A"/>
    <w:rsid w:val="004D164B"/>
    <w:rsid w:val="004D1D1E"/>
    <w:rsid w:val="004D2853"/>
    <w:rsid w:val="004D293C"/>
    <w:rsid w:val="004D2945"/>
    <w:rsid w:val="004D3163"/>
    <w:rsid w:val="004D37EC"/>
    <w:rsid w:val="004D3BAD"/>
    <w:rsid w:val="004D40FD"/>
    <w:rsid w:val="004D4A61"/>
    <w:rsid w:val="004D51D4"/>
    <w:rsid w:val="004D59B4"/>
    <w:rsid w:val="004D63F9"/>
    <w:rsid w:val="004D6667"/>
    <w:rsid w:val="004D67DA"/>
    <w:rsid w:val="004D6DFA"/>
    <w:rsid w:val="004D7FA2"/>
    <w:rsid w:val="004D7FBB"/>
    <w:rsid w:val="004E0113"/>
    <w:rsid w:val="004E03C1"/>
    <w:rsid w:val="004E0715"/>
    <w:rsid w:val="004E08B0"/>
    <w:rsid w:val="004E0C14"/>
    <w:rsid w:val="004E1105"/>
    <w:rsid w:val="004E1218"/>
    <w:rsid w:val="004E1379"/>
    <w:rsid w:val="004E1529"/>
    <w:rsid w:val="004E15CA"/>
    <w:rsid w:val="004E1BBF"/>
    <w:rsid w:val="004E205F"/>
    <w:rsid w:val="004E20B5"/>
    <w:rsid w:val="004E25BD"/>
    <w:rsid w:val="004E26E7"/>
    <w:rsid w:val="004E2757"/>
    <w:rsid w:val="004E2792"/>
    <w:rsid w:val="004E2D03"/>
    <w:rsid w:val="004E3047"/>
    <w:rsid w:val="004E325D"/>
    <w:rsid w:val="004E3907"/>
    <w:rsid w:val="004E3978"/>
    <w:rsid w:val="004E3B47"/>
    <w:rsid w:val="004E3B4D"/>
    <w:rsid w:val="004E3C2E"/>
    <w:rsid w:val="004E3DF9"/>
    <w:rsid w:val="004E4A6E"/>
    <w:rsid w:val="004E4B83"/>
    <w:rsid w:val="004E4D82"/>
    <w:rsid w:val="004E5276"/>
    <w:rsid w:val="004E540D"/>
    <w:rsid w:val="004E5569"/>
    <w:rsid w:val="004E5A56"/>
    <w:rsid w:val="004E5F8D"/>
    <w:rsid w:val="004E609C"/>
    <w:rsid w:val="004E61B8"/>
    <w:rsid w:val="004E6F92"/>
    <w:rsid w:val="004E72FF"/>
    <w:rsid w:val="004E73C7"/>
    <w:rsid w:val="004E7551"/>
    <w:rsid w:val="004E77A1"/>
    <w:rsid w:val="004E7D75"/>
    <w:rsid w:val="004F00D5"/>
    <w:rsid w:val="004F0299"/>
    <w:rsid w:val="004F0856"/>
    <w:rsid w:val="004F09CF"/>
    <w:rsid w:val="004F10B2"/>
    <w:rsid w:val="004F1C37"/>
    <w:rsid w:val="004F1DDA"/>
    <w:rsid w:val="004F1F88"/>
    <w:rsid w:val="004F22A8"/>
    <w:rsid w:val="004F234B"/>
    <w:rsid w:val="004F2D0F"/>
    <w:rsid w:val="004F2E44"/>
    <w:rsid w:val="004F2E9B"/>
    <w:rsid w:val="004F2FE4"/>
    <w:rsid w:val="004F3023"/>
    <w:rsid w:val="004F3731"/>
    <w:rsid w:val="004F3C02"/>
    <w:rsid w:val="004F4415"/>
    <w:rsid w:val="004F473D"/>
    <w:rsid w:val="004F4F40"/>
    <w:rsid w:val="004F545B"/>
    <w:rsid w:val="004F5495"/>
    <w:rsid w:val="004F61F3"/>
    <w:rsid w:val="004F6C36"/>
    <w:rsid w:val="004F7BED"/>
    <w:rsid w:val="0050034E"/>
    <w:rsid w:val="00500A52"/>
    <w:rsid w:val="00500D22"/>
    <w:rsid w:val="00500E59"/>
    <w:rsid w:val="00501A6E"/>
    <w:rsid w:val="00501F76"/>
    <w:rsid w:val="00501FB3"/>
    <w:rsid w:val="00502491"/>
    <w:rsid w:val="00502861"/>
    <w:rsid w:val="00502CD5"/>
    <w:rsid w:val="00502E6E"/>
    <w:rsid w:val="0050359D"/>
    <w:rsid w:val="00503605"/>
    <w:rsid w:val="005045F0"/>
    <w:rsid w:val="00504644"/>
    <w:rsid w:val="00505A54"/>
    <w:rsid w:val="00505D61"/>
    <w:rsid w:val="0050621E"/>
    <w:rsid w:val="00506597"/>
    <w:rsid w:val="00506663"/>
    <w:rsid w:val="005071A1"/>
    <w:rsid w:val="00507454"/>
    <w:rsid w:val="005077B1"/>
    <w:rsid w:val="005079C6"/>
    <w:rsid w:val="00507F85"/>
    <w:rsid w:val="005100D5"/>
    <w:rsid w:val="005106AC"/>
    <w:rsid w:val="00511CE5"/>
    <w:rsid w:val="00511F7E"/>
    <w:rsid w:val="005123AA"/>
    <w:rsid w:val="005124AE"/>
    <w:rsid w:val="00513871"/>
    <w:rsid w:val="005138D7"/>
    <w:rsid w:val="005139F9"/>
    <w:rsid w:val="00513BED"/>
    <w:rsid w:val="00513FA0"/>
    <w:rsid w:val="00514972"/>
    <w:rsid w:val="0051558E"/>
    <w:rsid w:val="00515765"/>
    <w:rsid w:val="005157CD"/>
    <w:rsid w:val="00515A4C"/>
    <w:rsid w:val="00515E37"/>
    <w:rsid w:val="00515FB8"/>
    <w:rsid w:val="0051612A"/>
    <w:rsid w:val="00516382"/>
    <w:rsid w:val="0051671D"/>
    <w:rsid w:val="00516EFD"/>
    <w:rsid w:val="00517D1E"/>
    <w:rsid w:val="00517F8D"/>
    <w:rsid w:val="00520150"/>
    <w:rsid w:val="005206F4"/>
    <w:rsid w:val="00520837"/>
    <w:rsid w:val="005209A1"/>
    <w:rsid w:val="005209F2"/>
    <w:rsid w:val="00520E72"/>
    <w:rsid w:val="00521080"/>
    <w:rsid w:val="00521A59"/>
    <w:rsid w:val="00521D0C"/>
    <w:rsid w:val="005224EB"/>
    <w:rsid w:val="00522BC7"/>
    <w:rsid w:val="00523185"/>
    <w:rsid w:val="005231DD"/>
    <w:rsid w:val="005234B6"/>
    <w:rsid w:val="005235F4"/>
    <w:rsid w:val="00523B5C"/>
    <w:rsid w:val="00524648"/>
    <w:rsid w:val="00524766"/>
    <w:rsid w:val="005252E5"/>
    <w:rsid w:val="005255CB"/>
    <w:rsid w:val="00525D8E"/>
    <w:rsid w:val="00525E94"/>
    <w:rsid w:val="00526660"/>
    <w:rsid w:val="0052695F"/>
    <w:rsid w:val="00526B8F"/>
    <w:rsid w:val="00526BA3"/>
    <w:rsid w:val="00527574"/>
    <w:rsid w:val="00527ED6"/>
    <w:rsid w:val="005308F3"/>
    <w:rsid w:val="00530C01"/>
    <w:rsid w:val="00530E1A"/>
    <w:rsid w:val="00530E91"/>
    <w:rsid w:val="005318CC"/>
    <w:rsid w:val="00531F98"/>
    <w:rsid w:val="00532657"/>
    <w:rsid w:val="0053286C"/>
    <w:rsid w:val="0053296D"/>
    <w:rsid w:val="00532AB8"/>
    <w:rsid w:val="00532DD4"/>
    <w:rsid w:val="0053308E"/>
    <w:rsid w:val="005334D0"/>
    <w:rsid w:val="005340F6"/>
    <w:rsid w:val="005342D2"/>
    <w:rsid w:val="00534AA7"/>
    <w:rsid w:val="00535458"/>
    <w:rsid w:val="00535885"/>
    <w:rsid w:val="005363C9"/>
    <w:rsid w:val="005365DB"/>
    <w:rsid w:val="00536648"/>
    <w:rsid w:val="00537681"/>
    <w:rsid w:val="0053794F"/>
    <w:rsid w:val="005379BE"/>
    <w:rsid w:val="00537E0E"/>
    <w:rsid w:val="00537EC0"/>
    <w:rsid w:val="00540057"/>
    <w:rsid w:val="0054007C"/>
    <w:rsid w:val="00540097"/>
    <w:rsid w:val="00540202"/>
    <w:rsid w:val="00540250"/>
    <w:rsid w:val="00540390"/>
    <w:rsid w:val="005403AB"/>
    <w:rsid w:val="00540B94"/>
    <w:rsid w:val="00540BC1"/>
    <w:rsid w:val="00540E3F"/>
    <w:rsid w:val="0054123D"/>
    <w:rsid w:val="00541372"/>
    <w:rsid w:val="00541C8D"/>
    <w:rsid w:val="0054209C"/>
    <w:rsid w:val="00542119"/>
    <w:rsid w:val="005424BE"/>
    <w:rsid w:val="00542F9B"/>
    <w:rsid w:val="005430CA"/>
    <w:rsid w:val="0054338F"/>
    <w:rsid w:val="005437A5"/>
    <w:rsid w:val="00543A33"/>
    <w:rsid w:val="00543ED8"/>
    <w:rsid w:val="005443D8"/>
    <w:rsid w:val="005446EC"/>
    <w:rsid w:val="00545456"/>
    <w:rsid w:val="005454E6"/>
    <w:rsid w:val="00545F88"/>
    <w:rsid w:val="005468DE"/>
    <w:rsid w:val="00546BB6"/>
    <w:rsid w:val="00547D13"/>
    <w:rsid w:val="00550F28"/>
    <w:rsid w:val="00551178"/>
    <w:rsid w:val="005514AD"/>
    <w:rsid w:val="00551DC6"/>
    <w:rsid w:val="005520A4"/>
    <w:rsid w:val="00552333"/>
    <w:rsid w:val="00552753"/>
    <w:rsid w:val="00552B0F"/>
    <w:rsid w:val="00552E03"/>
    <w:rsid w:val="005532C5"/>
    <w:rsid w:val="0055374A"/>
    <w:rsid w:val="00553A44"/>
    <w:rsid w:val="00553EA8"/>
    <w:rsid w:val="00554F06"/>
    <w:rsid w:val="00554FAD"/>
    <w:rsid w:val="0055521B"/>
    <w:rsid w:val="00555928"/>
    <w:rsid w:val="00556182"/>
    <w:rsid w:val="00556635"/>
    <w:rsid w:val="00556804"/>
    <w:rsid w:val="00556A10"/>
    <w:rsid w:val="0055722A"/>
    <w:rsid w:val="00557303"/>
    <w:rsid w:val="00557A79"/>
    <w:rsid w:val="00557F27"/>
    <w:rsid w:val="0056071B"/>
    <w:rsid w:val="0056091A"/>
    <w:rsid w:val="00562A8F"/>
    <w:rsid w:val="00562CBF"/>
    <w:rsid w:val="00562E40"/>
    <w:rsid w:val="0056323C"/>
    <w:rsid w:val="005639FF"/>
    <w:rsid w:val="00563A96"/>
    <w:rsid w:val="00563B5C"/>
    <w:rsid w:val="00563B65"/>
    <w:rsid w:val="00564116"/>
    <w:rsid w:val="00564131"/>
    <w:rsid w:val="00564454"/>
    <w:rsid w:val="00564635"/>
    <w:rsid w:val="00565003"/>
    <w:rsid w:val="00565128"/>
    <w:rsid w:val="0056586D"/>
    <w:rsid w:val="00565D84"/>
    <w:rsid w:val="00565F79"/>
    <w:rsid w:val="0056637D"/>
    <w:rsid w:val="00566923"/>
    <w:rsid w:val="00566AAB"/>
    <w:rsid w:val="00566B6B"/>
    <w:rsid w:val="005670BB"/>
    <w:rsid w:val="005673E1"/>
    <w:rsid w:val="005675B2"/>
    <w:rsid w:val="0056763A"/>
    <w:rsid w:val="00570208"/>
    <w:rsid w:val="00570303"/>
    <w:rsid w:val="005703AB"/>
    <w:rsid w:val="00570816"/>
    <w:rsid w:val="00570C1D"/>
    <w:rsid w:val="00570E64"/>
    <w:rsid w:val="005710D7"/>
    <w:rsid w:val="00571120"/>
    <w:rsid w:val="00571139"/>
    <w:rsid w:val="00571559"/>
    <w:rsid w:val="0057274D"/>
    <w:rsid w:val="0057286D"/>
    <w:rsid w:val="00572CBE"/>
    <w:rsid w:val="005735E0"/>
    <w:rsid w:val="005736F8"/>
    <w:rsid w:val="00573A7A"/>
    <w:rsid w:val="00573F15"/>
    <w:rsid w:val="0057448A"/>
    <w:rsid w:val="00574598"/>
    <w:rsid w:val="005748BF"/>
    <w:rsid w:val="00574B8E"/>
    <w:rsid w:val="00574C13"/>
    <w:rsid w:val="00574D03"/>
    <w:rsid w:val="00574E4A"/>
    <w:rsid w:val="005754E5"/>
    <w:rsid w:val="00575571"/>
    <w:rsid w:val="00575D89"/>
    <w:rsid w:val="00575E94"/>
    <w:rsid w:val="0057628B"/>
    <w:rsid w:val="0057632C"/>
    <w:rsid w:val="005763FF"/>
    <w:rsid w:val="0057666D"/>
    <w:rsid w:val="00576836"/>
    <w:rsid w:val="00576BF8"/>
    <w:rsid w:val="005770A8"/>
    <w:rsid w:val="00577824"/>
    <w:rsid w:val="0057797F"/>
    <w:rsid w:val="00577A70"/>
    <w:rsid w:val="00577BE7"/>
    <w:rsid w:val="00577E02"/>
    <w:rsid w:val="0058001B"/>
    <w:rsid w:val="00580138"/>
    <w:rsid w:val="00580D37"/>
    <w:rsid w:val="00580F1A"/>
    <w:rsid w:val="00582027"/>
    <w:rsid w:val="0058212E"/>
    <w:rsid w:val="005838E1"/>
    <w:rsid w:val="00583934"/>
    <w:rsid w:val="00583ED7"/>
    <w:rsid w:val="0058451A"/>
    <w:rsid w:val="00584B56"/>
    <w:rsid w:val="0058567F"/>
    <w:rsid w:val="005857F2"/>
    <w:rsid w:val="00585A99"/>
    <w:rsid w:val="00585F3B"/>
    <w:rsid w:val="00586414"/>
    <w:rsid w:val="0058692F"/>
    <w:rsid w:val="00586D8F"/>
    <w:rsid w:val="00586E49"/>
    <w:rsid w:val="0058705A"/>
    <w:rsid w:val="0058707F"/>
    <w:rsid w:val="00587577"/>
    <w:rsid w:val="0059051D"/>
    <w:rsid w:val="005905E8"/>
    <w:rsid w:val="00590746"/>
    <w:rsid w:val="00590942"/>
    <w:rsid w:val="00590DA8"/>
    <w:rsid w:val="00590EE4"/>
    <w:rsid w:val="00590F63"/>
    <w:rsid w:val="005911A4"/>
    <w:rsid w:val="00592383"/>
    <w:rsid w:val="00592A8E"/>
    <w:rsid w:val="005933D3"/>
    <w:rsid w:val="005934B0"/>
    <w:rsid w:val="00593926"/>
    <w:rsid w:val="00593BB8"/>
    <w:rsid w:val="00593F38"/>
    <w:rsid w:val="00593FC2"/>
    <w:rsid w:val="00594D68"/>
    <w:rsid w:val="00594D96"/>
    <w:rsid w:val="00595690"/>
    <w:rsid w:val="00595701"/>
    <w:rsid w:val="00595C1D"/>
    <w:rsid w:val="0059626A"/>
    <w:rsid w:val="0059636D"/>
    <w:rsid w:val="00596606"/>
    <w:rsid w:val="0059676A"/>
    <w:rsid w:val="00596AF3"/>
    <w:rsid w:val="00596F5A"/>
    <w:rsid w:val="00597745"/>
    <w:rsid w:val="00597778"/>
    <w:rsid w:val="00597F31"/>
    <w:rsid w:val="005A0275"/>
    <w:rsid w:val="005A0990"/>
    <w:rsid w:val="005A1215"/>
    <w:rsid w:val="005A1281"/>
    <w:rsid w:val="005A1C4B"/>
    <w:rsid w:val="005A1D01"/>
    <w:rsid w:val="005A22D3"/>
    <w:rsid w:val="005A2444"/>
    <w:rsid w:val="005A2CE9"/>
    <w:rsid w:val="005A32E9"/>
    <w:rsid w:val="005A3418"/>
    <w:rsid w:val="005A354B"/>
    <w:rsid w:val="005A36B2"/>
    <w:rsid w:val="005A3C81"/>
    <w:rsid w:val="005A3D19"/>
    <w:rsid w:val="005A3FBF"/>
    <w:rsid w:val="005A4273"/>
    <w:rsid w:val="005A51BB"/>
    <w:rsid w:val="005A5261"/>
    <w:rsid w:val="005A57EF"/>
    <w:rsid w:val="005A58C2"/>
    <w:rsid w:val="005A5B31"/>
    <w:rsid w:val="005A5B47"/>
    <w:rsid w:val="005A5EEE"/>
    <w:rsid w:val="005A60F5"/>
    <w:rsid w:val="005A65A5"/>
    <w:rsid w:val="005A69C8"/>
    <w:rsid w:val="005A6B27"/>
    <w:rsid w:val="005A6B95"/>
    <w:rsid w:val="005A6C89"/>
    <w:rsid w:val="005A6E35"/>
    <w:rsid w:val="005A72E4"/>
    <w:rsid w:val="005A746A"/>
    <w:rsid w:val="005A7A9D"/>
    <w:rsid w:val="005A7F69"/>
    <w:rsid w:val="005B0B18"/>
    <w:rsid w:val="005B0CF3"/>
    <w:rsid w:val="005B0DEB"/>
    <w:rsid w:val="005B0F63"/>
    <w:rsid w:val="005B104B"/>
    <w:rsid w:val="005B1170"/>
    <w:rsid w:val="005B1941"/>
    <w:rsid w:val="005B1ACE"/>
    <w:rsid w:val="005B1CB2"/>
    <w:rsid w:val="005B27AA"/>
    <w:rsid w:val="005B298B"/>
    <w:rsid w:val="005B2CB7"/>
    <w:rsid w:val="005B2F22"/>
    <w:rsid w:val="005B35FF"/>
    <w:rsid w:val="005B3731"/>
    <w:rsid w:val="005B3E30"/>
    <w:rsid w:val="005B470B"/>
    <w:rsid w:val="005B4A86"/>
    <w:rsid w:val="005B5557"/>
    <w:rsid w:val="005B5C3C"/>
    <w:rsid w:val="005B60C6"/>
    <w:rsid w:val="005B62E4"/>
    <w:rsid w:val="005B6483"/>
    <w:rsid w:val="005B688C"/>
    <w:rsid w:val="005B68DC"/>
    <w:rsid w:val="005B71A9"/>
    <w:rsid w:val="005B7370"/>
    <w:rsid w:val="005B76F8"/>
    <w:rsid w:val="005B7759"/>
    <w:rsid w:val="005B776A"/>
    <w:rsid w:val="005B7C18"/>
    <w:rsid w:val="005B7E83"/>
    <w:rsid w:val="005B7EAC"/>
    <w:rsid w:val="005B7EE9"/>
    <w:rsid w:val="005C0AA8"/>
    <w:rsid w:val="005C0AF2"/>
    <w:rsid w:val="005C0C17"/>
    <w:rsid w:val="005C0D07"/>
    <w:rsid w:val="005C1E59"/>
    <w:rsid w:val="005C1FF7"/>
    <w:rsid w:val="005C22FF"/>
    <w:rsid w:val="005C2354"/>
    <w:rsid w:val="005C23AC"/>
    <w:rsid w:val="005C2996"/>
    <w:rsid w:val="005C29F4"/>
    <w:rsid w:val="005C2D95"/>
    <w:rsid w:val="005C3166"/>
    <w:rsid w:val="005C3170"/>
    <w:rsid w:val="005C3219"/>
    <w:rsid w:val="005C3385"/>
    <w:rsid w:val="005C3520"/>
    <w:rsid w:val="005C36E0"/>
    <w:rsid w:val="005C3A8A"/>
    <w:rsid w:val="005C3B19"/>
    <w:rsid w:val="005C3B1C"/>
    <w:rsid w:val="005C3B63"/>
    <w:rsid w:val="005C3DCF"/>
    <w:rsid w:val="005C510D"/>
    <w:rsid w:val="005C53EB"/>
    <w:rsid w:val="005C5A53"/>
    <w:rsid w:val="005C5CC6"/>
    <w:rsid w:val="005C5CD9"/>
    <w:rsid w:val="005C6134"/>
    <w:rsid w:val="005C6152"/>
    <w:rsid w:val="005C6234"/>
    <w:rsid w:val="005C6303"/>
    <w:rsid w:val="005C646F"/>
    <w:rsid w:val="005C67D5"/>
    <w:rsid w:val="005C6A7B"/>
    <w:rsid w:val="005C6BD8"/>
    <w:rsid w:val="005C6D3F"/>
    <w:rsid w:val="005C75DA"/>
    <w:rsid w:val="005C771E"/>
    <w:rsid w:val="005C79D1"/>
    <w:rsid w:val="005C7B2D"/>
    <w:rsid w:val="005C7E96"/>
    <w:rsid w:val="005C7FE9"/>
    <w:rsid w:val="005D0585"/>
    <w:rsid w:val="005D0764"/>
    <w:rsid w:val="005D0EC3"/>
    <w:rsid w:val="005D1F89"/>
    <w:rsid w:val="005D1F91"/>
    <w:rsid w:val="005D224C"/>
    <w:rsid w:val="005D2557"/>
    <w:rsid w:val="005D2C48"/>
    <w:rsid w:val="005D3EC6"/>
    <w:rsid w:val="005D4394"/>
    <w:rsid w:val="005D46A5"/>
    <w:rsid w:val="005D4E8E"/>
    <w:rsid w:val="005D4F87"/>
    <w:rsid w:val="005D527E"/>
    <w:rsid w:val="005D5685"/>
    <w:rsid w:val="005D58CC"/>
    <w:rsid w:val="005D5AC2"/>
    <w:rsid w:val="005D5D3B"/>
    <w:rsid w:val="005D6A0C"/>
    <w:rsid w:val="005D6C2A"/>
    <w:rsid w:val="005D6EEC"/>
    <w:rsid w:val="005D77EE"/>
    <w:rsid w:val="005D7AC0"/>
    <w:rsid w:val="005D7F31"/>
    <w:rsid w:val="005E011B"/>
    <w:rsid w:val="005E034C"/>
    <w:rsid w:val="005E057E"/>
    <w:rsid w:val="005E0927"/>
    <w:rsid w:val="005E0C90"/>
    <w:rsid w:val="005E0ED7"/>
    <w:rsid w:val="005E0F85"/>
    <w:rsid w:val="005E0FDB"/>
    <w:rsid w:val="005E1519"/>
    <w:rsid w:val="005E1643"/>
    <w:rsid w:val="005E1A67"/>
    <w:rsid w:val="005E1AF3"/>
    <w:rsid w:val="005E1F7B"/>
    <w:rsid w:val="005E208F"/>
    <w:rsid w:val="005E23F9"/>
    <w:rsid w:val="005E24C1"/>
    <w:rsid w:val="005E2592"/>
    <w:rsid w:val="005E2675"/>
    <w:rsid w:val="005E2C6F"/>
    <w:rsid w:val="005E2C9A"/>
    <w:rsid w:val="005E2CED"/>
    <w:rsid w:val="005E2D57"/>
    <w:rsid w:val="005E2DFD"/>
    <w:rsid w:val="005E45C2"/>
    <w:rsid w:val="005E4849"/>
    <w:rsid w:val="005E506C"/>
    <w:rsid w:val="005E51A7"/>
    <w:rsid w:val="005E58A4"/>
    <w:rsid w:val="005E59A0"/>
    <w:rsid w:val="005E5C86"/>
    <w:rsid w:val="005E630C"/>
    <w:rsid w:val="005E6623"/>
    <w:rsid w:val="005E6CBC"/>
    <w:rsid w:val="005E6D30"/>
    <w:rsid w:val="005E7069"/>
    <w:rsid w:val="005E70F6"/>
    <w:rsid w:val="005E747F"/>
    <w:rsid w:val="005F071C"/>
    <w:rsid w:val="005F08B7"/>
    <w:rsid w:val="005F0AEC"/>
    <w:rsid w:val="005F0C59"/>
    <w:rsid w:val="005F10F9"/>
    <w:rsid w:val="005F112B"/>
    <w:rsid w:val="005F1157"/>
    <w:rsid w:val="005F1F8E"/>
    <w:rsid w:val="005F2010"/>
    <w:rsid w:val="005F2276"/>
    <w:rsid w:val="005F232C"/>
    <w:rsid w:val="005F2359"/>
    <w:rsid w:val="005F4093"/>
    <w:rsid w:val="005F425D"/>
    <w:rsid w:val="005F45E7"/>
    <w:rsid w:val="005F4710"/>
    <w:rsid w:val="005F4B70"/>
    <w:rsid w:val="005F4B79"/>
    <w:rsid w:val="005F5140"/>
    <w:rsid w:val="005F51BD"/>
    <w:rsid w:val="005F6130"/>
    <w:rsid w:val="005F649E"/>
    <w:rsid w:val="005F6FDB"/>
    <w:rsid w:val="005F739C"/>
    <w:rsid w:val="005F798A"/>
    <w:rsid w:val="005F7A5E"/>
    <w:rsid w:val="00600264"/>
    <w:rsid w:val="006002D1"/>
    <w:rsid w:val="00600674"/>
    <w:rsid w:val="006019B4"/>
    <w:rsid w:val="00602528"/>
    <w:rsid w:val="006032B4"/>
    <w:rsid w:val="006037F3"/>
    <w:rsid w:val="00603B07"/>
    <w:rsid w:val="00603C6A"/>
    <w:rsid w:val="00603D2B"/>
    <w:rsid w:val="0060433C"/>
    <w:rsid w:val="00604ACF"/>
    <w:rsid w:val="00604D1F"/>
    <w:rsid w:val="00604DCC"/>
    <w:rsid w:val="00604FDE"/>
    <w:rsid w:val="0060578C"/>
    <w:rsid w:val="00605A88"/>
    <w:rsid w:val="0060629F"/>
    <w:rsid w:val="00606397"/>
    <w:rsid w:val="006066BC"/>
    <w:rsid w:val="00606972"/>
    <w:rsid w:val="00606C30"/>
    <w:rsid w:val="00607158"/>
    <w:rsid w:val="00607A99"/>
    <w:rsid w:val="00610455"/>
    <w:rsid w:val="00610F3E"/>
    <w:rsid w:val="00611FD2"/>
    <w:rsid w:val="006122CD"/>
    <w:rsid w:val="006122FA"/>
    <w:rsid w:val="006126AD"/>
    <w:rsid w:val="006127EA"/>
    <w:rsid w:val="00612F12"/>
    <w:rsid w:val="00613085"/>
    <w:rsid w:val="00613457"/>
    <w:rsid w:val="00613525"/>
    <w:rsid w:val="00613851"/>
    <w:rsid w:val="00613ADB"/>
    <w:rsid w:val="00614193"/>
    <w:rsid w:val="0061443C"/>
    <w:rsid w:val="0061465A"/>
    <w:rsid w:val="00614BD4"/>
    <w:rsid w:val="00614C2B"/>
    <w:rsid w:val="00615246"/>
    <w:rsid w:val="0061528A"/>
    <w:rsid w:val="00615375"/>
    <w:rsid w:val="0061539C"/>
    <w:rsid w:val="006157CF"/>
    <w:rsid w:val="006158F6"/>
    <w:rsid w:val="00615984"/>
    <w:rsid w:val="006159DE"/>
    <w:rsid w:val="00615C19"/>
    <w:rsid w:val="0061678B"/>
    <w:rsid w:val="00616C4C"/>
    <w:rsid w:val="0061717E"/>
    <w:rsid w:val="0061792D"/>
    <w:rsid w:val="00617FA2"/>
    <w:rsid w:val="00620206"/>
    <w:rsid w:val="006209EA"/>
    <w:rsid w:val="00620ADA"/>
    <w:rsid w:val="00620AFB"/>
    <w:rsid w:val="006211F8"/>
    <w:rsid w:val="006213B4"/>
    <w:rsid w:val="00621633"/>
    <w:rsid w:val="00621B1B"/>
    <w:rsid w:val="00621CAB"/>
    <w:rsid w:val="00622155"/>
    <w:rsid w:val="00622437"/>
    <w:rsid w:val="00622A94"/>
    <w:rsid w:val="0062328A"/>
    <w:rsid w:val="0062329D"/>
    <w:rsid w:val="00623412"/>
    <w:rsid w:val="00623506"/>
    <w:rsid w:val="006239EC"/>
    <w:rsid w:val="00623EEF"/>
    <w:rsid w:val="0062408A"/>
    <w:rsid w:val="00624435"/>
    <w:rsid w:val="00624665"/>
    <w:rsid w:val="00624D0A"/>
    <w:rsid w:val="006253CA"/>
    <w:rsid w:val="006255D5"/>
    <w:rsid w:val="00625D7B"/>
    <w:rsid w:val="00626005"/>
    <w:rsid w:val="0062613B"/>
    <w:rsid w:val="00626182"/>
    <w:rsid w:val="00626882"/>
    <w:rsid w:val="00626A6D"/>
    <w:rsid w:val="00626A95"/>
    <w:rsid w:val="00626CFB"/>
    <w:rsid w:val="00626EC4"/>
    <w:rsid w:val="006270B6"/>
    <w:rsid w:val="0062726A"/>
    <w:rsid w:val="00627EBA"/>
    <w:rsid w:val="00630324"/>
    <w:rsid w:val="006303E9"/>
    <w:rsid w:val="00630C39"/>
    <w:rsid w:val="00630C9C"/>
    <w:rsid w:val="00630DA1"/>
    <w:rsid w:val="0063152A"/>
    <w:rsid w:val="00631782"/>
    <w:rsid w:val="006317B6"/>
    <w:rsid w:val="006319A7"/>
    <w:rsid w:val="00631BC6"/>
    <w:rsid w:val="00631D92"/>
    <w:rsid w:val="00631DC3"/>
    <w:rsid w:val="006321D7"/>
    <w:rsid w:val="00632790"/>
    <w:rsid w:val="00633474"/>
    <w:rsid w:val="00633BA4"/>
    <w:rsid w:val="006340F8"/>
    <w:rsid w:val="006342BB"/>
    <w:rsid w:val="006345C0"/>
    <w:rsid w:val="006346EF"/>
    <w:rsid w:val="00634733"/>
    <w:rsid w:val="00634EAD"/>
    <w:rsid w:val="0063552A"/>
    <w:rsid w:val="00635818"/>
    <w:rsid w:val="0063587F"/>
    <w:rsid w:val="006358A4"/>
    <w:rsid w:val="006358F9"/>
    <w:rsid w:val="00635A7B"/>
    <w:rsid w:val="00635E3E"/>
    <w:rsid w:val="006360DF"/>
    <w:rsid w:val="0063644B"/>
    <w:rsid w:val="0063683E"/>
    <w:rsid w:val="00636BE0"/>
    <w:rsid w:val="00636FF2"/>
    <w:rsid w:val="00637155"/>
    <w:rsid w:val="00637423"/>
    <w:rsid w:val="00637CA4"/>
    <w:rsid w:val="00640798"/>
    <w:rsid w:val="0064100F"/>
    <w:rsid w:val="00641196"/>
    <w:rsid w:val="006417BE"/>
    <w:rsid w:val="0064185F"/>
    <w:rsid w:val="0064206F"/>
    <w:rsid w:val="006426D8"/>
    <w:rsid w:val="0064286F"/>
    <w:rsid w:val="006428E4"/>
    <w:rsid w:val="00642B74"/>
    <w:rsid w:val="00642EB8"/>
    <w:rsid w:val="00642F4B"/>
    <w:rsid w:val="006435A6"/>
    <w:rsid w:val="006437E3"/>
    <w:rsid w:val="0064380C"/>
    <w:rsid w:val="006440E6"/>
    <w:rsid w:val="0064429C"/>
    <w:rsid w:val="006443F5"/>
    <w:rsid w:val="00644B7D"/>
    <w:rsid w:val="00644BC6"/>
    <w:rsid w:val="00644C09"/>
    <w:rsid w:val="00644F26"/>
    <w:rsid w:val="00644F30"/>
    <w:rsid w:val="006453D3"/>
    <w:rsid w:val="00645965"/>
    <w:rsid w:val="00645E55"/>
    <w:rsid w:val="0064623C"/>
    <w:rsid w:val="0064644D"/>
    <w:rsid w:val="00646623"/>
    <w:rsid w:val="00646CC1"/>
    <w:rsid w:val="0064739C"/>
    <w:rsid w:val="00647520"/>
    <w:rsid w:val="00647B2B"/>
    <w:rsid w:val="00647C0A"/>
    <w:rsid w:val="006506F3"/>
    <w:rsid w:val="00650CD4"/>
    <w:rsid w:val="00651EBB"/>
    <w:rsid w:val="00652309"/>
    <w:rsid w:val="006523C2"/>
    <w:rsid w:val="006527B4"/>
    <w:rsid w:val="00652AE1"/>
    <w:rsid w:val="00652C3B"/>
    <w:rsid w:val="00652E20"/>
    <w:rsid w:val="00653555"/>
    <w:rsid w:val="00653C24"/>
    <w:rsid w:val="00653D8B"/>
    <w:rsid w:val="00654522"/>
    <w:rsid w:val="00654851"/>
    <w:rsid w:val="00654D0E"/>
    <w:rsid w:val="00655980"/>
    <w:rsid w:val="00655F88"/>
    <w:rsid w:val="00656589"/>
    <w:rsid w:val="00656B81"/>
    <w:rsid w:val="00656E48"/>
    <w:rsid w:val="006575D0"/>
    <w:rsid w:val="0065779C"/>
    <w:rsid w:val="00657B66"/>
    <w:rsid w:val="00657E3D"/>
    <w:rsid w:val="00657F72"/>
    <w:rsid w:val="00660D03"/>
    <w:rsid w:val="00661094"/>
    <w:rsid w:val="006614AA"/>
    <w:rsid w:val="0066168D"/>
    <w:rsid w:val="006616E2"/>
    <w:rsid w:val="006618F2"/>
    <w:rsid w:val="0066196F"/>
    <w:rsid w:val="00662196"/>
    <w:rsid w:val="00662498"/>
    <w:rsid w:val="006625D0"/>
    <w:rsid w:val="00662F9C"/>
    <w:rsid w:val="006632AE"/>
    <w:rsid w:val="00663730"/>
    <w:rsid w:val="00663C3D"/>
    <w:rsid w:val="00664277"/>
    <w:rsid w:val="00664BB7"/>
    <w:rsid w:val="00664C39"/>
    <w:rsid w:val="00664FBD"/>
    <w:rsid w:val="00665688"/>
    <w:rsid w:val="0066578A"/>
    <w:rsid w:val="00665CF5"/>
    <w:rsid w:val="00665D6D"/>
    <w:rsid w:val="00665D92"/>
    <w:rsid w:val="00665E4C"/>
    <w:rsid w:val="00665E88"/>
    <w:rsid w:val="00666841"/>
    <w:rsid w:val="00666B70"/>
    <w:rsid w:val="00666BDE"/>
    <w:rsid w:val="00666DA7"/>
    <w:rsid w:val="006672C8"/>
    <w:rsid w:val="006673E8"/>
    <w:rsid w:val="006677FB"/>
    <w:rsid w:val="00667834"/>
    <w:rsid w:val="00667848"/>
    <w:rsid w:val="00667F95"/>
    <w:rsid w:val="006704D0"/>
    <w:rsid w:val="0067055C"/>
    <w:rsid w:val="00670DCE"/>
    <w:rsid w:val="00671107"/>
    <w:rsid w:val="006712D6"/>
    <w:rsid w:val="0067133F"/>
    <w:rsid w:val="0067176A"/>
    <w:rsid w:val="006717E0"/>
    <w:rsid w:val="006718E9"/>
    <w:rsid w:val="00672360"/>
    <w:rsid w:val="006723F2"/>
    <w:rsid w:val="00672D4F"/>
    <w:rsid w:val="00672E06"/>
    <w:rsid w:val="00672E50"/>
    <w:rsid w:val="00672E67"/>
    <w:rsid w:val="00673585"/>
    <w:rsid w:val="006736A1"/>
    <w:rsid w:val="006739BD"/>
    <w:rsid w:val="00673D70"/>
    <w:rsid w:val="00673F51"/>
    <w:rsid w:val="00674461"/>
    <w:rsid w:val="0067458E"/>
    <w:rsid w:val="00675025"/>
    <w:rsid w:val="00675861"/>
    <w:rsid w:val="00675B92"/>
    <w:rsid w:val="00675D18"/>
    <w:rsid w:val="006760A9"/>
    <w:rsid w:val="0067630B"/>
    <w:rsid w:val="0067690D"/>
    <w:rsid w:val="0067748E"/>
    <w:rsid w:val="0067796B"/>
    <w:rsid w:val="00677B21"/>
    <w:rsid w:val="00680514"/>
    <w:rsid w:val="00680676"/>
    <w:rsid w:val="00680BB3"/>
    <w:rsid w:val="00680D69"/>
    <w:rsid w:val="00681046"/>
    <w:rsid w:val="00681494"/>
    <w:rsid w:val="00681CB4"/>
    <w:rsid w:val="006829EF"/>
    <w:rsid w:val="00682F4A"/>
    <w:rsid w:val="006832F8"/>
    <w:rsid w:val="006836DE"/>
    <w:rsid w:val="00683B40"/>
    <w:rsid w:val="00683DC8"/>
    <w:rsid w:val="00683DE1"/>
    <w:rsid w:val="006842B9"/>
    <w:rsid w:val="006847B5"/>
    <w:rsid w:val="00684816"/>
    <w:rsid w:val="00684B0B"/>
    <w:rsid w:val="00684F8B"/>
    <w:rsid w:val="00684FEB"/>
    <w:rsid w:val="0068512D"/>
    <w:rsid w:val="00685540"/>
    <w:rsid w:val="00685582"/>
    <w:rsid w:val="00685799"/>
    <w:rsid w:val="00686419"/>
    <w:rsid w:val="0068663A"/>
    <w:rsid w:val="00686F63"/>
    <w:rsid w:val="006876E2"/>
    <w:rsid w:val="00687E25"/>
    <w:rsid w:val="00690251"/>
    <w:rsid w:val="006905ED"/>
    <w:rsid w:val="00690AE8"/>
    <w:rsid w:val="00690B16"/>
    <w:rsid w:val="00691443"/>
    <w:rsid w:val="00691611"/>
    <w:rsid w:val="006921C3"/>
    <w:rsid w:val="00692B1E"/>
    <w:rsid w:val="00692BAF"/>
    <w:rsid w:val="00692D37"/>
    <w:rsid w:val="0069305A"/>
    <w:rsid w:val="006930C5"/>
    <w:rsid w:val="006932CD"/>
    <w:rsid w:val="006937B2"/>
    <w:rsid w:val="0069383F"/>
    <w:rsid w:val="00693AA7"/>
    <w:rsid w:val="00693BBD"/>
    <w:rsid w:val="00693D1E"/>
    <w:rsid w:val="00694041"/>
    <w:rsid w:val="006941D1"/>
    <w:rsid w:val="00694D4C"/>
    <w:rsid w:val="00695133"/>
    <w:rsid w:val="006951A6"/>
    <w:rsid w:val="00695237"/>
    <w:rsid w:val="00695C81"/>
    <w:rsid w:val="00695F1A"/>
    <w:rsid w:val="00696478"/>
    <w:rsid w:val="00696951"/>
    <w:rsid w:val="006969D9"/>
    <w:rsid w:val="006971E3"/>
    <w:rsid w:val="006975FB"/>
    <w:rsid w:val="00697796"/>
    <w:rsid w:val="00697DFD"/>
    <w:rsid w:val="006A0064"/>
    <w:rsid w:val="006A0073"/>
    <w:rsid w:val="006A0AD9"/>
    <w:rsid w:val="006A10B2"/>
    <w:rsid w:val="006A11F7"/>
    <w:rsid w:val="006A1481"/>
    <w:rsid w:val="006A14A0"/>
    <w:rsid w:val="006A18D6"/>
    <w:rsid w:val="006A1B98"/>
    <w:rsid w:val="006A1D7B"/>
    <w:rsid w:val="006A208B"/>
    <w:rsid w:val="006A27E1"/>
    <w:rsid w:val="006A2CE2"/>
    <w:rsid w:val="006A2EF7"/>
    <w:rsid w:val="006A35D1"/>
    <w:rsid w:val="006A38D3"/>
    <w:rsid w:val="006A39C2"/>
    <w:rsid w:val="006A3E99"/>
    <w:rsid w:val="006A4D41"/>
    <w:rsid w:val="006A4F86"/>
    <w:rsid w:val="006A53B1"/>
    <w:rsid w:val="006A56CF"/>
    <w:rsid w:val="006A57A9"/>
    <w:rsid w:val="006A5E8B"/>
    <w:rsid w:val="006A600C"/>
    <w:rsid w:val="006A7574"/>
    <w:rsid w:val="006A7AC8"/>
    <w:rsid w:val="006A7F87"/>
    <w:rsid w:val="006B0A44"/>
    <w:rsid w:val="006B1B48"/>
    <w:rsid w:val="006B1BDA"/>
    <w:rsid w:val="006B1DE1"/>
    <w:rsid w:val="006B1E0B"/>
    <w:rsid w:val="006B225A"/>
    <w:rsid w:val="006B37B5"/>
    <w:rsid w:val="006B3913"/>
    <w:rsid w:val="006B3AE6"/>
    <w:rsid w:val="006B3D28"/>
    <w:rsid w:val="006B3E53"/>
    <w:rsid w:val="006B41C5"/>
    <w:rsid w:val="006B42A7"/>
    <w:rsid w:val="006B4556"/>
    <w:rsid w:val="006B45C6"/>
    <w:rsid w:val="006B45D4"/>
    <w:rsid w:val="006B63D1"/>
    <w:rsid w:val="006B6427"/>
    <w:rsid w:val="006B6D78"/>
    <w:rsid w:val="006B6FBB"/>
    <w:rsid w:val="006B6FCC"/>
    <w:rsid w:val="006B70ED"/>
    <w:rsid w:val="006B7BE4"/>
    <w:rsid w:val="006B7D66"/>
    <w:rsid w:val="006C02C3"/>
    <w:rsid w:val="006C03DB"/>
    <w:rsid w:val="006C08DE"/>
    <w:rsid w:val="006C0AC2"/>
    <w:rsid w:val="006C0EC9"/>
    <w:rsid w:val="006C15CE"/>
    <w:rsid w:val="006C1DBD"/>
    <w:rsid w:val="006C1FB7"/>
    <w:rsid w:val="006C1FE5"/>
    <w:rsid w:val="006C209C"/>
    <w:rsid w:val="006C22CB"/>
    <w:rsid w:val="006C23F2"/>
    <w:rsid w:val="006C2D96"/>
    <w:rsid w:val="006C31E4"/>
    <w:rsid w:val="006C360D"/>
    <w:rsid w:val="006C3A21"/>
    <w:rsid w:val="006C3BA7"/>
    <w:rsid w:val="006C40FF"/>
    <w:rsid w:val="006C4424"/>
    <w:rsid w:val="006C4552"/>
    <w:rsid w:val="006C4C98"/>
    <w:rsid w:val="006C514B"/>
    <w:rsid w:val="006C55C8"/>
    <w:rsid w:val="006C5B9B"/>
    <w:rsid w:val="006C5C24"/>
    <w:rsid w:val="006C5FA4"/>
    <w:rsid w:val="006C6819"/>
    <w:rsid w:val="006C7380"/>
    <w:rsid w:val="006C7382"/>
    <w:rsid w:val="006C76B9"/>
    <w:rsid w:val="006C7A07"/>
    <w:rsid w:val="006C7B67"/>
    <w:rsid w:val="006D0656"/>
    <w:rsid w:val="006D0804"/>
    <w:rsid w:val="006D0C14"/>
    <w:rsid w:val="006D1401"/>
    <w:rsid w:val="006D1622"/>
    <w:rsid w:val="006D22CE"/>
    <w:rsid w:val="006D254E"/>
    <w:rsid w:val="006D2E8F"/>
    <w:rsid w:val="006D3E6C"/>
    <w:rsid w:val="006D44B3"/>
    <w:rsid w:val="006D4709"/>
    <w:rsid w:val="006D49C2"/>
    <w:rsid w:val="006D4BC2"/>
    <w:rsid w:val="006D4CF0"/>
    <w:rsid w:val="006D4DA4"/>
    <w:rsid w:val="006D4DE6"/>
    <w:rsid w:val="006D505C"/>
    <w:rsid w:val="006D59C1"/>
    <w:rsid w:val="006D6480"/>
    <w:rsid w:val="006D6646"/>
    <w:rsid w:val="006D68C6"/>
    <w:rsid w:val="006D6B27"/>
    <w:rsid w:val="006D6CFC"/>
    <w:rsid w:val="006D6E4A"/>
    <w:rsid w:val="006D71D0"/>
    <w:rsid w:val="006D7B2A"/>
    <w:rsid w:val="006D7CE6"/>
    <w:rsid w:val="006E0347"/>
    <w:rsid w:val="006E05A1"/>
    <w:rsid w:val="006E0660"/>
    <w:rsid w:val="006E09AC"/>
    <w:rsid w:val="006E0A2D"/>
    <w:rsid w:val="006E0DA1"/>
    <w:rsid w:val="006E1539"/>
    <w:rsid w:val="006E172D"/>
    <w:rsid w:val="006E2456"/>
    <w:rsid w:val="006E25A9"/>
    <w:rsid w:val="006E25DA"/>
    <w:rsid w:val="006E26DB"/>
    <w:rsid w:val="006E2877"/>
    <w:rsid w:val="006E2A6B"/>
    <w:rsid w:val="006E2A8D"/>
    <w:rsid w:val="006E329E"/>
    <w:rsid w:val="006E3310"/>
    <w:rsid w:val="006E3669"/>
    <w:rsid w:val="006E3ACF"/>
    <w:rsid w:val="006E3E5B"/>
    <w:rsid w:val="006E45AE"/>
    <w:rsid w:val="006E56B1"/>
    <w:rsid w:val="006E58D6"/>
    <w:rsid w:val="006E5971"/>
    <w:rsid w:val="006E5CDB"/>
    <w:rsid w:val="006E5EED"/>
    <w:rsid w:val="006E5EF4"/>
    <w:rsid w:val="006E6691"/>
    <w:rsid w:val="006E67DF"/>
    <w:rsid w:val="006E696C"/>
    <w:rsid w:val="006E6E2E"/>
    <w:rsid w:val="006E7598"/>
    <w:rsid w:val="006E7B30"/>
    <w:rsid w:val="006F0C2F"/>
    <w:rsid w:val="006F0E4D"/>
    <w:rsid w:val="006F1093"/>
    <w:rsid w:val="006F1175"/>
    <w:rsid w:val="006F122C"/>
    <w:rsid w:val="006F1565"/>
    <w:rsid w:val="006F1679"/>
    <w:rsid w:val="006F17B3"/>
    <w:rsid w:val="006F1881"/>
    <w:rsid w:val="006F1A02"/>
    <w:rsid w:val="006F1B30"/>
    <w:rsid w:val="006F1B66"/>
    <w:rsid w:val="006F1E06"/>
    <w:rsid w:val="006F2068"/>
    <w:rsid w:val="006F2175"/>
    <w:rsid w:val="006F274C"/>
    <w:rsid w:val="006F2765"/>
    <w:rsid w:val="006F32E7"/>
    <w:rsid w:val="006F330E"/>
    <w:rsid w:val="006F3ACF"/>
    <w:rsid w:val="006F3CAB"/>
    <w:rsid w:val="006F3D33"/>
    <w:rsid w:val="006F4376"/>
    <w:rsid w:val="006F44D1"/>
    <w:rsid w:val="006F4B46"/>
    <w:rsid w:val="006F4B98"/>
    <w:rsid w:val="006F4C5E"/>
    <w:rsid w:val="006F5B3E"/>
    <w:rsid w:val="006F6118"/>
    <w:rsid w:val="006F6B8C"/>
    <w:rsid w:val="006F6F6C"/>
    <w:rsid w:val="006F7B62"/>
    <w:rsid w:val="006F7CAF"/>
    <w:rsid w:val="007003F8"/>
    <w:rsid w:val="00700480"/>
    <w:rsid w:val="00700833"/>
    <w:rsid w:val="00700A06"/>
    <w:rsid w:val="00700B57"/>
    <w:rsid w:val="00700BC3"/>
    <w:rsid w:val="0070126A"/>
    <w:rsid w:val="00701C12"/>
    <w:rsid w:val="00702B2B"/>
    <w:rsid w:val="007036A4"/>
    <w:rsid w:val="00703909"/>
    <w:rsid w:val="00703A70"/>
    <w:rsid w:val="00703ADC"/>
    <w:rsid w:val="00703AE3"/>
    <w:rsid w:val="00703DFE"/>
    <w:rsid w:val="00704598"/>
    <w:rsid w:val="007047F1"/>
    <w:rsid w:val="0070481A"/>
    <w:rsid w:val="00704BA7"/>
    <w:rsid w:val="00704F35"/>
    <w:rsid w:val="007050F6"/>
    <w:rsid w:val="007057C0"/>
    <w:rsid w:val="00705913"/>
    <w:rsid w:val="0070623D"/>
    <w:rsid w:val="007062C9"/>
    <w:rsid w:val="00706374"/>
    <w:rsid w:val="007067EF"/>
    <w:rsid w:val="00706995"/>
    <w:rsid w:val="00706BBD"/>
    <w:rsid w:val="00706EBD"/>
    <w:rsid w:val="00707AF0"/>
    <w:rsid w:val="00707B06"/>
    <w:rsid w:val="007105A0"/>
    <w:rsid w:val="0071062E"/>
    <w:rsid w:val="007108C5"/>
    <w:rsid w:val="00710A31"/>
    <w:rsid w:val="00710C8A"/>
    <w:rsid w:val="00710E6C"/>
    <w:rsid w:val="007110B5"/>
    <w:rsid w:val="007117E8"/>
    <w:rsid w:val="007121A2"/>
    <w:rsid w:val="00712258"/>
    <w:rsid w:val="007125E1"/>
    <w:rsid w:val="00712E2B"/>
    <w:rsid w:val="007135E6"/>
    <w:rsid w:val="00713694"/>
    <w:rsid w:val="00713BF3"/>
    <w:rsid w:val="00713F9E"/>
    <w:rsid w:val="00713FEE"/>
    <w:rsid w:val="00714D1E"/>
    <w:rsid w:val="007153BA"/>
    <w:rsid w:val="007155F1"/>
    <w:rsid w:val="00715AE8"/>
    <w:rsid w:val="00715EEC"/>
    <w:rsid w:val="00716671"/>
    <w:rsid w:val="00716680"/>
    <w:rsid w:val="00716746"/>
    <w:rsid w:val="00716B10"/>
    <w:rsid w:val="00716D63"/>
    <w:rsid w:val="00716E3C"/>
    <w:rsid w:val="00717087"/>
    <w:rsid w:val="007171FE"/>
    <w:rsid w:val="00720181"/>
    <w:rsid w:val="007204CA"/>
    <w:rsid w:val="00720C94"/>
    <w:rsid w:val="00720FCE"/>
    <w:rsid w:val="00721026"/>
    <w:rsid w:val="007210AC"/>
    <w:rsid w:val="007211FC"/>
    <w:rsid w:val="00721330"/>
    <w:rsid w:val="0072139B"/>
    <w:rsid w:val="007215F1"/>
    <w:rsid w:val="00721829"/>
    <w:rsid w:val="007218FF"/>
    <w:rsid w:val="00721B24"/>
    <w:rsid w:val="00721DD0"/>
    <w:rsid w:val="0072235D"/>
    <w:rsid w:val="007223D6"/>
    <w:rsid w:val="00722938"/>
    <w:rsid w:val="0072294E"/>
    <w:rsid w:val="00722F08"/>
    <w:rsid w:val="0072389A"/>
    <w:rsid w:val="0072389E"/>
    <w:rsid w:val="00723A59"/>
    <w:rsid w:val="00723EBD"/>
    <w:rsid w:val="00723EFB"/>
    <w:rsid w:val="007241AA"/>
    <w:rsid w:val="0072432D"/>
    <w:rsid w:val="00724457"/>
    <w:rsid w:val="007245EF"/>
    <w:rsid w:val="0072496E"/>
    <w:rsid w:val="00724CFC"/>
    <w:rsid w:val="007251A6"/>
    <w:rsid w:val="007251B8"/>
    <w:rsid w:val="00725A2C"/>
    <w:rsid w:val="00726ABB"/>
    <w:rsid w:val="00727E30"/>
    <w:rsid w:val="00730B2D"/>
    <w:rsid w:val="00730BD8"/>
    <w:rsid w:val="00730ECB"/>
    <w:rsid w:val="00731006"/>
    <w:rsid w:val="00731056"/>
    <w:rsid w:val="00731509"/>
    <w:rsid w:val="007322BC"/>
    <w:rsid w:val="007325BB"/>
    <w:rsid w:val="007327F7"/>
    <w:rsid w:val="00732C14"/>
    <w:rsid w:val="00733308"/>
    <w:rsid w:val="00733437"/>
    <w:rsid w:val="00733778"/>
    <w:rsid w:val="007338AB"/>
    <w:rsid w:val="00734300"/>
    <w:rsid w:val="007347A0"/>
    <w:rsid w:val="007347E6"/>
    <w:rsid w:val="007349F8"/>
    <w:rsid w:val="00734CCC"/>
    <w:rsid w:val="007354FC"/>
    <w:rsid w:val="00735D75"/>
    <w:rsid w:val="00736B40"/>
    <w:rsid w:val="00736E02"/>
    <w:rsid w:val="00737415"/>
    <w:rsid w:val="00737457"/>
    <w:rsid w:val="00737965"/>
    <w:rsid w:val="00737CFD"/>
    <w:rsid w:val="00737E7A"/>
    <w:rsid w:val="00737FD0"/>
    <w:rsid w:val="0074014E"/>
    <w:rsid w:val="00740602"/>
    <w:rsid w:val="00740869"/>
    <w:rsid w:val="00740C86"/>
    <w:rsid w:val="00740D02"/>
    <w:rsid w:val="00740D9D"/>
    <w:rsid w:val="00740F28"/>
    <w:rsid w:val="0074105B"/>
    <w:rsid w:val="00741665"/>
    <w:rsid w:val="007416EA"/>
    <w:rsid w:val="007424D2"/>
    <w:rsid w:val="00742641"/>
    <w:rsid w:val="00742B84"/>
    <w:rsid w:val="00742D0C"/>
    <w:rsid w:val="00743175"/>
    <w:rsid w:val="007431B2"/>
    <w:rsid w:val="007437E6"/>
    <w:rsid w:val="00743838"/>
    <w:rsid w:val="00743DF8"/>
    <w:rsid w:val="00743EB8"/>
    <w:rsid w:val="00744059"/>
    <w:rsid w:val="007442E3"/>
    <w:rsid w:val="00744A61"/>
    <w:rsid w:val="00744F32"/>
    <w:rsid w:val="00745087"/>
    <w:rsid w:val="00745999"/>
    <w:rsid w:val="007462B7"/>
    <w:rsid w:val="00746486"/>
    <w:rsid w:val="00746667"/>
    <w:rsid w:val="0074682F"/>
    <w:rsid w:val="00746931"/>
    <w:rsid w:val="00746A8C"/>
    <w:rsid w:val="00746B41"/>
    <w:rsid w:val="00746DDC"/>
    <w:rsid w:val="00746E6B"/>
    <w:rsid w:val="00746FE6"/>
    <w:rsid w:val="007471EA"/>
    <w:rsid w:val="007476C8"/>
    <w:rsid w:val="00747CFF"/>
    <w:rsid w:val="00750938"/>
    <w:rsid w:val="00750962"/>
    <w:rsid w:val="007510DB"/>
    <w:rsid w:val="00751A91"/>
    <w:rsid w:val="00751CB0"/>
    <w:rsid w:val="00751F03"/>
    <w:rsid w:val="0075292C"/>
    <w:rsid w:val="00752ECC"/>
    <w:rsid w:val="0075335D"/>
    <w:rsid w:val="007534D6"/>
    <w:rsid w:val="00754149"/>
    <w:rsid w:val="007541A0"/>
    <w:rsid w:val="00754468"/>
    <w:rsid w:val="0075453A"/>
    <w:rsid w:val="0075491E"/>
    <w:rsid w:val="00754DAC"/>
    <w:rsid w:val="00754F3D"/>
    <w:rsid w:val="00755371"/>
    <w:rsid w:val="00755AC4"/>
    <w:rsid w:val="00755BF9"/>
    <w:rsid w:val="00755F79"/>
    <w:rsid w:val="007563F6"/>
    <w:rsid w:val="0075691E"/>
    <w:rsid w:val="00756A4B"/>
    <w:rsid w:val="00756EE2"/>
    <w:rsid w:val="007601D8"/>
    <w:rsid w:val="00760252"/>
    <w:rsid w:val="00760839"/>
    <w:rsid w:val="00760859"/>
    <w:rsid w:val="007612A1"/>
    <w:rsid w:val="00761362"/>
    <w:rsid w:val="0076240F"/>
    <w:rsid w:val="00762B44"/>
    <w:rsid w:val="00762E81"/>
    <w:rsid w:val="00762FE6"/>
    <w:rsid w:val="00763318"/>
    <w:rsid w:val="00763E81"/>
    <w:rsid w:val="007643D2"/>
    <w:rsid w:val="007646BA"/>
    <w:rsid w:val="00764731"/>
    <w:rsid w:val="00764CD8"/>
    <w:rsid w:val="00765C0A"/>
    <w:rsid w:val="00765C70"/>
    <w:rsid w:val="0076601D"/>
    <w:rsid w:val="007670B5"/>
    <w:rsid w:val="007670F9"/>
    <w:rsid w:val="007673EA"/>
    <w:rsid w:val="00767696"/>
    <w:rsid w:val="00767760"/>
    <w:rsid w:val="0076776A"/>
    <w:rsid w:val="00767978"/>
    <w:rsid w:val="00767BBA"/>
    <w:rsid w:val="00767CB5"/>
    <w:rsid w:val="00767F07"/>
    <w:rsid w:val="007701E6"/>
    <w:rsid w:val="00770366"/>
    <w:rsid w:val="00770776"/>
    <w:rsid w:val="00770F70"/>
    <w:rsid w:val="00770FF0"/>
    <w:rsid w:val="0077107B"/>
    <w:rsid w:val="00771783"/>
    <w:rsid w:val="00771B21"/>
    <w:rsid w:val="00771F3F"/>
    <w:rsid w:val="00772173"/>
    <w:rsid w:val="007725C0"/>
    <w:rsid w:val="00772990"/>
    <w:rsid w:val="0077373B"/>
    <w:rsid w:val="00773774"/>
    <w:rsid w:val="00773D8B"/>
    <w:rsid w:val="007740FB"/>
    <w:rsid w:val="0077453E"/>
    <w:rsid w:val="007756E0"/>
    <w:rsid w:val="00775AAE"/>
    <w:rsid w:val="007760FA"/>
    <w:rsid w:val="00776212"/>
    <w:rsid w:val="007765F9"/>
    <w:rsid w:val="007768F1"/>
    <w:rsid w:val="00777276"/>
    <w:rsid w:val="00777444"/>
    <w:rsid w:val="007776E4"/>
    <w:rsid w:val="00777EFA"/>
    <w:rsid w:val="00780089"/>
    <w:rsid w:val="00780222"/>
    <w:rsid w:val="007804E0"/>
    <w:rsid w:val="007808D5"/>
    <w:rsid w:val="00780B9F"/>
    <w:rsid w:val="0078103C"/>
    <w:rsid w:val="007811C1"/>
    <w:rsid w:val="00781D0C"/>
    <w:rsid w:val="00782076"/>
    <w:rsid w:val="00782DF6"/>
    <w:rsid w:val="00782FBF"/>
    <w:rsid w:val="0078350E"/>
    <w:rsid w:val="0078380F"/>
    <w:rsid w:val="007838CA"/>
    <w:rsid w:val="007839A9"/>
    <w:rsid w:val="0078535C"/>
    <w:rsid w:val="00785527"/>
    <w:rsid w:val="0078591E"/>
    <w:rsid w:val="00785E99"/>
    <w:rsid w:val="00785F49"/>
    <w:rsid w:val="007863D4"/>
    <w:rsid w:val="007867D7"/>
    <w:rsid w:val="00786CD5"/>
    <w:rsid w:val="007870B7"/>
    <w:rsid w:val="0078753A"/>
    <w:rsid w:val="00787EDA"/>
    <w:rsid w:val="007907DB"/>
    <w:rsid w:val="00790A6D"/>
    <w:rsid w:val="00790C76"/>
    <w:rsid w:val="00790DC3"/>
    <w:rsid w:val="0079119D"/>
    <w:rsid w:val="00791C4A"/>
    <w:rsid w:val="00792632"/>
    <w:rsid w:val="0079264A"/>
    <w:rsid w:val="007932DF"/>
    <w:rsid w:val="007938AA"/>
    <w:rsid w:val="0079390D"/>
    <w:rsid w:val="00794341"/>
    <w:rsid w:val="007945B2"/>
    <w:rsid w:val="007946C8"/>
    <w:rsid w:val="00794BFF"/>
    <w:rsid w:val="00794FE8"/>
    <w:rsid w:val="00795077"/>
    <w:rsid w:val="0079527D"/>
    <w:rsid w:val="00795C1E"/>
    <w:rsid w:val="00795F4D"/>
    <w:rsid w:val="0079648A"/>
    <w:rsid w:val="00796775"/>
    <w:rsid w:val="00796A68"/>
    <w:rsid w:val="00796B6F"/>
    <w:rsid w:val="007974AB"/>
    <w:rsid w:val="00797B90"/>
    <w:rsid w:val="007A0405"/>
    <w:rsid w:val="007A0434"/>
    <w:rsid w:val="007A0475"/>
    <w:rsid w:val="007A0661"/>
    <w:rsid w:val="007A0837"/>
    <w:rsid w:val="007A0F0E"/>
    <w:rsid w:val="007A17D5"/>
    <w:rsid w:val="007A1FD7"/>
    <w:rsid w:val="007A232A"/>
    <w:rsid w:val="007A2352"/>
    <w:rsid w:val="007A31EC"/>
    <w:rsid w:val="007A38BB"/>
    <w:rsid w:val="007A3AE7"/>
    <w:rsid w:val="007A4402"/>
    <w:rsid w:val="007A46E0"/>
    <w:rsid w:val="007A4DEF"/>
    <w:rsid w:val="007A4E51"/>
    <w:rsid w:val="007A51DC"/>
    <w:rsid w:val="007A5508"/>
    <w:rsid w:val="007A5D7B"/>
    <w:rsid w:val="007A5F4D"/>
    <w:rsid w:val="007A61FC"/>
    <w:rsid w:val="007A6FB9"/>
    <w:rsid w:val="007A701F"/>
    <w:rsid w:val="007A74A3"/>
    <w:rsid w:val="007A74DF"/>
    <w:rsid w:val="007A7633"/>
    <w:rsid w:val="007A7A11"/>
    <w:rsid w:val="007A7A27"/>
    <w:rsid w:val="007B0777"/>
    <w:rsid w:val="007B0886"/>
    <w:rsid w:val="007B0B57"/>
    <w:rsid w:val="007B1915"/>
    <w:rsid w:val="007B1BEA"/>
    <w:rsid w:val="007B1E16"/>
    <w:rsid w:val="007B21CF"/>
    <w:rsid w:val="007B2970"/>
    <w:rsid w:val="007B2C63"/>
    <w:rsid w:val="007B2D82"/>
    <w:rsid w:val="007B2E6E"/>
    <w:rsid w:val="007B31E0"/>
    <w:rsid w:val="007B3338"/>
    <w:rsid w:val="007B3631"/>
    <w:rsid w:val="007B3F7D"/>
    <w:rsid w:val="007B4535"/>
    <w:rsid w:val="007B484A"/>
    <w:rsid w:val="007B49AC"/>
    <w:rsid w:val="007B5341"/>
    <w:rsid w:val="007B544E"/>
    <w:rsid w:val="007B630E"/>
    <w:rsid w:val="007B6AF6"/>
    <w:rsid w:val="007B6B38"/>
    <w:rsid w:val="007B6BBA"/>
    <w:rsid w:val="007B7002"/>
    <w:rsid w:val="007B7257"/>
    <w:rsid w:val="007B7573"/>
    <w:rsid w:val="007B76E3"/>
    <w:rsid w:val="007B78AE"/>
    <w:rsid w:val="007C103A"/>
    <w:rsid w:val="007C14F5"/>
    <w:rsid w:val="007C18AD"/>
    <w:rsid w:val="007C1984"/>
    <w:rsid w:val="007C239F"/>
    <w:rsid w:val="007C2A7B"/>
    <w:rsid w:val="007C318D"/>
    <w:rsid w:val="007C32E0"/>
    <w:rsid w:val="007C3549"/>
    <w:rsid w:val="007C3672"/>
    <w:rsid w:val="007C369E"/>
    <w:rsid w:val="007C3F9C"/>
    <w:rsid w:val="007C46BD"/>
    <w:rsid w:val="007C4908"/>
    <w:rsid w:val="007C4EB4"/>
    <w:rsid w:val="007C5242"/>
    <w:rsid w:val="007C5D9C"/>
    <w:rsid w:val="007C67BC"/>
    <w:rsid w:val="007C7A77"/>
    <w:rsid w:val="007C7E86"/>
    <w:rsid w:val="007D0629"/>
    <w:rsid w:val="007D06CA"/>
    <w:rsid w:val="007D0806"/>
    <w:rsid w:val="007D0AD1"/>
    <w:rsid w:val="007D0F96"/>
    <w:rsid w:val="007D16E5"/>
    <w:rsid w:val="007D1A39"/>
    <w:rsid w:val="007D1AA5"/>
    <w:rsid w:val="007D1B39"/>
    <w:rsid w:val="007D1CDD"/>
    <w:rsid w:val="007D2006"/>
    <w:rsid w:val="007D24D0"/>
    <w:rsid w:val="007D2801"/>
    <w:rsid w:val="007D2DCD"/>
    <w:rsid w:val="007D33E6"/>
    <w:rsid w:val="007D3443"/>
    <w:rsid w:val="007D36A8"/>
    <w:rsid w:val="007D36ED"/>
    <w:rsid w:val="007D37BD"/>
    <w:rsid w:val="007D3923"/>
    <w:rsid w:val="007D39F5"/>
    <w:rsid w:val="007D4119"/>
    <w:rsid w:val="007D437D"/>
    <w:rsid w:val="007D43E0"/>
    <w:rsid w:val="007D4447"/>
    <w:rsid w:val="007D4493"/>
    <w:rsid w:val="007D486A"/>
    <w:rsid w:val="007D49BE"/>
    <w:rsid w:val="007D4AE6"/>
    <w:rsid w:val="007D4D70"/>
    <w:rsid w:val="007D4E0E"/>
    <w:rsid w:val="007D4F60"/>
    <w:rsid w:val="007D6AF9"/>
    <w:rsid w:val="007D6F0C"/>
    <w:rsid w:val="007D75DB"/>
    <w:rsid w:val="007D7DB2"/>
    <w:rsid w:val="007D7E7A"/>
    <w:rsid w:val="007D7F44"/>
    <w:rsid w:val="007E0183"/>
    <w:rsid w:val="007E0357"/>
    <w:rsid w:val="007E0AB3"/>
    <w:rsid w:val="007E0FD2"/>
    <w:rsid w:val="007E12E2"/>
    <w:rsid w:val="007E13A1"/>
    <w:rsid w:val="007E1A54"/>
    <w:rsid w:val="007E1B19"/>
    <w:rsid w:val="007E1E9F"/>
    <w:rsid w:val="007E2418"/>
    <w:rsid w:val="007E28BC"/>
    <w:rsid w:val="007E29AE"/>
    <w:rsid w:val="007E2B3A"/>
    <w:rsid w:val="007E2F64"/>
    <w:rsid w:val="007E3022"/>
    <w:rsid w:val="007E32D4"/>
    <w:rsid w:val="007E3A5B"/>
    <w:rsid w:val="007E4E7C"/>
    <w:rsid w:val="007E4ED3"/>
    <w:rsid w:val="007E58A5"/>
    <w:rsid w:val="007E6290"/>
    <w:rsid w:val="007E66C0"/>
    <w:rsid w:val="007E6839"/>
    <w:rsid w:val="007E69A7"/>
    <w:rsid w:val="007E746E"/>
    <w:rsid w:val="007E7E5D"/>
    <w:rsid w:val="007E7F1E"/>
    <w:rsid w:val="007E7FBE"/>
    <w:rsid w:val="007F041F"/>
    <w:rsid w:val="007F0F1E"/>
    <w:rsid w:val="007F1104"/>
    <w:rsid w:val="007F1437"/>
    <w:rsid w:val="007F148E"/>
    <w:rsid w:val="007F15A9"/>
    <w:rsid w:val="007F1FA3"/>
    <w:rsid w:val="007F26D3"/>
    <w:rsid w:val="007F2774"/>
    <w:rsid w:val="007F2F6E"/>
    <w:rsid w:val="007F3216"/>
    <w:rsid w:val="007F331D"/>
    <w:rsid w:val="007F39EF"/>
    <w:rsid w:val="007F3C5C"/>
    <w:rsid w:val="007F3DFF"/>
    <w:rsid w:val="007F424C"/>
    <w:rsid w:val="007F4650"/>
    <w:rsid w:val="007F47EB"/>
    <w:rsid w:val="007F48E4"/>
    <w:rsid w:val="007F4EBC"/>
    <w:rsid w:val="007F4ED2"/>
    <w:rsid w:val="007F4FB4"/>
    <w:rsid w:val="007F5570"/>
    <w:rsid w:val="007F5890"/>
    <w:rsid w:val="007F5A45"/>
    <w:rsid w:val="007F5BB0"/>
    <w:rsid w:val="007F5D2C"/>
    <w:rsid w:val="007F609A"/>
    <w:rsid w:val="007F6109"/>
    <w:rsid w:val="007F61C4"/>
    <w:rsid w:val="007F61DB"/>
    <w:rsid w:val="007F63C2"/>
    <w:rsid w:val="007F687B"/>
    <w:rsid w:val="007F6E14"/>
    <w:rsid w:val="007F7175"/>
    <w:rsid w:val="007F7C25"/>
    <w:rsid w:val="007F7C37"/>
    <w:rsid w:val="00800245"/>
    <w:rsid w:val="008002B4"/>
    <w:rsid w:val="00800A29"/>
    <w:rsid w:val="00800DD3"/>
    <w:rsid w:val="0080112D"/>
    <w:rsid w:val="008012FC"/>
    <w:rsid w:val="0080171B"/>
    <w:rsid w:val="00801FC6"/>
    <w:rsid w:val="00802002"/>
    <w:rsid w:val="0080251B"/>
    <w:rsid w:val="00802C58"/>
    <w:rsid w:val="00802D40"/>
    <w:rsid w:val="008033D8"/>
    <w:rsid w:val="008036DA"/>
    <w:rsid w:val="00803A1E"/>
    <w:rsid w:val="00803BB1"/>
    <w:rsid w:val="0080417B"/>
    <w:rsid w:val="00804EBF"/>
    <w:rsid w:val="008054AA"/>
    <w:rsid w:val="008054F6"/>
    <w:rsid w:val="00807EA5"/>
    <w:rsid w:val="00807EF9"/>
    <w:rsid w:val="008101B4"/>
    <w:rsid w:val="00810E30"/>
    <w:rsid w:val="00810E9B"/>
    <w:rsid w:val="00811C6E"/>
    <w:rsid w:val="0081203F"/>
    <w:rsid w:val="008125AE"/>
    <w:rsid w:val="00813323"/>
    <w:rsid w:val="00813DEE"/>
    <w:rsid w:val="00813E20"/>
    <w:rsid w:val="00814695"/>
    <w:rsid w:val="00814744"/>
    <w:rsid w:val="0081479A"/>
    <w:rsid w:val="008153C5"/>
    <w:rsid w:val="00815F68"/>
    <w:rsid w:val="008162C2"/>
    <w:rsid w:val="008163DF"/>
    <w:rsid w:val="008163F4"/>
    <w:rsid w:val="008165D3"/>
    <w:rsid w:val="008166F7"/>
    <w:rsid w:val="00816AB9"/>
    <w:rsid w:val="00816C71"/>
    <w:rsid w:val="00817073"/>
    <w:rsid w:val="008172BA"/>
    <w:rsid w:val="00817CDD"/>
    <w:rsid w:val="00820831"/>
    <w:rsid w:val="00820C4A"/>
    <w:rsid w:val="00821700"/>
    <w:rsid w:val="0082191C"/>
    <w:rsid w:val="00821EB7"/>
    <w:rsid w:val="008223AF"/>
    <w:rsid w:val="0082299F"/>
    <w:rsid w:val="00822C11"/>
    <w:rsid w:val="00822DC7"/>
    <w:rsid w:val="008234DD"/>
    <w:rsid w:val="008237BC"/>
    <w:rsid w:val="008237C4"/>
    <w:rsid w:val="00823B83"/>
    <w:rsid w:val="00823C3F"/>
    <w:rsid w:val="00823D16"/>
    <w:rsid w:val="00823E87"/>
    <w:rsid w:val="008248CD"/>
    <w:rsid w:val="00824C62"/>
    <w:rsid w:val="00825808"/>
    <w:rsid w:val="00825967"/>
    <w:rsid w:val="00825E8B"/>
    <w:rsid w:val="00825EF8"/>
    <w:rsid w:val="00825FF5"/>
    <w:rsid w:val="00826E76"/>
    <w:rsid w:val="00826F1F"/>
    <w:rsid w:val="008272EF"/>
    <w:rsid w:val="00827460"/>
    <w:rsid w:val="00830056"/>
    <w:rsid w:val="0083018C"/>
    <w:rsid w:val="0083030B"/>
    <w:rsid w:val="00830559"/>
    <w:rsid w:val="0083056A"/>
    <w:rsid w:val="00830675"/>
    <w:rsid w:val="008306C1"/>
    <w:rsid w:val="0083079C"/>
    <w:rsid w:val="008308AF"/>
    <w:rsid w:val="00830DC8"/>
    <w:rsid w:val="00831496"/>
    <w:rsid w:val="0083152B"/>
    <w:rsid w:val="00831C20"/>
    <w:rsid w:val="00831D28"/>
    <w:rsid w:val="00831DE9"/>
    <w:rsid w:val="00831E63"/>
    <w:rsid w:val="008329E3"/>
    <w:rsid w:val="00832A14"/>
    <w:rsid w:val="00832A54"/>
    <w:rsid w:val="008335EF"/>
    <w:rsid w:val="00833CC2"/>
    <w:rsid w:val="00833F73"/>
    <w:rsid w:val="00833F9B"/>
    <w:rsid w:val="008345CA"/>
    <w:rsid w:val="00834606"/>
    <w:rsid w:val="00834650"/>
    <w:rsid w:val="00835229"/>
    <w:rsid w:val="00835CBB"/>
    <w:rsid w:val="00835F7A"/>
    <w:rsid w:val="0084008F"/>
    <w:rsid w:val="008401E0"/>
    <w:rsid w:val="0084048F"/>
    <w:rsid w:val="00840634"/>
    <w:rsid w:val="00840A2F"/>
    <w:rsid w:val="00840D8E"/>
    <w:rsid w:val="00840E17"/>
    <w:rsid w:val="0084258E"/>
    <w:rsid w:val="0084270B"/>
    <w:rsid w:val="0084291E"/>
    <w:rsid w:val="008429F4"/>
    <w:rsid w:val="00843208"/>
    <w:rsid w:val="00843295"/>
    <w:rsid w:val="00843FE7"/>
    <w:rsid w:val="00844930"/>
    <w:rsid w:val="00844EA1"/>
    <w:rsid w:val="00844FCE"/>
    <w:rsid w:val="00845329"/>
    <w:rsid w:val="00845933"/>
    <w:rsid w:val="00845F3E"/>
    <w:rsid w:val="008461B5"/>
    <w:rsid w:val="0084623F"/>
    <w:rsid w:val="00846470"/>
    <w:rsid w:val="008466C0"/>
    <w:rsid w:val="00846D3E"/>
    <w:rsid w:val="00846DA6"/>
    <w:rsid w:val="00846F0D"/>
    <w:rsid w:val="0084769A"/>
    <w:rsid w:val="00847DA0"/>
    <w:rsid w:val="00847F0C"/>
    <w:rsid w:val="00850A3A"/>
    <w:rsid w:val="008511C9"/>
    <w:rsid w:val="0085133E"/>
    <w:rsid w:val="00851A1C"/>
    <w:rsid w:val="00851C88"/>
    <w:rsid w:val="00852236"/>
    <w:rsid w:val="008523BA"/>
    <w:rsid w:val="008526AB"/>
    <w:rsid w:val="0085290A"/>
    <w:rsid w:val="00852B3D"/>
    <w:rsid w:val="00852C4C"/>
    <w:rsid w:val="00852C9C"/>
    <w:rsid w:val="00853179"/>
    <w:rsid w:val="008533B1"/>
    <w:rsid w:val="0085348A"/>
    <w:rsid w:val="00853633"/>
    <w:rsid w:val="00853813"/>
    <w:rsid w:val="00853D18"/>
    <w:rsid w:val="00853FE8"/>
    <w:rsid w:val="008543C7"/>
    <w:rsid w:val="0085460D"/>
    <w:rsid w:val="008548FD"/>
    <w:rsid w:val="008551C0"/>
    <w:rsid w:val="00855448"/>
    <w:rsid w:val="00855F43"/>
    <w:rsid w:val="008560A2"/>
    <w:rsid w:val="00856690"/>
    <w:rsid w:val="00856B29"/>
    <w:rsid w:val="00856E9B"/>
    <w:rsid w:val="0085753F"/>
    <w:rsid w:val="0085758A"/>
    <w:rsid w:val="0085792C"/>
    <w:rsid w:val="008600DC"/>
    <w:rsid w:val="008605D7"/>
    <w:rsid w:val="0086065F"/>
    <w:rsid w:val="008608BB"/>
    <w:rsid w:val="00860AF6"/>
    <w:rsid w:val="008618DB"/>
    <w:rsid w:val="00861B59"/>
    <w:rsid w:val="00862555"/>
    <w:rsid w:val="00862B45"/>
    <w:rsid w:val="00862B9E"/>
    <w:rsid w:val="00863319"/>
    <w:rsid w:val="0086338B"/>
    <w:rsid w:val="00863AD3"/>
    <w:rsid w:val="00863B6B"/>
    <w:rsid w:val="00863BA6"/>
    <w:rsid w:val="00863C3A"/>
    <w:rsid w:val="00863E5C"/>
    <w:rsid w:val="00864000"/>
    <w:rsid w:val="00864051"/>
    <w:rsid w:val="008642BE"/>
    <w:rsid w:val="0086453D"/>
    <w:rsid w:val="00864A5F"/>
    <w:rsid w:val="00865DCB"/>
    <w:rsid w:val="00866542"/>
    <w:rsid w:val="00866603"/>
    <w:rsid w:val="008668C2"/>
    <w:rsid w:val="008675FE"/>
    <w:rsid w:val="00867A27"/>
    <w:rsid w:val="00867B2F"/>
    <w:rsid w:val="0087030C"/>
    <w:rsid w:val="00871A8C"/>
    <w:rsid w:val="00871EE9"/>
    <w:rsid w:val="0087203E"/>
    <w:rsid w:val="00872158"/>
    <w:rsid w:val="00872199"/>
    <w:rsid w:val="00872FE6"/>
    <w:rsid w:val="00873081"/>
    <w:rsid w:val="0087308F"/>
    <w:rsid w:val="0087395A"/>
    <w:rsid w:val="00873AE6"/>
    <w:rsid w:val="00874208"/>
    <w:rsid w:val="0087443A"/>
    <w:rsid w:val="00874BE6"/>
    <w:rsid w:val="00874E5C"/>
    <w:rsid w:val="00875450"/>
    <w:rsid w:val="00875608"/>
    <w:rsid w:val="00875ACB"/>
    <w:rsid w:val="00875EA8"/>
    <w:rsid w:val="00876536"/>
    <w:rsid w:val="00876621"/>
    <w:rsid w:val="00876AA6"/>
    <w:rsid w:val="00876B4F"/>
    <w:rsid w:val="00876C5D"/>
    <w:rsid w:val="00877625"/>
    <w:rsid w:val="00877947"/>
    <w:rsid w:val="00877A86"/>
    <w:rsid w:val="00877D66"/>
    <w:rsid w:val="00877DC5"/>
    <w:rsid w:val="00880185"/>
    <w:rsid w:val="00880A65"/>
    <w:rsid w:val="00880D15"/>
    <w:rsid w:val="00880F2F"/>
    <w:rsid w:val="0088147B"/>
    <w:rsid w:val="00881499"/>
    <w:rsid w:val="008816E9"/>
    <w:rsid w:val="00881719"/>
    <w:rsid w:val="0088175B"/>
    <w:rsid w:val="0088182A"/>
    <w:rsid w:val="00881A65"/>
    <w:rsid w:val="00881B93"/>
    <w:rsid w:val="00881F15"/>
    <w:rsid w:val="00882617"/>
    <w:rsid w:val="008827CF"/>
    <w:rsid w:val="008832A9"/>
    <w:rsid w:val="008836DC"/>
    <w:rsid w:val="00883B82"/>
    <w:rsid w:val="00883C22"/>
    <w:rsid w:val="0088419A"/>
    <w:rsid w:val="008841ED"/>
    <w:rsid w:val="008843E3"/>
    <w:rsid w:val="008859C5"/>
    <w:rsid w:val="00885D27"/>
    <w:rsid w:val="00885F6F"/>
    <w:rsid w:val="00886AE5"/>
    <w:rsid w:val="00886C7F"/>
    <w:rsid w:val="00887852"/>
    <w:rsid w:val="00887B37"/>
    <w:rsid w:val="00887BDC"/>
    <w:rsid w:val="00887E32"/>
    <w:rsid w:val="00887F69"/>
    <w:rsid w:val="008900B2"/>
    <w:rsid w:val="008903E2"/>
    <w:rsid w:val="0089056B"/>
    <w:rsid w:val="008909EE"/>
    <w:rsid w:val="00890EDE"/>
    <w:rsid w:val="0089104D"/>
    <w:rsid w:val="0089119C"/>
    <w:rsid w:val="00891AAF"/>
    <w:rsid w:val="00891FEC"/>
    <w:rsid w:val="008920ED"/>
    <w:rsid w:val="008927AC"/>
    <w:rsid w:val="00892B62"/>
    <w:rsid w:val="00892DBF"/>
    <w:rsid w:val="00892DE6"/>
    <w:rsid w:val="00892F80"/>
    <w:rsid w:val="008932D9"/>
    <w:rsid w:val="008934F6"/>
    <w:rsid w:val="008936D9"/>
    <w:rsid w:val="008937BD"/>
    <w:rsid w:val="00893A14"/>
    <w:rsid w:val="008940E9"/>
    <w:rsid w:val="0089419E"/>
    <w:rsid w:val="008943F8"/>
    <w:rsid w:val="008944A5"/>
    <w:rsid w:val="008944CF"/>
    <w:rsid w:val="0089475F"/>
    <w:rsid w:val="00894B44"/>
    <w:rsid w:val="008957C0"/>
    <w:rsid w:val="00895962"/>
    <w:rsid w:val="00895CB4"/>
    <w:rsid w:val="00895E07"/>
    <w:rsid w:val="00896049"/>
    <w:rsid w:val="00896740"/>
    <w:rsid w:val="0089679B"/>
    <w:rsid w:val="008967B9"/>
    <w:rsid w:val="00896D17"/>
    <w:rsid w:val="0089726B"/>
    <w:rsid w:val="00897701"/>
    <w:rsid w:val="00897DE1"/>
    <w:rsid w:val="008A1014"/>
    <w:rsid w:val="008A169F"/>
    <w:rsid w:val="008A18A9"/>
    <w:rsid w:val="008A1974"/>
    <w:rsid w:val="008A2149"/>
    <w:rsid w:val="008A21D6"/>
    <w:rsid w:val="008A26AC"/>
    <w:rsid w:val="008A2C09"/>
    <w:rsid w:val="008A2ED7"/>
    <w:rsid w:val="008A3E3D"/>
    <w:rsid w:val="008A4981"/>
    <w:rsid w:val="008A4ECD"/>
    <w:rsid w:val="008A5156"/>
    <w:rsid w:val="008A54D3"/>
    <w:rsid w:val="008A5719"/>
    <w:rsid w:val="008A5DBA"/>
    <w:rsid w:val="008A6092"/>
    <w:rsid w:val="008A6399"/>
    <w:rsid w:val="008A65AC"/>
    <w:rsid w:val="008A6CE2"/>
    <w:rsid w:val="008A7A4F"/>
    <w:rsid w:val="008A7CC7"/>
    <w:rsid w:val="008B05A8"/>
    <w:rsid w:val="008B1248"/>
    <w:rsid w:val="008B1339"/>
    <w:rsid w:val="008B20E2"/>
    <w:rsid w:val="008B2657"/>
    <w:rsid w:val="008B273C"/>
    <w:rsid w:val="008B284F"/>
    <w:rsid w:val="008B2BEE"/>
    <w:rsid w:val="008B2FBF"/>
    <w:rsid w:val="008B3011"/>
    <w:rsid w:val="008B301B"/>
    <w:rsid w:val="008B38CA"/>
    <w:rsid w:val="008B3A70"/>
    <w:rsid w:val="008B3BD3"/>
    <w:rsid w:val="008B4D4F"/>
    <w:rsid w:val="008B4E48"/>
    <w:rsid w:val="008B5212"/>
    <w:rsid w:val="008B53D7"/>
    <w:rsid w:val="008B542D"/>
    <w:rsid w:val="008B549C"/>
    <w:rsid w:val="008B55A6"/>
    <w:rsid w:val="008B5A08"/>
    <w:rsid w:val="008B612C"/>
    <w:rsid w:val="008B680C"/>
    <w:rsid w:val="008B778B"/>
    <w:rsid w:val="008C0066"/>
    <w:rsid w:val="008C0453"/>
    <w:rsid w:val="008C05E0"/>
    <w:rsid w:val="008C0606"/>
    <w:rsid w:val="008C11ED"/>
    <w:rsid w:val="008C1937"/>
    <w:rsid w:val="008C1AF7"/>
    <w:rsid w:val="008C1CDB"/>
    <w:rsid w:val="008C224B"/>
    <w:rsid w:val="008C23D9"/>
    <w:rsid w:val="008C2DB4"/>
    <w:rsid w:val="008C2E98"/>
    <w:rsid w:val="008C3EB1"/>
    <w:rsid w:val="008C501E"/>
    <w:rsid w:val="008C5026"/>
    <w:rsid w:val="008C5996"/>
    <w:rsid w:val="008C6808"/>
    <w:rsid w:val="008C6902"/>
    <w:rsid w:val="008C7908"/>
    <w:rsid w:val="008C79DA"/>
    <w:rsid w:val="008D0272"/>
    <w:rsid w:val="008D04D3"/>
    <w:rsid w:val="008D0A59"/>
    <w:rsid w:val="008D0C40"/>
    <w:rsid w:val="008D0C6D"/>
    <w:rsid w:val="008D114F"/>
    <w:rsid w:val="008D13AC"/>
    <w:rsid w:val="008D13D3"/>
    <w:rsid w:val="008D1609"/>
    <w:rsid w:val="008D1702"/>
    <w:rsid w:val="008D1859"/>
    <w:rsid w:val="008D18DD"/>
    <w:rsid w:val="008D1925"/>
    <w:rsid w:val="008D19B3"/>
    <w:rsid w:val="008D21B1"/>
    <w:rsid w:val="008D27EA"/>
    <w:rsid w:val="008D2C1E"/>
    <w:rsid w:val="008D3207"/>
    <w:rsid w:val="008D3443"/>
    <w:rsid w:val="008D3804"/>
    <w:rsid w:val="008D3B75"/>
    <w:rsid w:val="008D3E82"/>
    <w:rsid w:val="008D4175"/>
    <w:rsid w:val="008D457A"/>
    <w:rsid w:val="008D4EB5"/>
    <w:rsid w:val="008D500B"/>
    <w:rsid w:val="008D51E3"/>
    <w:rsid w:val="008D5E33"/>
    <w:rsid w:val="008D649D"/>
    <w:rsid w:val="008D677B"/>
    <w:rsid w:val="008D6BB6"/>
    <w:rsid w:val="008D74D7"/>
    <w:rsid w:val="008D773F"/>
    <w:rsid w:val="008D786A"/>
    <w:rsid w:val="008D7896"/>
    <w:rsid w:val="008D7AD2"/>
    <w:rsid w:val="008D7E96"/>
    <w:rsid w:val="008E0C1D"/>
    <w:rsid w:val="008E0FAE"/>
    <w:rsid w:val="008E165E"/>
    <w:rsid w:val="008E19E6"/>
    <w:rsid w:val="008E1A7F"/>
    <w:rsid w:val="008E1EF6"/>
    <w:rsid w:val="008E1FD7"/>
    <w:rsid w:val="008E2004"/>
    <w:rsid w:val="008E2561"/>
    <w:rsid w:val="008E28C6"/>
    <w:rsid w:val="008E2CC2"/>
    <w:rsid w:val="008E3F29"/>
    <w:rsid w:val="008E47E9"/>
    <w:rsid w:val="008E4AA7"/>
    <w:rsid w:val="008E4C43"/>
    <w:rsid w:val="008E4E3E"/>
    <w:rsid w:val="008E4EA6"/>
    <w:rsid w:val="008E5154"/>
    <w:rsid w:val="008E5418"/>
    <w:rsid w:val="008E548E"/>
    <w:rsid w:val="008E56C9"/>
    <w:rsid w:val="008E58C6"/>
    <w:rsid w:val="008E5A8F"/>
    <w:rsid w:val="008E5B5B"/>
    <w:rsid w:val="008E656C"/>
    <w:rsid w:val="008E65DB"/>
    <w:rsid w:val="008E66F3"/>
    <w:rsid w:val="008E6701"/>
    <w:rsid w:val="008E67DE"/>
    <w:rsid w:val="008E6839"/>
    <w:rsid w:val="008E6C44"/>
    <w:rsid w:val="008E6CB0"/>
    <w:rsid w:val="008E7172"/>
    <w:rsid w:val="008E738F"/>
    <w:rsid w:val="008E74EE"/>
    <w:rsid w:val="008E7817"/>
    <w:rsid w:val="008E782C"/>
    <w:rsid w:val="008E7CEB"/>
    <w:rsid w:val="008E7D27"/>
    <w:rsid w:val="008E7D5C"/>
    <w:rsid w:val="008F0161"/>
    <w:rsid w:val="008F045A"/>
    <w:rsid w:val="008F07B4"/>
    <w:rsid w:val="008F141E"/>
    <w:rsid w:val="008F1B72"/>
    <w:rsid w:val="008F1DBE"/>
    <w:rsid w:val="008F1E02"/>
    <w:rsid w:val="008F1EA0"/>
    <w:rsid w:val="008F2091"/>
    <w:rsid w:val="008F28AA"/>
    <w:rsid w:val="008F30E7"/>
    <w:rsid w:val="008F338A"/>
    <w:rsid w:val="008F3417"/>
    <w:rsid w:val="008F37FC"/>
    <w:rsid w:val="008F3976"/>
    <w:rsid w:val="008F4839"/>
    <w:rsid w:val="008F4DAB"/>
    <w:rsid w:val="008F4FD2"/>
    <w:rsid w:val="008F516C"/>
    <w:rsid w:val="008F55B9"/>
    <w:rsid w:val="008F5804"/>
    <w:rsid w:val="008F6B1B"/>
    <w:rsid w:val="008F70D5"/>
    <w:rsid w:val="008F7381"/>
    <w:rsid w:val="008F7AEF"/>
    <w:rsid w:val="008F7B1D"/>
    <w:rsid w:val="009001F2"/>
    <w:rsid w:val="00900633"/>
    <w:rsid w:val="0090072A"/>
    <w:rsid w:val="00900D06"/>
    <w:rsid w:val="00900EFB"/>
    <w:rsid w:val="00901408"/>
    <w:rsid w:val="0090174C"/>
    <w:rsid w:val="00901EA6"/>
    <w:rsid w:val="0090271E"/>
    <w:rsid w:val="00902CE4"/>
    <w:rsid w:val="00902FE6"/>
    <w:rsid w:val="00903281"/>
    <w:rsid w:val="009033D3"/>
    <w:rsid w:val="00903D75"/>
    <w:rsid w:val="00904674"/>
    <w:rsid w:val="009049F2"/>
    <w:rsid w:val="00904BE2"/>
    <w:rsid w:val="0090510B"/>
    <w:rsid w:val="009054A0"/>
    <w:rsid w:val="009054EB"/>
    <w:rsid w:val="00906131"/>
    <w:rsid w:val="009066AD"/>
    <w:rsid w:val="0090739A"/>
    <w:rsid w:val="0090764C"/>
    <w:rsid w:val="00907A68"/>
    <w:rsid w:val="00907AF7"/>
    <w:rsid w:val="0091096A"/>
    <w:rsid w:val="00910A9E"/>
    <w:rsid w:val="00910D77"/>
    <w:rsid w:val="00910E18"/>
    <w:rsid w:val="00910F4C"/>
    <w:rsid w:val="00911318"/>
    <w:rsid w:val="00911715"/>
    <w:rsid w:val="0091196A"/>
    <w:rsid w:val="009121DF"/>
    <w:rsid w:val="00912274"/>
    <w:rsid w:val="00912CD4"/>
    <w:rsid w:val="00913409"/>
    <w:rsid w:val="00913A23"/>
    <w:rsid w:val="00913AE4"/>
    <w:rsid w:val="00913DAE"/>
    <w:rsid w:val="0091413A"/>
    <w:rsid w:val="0091431A"/>
    <w:rsid w:val="00914321"/>
    <w:rsid w:val="00914754"/>
    <w:rsid w:val="0091541E"/>
    <w:rsid w:val="00915C9C"/>
    <w:rsid w:val="00917357"/>
    <w:rsid w:val="009176CB"/>
    <w:rsid w:val="009179CC"/>
    <w:rsid w:val="009179ED"/>
    <w:rsid w:val="00917AC5"/>
    <w:rsid w:val="00917D80"/>
    <w:rsid w:val="00917EB8"/>
    <w:rsid w:val="00920454"/>
    <w:rsid w:val="009204EB"/>
    <w:rsid w:val="00920899"/>
    <w:rsid w:val="009208EB"/>
    <w:rsid w:val="00920AD3"/>
    <w:rsid w:val="00921168"/>
    <w:rsid w:val="009218FD"/>
    <w:rsid w:val="009218FF"/>
    <w:rsid w:val="00921A09"/>
    <w:rsid w:val="00922144"/>
    <w:rsid w:val="009228A7"/>
    <w:rsid w:val="0092323B"/>
    <w:rsid w:val="009247F0"/>
    <w:rsid w:val="0092497C"/>
    <w:rsid w:val="00924FE9"/>
    <w:rsid w:val="00925347"/>
    <w:rsid w:val="00925BC8"/>
    <w:rsid w:val="0092601B"/>
    <w:rsid w:val="00926416"/>
    <w:rsid w:val="0092677B"/>
    <w:rsid w:val="009268A7"/>
    <w:rsid w:val="00926CC3"/>
    <w:rsid w:val="00926E53"/>
    <w:rsid w:val="009270A3"/>
    <w:rsid w:val="009275E0"/>
    <w:rsid w:val="009278C0"/>
    <w:rsid w:val="009278F9"/>
    <w:rsid w:val="00930879"/>
    <w:rsid w:val="00930AFB"/>
    <w:rsid w:val="00930D11"/>
    <w:rsid w:val="0093107D"/>
    <w:rsid w:val="009315B1"/>
    <w:rsid w:val="009315C1"/>
    <w:rsid w:val="009316DD"/>
    <w:rsid w:val="00931B10"/>
    <w:rsid w:val="00931FE7"/>
    <w:rsid w:val="0093303F"/>
    <w:rsid w:val="00933151"/>
    <w:rsid w:val="0093330F"/>
    <w:rsid w:val="009334E6"/>
    <w:rsid w:val="009336BD"/>
    <w:rsid w:val="009338A2"/>
    <w:rsid w:val="009340DF"/>
    <w:rsid w:val="00934702"/>
    <w:rsid w:val="00934B01"/>
    <w:rsid w:val="009351D9"/>
    <w:rsid w:val="0093524D"/>
    <w:rsid w:val="0093541B"/>
    <w:rsid w:val="0093557C"/>
    <w:rsid w:val="00935620"/>
    <w:rsid w:val="009361D7"/>
    <w:rsid w:val="0093654C"/>
    <w:rsid w:val="0093688B"/>
    <w:rsid w:val="009369E2"/>
    <w:rsid w:val="00937004"/>
    <w:rsid w:val="009374E0"/>
    <w:rsid w:val="00937E40"/>
    <w:rsid w:val="00940039"/>
    <w:rsid w:val="009401DE"/>
    <w:rsid w:val="009407E0"/>
    <w:rsid w:val="00940A24"/>
    <w:rsid w:val="00941101"/>
    <w:rsid w:val="00941614"/>
    <w:rsid w:val="009416EA"/>
    <w:rsid w:val="0094197C"/>
    <w:rsid w:val="00941B5F"/>
    <w:rsid w:val="00941BE4"/>
    <w:rsid w:val="00941EF2"/>
    <w:rsid w:val="0094202B"/>
    <w:rsid w:val="0094210F"/>
    <w:rsid w:val="009429BA"/>
    <w:rsid w:val="0094309F"/>
    <w:rsid w:val="00943927"/>
    <w:rsid w:val="00943964"/>
    <w:rsid w:val="00944564"/>
    <w:rsid w:val="0094458C"/>
    <w:rsid w:val="00945F3F"/>
    <w:rsid w:val="009460BC"/>
    <w:rsid w:val="00946572"/>
    <w:rsid w:val="00947411"/>
    <w:rsid w:val="00947446"/>
    <w:rsid w:val="009476C9"/>
    <w:rsid w:val="009479EB"/>
    <w:rsid w:val="00947C6F"/>
    <w:rsid w:val="00947DD1"/>
    <w:rsid w:val="00950076"/>
    <w:rsid w:val="0095028B"/>
    <w:rsid w:val="0095088F"/>
    <w:rsid w:val="00950EBA"/>
    <w:rsid w:val="00950F48"/>
    <w:rsid w:val="009512D6"/>
    <w:rsid w:val="009514B7"/>
    <w:rsid w:val="0095187E"/>
    <w:rsid w:val="009520FF"/>
    <w:rsid w:val="0095291B"/>
    <w:rsid w:val="009529ED"/>
    <w:rsid w:val="009534C6"/>
    <w:rsid w:val="00953E1F"/>
    <w:rsid w:val="009544E9"/>
    <w:rsid w:val="00954DC3"/>
    <w:rsid w:val="00955503"/>
    <w:rsid w:val="009556DC"/>
    <w:rsid w:val="00955913"/>
    <w:rsid w:val="009562D5"/>
    <w:rsid w:val="00956930"/>
    <w:rsid w:val="00956A3A"/>
    <w:rsid w:val="00956E7B"/>
    <w:rsid w:val="00957BC7"/>
    <w:rsid w:val="00957C45"/>
    <w:rsid w:val="009600F2"/>
    <w:rsid w:val="009605D3"/>
    <w:rsid w:val="009607F9"/>
    <w:rsid w:val="00960CE0"/>
    <w:rsid w:val="0096107C"/>
    <w:rsid w:val="00961153"/>
    <w:rsid w:val="0096115B"/>
    <w:rsid w:val="0096148D"/>
    <w:rsid w:val="00961F18"/>
    <w:rsid w:val="0096239E"/>
    <w:rsid w:val="00962CB0"/>
    <w:rsid w:val="00962E6D"/>
    <w:rsid w:val="00962F69"/>
    <w:rsid w:val="00963A09"/>
    <w:rsid w:val="00964307"/>
    <w:rsid w:val="0096570A"/>
    <w:rsid w:val="00965877"/>
    <w:rsid w:val="00965D62"/>
    <w:rsid w:val="0096600F"/>
    <w:rsid w:val="00966192"/>
    <w:rsid w:val="00966565"/>
    <w:rsid w:val="00966738"/>
    <w:rsid w:val="0096681C"/>
    <w:rsid w:val="00966B68"/>
    <w:rsid w:val="0096770C"/>
    <w:rsid w:val="00967920"/>
    <w:rsid w:val="00967B67"/>
    <w:rsid w:val="00970513"/>
    <w:rsid w:val="00970521"/>
    <w:rsid w:val="009707EA"/>
    <w:rsid w:val="00970917"/>
    <w:rsid w:val="00970DCA"/>
    <w:rsid w:val="0097109F"/>
    <w:rsid w:val="009712C2"/>
    <w:rsid w:val="00971696"/>
    <w:rsid w:val="00971808"/>
    <w:rsid w:val="009719A6"/>
    <w:rsid w:val="00971A1C"/>
    <w:rsid w:val="00971A3E"/>
    <w:rsid w:val="00971ED6"/>
    <w:rsid w:val="00972B06"/>
    <w:rsid w:val="00972F8C"/>
    <w:rsid w:val="0097301A"/>
    <w:rsid w:val="0097307D"/>
    <w:rsid w:val="009737C8"/>
    <w:rsid w:val="009737F2"/>
    <w:rsid w:val="00973A87"/>
    <w:rsid w:val="00973D8B"/>
    <w:rsid w:val="00973E64"/>
    <w:rsid w:val="00973F89"/>
    <w:rsid w:val="009745A7"/>
    <w:rsid w:val="009747E5"/>
    <w:rsid w:val="00974B2C"/>
    <w:rsid w:val="009753ED"/>
    <w:rsid w:val="00975D2B"/>
    <w:rsid w:val="00975E4C"/>
    <w:rsid w:val="009761C3"/>
    <w:rsid w:val="00976214"/>
    <w:rsid w:val="0097672E"/>
    <w:rsid w:val="00976CCE"/>
    <w:rsid w:val="00977339"/>
    <w:rsid w:val="00980044"/>
    <w:rsid w:val="009803E8"/>
    <w:rsid w:val="009805BE"/>
    <w:rsid w:val="0098180B"/>
    <w:rsid w:val="00981B05"/>
    <w:rsid w:val="00981DE3"/>
    <w:rsid w:val="00981DFD"/>
    <w:rsid w:val="009821A0"/>
    <w:rsid w:val="00983069"/>
    <w:rsid w:val="0098415D"/>
    <w:rsid w:val="0098466A"/>
    <w:rsid w:val="00984848"/>
    <w:rsid w:val="00984A99"/>
    <w:rsid w:val="00984B04"/>
    <w:rsid w:val="00984F28"/>
    <w:rsid w:val="009851EB"/>
    <w:rsid w:val="009856D6"/>
    <w:rsid w:val="00986002"/>
    <w:rsid w:val="0098608D"/>
    <w:rsid w:val="0098609E"/>
    <w:rsid w:val="00986778"/>
    <w:rsid w:val="00986D1A"/>
    <w:rsid w:val="009872B3"/>
    <w:rsid w:val="00987355"/>
    <w:rsid w:val="00987738"/>
    <w:rsid w:val="0098794A"/>
    <w:rsid w:val="009879D2"/>
    <w:rsid w:val="009903A2"/>
    <w:rsid w:val="009903E8"/>
    <w:rsid w:val="009907FF"/>
    <w:rsid w:val="00990B2E"/>
    <w:rsid w:val="00990C8F"/>
    <w:rsid w:val="00990D8F"/>
    <w:rsid w:val="00990F14"/>
    <w:rsid w:val="00991127"/>
    <w:rsid w:val="009916ED"/>
    <w:rsid w:val="00992022"/>
    <w:rsid w:val="00992047"/>
    <w:rsid w:val="009923E3"/>
    <w:rsid w:val="009924EE"/>
    <w:rsid w:val="00992559"/>
    <w:rsid w:val="00992DCA"/>
    <w:rsid w:val="009936BA"/>
    <w:rsid w:val="00993AC2"/>
    <w:rsid w:val="00993D89"/>
    <w:rsid w:val="0099438A"/>
    <w:rsid w:val="00994B64"/>
    <w:rsid w:val="00994DBC"/>
    <w:rsid w:val="00995042"/>
    <w:rsid w:val="0099569A"/>
    <w:rsid w:val="00995CB8"/>
    <w:rsid w:val="00996C81"/>
    <w:rsid w:val="00996D9A"/>
    <w:rsid w:val="009973DA"/>
    <w:rsid w:val="009A0204"/>
    <w:rsid w:val="009A0352"/>
    <w:rsid w:val="009A0379"/>
    <w:rsid w:val="009A0BA9"/>
    <w:rsid w:val="009A14D9"/>
    <w:rsid w:val="009A1710"/>
    <w:rsid w:val="009A1BB9"/>
    <w:rsid w:val="009A1BD4"/>
    <w:rsid w:val="009A1EF1"/>
    <w:rsid w:val="009A1F1A"/>
    <w:rsid w:val="009A22BA"/>
    <w:rsid w:val="009A28C9"/>
    <w:rsid w:val="009A28E7"/>
    <w:rsid w:val="009A2AD2"/>
    <w:rsid w:val="009A3562"/>
    <w:rsid w:val="009A35A0"/>
    <w:rsid w:val="009A36C1"/>
    <w:rsid w:val="009A39A5"/>
    <w:rsid w:val="009A3D1F"/>
    <w:rsid w:val="009A3E49"/>
    <w:rsid w:val="009A3F3F"/>
    <w:rsid w:val="009A4260"/>
    <w:rsid w:val="009A42D6"/>
    <w:rsid w:val="009A4486"/>
    <w:rsid w:val="009A44C3"/>
    <w:rsid w:val="009A47FF"/>
    <w:rsid w:val="009A484B"/>
    <w:rsid w:val="009A5079"/>
    <w:rsid w:val="009A508D"/>
    <w:rsid w:val="009A58FF"/>
    <w:rsid w:val="009A5B23"/>
    <w:rsid w:val="009A64D4"/>
    <w:rsid w:val="009A6C08"/>
    <w:rsid w:val="009A6D43"/>
    <w:rsid w:val="009A6E66"/>
    <w:rsid w:val="009A7BF1"/>
    <w:rsid w:val="009B0C00"/>
    <w:rsid w:val="009B0F25"/>
    <w:rsid w:val="009B112E"/>
    <w:rsid w:val="009B11A4"/>
    <w:rsid w:val="009B11E8"/>
    <w:rsid w:val="009B14D3"/>
    <w:rsid w:val="009B1E0C"/>
    <w:rsid w:val="009B1F55"/>
    <w:rsid w:val="009B24F7"/>
    <w:rsid w:val="009B25E2"/>
    <w:rsid w:val="009B2724"/>
    <w:rsid w:val="009B2F99"/>
    <w:rsid w:val="009B301C"/>
    <w:rsid w:val="009B30BF"/>
    <w:rsid w:val="009B36AA"/>
    <w:rsid w:val="009B385C"/>
    <w:rsid w:val="009B3946"/>
    <w:rsid w:val="009B3C83"/>
    <w:rsid w:val="009B46FA"/>
    <w:rsid w:val="009B4739"/>
    <w:rsid w:val="009B49E9"/>
    <w:rsid w:val="009B4DFB"/>
    <w:rsid w:val="009B5D95"/>
    <w:rsid w:val="009B5F4C"/>
    <w:rsid w:val="009B63E2"/>
    <w:rsid w:val="009B684C"/>
    <w:rsid w:val="009B68B6"/>
    <w:rsid w:val="009B6AAB"/>
    <w:rsid w:val="009B6C81"/>
    <w:rsid w:val="009B6DCF"/>
    <w:rsid w:val="009B7078"/>
    <w:rsid w:val="009B77C9"/>
    <w:rsid w:val="009B7812"/>
    <w:rsid w:val="009B7AA9"/>
    <w:rsid w:val="009C00F8"/>
    <w:rsid w:val="009C0856"/>
    <w:rsid w:val="009C09AA"/>
    <w:rsid w:val="009C1309"/>
    <w:rsid w:val="009C1390"/>
    <w:rsid w:val="009C1546"/>
    <w:rsid w:val="009C1643"/>
    <w:rsid w:val="009C1EB1"/>
    <w:rsid w:val="009C20B9"/>
    <w:rsid w:val="009C2A46"/>
    <w:rsid w:val="009C2BD7"/>
    <w:rsid w:val="009C2C87"/>
    <w:rsid w:val="009C2F2B"/>
    <w:rsid w:val="009C2F3A"/>
    <w:rsid w:val="009C37A2"/>
    <w:rsid w:val="009C3994"/>
    <w:rsid w:val="009C4889"/>
    <w:rsid w:val="009C48F4"/>
    <w:rsid w:val="009C4D5A"/>
    <w:rsid w:val="009C4D8D"/>
    <w:rsid w:val="009C4E85"/>
    <w:rsid w:val="009C532F"/>
    <w:rsid w:val="009C66C6"/>
    <w:rsid w:val="009C672E"/>
    <w:rsid w:val="009C785A"/>
    <w:rsid w:val="009C79D9"/>
    <w:rsid w:val="009D08B8"/>
    <w:rsid w:val="009D09FD"/>
    <w:rsid w:val="009D124B"/>
    <w:rsid w:val="009D1547"/>
    <w:rsid w:val="009D16CC"/>
    <w:rsid w:val="009D18E0"/>
    <w:rsid w:val="009D1B42"/>
    <w:rsid w:val="009D1D99"/>
    <w:rsid w:val="009D21A7"/>
    <w:rsid w:val="009D2268"/>
    <w:rsid w:val="009D2880"/>
    <w:rsid w:val="009D2BD4"/>
    <w:rsid w:val="009D2FC1"/>
    <w:rsid w:val="009D44BB"/>
    <w:rsid w:val="009D55D5"/>
    <w:rsid w:val="009D579F"/>
    <w:rsid w:val="009D6BB3"/>
    <w:rsid w:val="009D7808"/>
    <w:rsid w:val="009D7900"/>
    <w:rsid w:val="009D7C2B"/>
    <w:rsid w:val="009D7CDF"/>
    <w:rsid w:val="009E0AFC"/>
    <w:rsid w:val="009E10D9"/>
    <w:rsid w:val="009E1447"/>
    <w:rsid w:val="009E14B0"/>
    <w:rsid w:val="009E1777"/>
    <w:rsid w:val="009E1912"/>
    <w:rsid w:val="009E1D43"/>
    <w:rsid w:val="009E1EA9"/>
    <w:rsid w:val="009E2507"/>
    <w:rsid w:val="009E269C"/>
    <w:rsid w:val="009E393C"/>
    <w:rsid w:val="009E3963"/>
    <w:rsid w:val="009E3EC4"/>
    <w:rsid w:val="009E3F32"/>
    <w:rsid w:val="009E47D3"/>
    <w:rsid w:val="009E535F"/>
    <w:rsid w:val="009E5624"/>
    <w:rsid w:val="009E5BDE"/>
    <w:rsid w:val="009E5C5D"/>
    <w:rsid w:val="009E65D1"/>
    <w:rsid w:val="009E6775"/>
    <w:rsid w:val="009E6781"/>
    <w:rsid w:val="009E6803"/>
    <w:rsid w:val="009E6A03"/>
    <w:rsid w:val="009E6A59"/>
    <w:rsid w:val="009E6DA0"/>
    <w:rsid w:val="009E7087"/>
    <w:rsid w:val="009E71B1"/>
    <w:rsid w:val="009E78A2"/>
    <w:rsid w:val="009E7D11"/>
    <w:rsid w:val="009F001B"/>
    <w:rsid w:val="009F025F"/>
    <w:rsid w:val="009F05D8"/>
    <w:rsid w:val="009F0800"/>
    <w:rsid w:val="009F0888"/>
    <w:rsid w:val="009F093B"/>
    <w:rsid w:val="009F0C23"/>
    <w:rsid w:val="009F11F3"/>
    <w:rsid w:val="009F12F6"/>
    <w:rsid w:val="009F1436"/>
    <w:rsid w:val="009F1479"/>
    <w:rsid w:val="009F1D1C"/>
    <w:rsid w:val="009F1D28"/>
    <w:rsid w:val="009F2084"/>
    <w:rsid w:val="009F21F1"/>
    <w:rsid w:val="009F2AF1"/>
    <w:rsid w:val="009F2CEA"/>
    <w:rsid w:val="009F2D28"/>
    <w:rsid w:val="009F3090"/>
    <w:rsid w:val="009F3775"/>
    <w:rsid w:val="009F3A4D"/>
    <w:rsid w:val="009F3A64"/>
    <w:rsid w:val="009F40A8"/>
    <w:rsid w:val="009F51FB"/>
    <w:rsid w:val="009F5C7C"/>
    <w:rsid w:val="009F5D9A"/>
    <w:rsid w:val="009F607B"/>
    <w:rsid w:val="009F60FC"/>
    <w:rsid w:val="009F621D"/>
    <w:rsid w:val="009F724A"/>
    <w:rsid w:val="009F740C"/>
    <w:rsid w:val="009F7745"/>
    <w:rsid w:val="009F78ED"/>
    <w:rsid w:val="00A00668"/>
    <w:rsid w:val="00A007BA"/>
    <w:rsid w:val="00A0212C"/>
    <w:rsid w:val="00A022C1"/>
    <w:rsid w:val="00A04359"/>
    <w:rsid w:val="00A045E5"/>
    <w:rsid w:val="00A04633"/>
    <w:rsid w:val="00A04A31"/>
    <w:rsid w:val="00A04B08"/>
    <w:rsid w:val="00A04DCA"/>
    <w:rsid w:val="00A05011"/>
    <w:rsid w:val="00A052C4"/>
    <w:rsid w:val="00A05576"/>
    <w:rsid w:val="00A0590B"/>
    <w:rsid w:val="00A05C8C"/>
    <w:rsid w:val="00A05CB2"/>
    <w:rsid w:val="00A062F7"/>
    <w:rsid w:val="00A06FA7"/>
    <w:rsid w:val="00A07226"/>
    <w:rsid w:val="00A077DC"/>
    <w:rsid w:val="00A07933"/>
    <w:rsid w:val="00A07BE6"/>
    <w:rsid w:val="00A07E17"/>
    <w:rsid w:val="00A07FE3"/>
    <w:rsid w:val="00A101EB"/>
    <w:rsid w:val="00A10491"/>
    <w:rsid w:val="00A104B6"/>
    <w:rsid w:val="00A10CBB"/>
    <w:rsid w:val="00A116D3"/>
    <w:rsid w:val="00A120F7"/>
    <w:rsid w:val="00A13453"/>
    <w:rsid w:val="00A13B2A"/>
    <w:rsid w:val="00A13C6C"/>
    <w:rsid w:val="00A13D79"/>
    <w:rsid w:val="00A13DB2"/>
    <w:rsid w:val="00A13ED1"/>
    <w:rsid w:val="00A1435B"/>
    <w:rsid w:val="00A146A0"/>
    <w:rsid w:val="00A14EEB"/>
    <w:rsid w:val="00A16E77"/>
    <w:rsid w:val="00A170A3"/>
    <w:rsid w:val="00A17C6B"/>
    <w:rsid w:val="00A2004B"/>
    <w:rsid w:val="00A20477"/>
    <w:rsid w:val="00A2111B"/>
    <w:rsid w:val="00A21899"/>
    <w:rsid w:val="00A2252B"/>
    <w:rsid w:val="00A229EC"/>
    <w:rsid w:val="00A22C95"/>
    <w:rsid w:val="00A24497"/>
    <w:rsid w:val="00A24808"/>
    <w:rsid w:val="00A248F6"/>
    <w:rsid w:val="00A25330"/>
    <w:rsid w:val="00A25722"/>
    <w:rsid w:val="00A25C36"/>
    <w:rsid w:val="00A25CAF"/>
    <w:rsid w:val="00A25F1B"/>
    <w:rsid w:val="00A26265"/>
    <w:rsid w:val="00A2648D"/>
    <w:rsid w:val="00A267F7"/>
    <w:rsid w:val="00A269D7"/>
    <w:rsid w:val="00A278B2"/>
    <w:rsid w:val="00A27E5C"/>
    <w:rsid w:val="00A300C3"/>
    <w:rsid w:val="00A30365"/>
    <w:rsid w:val="00A304DD"/>
    <w:rsid w:val="00A310FC"/>
    <w:rsid w:val="00A3185C"/>
    <w:rsid w:val="00A3212E"/>
    <w:rsid w:val="00A3293D"/>
    <w:rsid w:val="00A32BBB"/>
    <w:rsid w:val="00A32BFA"/>
    <w:rsid w:val="00A3407C"/>
    <w:rsid w:val="00A34225"/>
    <w:rsid w:val="00A34524"/>
    <w:rsid w:val="00A34F15"/>
    <w:rsid w:val="00A3526D"/>
    <w:rsid w:val="00A3537F"/>
    <w:rsid w:val="00A35483"/>
    <w:rsid w:val="00A3567C"/>
    <w:rsid w:val="00A35779"/>
    <w:rsid w:val="00A35A1F"/>
    <w:rsid w:val="00A36402"/>
    <w:rsid w:val="00A364E4"/>
    <w:rsid w:val="00A36D31"/>
    <w:rsid w:val="00A36F79"/>
    <w:rsid w:val="00A37CCB"/>
    <w:rsid w:val="00A37D24"/>
    <w:rsid w:val="00A37EC8"/>
    <w:rsid w:val="00A37F7F"/>
    <w:rsid w:val="00A40196"/>
    <w:rsid w:val="00A4035B"/>
    <w:rsid w:val="00A4065B"/>
    <w:rsid w:val="00A40B24"/>
    <w:rsid w:val="00A40C30"/>
    <w:rsid w:val="00A40CC2"/>
    <w:rsid w:val="00A40DD4"/>
    <w:rsid w:val="00A410C5"/>
    <w:rsid w:val="00A4130E"/>
    <w:rsid w:val="00A414CC"/>
    <w:rsid w:val="00A417B9"/>
    <w:rsid w:val="00A419EE"/>
    <w:rsid w:val="00A41A91"/>
    <w:rsid w:val="00A41B44"/>
    <w:rsid w:val="00A41F11"/>
    <w:rsid w:val="00A420DC"/>
    <w:rsid w:val="00A429DE"/>
    <w:rsid w:val="00A432F6"/>
    <w:rsid w:val="00A4365D"/>
    <w:rsid w:val="00A436AC"/>
    <w:rsid w:val="00A439AD"/>
    <w:rsid w:val="00A4412F"/>
    <w:rsid w:val="00A44FD4"/>
    <w:rsid w:val="00A44FF8"/>
    <w:rsid w:val="00A45268"/>
    <w:rsid w:val="00A454DC"/>
    <w:rsid w:val="00A458C6"/>
    <w:rsid w:val="00A45F1C"/>
    <w:rsid w:val="00A462D4"/>
    <w:rsid w:val="00A46536"/>
    <w:rsid w:val="00A470BD"/>
    <w:rsid w:val="00A471F8"/>
    <w:rsid w:val="00A4748A"/>
    <w:rsid w:val="00A479A8"/>
    <w:rsid w:val="00A51A13"/>
    <w:rsid w:val="00A51A5F"/>
    <w:rsid w:val="00A5287D"/>
    <w:rsid w:val="00A529DA"/>
    <w:rsid w:val="00A531DA"/>
    <w:rsid w:val="00A53A15"/>
    <w:rsid w:val="00A53BEE"/>
    <w:rsid w:val="00A53DDE"/>
    <w:rsid w:val="00A54CF9"/>
    <w:rsid w:val="00A55950"/>
    <w:rsid w:val="00A5596F"/>
    <w:rsid w:val="00A5656D"/>
    <w:rsid w:val="00A56770"/>
    <w:rsid w:val="00A5699A"/>
    <w:rsid w:val="00A56D1F"/>
    <w:rsid w:val="00A56ED6"/>
    <w:rsid w:val="00A56FB8"/>
    <w:rsid w:val="00A577E6"/>
    <w:rsid w:val="00A579FD"/>
    <w:rsid w:val="00A57B72"/>
    <w:rsid w:val="00A601CF"/>
    <w:rsid w:val="00A60BF6"/>
    <w:rsid w:val="00A60C11"/>
    <w:rsid w:val="00A6111E"/>
    <w:rsid w:val="00A61303"/>
    <w:rsid w:val="00A61486"/>
    <w:rsid w:val="00A617EA"/>
    <w:rsid w:val="00A61A1D"/>
    <w:rsid w:val="00A61DFF"/>
    <w:rsid w:val="00A622F4"/>
    <w:rsid w:val="00A6309A"/>
    <w:rsid w:val="00A63DD2"/>
    <w:rsid w:val="00A64431"/>
    <w:rsid w:val="00A644B6"/>
    <w:rsid w:val="00A646DF"/>
    <w:rsid w:val="00A6528A"/>
    <w:rsid w:val="00A659DD"/>
    <w:rsid w:val="00A663AB"/>
    <w:rsid w:val="00A6651B"/>
    <w:rsid w:val="00A66AFF"/>
    <w:rsid w:val="00A671F4"/>
    <w:rsid w:val="00A6781D"/>
    <w:rsid w:val="00A67C49"/>
    <w:rsid w:val="00A67F37"/>
    <w:rsid w:val="00A7020A"/>
    <w:rsid w:val="00A7050B"/>
    <w:rsid w:val="00A7058E"/>
    <w:rsid w:val="00A70A2E"/>
    <w:rsid w:val="00A70C4B"/>
    <w:rsid w:val="00A70E3C"/>
    <w:rsid w:val="00A70F89"/>
    <w:rsid w:val="00A71327"/>
    <w:rsid w:val="00A71B87"/>
    <w:rsid w:val="00A71C0C"/>
    <w:rsid w:val="00A71DDC"/>
    <w:rsid w:val="00A72DDF"/>
    <w:rsid w:val="00A73053"/>
    <w:rsid w:val="00A73364"/>
    <w:rsid w:val="00A73621"/>
    <w:rsid w:val="00A73EA5"/>
    <w:rsid w:val="00A74084"/>
    <w:rsid w:val="00A740F5"/>
    <w:rsid w:val="00A74122"/>
    <w:rsid w:val="00A746EE"/>
    <w:rsid w:val="00A74F69"/>
    <w:rsid w:val="00A7503E"/>
    <w:rsid w:val="00A75209"/>
    <w:rsid w:val="00A75FDF"/>
    <w:rsid w:val="00A76486"/>
    <w:rsid w:val="00A7668C"/>
    <w:rsid w:val="00A76775"/>
    <w:rsid w:val="00A76D19"/>
    <w:rsid w:val="00A77156"/>
    <w:rsid w:val="00A773B8"/>
    <w:rsid w:val="00A776C8"/>
    <w:rsid w:val="00A77F79"/>
    <w:rsid w:val="00A8017A"/>
    <w:rsid w:val="00A80458"/>
    <w:rsid w:val="00A80497"/>
    <w:rsid w:val="00A80BB0"/>
    <w:rsid w:val="00A818C8"/>
    <w:rsid w:val="00A81D9B"/>
    <w:rsid w:val="00A81F82"/>
    <w:rsid w:val="00A821AE"/>
    <w:rsid w:val="00A82291"/>
    <w:rsid w:val="00A82317"/>
    <w:rsid w:val="00A8247E"/>
    <w:rsid w:val="00A82D34"/>
    <w:rsid w:val="00A831D4"/>
    <w:rsid w:val="00A833A0"/>
    <w:rsid w:val="00A838A7"/>
    <w:rsid w:val="00A83A4C"/>
    <w:rsid w:val="00A83FA0"/>
    <w:rsid w:val="00A8441C"/>
    <w:rsid w:val="00A844CE"/>
    <w:rsid w:val="00A847AA"/>
    <w:rsid w:val="00A84C36"/>
    <w:rsid w:val="00A84E36"/>
    <w:rsid w:val="00A84E7A"/>
    <w:rsid w:val="00A85366"/>
    <w:rsid w:val="00A853B9"/>
    <w:rsid w:val="00A8572F"/>
    <w:rsid w:val="00A85A60"/>
    <w:rsid w:val="00A8616D"/>
    <w:rsid w:val="00A8647F"/>
    <w:rsid w:val="00A86DE2"/>
    <w:rsid w:val="00A86F64"/>
    <w:rsid w:val="00A86FDC"/>
    <w:rsid w:val="00A871B3"/>
    <w:rsid w:val="00A87801"/>
    <w:rsid w:val="00A87B64"/>
    <w:rsid w:val="00A90F01"/>
    <w:rsid w:val="00A90FB1"/>
    <w:rsid w:val="00A91458"/>
    <w:rsid w:val="00A919F8"/>
    <w:rsid w:val="00A91CC4"/>
    <w:rsid w:val="00A91F45"/>
    <w:rsid w:val="00A91FF2"/>
    <w:rsid w:val="00A92831"/>
    <w:rsid w:val="00A92AA2"/>
    <w:rsid w:val="00A93038"/>
    <w:rsid w:val="00A9327C"/>
    <w:rsid w:val="00A9364F"/>
    <w:rsid w:val="00A937F2"/>
    <w:rsid w:val="00A93A44"/>
    <w:rsid w:val="00A95A17"/>
    <w:rsid w:val="00A95A86"/>
    <w:rsid w:val="00A9605E"/>
    <w:rsid w:val="00A964DB"/>
    <w:rsid w:val="00A96B11"/>
    <w:rsid w:val="00A96FE7"/>
    <w:rsid w:val="00A971B2"/>
    <w:rsid w:val="00A974FB"/>
    <w:rsid w:val="00A97687"/>
    <w:rsid w:val="00A9771F"/>
    <w:rsid w:val="00A97DB1"/>
    <w:rsid w:val="00A97F09"/>
    <w:rsid w:val="00AA028F"/>
    <w:rsid w:val="00AA0A37"/>
    <w:rsid w:val="00AA0A74"/>
    <w:rsid w:val="00AA0D61"/>
    <w:rsid w:val="00AA1125"/>
    <w:rsid w:val="00AA13A9"/>
    <w:rsid w:val="00AA1665"/>
    <w:rsid w:val="00AA1F4B"/>
    <w:rsid w:val="00AA24B8"/>
    <w:rsid w:val="00AA28A6"/>
    <w:rsid w:val="00AA2A0D"/>
    <w:rsid w:val="00AA3933"/>
    <w:rsid w:val="00AA3B5D"/>
    <w:rsid w:val="00AA3C95"/>
    <w:rsid w:val="00AA4898"/>
    <w:rsid w:val="00AA4A8C"/>
    <w:rsid w:val="00AA4D12"/>
    <w:rsid w:val="00AA5446"/>
    <w:rsid w:val="00AA5793"/>
    <w:rsid w:val="00AA5A5B"/>
    <w:rsid w:val="00AA5BE3"/>
    <w:rsid w:val="00AA60E4"/>
    <w:rsid w:val="00AA691E"/>
    <w:rsid w:val="00AA69CC"/>
    <w:rsid w:val="00AA69F9"/>
    <w:rsid w:val="00AA6D1E"/>
    <w:rsid w:val="00AA7020"/>
    <w:rsid w:val="00AA7159"/>
    <w:rsid w:val="00AA74C4"/>
    <w:rsid w:val="00AA75A4"/>
    <w:rsid w:val="00AB043D"/>
    <w:rsid w:val="00AB07C6"/>
    <w:rsid w:val="00AB0947"/>
    <w:rsid w:val="00AB0BDB"/>
    <w:rsid w:val="00AB1159"/>
    <w:rsid w:val="00AB1B8A"/>
    <w:rsid w:val="00AB26E3"/>
    <w:rsid w:val="00AB3010"/>
    <w:rsid w:val="00AB3195"/>
    <w:rsid w:val="00AB3206"/>
    <w:rsid w:val="00AB3DF2"/>
    <w:rsid w:val="00AB417E"/>
    <w:rsid w:val="00AB4B8E"/>
    <w:rsid w:val="00AB567B"/>
    <w:rsid w:val="00AB590E"/>
    <w:rsid w:val="00AB6002"/>
    <w:rsid w:val="00AB6264"/>
    <w:rsid w:val="00AB657C"/>
    <w:rsid w:val="00AB65FD"/>
    <w:rsid w:val="00AB6D5B"/>
    <w:rsid w:val="00AB6E91"/>
    <w:rsid w:val="00AB75B0"/>
    <w:rsid w:val="00AB77A2"/>
    <w:rsid w:val="00AB7A01"/>
    <w:rsid w:val="00AC0735"/>
    <w:rsid w:val="00AC0CAA"/>
    <w:rsid w:val="00AC13B1"/>
    <w:rsid w:val="00AC18BE"/>
    <w:rsid w:val="00AC1A4A"/>
    <w:rsid w:val="00AC1B3C"/>
    <w:rsid w:val="00AC1C74"/>
    <w:rsid w:val="00AC22A1"/>
    <w:rsid w:val="00AC2877"/>
    <w:rsid w:val="00AC2A3C"/>
    <w:rsid w:val="00AC33C0"/>
    <w:rsid w:val="00AC3597"/>
    <w:rsid w:val="00AC36A7"/>
    <w:rsid w:val="00AC3E50"/>
    <w:rsid w:val="00AC4D52"/>
    <w:rsid w:val="00AC51A8"/>
    <w:rsid w:val="00AC544D"/>
    <w:rsid w:val="00AC5BB0"/>
    <w:rsid w:val="00AC6F00"/>
    <w:rsid w:val="00AC712A"/>
    <w:rsid w:val="00AC760B"/>
    <w:rsid w:val="00AC79FA"/>
    <w:rsid w:val="00AD00A8"/>
    <w:rsid w:val="00AD034D"/>
    <w:rsid w:val="00AD0C77"/>
    <w:rsid w:val="00AD177D"/>
    <w:rsid w:val="00AD18F2"/>
    <w:rsid w:val="00AD1E29"/>
    <w:rsid w:val="00AD2168"/>
    <w:rsid w:val="00AD2713"/>
    <w:rsid w:val="00AD2825"/>
    <w:rsid w:val="00AD2BBA"/>
    <w:rsid w:val="00AD2DE9"/>
    <w:rsid w:val="00AD2F0B"/>
    <w:rsid w:val="00AD2F57"/>
    <w:rsid w:val="00AD30FC"/>
    <w:rsid w:val="00AD327F"/>
    <w:rsid w:val="00AD3907"/>
    <w:rsid w:val="00AD42F4"/>
    <w:rsid w:val="00AD4744"/>
    <w:rsid w:val="00AD4C99"/>
    <w:rsid w:val="00AD4CA7"/>
    <w:rsid w:val="00AD4D8A"/>
    <w:rsid w:val="00AD51DF"/>
    <w:rsid w:val="00AD5A62"/>
    <w:rsid w:val="00AD5B8D"/>
    <w:rsid w:val="00AD5C4B"/>
    <w:rsid w:val="00AD5DAC"/>
    <w:rsid w:val="00AD5EC1"/>
    <w:rsid w:val="00AD6D7F"/>
    <w:rsid w:val="00AD713F"/>
    <w:rsid w:val="00AD7B1E"/>
    <w:rsid w:val="00AE00D5"/>
    <w:rsid w:val="00AE0812"/>
    <w:rsid w:val="00AE0A5E"/>
    <w:rsid w:val="00AE0C40"/>
    <w:rsid w:val="00AE17B2"/>
    <w:rsid w:val="00AE1981"/>
    <w:rsid w:val="00AE1A8B"/>
    <w:rsid w:val="00AE20FA"/>
    <w:rsid w:val="00AE21CF"/>
    <w:rsid w:val="00AE21E5"/>
    <w:rsid w:val="00AE2609"/>
    <w:rsid w:val="00AE2C1B"/>
    <w:rsid w:val="00AE2C24"/>
    <w:rsid w:val="00AE2CAE"/>
    <w:rsid w:val="00AE2EB8"/>
    <w:rsid w:val="00AE3191"/>
    <w:rsid w:val="00AE36D2"/>
    <w:rsid w:val="00AE3B61"/>
    <w:rsid w:val="00AE3BA4"/>
    <w:rsid w:val="00AE3DED"/>
    <w:rsid w:val="00AE3E15"/>
    <w:rsid w:val="00AE4117"/>
    <w:rsid w:val="00AE43D4"/>
    <w:rsid w:val="00AE43D8"/>
    <w:rsid w:val="00AE4468"/>
    <w:rsid w:val="00AE457D"/>
    <w:rsid w:val="00AE4653"/>
    <w:rsid w:val="00AE4BA0"/>
    <w:rsid w:val="00AE4CC3"/>
    <w:rsid w:val="00AE4F64"/>
    <w:rsid w:val="00AE4F97"/>
    <w:rsid w:val="00AE52E5"/>
    <w:rsid w:val="00AE59A0"/>
    <w:rsid w:val="00AE5FAD"/>
    <w:rsid w:val="00AE6313"/>
    <w:rsid w:val="00AE67DB"/>
    <w:rsid w:val="00AE6AF2"/>
    <w:rsid w:val="00AE6DDC"/>
    <w:rsid w:val="00AE6F43"/>
    <w:rsid w:val="00AE6FCD"/>
    <w:rsid w:val="00AE7A8F"/>
    <w:rsid w:val="00AE7ADA"/>
    <w:rsid w:val="00AE7D31"/>
    <w:rsid w:val="00AE7D6D"/>
    <w:rsid w:val="00AE7E8B"/>
    <w:rsid w:val="00AF0DB3"/>
    <w:rsid w:val="00AF1506"/>
    <w:rsid w:val="00AF204F"/>
    <w:rsid w:val="00AF2498"/>
    <w:rsid w:val="00AF2946"/>
    <w:rsid w:val="00AF29A9"/>
    <w:rsid w:val="00AF2B2F"/>
    <w:rsid w:val="00AF3904"/>
    <w:rsid w:val="00AF4B68"/>
    <w:rsid w:val="00AF4BD5"/>
    <w:rsid w:val="00AF4FA6"/>
    <w:rsid w:val="00AF5CEC"/>
    <w:rsid w:val="00AF618E"/>
    <w:rsid w:val="00AF6219"/>
    <w:rsid w:val="00AF65F5"/>
    <w:rsid w:val="00AF6641"/>
    <w:rsid w:val="00AF72B7"/>
    <w:rsid w:val="00AF769F"/>
    <w:rsid w:val="00B00424"/>
    <w:rsid w:val="00B004B1"/>
    <w:rsid w:val="00B007C1"/>
    <w:rsid w:val="00B00BBF"/>
    <w:rsid w:val="00B01588"/>
    <w:rsid w:val="00B0165E"/>
    <w:rsid w:val="00B01A46"/>
    <w:rsid w:val="00B01D85"/>
    <w:rsid w:val="00B02036"/>
    <w:rsid w:val="00B022D4"/>
    <w:rsid w:val="00B0273A"/>
    <w:rsid w:val="00B0294D"/>
    <w:rsid w:val="00B0379B"/>
    <w:rsid w:val="00B043C9"/>
    <w:rsid w:val="00B047F4"/>
    <w:rsid w:val="00B057FD"/>
    <w:rsid w:val="00B05BF3"/>
    <w:rsid w:val="00B062A3"/>
    <w:rsid w:val="00B06337"/>
    <w:rsid w:val="00B06495"/>
    <w:rsid w:val="00B0666E"/>
    <w:rsid w:val="00B07271"/>
    <w:rsid w:val="00B07695"/>
    <w:rsid w:val="00B10188"/>
    <w:rsid w:val="00B1035F"/>
    <w:rsid w:val="00B10561"/>
    <w:rsid w:val="00B10673"/>
    <w:rsid w:val="00B11023"/>
    <w:rsid w:val="00B11626"/>
    <w:rsid w:val="00B118D6"/>
    <w:rsid w:val="00B11CED"/>
    <w:rsid w:val="00B11DAA"/>
    <w:rsid w:val="00B11F98"/>
    <w:rsid w:val="00B1222B"/>
    <w:rsid w:val="00B12500"/>
    <w:rsid w:val="00B12591"/>
    <w:rsid w:val="00B1288F"/>
    <w:rsid w:val="00B133AC"/>
    <w:rsid w:val="00B13711"/>
    <w:rsid w:val="00B1375B"/>
    <w:rsid w:val="00B13D05"/>
    <w:rsid w:val="00B144BE"/>
    <w:rsid w:val="00B15174"/>
    <w:rsid w:val="00B1539C"/>
    <w:rsid w:val="00B15606"/>
    <w:rsid w:val="00B15D13"/>
    <w:rsid w:val="00B15DEA"/>
    <w:rsid w:val="00B15EFE"/>
    <w:rsid w:val="00B16029"/>
    <w:rsid w:val="00B17011"/>
    <w:rsid w:val="00B17250"/>
    <w:rsid w:val="00B17414"/>
    <w:rsid w:val="00B17A7F"/>
    <w:rsid w:val="00B17E64"/>
    <w:rsid w:val="00B205BA"/>
    <w:rsid w:val="00B206D4"/>
    <w:rsid w:val="00B20A19"/>
    <w:rsid w:val="00B21096"/>
    <w:rsid w:val="00B21445"/>
    <w:rsid w:val="00B2153F"/>
    <w:rsid w:val="00B2158D"/>
    <w:rsid w:val="00B216EE"/>
    <w:rsid w:val="00B217B1"/>
    <w:rsid w:val="00B21DC5"/>
    <w:rsid w:val="00B223E2"/>
    <w:rsid w:val="00B229DC"/>
    <w:rsid w:val="00B22C32"/>
    <w:rsid w:val="00B22F84"/>
    <w:rsid w:val="00B22F9E"/>
    <w:rsid w:val="00B235B2"/>
    <w:rsid w:val="00B23849"/>
    <w:rsid w:val="00B23BA5"/>
    <w:rsid w:val="00B23BEF"/>
    <w:rsid w:val="00B23EEE"/>
    <w:rsid w:val="00B23F7B"/>
    <w:rsid w:val="00B24D83"/>
    <w:rsid w:val="00B24EF5"/>
    <w:rsid w:val="00B25109"/>
    <w:rsid w:val="00B2554C"/>
    <w:rsid w:val="00B2612B"/>
    <w:rsid w:val="00B2630C"/>
    <w:rsid w:val="00B264ED"/>
    <w:rsid w:val="00B26657"/>
    <w:rsid w:val="00B26CFF"/>
    <w:rsid w:val="00B27383"/>
    <w:rsid w:val="00B278EB"/>
    <w:rsid w:val="00B301A6"/>
    <w:rsid w:val="00B30993"/>
    <w:rsid w:val="00B30B44"/>
    <w:rsid w:val="00B30D08"/>
    <w:rsid w:val="00B30EAC"/>
    <w:rsid w:val="00B318F5"/>
    <w:rsid w:val="00B324E0"/>
    <w:rsid w:val="00B32791"/>
    <w:rsid w:val="00B32B52"/>
    <w:rsid w:val="00B334B8"/>
    <w:rsid w:val="00B33B69"/>
    <w:rsid w:val="00B33C50"/>
    <w:rsid w:val="00B340FF"/>
    <w:rsid w:val="00B341F4"/>
    <w:rsid w:val="00B345F6"/>
    <w:rsid w:val="00B346E7"/>
    <w:rsid w:val="00B34D5E"/>
    <w:rsid w:val="00B34F1D"/>
    <w:rsid w:val="00B36351"/>
    <w:rsid w:val="00B3665C"/>
    <w:rsid w:val="00B37006"/>
    <w:rsid w:val="00B37A42"/>
    <w:rsid w:val="00B37AC3"/>
    <w:rsid w:val="00B37E9D"/>
    <w:rsid w:val="00B40261"/>
    <w:rsid w:val="00B40417"/>
    <w:rsid w:val="00B40748"/>
    <w:rsid w:val="00B412F7"/>
    <w:rsid w:val="00B41511"/>
    <w:rsid w:val="00B418C5"/>
    <w:rsid w:val="00B41AF4"/>
    <w:rsid w:val="00B421E8"/>
    <w:rsid w:val="00B4235F"/>
    <w:rsid w:val="00B425FB"/>
    <w:rsid w:val="00B4260C"/>
    <w:rsid w:val="00B42E3B"/>
    <w:rsid w:val="00B42F32"/>
    <w:rsid w:val="00B43154"/>
    <w:rsid w:val="00B4338F"/>
    <w:rsid w:val="00B435CD"/>
    <w:rsid w:val="00B43661"/>
    <w:rsid w:val="00B439D1"/>
    <w:rsid w:val="00B43B5D"/>
    <w:rsid w:val="00B43E22"/>
    <w:rsid w:val="00B45136"/>
    <w:rsid w:val="00B45189"/>
    <w:rsid w:val="00B45732"/>
    <w:rsid w:val="00B45CC3"/>
    <w:rsid w:val="00B46188"/>
    <w:rsid w:val="00B46409"/>
    <w:rsid w:val="00B46675"/>
    <w:rsid w:val="00B46F98"/>
    <w:rsid w:val="00B47DF6"/>
    <w:rsid w:val="00B50114"/>
    <w:rsid w:val="00B5183A"/>
    <w:rsid w:val="00B519CB"/>
    <w:rsid w:val="00B51E85"/>
    <w:rsid w:val="00B520EA"/>
    <w:rsid w:val="00B5240C"/>
    <w:rsid w:val="00B52504"/>
    <w:rsid w:val="00B52632"/>
    <w:rsid w:val="00B52772"/>
    <w:rsid w:val="00B529EB"/>
    <w:rsid w:val="00B52E43"/>
    <w:rsid w:val="00B53CCA"/>
    <w:rsid w:val="00B53FD3"/>
    <w:rsid w:val="00B54E8B"/>
    <w:rsid w:val="00B55C97"/>
    <w:rsid w:val="00B55ECA"/>
    <w:rsid w:val="00B55FB8"/>
    <w:rsid w:val="00B5637B"/>
    <w:rsid w:val="00B567B8"/>
    <w:rsid w:val="00B56C5A"/>
    <w:rsid w:val="00B570E5"/>
    <w:rsid w:val="00B578E5"/>
    <w:rsid w:val="00B57ABE"/>
    <w:rsid w:val="00B60188"/>
    <w:rsid w:val="00B6045B"/>
    <w:rsid w:val="00B6050C"/>
    <w:rsid w:val="00B60F3B"/>
    <w:rsid w:val="00B61137"/>
    <w:rsid w:val="00B612C1"/>
    <w:rsid w:val="00B6164E"/>
    <w:rsid w:val="00B61656"/>
    <w:rsid w:val="00B61666"/>
    <w:rsid w:val="00B617AA"/>
    <w:rsid w:val="00B619BA"/>
    <w:rsid w:val="00B61A94"/>
    <w:rsid w:val="00B61B9E"/>
    <w:rsid w:val="00B61C1F"/>
    <w:rsid w:val="00B61CA4"/>
    <w:rsid w:val="00B62337"/>
    <w:rsid w:val="00B623E1"/>
    <w:rsid w:val="00B625AB"/>
    <w:rsid w:val="00B628AB"/>
    <w:rsid w:val="00B62DEA"/>
    <w:rsid w:val="00B62EEE"/>
    <w:rsid w:val="00B63340"/>
    <w:rsid w:val="00B63C6A"/>
    <w:rsid w:val="00B64039"/>
    <w:rsid w:val="00B640DF"/>
    <w:rsid w:val="00B6482D"/>
    <w:rsid w:val="00B6496C"/>
    <w:rsid w:val="00B64F9C"/>
    <w:rsid w:val="00B6560D"/>
    <w:rsid w:val="00B661DC"/>
    <w:rsid w:val="00B6628B"/>
    <w:rsid w:val="00B66572"/>
    <w:rsid w:val="00B6680A"/>
    <w:rsid w:val="00B67775"/>
    <w:rsid w:val="00B678A0"/>
    <w:rsid w:val="00B70245"/>
    <w:rsid w:val="00B70253"/>
    <w:rsid w:val="00B704FA"/>
    <w:rsid w:val="00B70786"/>
    <w:rsid w:val="00B70D83"/>
    <w:rsid w:val="00B70ED6"/>
    <w:rsid w:val="00B7105C"/>
    <w:rsid w:val="00B714EF"/>
    <w:rsid w:val="00B7169B"/>
    <w:rsid w:val="00B7171C"/>
    <w:rsid w:val="00B72AE2"/>
    <w:rsid w:val="00B72BEA"/>
    <w:rsid w:val="00B72EF5"/>
    <w:rsid w:val="00B73B7F"/>
    <w:rsid w:val="00B740F7"/>
    <w:rsid w:val="00B742E7"/>
    <w:rsid w:val="00B74307"/>
    <w:rsid w:val="00B74926"/>
    <w:rsid w:val="00B74FB3"/>
    <w:rsid w:val="00B75124"/>
    <w:rsid w:val="00B7546F"/>
    <w:rsid w:val="00B75566"/>
    <w:rsid w:val="00B75C06"/>
    <w:rsid w:val="00B75F70"/>
    <w:rsid w:val="00B7614E"/>
    <w:rsid w:val="00B76164"/>
    <w:rsid w:val="00B7619A"/>
    <w:rsid w:val="00B762BE"/>
    <w:rsid w:val="00B7659F"/>
    <w:rsid w:val="00B76AA2"/>
    <w:rsid w:val="00B76DB1"/>
    <w:rsid w:val="00B77697"/>
    <w:rsid w:val="00B7776C"/>
    <w:rsid w:val="00B77915"/>
    <w:rsid w:val="00B77AE2"/>
    <w:rsid w:val="00B77C0C"/>
    <w:rsid w:val="00B8029F"/>
    <w:rsid w:val="00B803CA"/>
    <w:rsid w:val="00B80561"/>
    <w:rsid w:val="00B80EE5"/>
    <w:rsid w:val="00B8111C"/>
    <w:rsid w:val="00B81822"/>
    <w:rsid w:val="00B8192B"/>
    <w:rsid w:val="00B81AF6"/>
    <w:rsid w:val="00B82037"/>
    <w:rsid w:val="00B82754"/>
    <w:rsid w:val="00B82E4B"/>
    <w:rsid w:val="00B83194"/>
    <w:rsid w:val="00B832BC"/>
    <w:rsid w:val="00B83948"/>
    <w:rsid w:val="00B83D00"/>
    <w:rsid w:val="00B8491C"/>
    <w:rsid w:val="00B85215"/>
    <w:rsid w:val="00B85C24"/>
    <w:rsid w:val="00B86EA7"/>
    <w:rsid w:val="00B86F7C"/>
    <w:rsid w:val="00B870A9"/>
    <w:rsid w:val="00B873C7"/>
    <w:rsid w:val="00B877A7"/>
    <w:rsid w:val="00B9017B"/>
    <w:rsid w:val="00B901AE"/>
    <w:rsid w:val="00B901F4"/>
    <w:rsid w:val="00B90629"/>
    <w:rsid w:val="00B90CCB"/>
    <w:rsid w:val="00B9106D"/>
    <w:rsid w:val="00B91206"/>
    <w:rsid w:val="00B91349"/>
    <w:rsid w:val="00B91880"/>
    <w:rsid w:val="00B91DA7"/>
    <w:rsid w:val="00B924F2"/>
    <w:rsid w:val="00B9258B"/>
    <w:rsid w:val="00B93918"/>
    <w:rsid w:val="00B93A12"/>
    <w:rsid w:val="00B93BBE"/>
    <w:rsid w:val="00B93FE3"/>
    <w:rsid w:val="00B94178"/>
    <w:rsid w:val="00B948A4"/>
    <w:rsid w:val="00B94C39"/>
    <w:rsid w:val="00B95A9C"/>
    <w:rsid w:val="00B95B27"/>
    <w:rsid w:val="00B95FF5"/>
    <w:rsid w:val="00B96141"/>
    <w:rsid w:val="00B965D3"/>
    <w:rsid w:val="00B977DB"/>
    <w:rsid w:val="00BA024C"/>
    <w:rsid w:val="00BA0283"/>
    <w:rsid w:val="00BA05E1"/>
    <w:rsid w:val="00BA0877"/>
    <w:rsid w:val="00BA0FBB"/>
    <w:rsid w:val="00BA11BE"/>
    <w:rsid w:val="00BA120F"/>
    <w:rsid w:val="00BA1313"/>
    <w:rsid w:val="00BA1391"/>
    <w:rsid w:val="00BA153A"/>
    <w:rsid w:val="00BA1629"/>
    <w:rsid w:val="00BA21D5"/>
    <w:rsid w:val="00BA2227"/>
    <w:rsid w:val="00BA2485"/>
    <w:rsid w:val="00BA24B9"/>
    <w:rsid w:val="00BA24D2"/>
    <w:rsid w:val="00BA29EE"/>
    <w:rsid w:val="00BA3541"/>
    <w:rsid w:val="00BA38E3"/>
    <w:rsid w:val="00BA3A5B"/>
    <w:rsid w:val="00BA3ECA"/>
    <w:rsid w:val="00BA4174"/>
    <w:rsid w:val="00BA47A8"/>
    <w:rsid w:val="00BA4AD1"/>
    <w:rsid w:val="00BA4D1A"/>
    <w:rsid w:val="00BA4D6B"/>
    <w:rsid w:val="00BA5002"/>
    <w:rsid w:val="00BA5273"/>
    <w:rsid w:val="00BA579D"/>
    <w:rsid w:val="00BA57C6"/>
    <w:rsid w:val="00BA59BA"/>
    <w:rsid w:val="00BA5EFF"/>
    <w:rsid w:val="00BA6251"/>
    <w:rsid w:val="00BA641E"/>
    <w:rsid w:val="00BA6541"/>
    <w:rsid w:val="00BA6591"/>
    <w:rsid w:val="00BA69B9"/>
    <w:rsid w:val="00BA6B09"/>
    <w:rsid w:val="00BA6F2D"/>
    <w:rsid w:val="00BA78C7"/>
    <w:rsid w:val="00BA7C69"/>
    <w:rsid w:val="00BA7C82"/>
    <w:rsid w:val="00BA7E0D"/>
    <w:rsid w:val="00BB0139"/>
    <w:rsid w:val="00BB0C42"/>
    <w:rsid w:val="00BB0CBC"/>
    <w:rsid w:val="00BB105E"/>
    <w:rsid w:val="00BB125D"/>
    <w:rsid w:val="00BB12B5"/>
    <w:rsid w:val="00BB160A"/>
    <w:rsid w:val="00BB2051"/>
    <w:rsid w:val="00BB2445"/>
    <w:rsid w:val="00BB24DB"/>
    <w:rsid w:val="00BB2561"/>
    <w:rsid w:val="00BB2999"/>
    <w:rsid w:val="00BB29B0"/>
    <w:rsid w:val="00BB2AE9"/>
    <w:rsid w:val="00BB33B4"/>
    <w:rsid w:val="00BB365F"/>
    <w:rsid w:val="00BB440D"/>
    <w:rsid w:val="00BB4428"/>
    <w:rsid w:val="00BB5460"/>
    <w:rsid w:val="00BB5855"/>
    <w:rsid w:val="00BB5A0F"/>
    <w:rsid w:val="00BB658E"/>
    <w:rsid w:val="00BB664A"/>
    <w:rsid w:val="00BB742B"/>
    <w:rsid w:val="00BB76EE"/>
    <w:rsid w:val="00BC00F6"/>
    <w:rsid w:val="00BC010D"/>
    <w:rsid w:val="00BC0212"/>
    <w:rsid w:val="00BC1AF9"/>
    <w:rsid w:val="00BC1B7B"/>
    <w:rsid w:val="00BC1DBC"/>
    <w:rsid w:val="00BC1FB0"/>
    <w:rsid w:val="00BC2A2D"/>
    <w:rsid w:val="00BC3146"/>
    <w:rsid w:val="00BC33AD"/>
    <w:rsid w:val="00BC346A"/>
    <w:rsid w:val="00BC3909"/>
    <w:rsid w:val="00BC3C99"/>
    <w:rsid w:val="00BC3F69"/>
    <w:rsid w:val="00BC4150"/>
    <w:rsid w:val="00BC45A4"/>
    <w:rsid w:val="00BC4988"/>
    <w:rsid w:val="00BC5633"/>
    <w:rsid w:val="00BC58A8"/>
    <w:rsid w:val="00BC5AED"/>
    <w:rsid w:val="00BC635A"/>
    <w:rsid w:val="00BC6E2B"/>
    <w:rsid w:val="00BC6E35"/>
    <w:rsid w:val="00BC710C"/>
    <w:rsid w:val="00BC73D9"/>
    <w:rsid w:val="00BC7A04"/>
    <w:rsid w:val="00BD003D"/>
    <w:rsid w:val="00BD01DC"/>
    <w:rsid w:val="00BD0337"/>
    <w:rsid w:val="00BD0609"/>
    <w:rsid w:val="00BD09E1"/>
    <w:rsid w:val="00BD1164"/>
    <w:rsid w:val="00BD2295"/>
    <w:rsid w:val="00BD2FAB"/>
    <w:rsid w:val="00BD3094"/>
    <w:rsid w:val="00BD3817"/>
    <w:rsid w:val="00BD3D83"/>
    <w:rsid w:val="00BD455E"/>
    <w:rsid w:val="00BD4742"/>
    <w:rsid w:val="00BD4EDA"/>
    <w:rsid w:val="00BD50F4"/>
    <w:rsid w:val="00BD50FF"/>
    <w:rsid w:val="00BD5211"/>
    <w:rsid w:val="00BD5522"/>
    <w:rsid w:val="00BD567D"/>
    <w:rsid w:val="00BD5BF6"/>
    <w:rsid w:val="00BD5D8C"/>
    <w:rsid w:val="00BD61D1"/>
    <w:rsid w:val="00BD6D8D"/>
    <w:rsid w:val="00BD6E16"/>
    <w:rsid w:val="00BD7206"/>
    <w:rsid w:val="00BD7D6D"/>
    <w:rsid w:val="00BD7DEE"/>
    <w:rsid w:val="00BE0E9F"/>
    <w:rsid w:val="00BE0ED5"/>
    <w:rsid w:val="00BE0EE3"/>
    <w:rsid w:val="00BE0F86"/>
    <w:rsid w:val="00BE11A8"/>
    <w:rsid w:val="00BE1723"/>
    <w:rsid w:val="00BE1ABC"/>
    <w:rsid w:val="00BE202A"/>
    <w:rsid w:val="00BE3C13"/>
    <w:rsid w:val="00BE3D18"/>
    <w:rsid w:val="00BE4620"/>
    <w:rsid w:val="00BE470E"/>
    <w:rsid w:val="00BE474B"/>
    <w:rsid w:val="00BE4ACC"/>
    <w:rsid w:val="00BE4BD3"/>
    <w:rsid w:val="00BE4C57"/>
    <w:rsid w:val="00BE4FCB"/>
    <w:rsid w:val="00BE52F6"/>
    <w:rsid w:val="00BE56B1"/>
    <w:rsid w:val="00BE5970"/>
    <w:rsid w:val="00BE5B61"/>
    <w:rsid w:val="00BE5D8F"/>
    <w:rsid w:val="00BE5E4F"/>
    <w:rsid w:val="00BE61DC"/>
    <w:rsid w:val="00BE6244"/>
    <w:rsid w:val="00BE6528"/>
    <w:rsid w:val="00BE6A0A"/>
    <w:rsid w:val="00BE6C2B"/>
    <w:rsid w:val="00BF099C"/>
    <w:rsid w:val="00BF1028"/>
    <w:rsid w:val="00BF129F"/>
    <w:rsid w:val="00BF13F1"/>
    <w:rsid w:val="00BF1BCE"/>
    <w:rsid w:val="00BF1D64"/>
    <w:rsid w:val="00BF1E16"/>
    <w:rsid w:val="00BF1FF7"/>
    <w:rsid w:val="00BF2586"/>
    <w:rsid w:val="00BF2B85"/>
    <w:rsid w:val="00BF3530"/>
    <w:rsid w:val="00BF3F92"/>
    <w:rsid w:val="00BF407F"/>
    <w:rsid w:val="00BF41B4"/>
    <w:rsid w:val="00BF43DB"/>
    <w:rsid w:val="00BF4754"/>
    <w:rsid w:val="00BF486D"/>
    <w:rsid w:val="00BF4A11"/>
    <w:rsid w:val="00BF4AAC"/>
    <w:rsid w:val="00BF4B20"/>
    <w:rsid w:val="00BF5033"/>
    <w:rsid w:val="00BF5976"/>
    <w:rsid w:val="00BF5C69"/>
    <w:rsid w:val="00BF5D77"/>
    <w:rsid w:val="00BF5D81"/>
    <w:rsid w:val="00BF5F32"/>
    <w:rsid w:val="00BF6E32"/>
    <w:rsid w:val="00BF7D4A"/>
    <w:rsid w:val="00C004E5"/>
    <w:rsid w:val="00C007C8"/>
    <w:rsid w:val="00C0101D"/>
    <w:rsid w:val="00C01052"/>
    <w:rsid w:val="00C010CF"/>
    <w:rsid w:val="00C010EF"/>
    <w:rsid w:val="00C012B2"/>
    <w:rsid w:val="00C014B5"/>
    <w:rsid w:val="00C01B0C"/>
    <w:rsid w:val="00C01E93"/>
    <w:rsid w:val="00C0225E"/>
    <w:rsid w:val="00C024D4"/>
    <w:rsid w:val="00C029A4"/>
    <w:rsid w:val="00C02C5B"/>
    <w:rsid w:val="00C0313A"/>
    <w:rsid w:val="00C036D6"/>
    <w:rsid w:val="00C0372C"/>
    <w:rsid w:val="00C038EC"/>
    <w:rsid w:val="00C03BD3"/>
    <w:rsid w:val="00C03C62"/>
    <w:rsid w:val="00C03E73"/>
    <w:rsid w:val="00C03E77"/>
    <w:rsid w:val="00C04182"/>
    <w:rsid w:val="00C04B1F"/>
    <w:rsid w:val="00C04F82"/>
    <w:rsid w:val="00C05F6A"/>
    <w:rsid w:val="00C06C6F"/>
    <w:rsid w:val="00C07440"/>
    <w:rsid w:val="00C074A8"/>
    <w:rsid w:val="00C07BAF"/>
    <w:rsid w:val="00C07DA8"/>
    <w:rsid w:val="00C1019B"/>
    <w:rsid w:val="00C101DC"/>
    <w:rsid w:val="00C102C3"/>
    <w:rsid w:val="00C106D2"/>
    <w:rsid w:val="00C1094D"/>
    <w:rsid w:val="00C109BC"/>
    <w:rsid w:val="00C10E83"/>
    <w:rsid w:val="00C10FB8"/>
    <w:rsid w:val="00C11071"/>
    <w:rsid w:val="00C114C5"/>
    <w:rsid w:val="00C11EF2"/>
    <w:rsid w:val="00C11F5A"/>
    <w:rsid w:val="00C11FA0"/>
    <w:rsid w:val="00C1247D"/>
    <w:rsid w:val="00C12B7B"/>
    <w:rsid w:val="00C12E34"/>
    <w:rsid w:val="00C132A2"/>
    <w:rsid w:val="00C14CA6"/>
    <w:rsid w:val="00C1555B"/>
    <w:rsid w:val="00C15E85"/>
    <w:rsid w:val="00C1696D"/>
    <w:rsid w:val="00C17CED"/>
    <w:rsid w:val="00C17E0F"/>
    <w:rsid w:val="00C2058E"/>
    <w:rsid w:val="00C20645"/>
    <w:rsid w:val="00C20874"/>
    <w:rsid w:val="00C20BC9"/>
    <w:rsid w:val="00C20DBC"/>
    <w:rsid w:val="00C20FA0"/>
    <w:rsid w:val="00C21132"/>
    <w:rsid w:val="00C22660"/>
    <w:rsid w:val="00C229B2"/>
    <w:rsid w:val="00C22B32"/>
    <w:rsid w:val="00C22C6A"/>
    <w:rsid w:val="00C22D76"/>
    <w:rsid w:val="00C22F40"/>
    <w:rsid w:val="00C23135"/>
    <w:rsid w:val="00C2429D"/>
    <w:rsid w:val="00C24B0E"/>
    <w:rsid w:val="00C24C75"/>
    <w:rsid w:val="00C24C85"/>
    <w:rsid w:val="00C24F8D"/>
    <w:rsid w:val="00C25688"/>
    <w:rsid w:val="00C2580A"/>
    <w:rsid w:val="00C25BAE"/>
    <w:rsid w:val="00C260F2"/>
    <w:rsid w:val="00C26165"/>
    <w:rsid w:val="00C26201"/>
    <w:rsid w:val="00C26AF3"/>
    <w:rsid w:val="00C26BEE"/>
    <w:rsid w:val="00C2756F"/>
    <w:rsid w:val="00C27811"/>
    <w:rsid w:val="00C27C9C"/>
    <w:rsid w:val="00C27EE3"/>
    <w:rsid w:val="00C30014"/>
    <w:rsid w:val="00C30055"/>
    <w:rsid w:val="00C302ED"/>
    <w:rsid w:val="00C30B84"/>
    <w:rsid w:val="00C315D4"/>
    <w:rsid w:val="00C31EEE"/>
    <w:rsid w:val="00C32684"/>
    <w:rsid w:val="00C329C6"/>
    <w:rsid w:val="00C32A04"/>
    <w:rsid w:val="00C32F7D"/>
    <w:rsid w:val="00C330DD"/>
    <w:rsid w:val="00C33B10"/>
    <w:rsid w:val="00C34EFA"/>
    <w:rsid w:val="00C34FAE"/>
    <w:rsid w:val="00C351E8"/>
    <w:rsid w:val="00C35B31"/>
    <w:rsid w:val="00C36189"/>
    <w:rsid w:val="00C36C80"/>
    <w:rsid w:val="00C372C5"/>
    <w:rsid w:val="00C400E0"/>
    <w:rsid w:val="00C400FB"/>
    <w:rsid w:val="00C40202"/>
    <w:rsid w:val="00C40388"/>
    <w:rsid w:val="00C4049D"/>
    <w:rsid w:val="00C40853"/>
    <w:rsid w:val="00C41302"/>
    <w:rsid w:val="00C41C22"/>
    <w:rsid w:val="00C42094"/>
    <w:rsid w:val="00C42217"/>
    <w:rsid w:val="00C42356"/>
    <w:rsid w:val="00C42545"/>
    <w:rsid w:val="00C428C1"/>
    <w:rsid w:val="00C42A08"/>
    <w:rsid w:val="00C42B11"/>
    <w:rsid w:val="00C42B34"/>
    <w:rsid w:val="00C4309C"/>
    <w:rsid w:val="00C434FD"/>
    <w:rsid w:val="00C43581"/>
    <w:rsid w:val="00C43A9F"/>
    <w:rsid w:val="00C449CB"/>
    <w:rsid w:val="00C44E6D"/>
    <w:rsid w:val="00C456C4"/>
    <w:rsid w:val="00C4575E"/>
    <w:rsid w:val="00C457E9"/>
    <w:rsid w:val="00C458A7"/>
    <w:rsid w:val="00C45974"/>
    <w:rsid w:val="00C45990"/>
    <w:rsid w:val="00C45A5D"/>
    <w:rsid w:val="00C45C48"/>
    <w:rsid w:val="00C45EA4"/>
    <w:rsid w:val="00C4658E"/>
    <w:rsid w:val="00C46D78"/>
    <w:rsid w:val="00C46E77"/>
    <w:rsid w:val="00C47A20"/>
    <w:rsid w:val="00C47A54"/>
    <w:rsid w:val="00C47D6F"/>
    <w:rsid w:val="00C47F0B"/>
    <w:rsid w:val="00C501C7"/>
    <w:rsid w:val="00C50C63"/>
    <w:rsid w:val="00C517AE"/>
    <w:rsid w:val="00C51F15"/>
    <w:rsid w:val="00C526C2"/>
    <w:rsid w:val="00C52A14"/>
    <w:rsid w:val="00C531C4"/>
    <w:rsid w:val="00C5341A"/>
    <w:rsid w:val="00C536F0"/>
    <w:rsid w:val="00C5382C"/>
    <w:rsid w:val="00C538F4"/>
    <w:rsid w:val="00C53B99"/>
    <w:rsid w:val="00C548FB"/>
    <w:rsid w:val="00C54C9F"/>
    <w:rsid w:val="00C555DC"/>
    <w:rsid w:val="00C5587A"/>
    <w:rsid w:val="00C55A93"/>
    <w:rsid w:val="00C55EF3"/>
    <w:rsid w:val="00C5698B"/>
    <w:rsid w:val="00C56BE9"/>
    <w:rsid w:val="00C56FF1"/>
    <w:rsid w:val="00C57613"/>
    <w:rsid w:val="00C60192"/>
    <w:rsid w:val="00C60470"/>
    <w:rsid w:val="00C614DC"/>
    <w:rsid w:val="00C615B2"/>
    <w:rsid w:val="00C6209A"/>
    <w:rsid w:val="00C620A7"/>
    <w:rsid w:val="00C62248"/>
    <w:rsid w:val="00C636F6"/>
    <w:rsid w:val="00C644E4"/>
    <w:rsid w:val="00C64600"/>
    <w:rsid w:val="00C648D7"/>
    <w:rsid w:val="00C64A18"/>
    <w:rsid w:val="00C65499"/>
    <w:rsid w:val="00C668DB"/>
    <w:rsid w:val="00C66AC8"/>
    <w:rsid w:val="00C66C5B"/>
    <w:rsid w:val="00C66C91"/>
    <w:rsid w:val="00C6759C"/>
    <w:rsid w:val="00C67608"/>
    <w:rsid w:val="00C7077A"/>
    <w:rsid w:val="00C70FAB"/>
    <w:rsid w:val="00C71406"/>
    <w:rsid w:val="00C71A5E"/>
    <w:rsid w:val="00C71D81"/>
    <w:rsid w:val="00C72E99"/>
    <w:rsid w:val="00C736EC"/>
    <w:rsid w:val="00C739A9"/>
    <w:rsid w:val="00C73E33"/>
    <w:rsid w:val="00C73F8E"/>
    <w:rsid w:val="00C74182"/>
    <w:rsid w:val="00C747E0"/>
    <w:rsid w:val="00C74D31"/>
    <w:rsid w:val="00C74DCA"/>
    <w:rsid w:val="00C7542C"/>
    <w:rsid w:val="00C7573C"/>
    <w:rsid w:val="00C758ED"/>
    <w:rsid w:val="00C75DE1"/>
    <w:rsid w:val="00C764A7"/>
    <w:rsid w:val="00C76CA5"/>
    <w:rsid w:val="00C76CDC"/>
    <w:rsid w:val="00C76D5E"/>
    <w:rsid w:val="00C77011"/>
    <w:rsid w:val="00C7782D"/>
    <w:rsid w:val="00C802A7"/>
    <w:rsid w:val="00C803AB"/>
    <w:rsid w:val="00C80F39"/>
    <w:rsid w:val="00C81096"/>
    <w:rsid w:val="00C81895"/>
    <w:rsid w:val="00C822FB"/>
    <w:rsid w:val="00C824B8"/>
    <w:rsid w:val="00C82628"/>
    <w:rsid w:val="00C82DB0"/>
    <w:rsid w:val="00C82EA3"/>
    <w:rsid w:val="00C83315"/>
    <w:rsid w:val="00C83B6D"/>
    <w:rsid w:val="00C83BD5"/>
    <w:rsid w:val="00C83DE3"/>
    <w:rsid w:val="00C8417E"/>
    <w:rsid w:val="00C844C8"/>
    <w:rsid w:val="00C848F2"/>
    <w:rsid w:val="00C84DE9"/>
    <w:rsid w:val="00C84E02"/>
    <w:rsid w:val="00C85009"/>
    <w:rsid w:val="00C856E1"/>
    <w:rsid w:val="00C85731"/>
    <w:rsid w:val="00C85C92"/>
    <w:rsid w:val="00C8628B"/>
    <w:rsid w:val="00C865C6"/>
    <w:rsid w:val="00C866AD"/>
    <w:rsid w:val="00C86B39"/>
    <w:rsid w:val="00C86D25"/>
    <w:rsid w:val="00C87039"/>
    <w:rsid w:val="00C8705B"/>
    <w:rsid w:val="00C8737F"/>
    <w:rsid w:val="00C87A91"/>
    <w:rsid w:val="00C87B34"/>
    <w:rsid w:val="00C90102"/>
    <w:rsid w:val="00C901CA"/>
    <w:rsid w:val="00C902AA"/>
    <w:rsid w:val="00C904BC"/>
    <w:rsid w:val="00C90506"/>
    <w:rsid w:val="00C90826"/>
    <w:rsid w:val="00C90A19"/>
    <w:rsid w:val="00C90A78"/>
    <w:rsid w:val="00C91113"/>
    <w:rsid w:val="00C915AA"/>
    <w:rsid w:val="00C91BD3"/>
    <w:rsid w:val="00C91CA7"/>
    <w:rsid w:val="00C91E12"/>
    <w:rsid w:val="00C91E9D"/>
    <w:rsid w:val="00C92424"/>
    <w:rsid w:val="00C92606"/>
    <w:rsid w:val="00C93312"/>
    <w:rsid w:val="00C933B6"/>
    <w:rsid w:val="00C934D2"/>
    <w:rsid w:val="00C93BA9"/>
    <w:rsid w:val="00C93C02"/>
    <w:rsid w:val="00C93E2B"/>
    <w:rsid w:val="00C93FD1"/>
    <w:rsid w:val="00C93FFE"/>
    <w:rsid w:val="00C9411A"/>
    <w:rsid w:val="00C943C2"/>
    <w:rsid w:val="00C944A4"/>
    <w:rsid w:val="00C945B0"/>
    <w:rsid w:val="00C948EA"/>
    <w:rsid w:val="00C95356"/>
    <w:rsid w:val="00C956B4"/>
    <w:rsid w:val="00C9574B"/>
    <w:rsid w:val="00C9592E"/>
    <w:rsid w:val="00C95F63"/>
    <w:rsid w:val="00C967D9"/>
    <w:rsid w:val="00C96A76"/>
    <w:rsid w:val="00C970C2"/>
    <w:rsid w:val="00C97785"/>
    <w:rsid w:val="00C979E1"/>
    <w:rsid w:val="00CA0086"/>
    <w:rsid w:val="00CA00DA"/>
    <w:rsid w:val="00CA012A"/>
    <w:rsid w:val="00CA02E8"/>
    <w:rsid w:val="00CA04EA"/>
    <w:rsid w:val="00CA0507"/>
    <w:rsid w:val="00CA06B7"/>
    <w:rsid w:val="00CA0D4A"/>
    <w:rsid w:val="00CA181D"/>
    <w:rsid w:val="00CA1982"/>
    <w:rsid w:val="00CA20A2"/>
    <w:rsid w:val="00CA21C9"/>
    <w:rsid w:val="00CA25E6"/>
    <w:rsid w:val="00CA27B6"/>
    <w:rsid w:val="00CA2907"/>
    <w:rsid w:val="00CA294C"/>
    <w:rsid w:val="00CA29C3"/>
    <w:rsid w:val="00CA3080"/>
    <w:rsid w:val="00CA3201"/>
    <w:rsid w:val="00CA386D"/>
    <w:rsid w:val="00CA3A4B"/>
    <w:rsid w:val="00CA422C"/>
    <w:rsid w:val="00CA426B"/>
    <w:rsid w:val="00CA456F"/>
    <w:rsid w:val="00CA4895"/>
    <w:rsid w:val="00CA49B6"/>
    <w:rsid w:val="00CA51ED"/>
    <w:rsid w:val="00CA52A0"/>
    <w:rsid w:val="00CA5347"/>
    <w:rsid w:val="00CA60A6"/>
    <w:rsid w:val="00CA6684"/>
    <w:rsid w:val="00CA68E9"/>
    <w:rsid w:val="00CA6937"/>
    <w:rsid w:val="00CA6D89"/>
    <w:rsid w:val="00CA7300"/>
    <w:rsid w:val="00CA7D70"/>
    <w:rsid w:val="00CA7FBC"/>
    <w:rsid w:val="00CA7FD8"/>
    <w:rsid w:val="00CB074B"/>
    <w:rsid w:val="00CB0816"/>
    <w:rsid w:val="00CB0CEA"/>
    <w:rsid w:val="00CB1178"/>
    <w:rsid w:val="00CB15E1"/>
    <w:rsid w:val="00CB1FA2"/>
    <w:rsid w:val="00CB269F"/>
    <w:rsid w:val="00CB2D3E"/>
    <w:rsid w:val="00CB2F02"/>
    <w:rsid w:val="00CB383C"/>
    <w:rsid w:val="00CB3CFE"/>
    <w:rsid w:val="00CB3F63"/>
    <w:rsid w:val="00CB402F"/>
    <w:rsid w:val="00CB4F07"/>
    <w:rsid w:val="00CB54A1"/>
    <w:rsid w:val="00CB65E1"/>
    <w:rsid w:val="00CB6B0F"/>
    <w:rsid w:val="00CB724F"/>
    <w:rsid w:val="00CC04F1"/>
    <w:rsid w:val="00CC08FF"/>
    <w:rsid w:val="00CC09B7"/>
    <w:rsid w:val="00CC0DAA"/>
    <w:rsid w:val="00CC14EC"/>
    <w:rsid w:val="00CC15D3"/>
    <w:rsid w:val="00CC174A"/>
    <w:rsid w:val="00CC184E"/>
    <w:rsid w:val="00CC18C6"/>
    <w:rsid w:val="00CC1D18"/>
    <w:rsid w:val="00CC22FF"/>
    <w:rsid w:val="00CC251C"/>
    <w:rsid w:val="00CC2BBE"/>
    <w:rsid w:val="00CC3389"/>
    <w:rsid w:val="00CC3681"/>
    <w:rsid w:val="00CC4034"/>
    <w:rsid w:val="00CC4197"/>
    <w:rsid w:val="00CC44B4"/>
    <w:rsid w:val="00CC476D"/>
    <w:rsid w:val="00CC4AE4"/>
    <w:rsid w:val="00CC56F6"/>
    <w:rsid w:val="00CC625B"/>
    <w:rsid w:val="00CC66A5"/>
    <w:rsid w:val="00CC6A23"/>
    <w:rsid w:val="00CC6AF9"/>
    <w:rsid w:val="00CC6CE1"/>
    <w:rsid w:val="00CC6F1D"/>
    <w:rsid w:val="00CC6F33"/>
    <w:rsid w:val="00CC7041"/>
    <w:rsid w:val="00CD08FE"/>
    <w:rsid w:val="00CD0A0D"/>
    <w:rsid w:val="00CD0CB9"/>
    <w:rsid w:val="00CD0F2D"/>
    <w:rsid w:val="00CD1599"/>
    <w:rsid w:val="00CD1B9C"/>
    <w:rsid w:val="00CD1EC7"/>
    <w:rsid w:val="00CD20F1"/>
    <w:rsid w:val="00CD2C32"/>
    <w:rsid w:val="00CD2F14"/>
    <w:rsid w:val="00CD2F21"/>
    <w:rsid w:val="00CD2FEE"/>
    <w:rsid w:val="00CD33DD"/>
    <w:rsid w:val="00CD349F"/>
    <w:rsid w:val="00CD34DB"/>
    <w:rsid w:val="00CD3915"/>
    <w:rsid w:val="00CD3A44"/>
    <w:rsid w:val="00CD3C5F"/>
    <w:rsid w:val="00CD3F8D"/>
    <w:rsid w:val="00CD3FCE"/>
    <w:rsid w:val="00CD40CE"/>
    <w:rsid w:val="00CD4284"/>
    <w:rsid w:val="00CD4888"/>
    <w:rsid w:val="00CD4A1F"/>
    <w:rsid w:val="00CD5262"/>
    <w:rsid w:val="00CD5928"/>
    <w:rsid w:val="00CD6372"/>
    <w:rsid w:val="00CD6A52"/>
    <w:rsid w:val="00CD6E3B"/>
    <w:rsid w:val="00CD76DF"/>
    <w:rsid w:val="00CD79D9"/>
    <w:rsid w:val="00CD79FB"/>
    <w:rsid w:val="00CD7E93"/>
    <w:rsid w:val="00CE006C"/>
    <w:rsid w:val="00CE006F"/>
    <w:rsid w:val="00CE058D"/>
    <w:rsid w:val="00CE064A"/>
    <w:rsid w:val="00CE10AD"/>
    <w:rsid w:val="00CE121D"/>
    <w:rsid w:val="00CE14C1"/>
    <w:rsid w:val="00CE1995"/>
    <w:rsid w:val="00CE1B63"/>
    <w:rsid w:val="00CE20C1"/>
    <w:rsid w:val="00CE21A6"/>
    <w:rsid w:val="00CE2846"/>
    <w:rsid w:val="00CE28C2"/>
    <w:rsid w:val="00CE2DAB"/>
    <w:rsid w:val="00CE2E3D"/>
    <w:rsid w:val="00CE3356"/>
    <w:rsid w:val="00CE360A"/>
    <w:rsid w:val="00CE3672"/>
    <w:rsid w:val="00CE36D8"/>
    <w:rsid w:val="00CE3C25"/>
    <w:rsid w:val="00CE40A1"/>
    <w:rsid w:val="00CE41D1"/>
    <w:rsid w:val="00CE450C"/>
    <w:rsid w:val="00CE47EC"/>
    <w:rsid w:val="00CE4BFE"/>
    <w:rsid w:val="00CE4F74"/>
    <w:rsid w:val="00CE533B"/>
    <w:rsid w:val="00CE5B20"/>
    <w:rsid w:val="00CE5E47"/>
    <w:rsid w:val="00CE6863"/>
    <w:rsid w:val="00CE6B11"/>
    <w:rsid w:val="00CE6EFA"/>
    <w:rsid w:val="00CE7827"/>
    <w:rsid w:val="00CE7CD5"/>
    <w:rsid w:val="00CE7D8D"/>
    <w:rsid w:val="00CE7F5D"/>
    <w:rsid w:val="00CF04A4"/>
    <w:rsid w:val="00CF062B"/>
    <w:rsid w:val="00CF07A9"/>
    <w:rsid w:val="00CF086F"/>
    <w:rsid w:val="00CF0FFF"/>
    <w:rsid w:val="00CF1317"/>
    <w:rsid w:val="00CF1863"/>
    <w:rsid w:val="00CF1BCC"/>
    <w:rsid w:val="00CF1E37"/>
    <w:rsid w:val="00CF217D"/>
    <w:rsid w:val="00CF2185"/>
    <w:rsid w:val="00CF2811"/>
    <w:rsid w:val="00CF2A9D"/>
    <w:rsid w:val="00CF2B08"/>
    <w:rsid w:val="00CF324C"/>
    <w:rsid w:val="00CF34E7"/>
    <w:rsid w:val="00CF3AD2"/>
    <w:rsid w:val="00CF4188"/>
    <w:rsid w:val="00CF4A9D"/>
    <w:rsid w:val="00CF4F2B"/>
    <w:rsid w:val="00CF52B0"/>
    <w:rsid w:val="00CF55BB"/>
    <w:rsid w:val="00CF64E7"/>
    <w:rsid w:val="00CF64F7"/>
    <w:rsid w:val="00CF67A6"/>
    <w:rsid w:val="00CF71B7"/>
    <w:rsid w:val="00CF72F0"/>
    <w:rsid w:val="00CF74A4"/>
    <w:rsid w:val="00CF76BE"/>
    <w:rsid w:val="00CF78B1"/>
    <w:rsid w:val="00CF7CA8"/>
    <w:rsid w:val="00D001FD"/>
    <w:rsid w:val="00D003C8"/>
    <w:rsid w:val="00D0072A"/>
    <w:rsid w:val="00D00739"/>
    <w:rsid w:val="00D019B2"/>
    <w:rsid w:val="00D01D1F"/>
    <w:rsid w:val="00D01EB6"/>
    <w:rsid w:val="00D01F2C"/>
    <w:rsid w:val="00D040C2"/>
    <w:rsid w:val="00D044C1"/>
    <w:rsid w:val="00D04981"/>
    <w:rsid w:val="00D04C59"/>
    <w:rsid w:val="00D057E9"/>
    <w:rsid w:val="00D058E7"/>
    <w:rsid w:val="00D0604C"/>
    <w:rsid w:val="00D0694A"/>
    <w:rsid w:val="00D07A65"/>
    <w:rsid w:val="00D07D35"/>
    <w:rsid w:val="00D100F0"/>
    <w:rsid w:val="00D1087E"/>
    <w:rsid w:val="00D108F3"/>
    <w:rsid w:val="00D114B0"/>
    <w:rsid w:val="00D1177E"/>
    <w:rsid w:val="00D1209B"/>
    <w:rsid w:val="00D1295B"/>
    <w:rsid w:val="00D13453"/>
    <w:rsid w:val="00D1364D"/>
    <w:rsid w:val="00D136E7"/>
    <w:rsid w:val="00D137B1"/>
    <w:rsid w:val="00D138D4"/>
    <w:rsid w:val="00D13A9E"/>
    <w:rsid w:val="00D13C67"/>
    <w:rsid w:val="00D13D36"/>
    <w:rsid w:val="00D14426"/>
    <w:rsid w:val="00D14C77"/>
    <w:rsid w:val="00D1527F"/>
    <w:rsid w:val="00D1529E"/>
    <w:rsid w:val="00D15368"/>
    <w:rsid w:val="00D159BB"/>
    <w:rsid w:val="00D162A8"/>
    <w:rsid w:val="00D1653A"/>
    <w:rsid w:val="00D16991"/>
    <w:rsid w:val="00D177DB"/>
    <w:rsid w:val="00D17BCF"/>
    <w:rsid w:val="00D17F72"/>
    <w:rsid w:val="00D20498"/>
    <w:rsid w:val="00D20592"/>
    <w:rsid w:val="00D20F1E"/>
    <w:rsid w:val="00D210B2"/>
    <w:rsid w:val="00D21107"/>
    <w:rsid w:val="00D216F6"/>
    <w:rsid w:val="00D22174"/>
    <w:rsid w:val="00D221A7"/>
    <w:rsid w:val="00D2243A"/>
    <w:rsid w:val="00D227BF"/>
    <w:rsid w:val="00D22CDA"/>
    <w:rsid w:val="00D22ED1"/>
    <w:rsid w:val="00D235F9"/>
    <w:rsid w:val="00D2379D"/>
    <w:rsid w:val="00D238CD"/>
    <w:rsid w:val="00D23AE7"/>
    <w:rsid w:val="00D243C2"/>
    <w:rsid w:val="00D24497"/>
    <w:rsid w:val="00D24CAF"/>
    <w:rsid w:val="00D251D2"/>
    <w:rsid w:val="00D25245"/>
    <w:rsid w:val="00D255E9"/>
    <w:rsid w:val="00D2598E"/>
    <w:rsid w:val="00D25A42"/>
    <w:rsid w:val="00D25E4B"/>
    <w:rsid w:val="00D25F7F"/>
    <w:rsid w:val="00D2655D"/>
    <w:rsid w:val="00D265F1"/>
    <w:rsid w:val="00D2662D"/>
    <w:rsid w:val="00D26807"/>
    <w:rsid w:val="00D26D1C"/>
    <w:rsid w:val="00D26E33"/>
    <w:rsid w:val="00D2763C"/>
    <w:rsid w:val="00D2783D"/>
    <w:rsid w:val="00D27BC3"/>
    <w:rsid w:val="00D27C42"/>
    <w:rsid w:val="00D30E74"/>
    <w:rsid w:val="00D31CA4"/>
    <w:rsid w:val="00D32063"/>
    <w:rsid w:val="00D3271A"/>
    <w:rsid w:val="00D32854"/>
    <w:rsid w:val="00D32B25"/>
    <w:rsid w:val="00D332D6"/>
    <w:rsid w:val="00D333C6"/>
    <w:rsid w:val="00D33631"/>
    <w:rsid w:val="00D33971"/>
    <w:rsid w:val="00D3469B"/>
    <w:rsid w:val="00D36781"/>
    <w:rsid w:val="00D36F4F"/>
    <w:rsid w:val="00D36F6C"/>
    <w:rsid w:val="00D36FAF"/>
    <w:rsid w:val="00D37108"/>
    <w:rsid w:val="00D3711C"/>
    <w:rsid w:val="00D372D8"/>
    <w:rsid w:val="00D400FA"/>
    <w:rsid w:val="00D40112"/>
    <w:rsid w:val="00D402D0"/>
    <w:rsid w:val="00D4035E"/>
    <w:rsid w:val="00D40FAC"/>
    <w:rsid w:val="00D4167A"/>
    <w:rsid w:val="00D41A9C"/>
    <w:rsid w:val="00D42016"/>
    <w:rsid w:val="00D4299B"/>
    <w:rsid w:val="00D42DE4"/>
    <w:rsid w:val="00D43099"/>
    <w:rsid w:val="00D4375D"/>
    <w:rsid w:val="00D43AF9"/>
    <w:rsid w:val="00D43E24"/>
    <w:rsid w:val="00D440A7"/>
    <w:rsid w:val="00D4427D"/>
    <w:rsid w:val="00D44467"/>
    <w:rsid w:val="00D44546"/>
    <w:rsid w:val="00D44662"/>
    <w:rsid w:val="00D44671"/>
    <w:rsid w:val="00D44CBF"/>
    <w:rsid w:val="00D45937"/>
    <w:rsid w:val="00D459AA"/>
    <w:rsid w:val="00D464E9"/>
    <w:rsid w:val="00D465B0"/>
    <w:rsid w:val="00D46793"/>
    <w:rsid w:val="00D46DA3"/>
    <w:rsid w:val="00D478EE"/>
    <w:rsid w:val="00D47955"/>
    <w:rsid w:val="00D479E0"/>
    <w:rsid w:val="00D47B92"/>
    <w:rsid w:val="00D47E16"/>
    <w:rsid w:val="00D50603"/>
    <w:rsid w:val="00D5085A"/>
    <w:rsid w:val="00D50B1D"/>
    <w:rsid w:val="00D50F16"/>
    <w:rsid w:val="00D511ED"/>
    <w:rsid w:val="00D5154B"/>
    <w:rsid w:val="00D51F68"/>
    <w:rsid w:val="00D5264B"/>
    <w:rsid w:val="00D53197"/>
    <w:rsid w:val="00D5360E"/>
    <w:rsid w:val="00D53792"/>
    <w:rsid w:val="00D53801"/>
    <w:rsid w:val="00D539AD"/>
    <w:rsid w:val="00D53C80"/>
    <w:rsid w:val="00D54028"/>
    <w:rsid w:val="00D54745"/>
    <w:rsid w:val="00D5476D"/>
    <w:rsid w:val="00D54903"/>
    <w:rsid w:val="00D549AD"/>
    <w:rsid w:val="00D55554"/>
    <w:rsid w:val="00D55DBF"/>
    <w:rsid w:val="00D55E47"/>
    <w:rsid w:val="00D56262"/>
    <w:rsid w:val="00D56473"/>
    <w:rsid w:val="00D5654C"/>
    <w:rsid w:val="00D5691A"/>
    <w:rsid w:val="00D57816"/>
    <w:rsid w:val="00D57B80"/>
    <w:rsid w:val="00D57BA5"/>
    <w:rsid w:val="00D6022C"/>
    <w:rsid w:val="00D60597"/>
    <w:rsid w:val="00D608E7"/>
    <w:rsid w:val="00D60A9E"/>
    <w:rsid w:val="00D60C53"/>
    <w:rsid w:val="00D60D58"/>
    <w:rsid w:val="00D60D97"/>
    <w:rsid w:val="00D60DD8"/>
    <w:rsid w:val="00D61274"/>
    <w:rsid w:val="00D6186C"/>
    <w:rsid w:val="00D62D5A"/>
    <w:rsid w:val="00D62D9E"/>
    <w:rsid w:val="00D63253"/>
    <w:rsid w:val="00D63451"/>
    <w:rsid w:val="00D6363A"/>
    <w:rsid w:val="00D63829"/>
    <w:rsid w:val="00D63D0C"/>
    <w:rsid w:val="00D64820"/>
    <w:rsid w:val="00D64AC0"/>
    <w:rsid w:val="00D64D59"/>
    <w:rsid w:val="00D6564C"/>
    <w:rsid w:val="00D65F32"/>
    <w:rsid w:val="00D660C1"/>
    <w:rsid w:val="00D662FC"/>
    <w:rsid w:val="00D666B1"/>
    <w:rsid w:val="00D669ED"/>
    <w:rsid w:val="00D67910"/>
    <w:rsid w:val="00D67958"/>
    <w:rsid w:val="00D67A49"/>
    <w:rsid w:val="00D67D06"/>
    <w:rsid w:val="00D67FD5"/>
    <w:rsid w:val="00D70DDE"/>
    <w:rsid w:val="00D711A8"/>
    <w:rsid w:val="00D7168E"/>
    <w:rsid w:val="00D7184B"/>
    <w:rsid w:val="00D71B3F"/>
    <w:rsid w:val="00D71FC6"/>
    <w:rsid w:val="00D72135"/>
    <w:rsid w:val="00D722AF"/>
    <w:rsid w:val="00D7260A"/>
    <w:rsid w:val="00D730AB"/>
    <w:rsid w:val="00D73236"/>
    <w:rsid w:val="00D73E5B"/>
    <w:rsid w:val="00D74163"/>
    <w:rsid w:val="00D7486D"/>
    <w:rsid w:val="00D74ED8"/>
    <w:rsid w:val="00D754E3"/>
    <w:rsid w:val="00D75CDE"/>
    <w:rsid w:val="00D75F21"/>
    <w:rsid w:val="00D7625E"/>
    <w:rsid w:val="00D766B1"/>
    <w:rsid w:val="00D76B84"/>
    <w:rsid w:val="00D76BBC"/>
    <w:rsid w:val="00D76BDB"/>
    <w:rsid w:val="00D76C80"/>
    <w:rsid w:val="00D76FB4"/>
    <w:rsid w:val="00D77125"/>
    <w:rsid w:val="00D77A7C"/>
    <w:rsid w:val="00D802D9"/>
    <w:rsid w:val="00D8053B"/>
    <w:rsid w:val="00D8071C"/>
    <w:rsid w:val="00D80E9B"/>
    <w:rsid w:val="00D80FD5"/>
    <w:rsid w:val="00D816C4"/>
    <w:rsid w:val="00D81844"/>
    <w:rsid w:val="00D81D29"/>
    <w:rsid w:val="00D82190"/>
    <w:rsid w:val="00D826F3"/>
    <w:rsid w:val="00D82D90"/>
    <w:rsid w:val="00D838B5"/>
    <w:rsid w:val="00D83CB4"/>
    <w:rsid w:val="00D84044"/>
    <w:rsid w:val="00D840B2"/>
    <w:rsid w:val="00D844DA"/>
    <w:rsid w:val="00D84C19"/>
    <w:rsid w:val="00D858DA"/>
    <w:rsid w:val="00D858E1"/>
    <w:rsid w:val="00D85A03"/>
    <w:rsid w:val="00D85A60"/>
    <w:rsid w:val="00D85B51"/>
    <w:rsid w:val="00D85DEB"/>
    <w:rsid w:val="00D86438"/>
    <w:rsid w:val="00D865FC"/>
    <w:rsid w:val="00D866BA"/>
    <w:rsid w:val="00D87106"/>
    <w:rsid w:val="00D875B9"/>
    <w:rsid w:val="00D877D2"/>
    <w:rsid w:val="00D87FDF"/>
    <w:rsid w:val="00D90BD2"/>
    <w:rsid w:val="00D911A4"/>
    <w:rsid w:val="00D91820"/>
    <w:rsid w:val="00D91E31"/>
    <w:rsid w:val="00D92279"/>
    <w:rsid w:val="00D92350"/>
    <w:rsid w:val="00D926FA"/>
    <w:rsid w:val="00D927E4"/>
    <w:rsid w:val="00D93174"/>
    <w:rsid w:val="00D931E9"/>
    <w:rsid w:val="00D93AE6"/>
    <w:rsid w:val="00D93B82"/>
    <w:rsid w:val="00D943E1"/>
    <w:rsid w:val="00D9454D"/>
    <w:rsid w:val="00D94606"/>
    <w:rsid w:val="00D948EB"/>
    <w:rsid w:val="00D94B47"/>
    <w:rsid w:val="00D94EE4"/>
    <w:rsid w:val="00D950FA"/>
    <w:rsid w:val="00D95706"/>
    <w:rsid w:val="00D9580D"/>
    <w:rsid w:val="00D959D3"/>
    <w:rsid w:val="00D95BB1"/>
    <w:rsid w:val="00D96879"/>
    <w:rsid w:val="00D96989"/>
    <w:rsid w:val="00D970F3"/>
    <w:rsid w:val="00D973F8"/>
    <w:rsid w:val="00DA0156"/>
    <w:rsid w:val="00DA0A2E"/>
    <w:rsid w:val="00DA0C08"/>
    <w:rsid w:val="00DA0E77"/>
    <w:rsid w:val="00DA10AB"/>
    <w:rsid w:val="00DA1273"/>
    <w:rsid w:val="00DA13D7"/>
    <w:rsid w:val="00DA17A6"/>
    <w:rsid w:val="00DA1C7B"/>
    <w:rsid w:val="00DA1E04"/>
    <w:rsid w:val="00DA2450"/>
    <w:rsid w:val="00DA25B7"/>
    <w:rsid w:val="00DA4559"/>
    <w:rsid w:val="00DA49CC"/>
    <w:rsid w:val="00DA4BCC"/>
    <w:rsid w:val="00DA55DB"/>
    <w:rsid w:val="00DA56BF"/>
    <w:rsid w:val="00DA57CF"/>
    <w:rsid w:val="00DA5A46"/>
    <w:rsid w:val="00DA5DD1"/>
    <w:rsid w:val="00DA6D0D"/>
    <w:rsid w:val="00DA72C1"/>
    <w:rsid w:val="00DA76FD"/>
    <w:rsid w:val="00DB0089"/>
    <w:rsid w:val="00DB04BE"/>
    <w:rsid w:val="00DB04FB"/>
    <w:rsid w:val="00DB06E6"/>
    <w:rsid w:val="00DB0931"/>
    <w:rsid w:val="00DB110D"/>
    <w:rsid w:val="00DB1C3B"/>
    <w:rsid w:val="00DB25A2"/>
    <w:rsid w:val="00DB28E9"/>
    <w:rsid w:val="00DB2C4C"/>
    <w:rsid w:val="00DB2FF1"/>
    <w:rsid w:val="00DB3378"/>
    <w:rsid w:val="00DB3473"/>
    <w:rsid w:val="00DB40E2"/>
    <w:rsid w:val="00DB437B"/>
    <w:rsid w:val="00DB441E"/>
    <w:rsid w:val="00DB4A9B"/>
    <w:rsid w:val="00DB4FEE"/>
    <w:rsid w:val="00DB50AC"/>
    <w:rsid w:val="00DB58AE"/>
    <w:rsid w:val="00DB602D"/>
    <w:rsid w:val="00DB60DA"/>
    <w:rsid w:val="00DB69C2"/>
    <w:rsid w:val="00DB6EDB"/>
    <w:rsid w:val="00DB6F7D"/>
    <w:rsid w:val="00DB6F9A"/>
    <w:rsid w:val="00DB6FE2"/>
    <w:rsid w:val="00DB72DA"/>
    <w:rsid w:val="00DB74B0"/>
    <w:rsid w:val="00DB79F0"/>
    <w:rsid w:val="00DB7AFC"/>
    <w:rsid w:val="00DC00FB"/>
    <w:rsid w:val="00DC0336"/>
    <w:rsid w:val="00DC0883"/>
    <w:rsid w:val="00DC0B14"/>
    <w:rsid w:val="00DC0D55"/>
    <w:rsid w:val="00DC0D68"/>
    <w:rsid w:val="00DC121F"/>
    <w:rsid w:val="00DC1492"/>
    <w:rsid w:val="00DC1BDB"/>
    <w:rsid w:val="00DC209A"/>
    <w:rsid w:val="00DC27D6"/>
    <w:rsid w:val="00DC29D7"/>
    <w:rsid w:val="00DC32A7"/>
    <w:rsid w:val="00DC36A6"/>
    <w:rsid w:val="00DC375C"/>
    <w:rsid w:val="00DC3844"/>
    <w:rsid w:val="00DC44A2"/>
    <w:rsid w:val="00DC490C"/>
    <w:rsid w:val="00DC4E0E"/>
    <w:rsid w:val="00DC4F09"/>
    <w:rsid w:val="00DC5228"/>
    <w:rsid w:val="00DC528F"/>
    <w:rsid w:val="00DC5365"/>
    <w:rsid w:val="00DC5858"/>
    <w:rsid w:val="00DC5F23"/>
    <w:rsid w:val="00DC7126"/>
    <w:rsid w:val="00DC7726"/>
    <w:rsid w:val="00DC7897"/>
    <w:rsid w:val="00DD015E"/>
    <w:rsid w:val="00DD0480"/>
    <w:rsid w:val="00DD0517"/>
    <w:rsid w:val="00DD081C"/>
    <w:rsid w:val="00DD088D"/>
    <w:rsid w:val="00DD09AB"/>
    <w:rsid w:val="00DD0EE1"/>
    <w:rsid w:val="00DD10BD"/>
    <w:rsid w:val="00DD13C6"/>
    <w:rsid w:val="00DD147B"/>
    <w:rsid w:val="00DD2040"/>
    <w:rsid w:val="00DD258C"/>
    <w:rsid w:val="00DD308C"/>
    <w:rsid w:val="00DD30C2"/>
    <w:rsid w:val="00DD310D"/>
    <w:rsid w:val="00DD329E"/>
    <w:rsid w:val="00DD4461"/>
    <w:rsid w:val="00DD4902"/>
    <w:rsid w:val="00DD56B6"/>
    <w:rsid w:val="00DD5734"/>
    <w:rsid w:val="00DD579D"/>
    <w:rsid w:val="00DD5846"/>
    <w:rsid w:val="00DD71AD"/>
    <w:rsid w:val="00DD7315"/>
    <w:rsid w:val="00DE0021"/>
    <w:rsid w:val="00DE01A0"/>
    <w:rsid w:val="00DE0280"/>
    <w:rsid w:val="00DE091E"/>
    <w:rsid w:val="00DE0D48"/>
    <w:rsid w:val="00DE195F"/>
    <w:rsid w:val="00DE2550"/>
    <w:rsid w:val="00DE27E1"/>
    <w:rsid w:val="00DE2B95"/>
    <w:rsid w:val="00DE3242"/>
    <w:rsid w:val="00DE387E"/>
    <w:rsid w:val="00DE3B1B"/>
    <w:rsid w:val="00DE3BDC"/>
    <w:rsid w:val="00DE4896"/>
    <w:rsid w:val="00DE49AD"/>
    <w:rsid w:val="00DE4EE1"/>
    <w:rsid w:val="00DE4F11"/>
    <w:rsid w:val="00DE5731"/>
    <w:rsid w:val="00DE5C76"/>
    <w:rsid w:val="00DE5D01"/>
    <w:rsid w:val="00DE66E0"/>
    <w:rsid w:val="00DE69B6"/>
    <w:rsid w:val="00DE69CF"/>
    <w:rsid w:val="00DE6B1F"/>
    <w:rsid w:val="00DE75A5"/>
    <w:rsid w:val="00DE7C37"/>
    <w:rsid w:val="00DF00D6"/>
    <w:rsid w:val="00DF02E8"/>
    <w:rsid w:val="00DF0399"/>
    <w:rsid w:val="00DF0856"/>
    <w:rsid w:val="00DF0963"/>
    <w:rsid w:val="00DF0A36"/>
    <w:rsid w:val="00DF15D9"/>
    <w:rsid w:val="00DF1764"/>
    <w:rsid w:val="00DF1F39"/>
    <w:rsid w:val="00DF2099"/>
    <w:rsid w:val="00DF25A7"/>
    <w:rsid w:val="00DF25D1"/>
    <w:rsid w:val="00DF26DA"/>
    <w:rsid w:val="00DF297D"/>
    <w:rsid w:val="00DF2E0A"/>
    <w:rsid w:val="00DF3272"/>
    <w:rsid w:val="00DF3432"/>
    <w:rsid w:val="00DF355C"/>
    <w:rsid w:val="00DF429C"/>
    <w:rsid w:val="00DF4C13"/>
    <w:rsid w:val="00DF537E"/>
    <w:rsid w:val="00DF542A"/>
    <w:rsid w:val="00DF55A2"/>
    <w:rsid w:val="00DF574A"/>
    <w:rsid w:val="00DF6C6D"/>
    <w:rsid w:val="00DF6EBE"/>
    <w:rsid w:val="00DF7BA1"/>
    <w:rsid w:val="00DF7D72"/>
    <w:rsid w:val="00DF7FB4"/>
    <w:rsid w:val="00E00425"/>
    <w:rsid w:val="00E0058D"/>
    <w:rsid w:val="00E00647"/>
    <w:rsid w:val="00E0166A"/>
    <w:rsid w:val="00E01914"/>
    <w:rsid w:val="00E01992"/>
    <w:rsid w:val="00E01A82"/>
    <w:rsid w:val="00E01AEA"/>
    <w:rsid w:val="00E01B5E"/>
    <w:rsid w:val="00E020A9"/>
    <w:rsid w:val="00E0264E"/>
    <w:rsid w:val="00E026BB"/>
    <w:rsid w:val="00E02728"/>
    <w:rsid w:val="00E02B41"/>
    <w:rsid w:val="00E0354F"/>
    <w:rsid w:val="00E03F54"/>
    <w:rsid w:val="00E04194"/>
    <w:rsid w:val="00E041E3"/>
    <w:rsid w:val="00E043C2"/>
    <w:rsid w:val="00E052FF"/>
    <w:rsid w:val="00E054D1"/>
    <w:rsid w:val="00E05799"/>
    <w:rsid w:val="00E05DD6"/>
    <w:rsid w:val="00E05EFD"/>
    <w:rsid w:val="00E0641A"/>
    <w:rsid w:val="00E06E61"/>
    <w:rsid w:val="00E070EA"/>
    <w:rsid w:val="00E07252"/>
    <w:rsid w:val="00E0758B"/>
    <w:rsid w:val="00E07755"/>
    <w:rsid w:val="00E07763"/>
    <w:rsid w:val="00E07D1C"/>
    <w:rsid w:val="00E1092D"/>
    <w:rsid w:val="00E11063"/>
    <w:rsid w:val="00E110CD"/>
    <w:rsid w:val="00E1125C"/>
    <w:rsid w:val="00E11ED7"/>
    <w:rsid w:val="00E12282"/>
    <w:rsid w:val="00E1259E"/>
    <w:rsid w:val="00E12903"/>
    <w:rsid w:val="00E12E6C"/>
    <w:rsid w:val="00E12F7C"/>
    <w:rsid w:val="00E13545"/>
    <w:rsid w:val="00E135D0"/>
    <w:rsid w:val="00E13626"/>
    <w:rsid w:val="00E13A2D"/>
    <w:rsid w:val="00E13A39"/>
    <w:rsid w:val="00E13A61"/>
    <w:rsid w:val="00E14268"/>
    <w:rsid w:val="00E14568"/>
    <w:rsid w:val="00E14D5E"/>
    <w:rsid w:val="00E15796"/>
    <w:rsid w:val="00E15993"/>
    <w:rsid w:val="00E164DC"/>
    <w:rsid w:val="00E17294"/>
    <w:rsid w:val="00E175C4"/>
    <w:rsid w:val="00E1763A"/>
    <w:rsid w:val="00E17746"/>
    <w:rsid w:val="00E17822"/>
    <w:rsid w:val="00E17919"/>
    <w:rsid w:val="00E1799C"/>
    <w:rsid w:val="00E17A06"/>
    <w:rsid w:val="00E20BFB"/>
    <w:rsid w:val="00E20E63"/>
    <w:rsid w:val="00E2145C"/>
    <w:rsid w:val="00E21B89"/>
    <w:rsid w:val="00E21CFC"/>
    <w:rsid w:val="00E21D75"/>
    <w:rsid w:val="00E21ED3"/>
    <w:rsid w:val="00E22B0B"/>
    <w:rsid w:val="00E22F01"/>
    <w:rsid w:val="00E23361"/>
    <w:rsid w:val="00E23A97"/>
    <w:rsid w:val="00E24125"/>
    <w:rsid w:val="00E24253"/>
    <w:rsid w:val="00E243B6"/>
    <w:rsid w:val="00E24B7F"/>
    <w:rsid w:val="00E24DAE"/>
    <w:rsid w:val="00E253BC"/>
    <w:rsid w:val="00E255A3"/>
    <w:rsid w:val="00E257DB"/>
    <w:rsid w:val="00E25B17"/>
    <w:rsid w:val="00E26E62"/>
    <w:rsid w:val="00E273A8"/>
    <w:rsid w:val="00E27B86"/>
    <w:rsid w:val="00E27C56"/>
    <w:rsid w:val="00E30060"/>
    <w:rsid w:val="00E30C39"/>
    <w:rsid w:val="00E30F7C"/>
    <w:rsid w:val="00E3112A"/>
    <w:rsid w:val="00E31CA2"/>
    <w:rsid w:val="00E31EEF"/>
    <w:rsid w:val="00E3237B"/>
    <w:rsid w:val="00E32FB2"/>
    <w:rsid w:val="00E33199"/>
    <w:rsid w:val="00E3338D"/>
    <w:rsid w:val="00E336BA"/>
    <w:rsid w:val="00E339C9"/>
    <w:rsid w:val="00E33A19"/>
    <w:rsid w:val="00E33AF1"/>
    <w:rsid w:val="00E33CC0"/>
    <w:rsid w:val="00E33D84"/>
    <w:rsid w:val="00E340A8"/>
    <w:rsid w:val="00E34291"/>
    <w:rsid w:val="00E348D1"/>
    <w:rsid w:val="00E35295"/>
    <w:rsid w:val="00E359B4"/>
    <w:rsid w:val="00E36653"/>
    <w:rsid w:val="00E368A5"/>
    <w:rsid w:val="00E36A27"/>
    <w:rsid w:val="00E36B84"/>
    <w:rsid w:val="00E36D72"/>
    <w:rsid w:val="00E36F26"/>
    <w:rsid w:val="00E37D44"/>
    <w:rsid w:val="00E4022F"/>
    <w:rsid w:val="00E403CF"/>
    <w:rsid w:val="00E406EF"/>
    <w:rsid w:val="00E40799"/>
    <w:rsid w:val="00E40900"/>
    <w:rsid w:val="00E40C22"/>
    <w:rsid w:val="00E40DB4"/>
    <w:rsid w:val="00E419F4"/>
    <w:rsid w:val="00E41D64"/>
    <w:rsid w:val="00E42598"/>
    <w:rsid w:val="00E426F1"/>
    <w:rsid w:val="00E42CA5"/>
    <w:rsid w:val="00E433C4"/>
    <w:rsid w:val="00E43BAC"/>
    <w:rsid w:val="00E443A8"/>
    <w:rsid w:val="00E44850"/>
    <w:rsid w:val="00E4539B"/>
    <w:rsid w:val="00E45D97"/>
    <w:rsid w:val="00E45E5D"/>
    <w:rsid w:val="00E4634F"/>
    <w:rsid w:val="00E46984"/>
    <w:rsid w:val="00E46D1B"/>
    <w:rsid w:val="00E479BE"/>
    <w:rsid w:val="00E47AB3"/>
    <w:rsid w:val="00E47D26"/>
    <w:rsid w:val="00E50024"/>
    <w:rsid w:val="00E50271"/>
    <w:rsid w:val="00E50667"/>
    <w:rsid w:val="00E50C86"/>
    <w:rsid w:val="00E517AD"/>
    <w:rsid w:val="00E519BA"/>
    <w:rsid w:val="00E51A50"/>
    <w:rsid w:val="00E520F3"/>
    <w:rsid w:val="00E526CC"/>
    <w:rsid w:val="00E52ACC"/>
    <w:rsid w:val="00E52FDF"/>
    <w:rsid w:val="00E5325C"/>
    <w:rsid w:val="00E53721"/>
    <w:rsid w:val="00E537BE"/>
    <w:rsid w:val="00E539CB"/>
    <w:rsid w:val="00E541A4"/>
    <w:rsid w:val="00E54223"/>
    <w:rsid w:val="00E5435E"/>
    <w:rsid w:val="00E5444A"/>
    <w:rsid w:val="00E54CC0"/>
    <w:rsid w:val="00E54ECB"/>
    <w:rsid w:val="00E554B2"/>
    <w:rsid w:val="00E555AB"/>
    <w:rsid w:val="00E55753"/>
    <w:rsid w:val="00E55A06"/>
    <w:rsid w:val="00E561E6"/>
    <w:rsid w:val="00E56533"/>
    <w:rsid w:val="00E5659E"/>
    <w:rsid w:val="00E5687B"/>
    <w:rsid w:val="00E56CCC"/>
    <w:rsid w:val="00E56DDD"/>
    <w:rsid w:val="00E571E0"/>
    <w:rsid w:val="00E5748E"/>
    <w:rsid w:val="00E577BA"/>
    <w:rsid w:val="00E57AE7"/>
    <w:rsid w:val="00E57B51"/>
    <w:rsid w:val="00E57F55"/>
    <w:rsid w:val="00E57FAA"/>
    <w:rsid w:val="00E602EC"/>
    <w:rsid w:val="00E6036A"/>
    <w:rsid w:val="00E608D4"/>
    <w:rsid w:val="00E60C8E"/>
    <w:rsid w:val="00E60D6F"/>
    <w:rsid w:val="00E61181"/>
    <w:rsid w:val="00E61738"/>
    <w:rsid w:val="00E61B40"/>
    <w:rsid w:val="00E62358"/>
    <w:rsid w:val="00E623DE"/>
    <w:rsid w:val="00E623F8"/>
    <w:rsid w:val="00E623FC"/>
    <w:rsid w:val="00E62466"/>
    <w:rsid w:val="00E62581"/>
    <w:rsid w:val="00E6276D"/>
    <w:rsid w:val="00E62E02"/>
    <w:rsid w:val="00E62E7B"/>
    <w:rsid w:val="00E6308F"/>
    <w:rsid w:val="00E636C9"/>
    <w:rsid w:val="00E63749"/>
    <w:rsid w:val="00E63770"/>
    <w:rsid w:val="00E63A0D"/>
    <w:rsid w:val="00E63A38"/>
    <w:rsid w:val="00E63BEB"/>
    <w:rsid w:val="00E64574"/>
    <w:rsid w:val="00E646F5"/>
    <w:rsid w:val="00E65210"/>
    <w:rsid w:val="00E65E13"/>
    <w:rsid w:val="00E67229"/>
    <w:rsid w:val="00E674E8"/>
    <w:rsid w:val="00E6776F"/>
    <w:rsid w:val="00E678F5"/>
    <w:rsid w:val="00E67DFA"/>
    <w:rsid w:val="00E67F1D"/>
    <w:rsid w:val="00E706BE"/>
    <w:rsid w:val="00E70D23"/>
    <w:rsid w:val="00E72211"/>
    <w:rsid w:val="00E72AB9"/>
    <w:rsid w:val="00E73180"/>
    <w:rsid w:val="00E73943"/>
    <w:rsid w:val="00E74078"/>
    <w:rsid w:val="00E742C4"/>
    <w:rsid w:val="00E74D67"/>
    <w:rsid w:val="00E75A13"/>
    <w:rsid w:val="00E75B4A"/>
    <w:rsid w:val="00E75D0C"/>
    <w:rsid w:val="00E7601E"/>
    <w:rsid w:val="00E762A3"/>
    <w:rsid w:val="00E7667E"/>
    <w:rsid w:val="00E766D3"/>
    <w:rsid w:val="00E76811"/>
    <w:rsid w:val="00E76BB2"/>
    <w:rsid w:val="00E76F5C"/>
    <w:rsid w:val="00E77095"/>
    <w:rsid w:val="00E7776B"/>
    <w:rsid w:val="00E77B5B"/>
    <w:rsid w:val="00E77C48"/>
    <w:rsid w:val="00E800B1"/>
    <w:rsid w:val="00E801A6"/>
    <w:rsid w:val="00E80877"/>
    <w:rsid w:val="00E80D29"/>
    <w:rsid w:val="00E80F47"/>
    <w:rsid w:val="00E815D6"/>
    <w:rsid w:val="00E81975"/>
    <w:rsid w:val="00E81E17"/>
    <w:rsid w:val="00E81EA2"/>
    <w:rsid w:val="00E81F99"/>
    <w:rsid w:val="00E820C3"/>
    <w:rsid w:val="00E82401"/>
    <w:rsid w:val="00E82416"/>
    <w:rsid w:val="00E826E5"/>
    <w:rsid w:val="00E8276C"/>
    <w:rsid w:val="00E828C5"/>
    <w:rsid w:val="00E82B0F"/>
    <w:rsid w:val="00E8313E"/>
    <w:rsid w:val="00E834D9"/>
    <w:rsid w:val="00E836C2"/>
    <w:rsid w:val="00E83724"/>
    <w:rsid w:val="00E83732"/>
    <w:rsid w:val="00E83C1A"/>
    <w:rsid w:val="00E8442B"/>
    <w:rsid w:val="00E846F0"/>
    <w:rsid w:val="00E84F71"/>
    <w:rsid w:val="00E85185"/>
    <w:rsid w:val="00E85200"/>
    <w:rsid w:val="00E8556F"/>
    <w:rsid w:val="00E85635"/>
    <w:rsid w:val="00E8577A"/>
    <w:rsid w:val="00E85C14"/>
    <w:rsid w:val="00E87818"/>
    <w:rsid w:val="00E903A3"/>
    <w:rsid w:val="00E904E9"/>
    <w:rsid w:val="00E90B15"/>
    <w:rsid w:val="00E90DEA"/>
    <w:rsid w:val="00E91310"/>
    <w:rsid w:val="00E923C4"/>
    <w:rsid w:val="00E92701"/>
    <w:rsid w:val="00E92B4E"/>
    <w:rsid w:val="00E92C57"/>
    <w:rsid w:val="00E92CB6"/>
    <w:rsid w:val="00E92FF5"/>
    <w:rsid w:val="00E93CFD"/>
    <w:rsid w:val="00E94025"/>
    <w:rsid w:val="00E940A6"/>
    <w:rsid w:val="00E942D7"/>
    <w:rsid w:val="00E94345"/>
    <w:rsid w:val="00E9452D"/>
    <w:rsid w:val="00E94AC6"/>
    <w:rsid w:val="00E94CC8"/>
    <w:rsid w:val="00E94F8F"/>
    <w:rsid w:val="00E95018"/>
    <w:rsid w:val="00E950F0"/>
    <w:rsid w:val="00E95739"/>
    <w:rsid w:val="00E96414"/>
    <w:rsid w:val="00E9688D"/>
    <w:rsid w:val="00E97F26"/>
    <w:rsid w:val="00E97F4E"/>
    <w:rsid w:val="00EA06B0"/>
    <w:rsid w:val="00EA13C3"/>
    <w:rsid w:val="00EA151D"/>
    <w:rsid w:val="00EA1E3D"/>
    <w:rsid w:val="00EA2089"/>
    <w:rsid w:val="00EA23AF"/>
    <w:rsid w:val="00EA2685"/>
    <w:rsid w:val="00EA2A77"/>
    <w:rsid w:val="00EA30E5"/>
    <w:rsid w:val="00EA3AA2"/>
    <w:rsid w:val="00EA3E6B"/>
    <w:rsid w:val="00EA48A7"/>
    <w:rsid w:val="00EA4F96"/>
    <w:rsid w:val="00EA5230"/>
    <w:rsid w:val="00EA5AB6"/>
    <w:rsid w:val="00EA6140"/>
    <w:rsid w:val="00EA6252"/>
    <w:rsid w:val="00EA6419"/>
    <w:rsid w:val="00EA68E0"/>
    <w:rsid w:val="00EA6B13"/>
    <w:rsid w:val="00EA72E2"/>
    <w:rsid w:val="00EA75D3"/>
    <w:rsid w:val="00EA7E5A"/>
    <w:rsid w:val="00EB00DA"/>
    <w:rsid w:val="00EB0484"/>
    <w:rsid w:val="00EB06B9"/>
    <w:rsid w:val="00EB08F4"/>
    <w:rsid w:val="00EB0EA0"/>
    <w:rsid w:val="00EB0EDA"/>
    <w:rsid w:val="00EB0F87"/>
    <w:rsid w:val="00EB111F"/>
    <w:rsid w:val="00EB141B"/>
    <w:rsid w:val="00EB1C5F"/>
    <w:rsid w:val="00EB1FFE"/>
    <w:rsid w:val="00EB20E2"/>
    <w:rsid w:val="00EB20EF"/>
    <w:rsid w:val="00EB23BE"/>
    <w:rsid w:val="00EB26B7"/>
    <w:rsid w:val="00EB27EA"/>
    <w:rsid w:val="00EB2935"/>
    <w:rsid w:val="00EB2AB8"/>
    <w:rsid w:val="00EB30A9"/>
    <w:rsid w:val="00EB3A20"/>
    <w:rsid w:val="00EB3ACE"/>
    <w:rsid w:val="00EB4127"/>
    <w:rsid w:val="00EB425D"/>
    <w:rsid w:val="00EB4320"/>
    <w:rsid w:val="00EB451E"/>
    <w:rsid w:val="00EB4C5C"/>
    <w:rsid w:val="00EB4CF6"/>
    <w:rsid w:val="00EB503D"/>
    <w:rsid w:val="00EB5184"/>
    <w:rsid w:val="00EB56BE"/>
    <w:rsid w:val="00EB57BF"/>
    <w:rsid w:val="00EB5C75"/>
    <w:rsid w:val="00EB5E87"/>
    <w:rsid w:val="00EB61C7"/>
    <w:rsid w:val="00EB61E4"/>
    <w:rsid w:val="00EB6250"/>
    <w:rsid w:val="00EB6817"/>
    <w:rsid w:val="00EB6893"/>
    <w:rsid w:val="00EB6A0A"/>
    <w:rsid w:val="00EB6E43"/>
    <w:rsid w:val="00EB727B"/>
    <w:rsid w:val="00EB79B8"/>
    <w:rsid w:val="00EB7AB2"/>
    <w:rsid w:val="00EB7B72"/>
    <w:rsid w:val="00EB7F4F"/>
    <w:rsid w:val="00EB7F7F"/>
    <w:rsid w:val="00EB7FCE"/>
    <w:rsid w:val="00EC061B"/>
    <w:rsid w:val="00EC0AD0"/>
    <w:rsid w:val="00EC1381"/>
    <w:rsid w:val="00EC13C1"/>
    <w:rsid w:val="00EC1489"/>
    <w:rsid w:val="00EC14AE"/>
    <w:rsid w:val="00EC15B7"/>
    <w:rsid w:val="00EC180D"/>
    <w:rsid w:val="00EC1C6F"/>
    <w:rsid w:val="00EC2BDE"/>
    <w:rsid w:val="00EC308F"/>
    <w:rsid w:val="00EC3747"/>
    <w:rsid w:val="00EC3934"/>
    <w:rsid w:val="00EC3BFB"/>
    <w:rsid w:val="00EC3C64"/>
    <w:rsid w:val="00EC4013"/>
    <w:rsid w:val="00EC4093"/>
    <w:rsid w:val="00EC45FA"/>
    <w:rsid w:val="00EC48CD"/>
    <w:rsid w:val="00EC538F"/>
    <w:rsid w:val="00EC573C"/>
    <w:rsid w:val="00EC57FB"/>
    <w:rsid w:val="00EC5D90"/>
    <w:rsid w:val="00EC5DC7"/>
    <w:rsid w:val="00EC633D"/>
    <w:rsid w:val="00EC645B"/>
    <w:rsid w:val="00EC67A8"/>
    <w:rsid w:val="00EC6EEF"/>
    <w:rsid w:val="00EC7488"/>
    <w:rsid w:val="00EC7BEE"/>
    <w:rsid w:val="00EC7DA9"/>
    <w:rsid w:val="00ED0200"/>
    <w:rsid w:val="00ED02A3"/>
    <w:rsid w:val="00ED0341"/>
    <w:rsid w:val="00ED058B"/>
    <w:rsid w:val="00ED0776"/>
    <w:rsid w:val="00ED1FD5"/>
    <w:rsid w:val="00ED2082"/>
    <w:rsid w:val="00ED22B3"/>
    <w:rsid w:val="00ED25C9"/>
    <w:rsid w:val="00ED2685"/>
    <w:rsid w:val="00ED2BD3"/>
    <w:rsid w:val="00ED3669"/>
    <w:rsid w:val="00ED3AFC"/>
    <w:rsid w:val="00ED400F"/>
    <w:rsid w:val="00ED4024"/>
    <w:rsid w:val="00ED4B0A"/>
    <w:rsid w:val="00ED4B2F"/>
    <w:rsid w:val="00ED559B"/>
    <w:rsid w:val="00ED5913"/>
    <w:rsid w:val="00ED5B4D"/>
    <w:rsid w:val="00ED5BBD"/>
    <w:rsid w:val="00ED5CCB"/>
    <w:rsid w:val="00ED5CF5"/>
    <w:rsid w:val="00ED767F"/>
    <w:rsid w:val="00ED791F"/>
    <w:rsid w:val="00EE043D"/>
    <w:rsid w:val="00EE0BCB"/>
    <w:rsid w:val="00EE0DF9"/>
    <w:rsid w:val="00EE0EC0"/>
    <w:rsid w:val="00EE1114"/>
    <w:rsid w:val="00EE11EB"/>
    <w:rsid w:val="00EE2A81"/>
    <w:rsid w:val="00EE2D98"/>
    <w:rsid w:val="00EE2F6E"/>
    <w:rsid w:val="00EE330E"/>
    <w:rsid w:val="00EE3318"/>
    <w:rsid w:val="00EE351F"/>
    <w:rsid w:val="00EE3604"/>
    <w:rsid w:val="00EE3A19"/>
    <w:rsid w:val="00EE3AD4"/>
    <w:rsid w:val="00EE4709"/>
    <w:rsid w:val="00EE4862"/>
    <w:rsid w:val="00EE4B40"/>
    <w:rsid w:val="00EE4CD3"/>
    <w:rsid w:val="00EE5B57"/>
    <w:rsid w:val="00EE5BBD"/>
    <w:rsid w:val="00EE616A"/>
    <w:rsid w:val="00EE618B"/>
    <w:rsid w:val="00EE6355"/>
    <w:rsid w:val="00EE6358"/>
    <w:rsid w:val="00EE666F"/>
    <w:rsid w:val="00EE7249"/>
    <w:rsid w:val="00EE7717"/>
    <w:rsid w:val="00EE7C51"/>
    <w:rsid w:val="00EE7EEC"/>
    <w:rsid w:val="00EF028F"/>
    <w:rsid w:val="00EF1363"/>
    <w:rsid w:val="00EF1C05"/>
    <w:rsid w:val="00EF350A"/>
    <w:rsid w:val="00EF3644"/>
    <w:rsid w:val="00EF379B"/>
    <w:rsid w:val="00EF3875"/>
    <w:rsid w:val="00EF39F1"/>
    <w:rsid w:val="00EF3E60"/>
    <w:rsid w:val="00EF4347"/>
    <w:rsid w:val="00EF442E"/>
    <w:rsid w:val="00EF497E"/>
    <w:rsid w:val="00EF4C5F"/>
    <w:rsid w:val="00EF57F3"/>
    <w:rsid w:val="00EF5B6C"/>
    <w:rsid w:val="00EF61E3"/>
    <w:rsid w:val="00EF6995"/>
    <w:rsid w:val="00EF6D1B"/>
    <w:rsid w:val="00EF6E92"/>
    <w:rsid w:val="00EF6EDF"/>
    <w:rsid w:val="00EF7008"/>
    <w:rsid w:val="00EF704B"/>
    <w:rsid w:val="00EF7338"/>
    <w:rsid w:val="00EF755D"/>
    <w:rsid w:val="00EF75CB"/>
    <w:rsid w:val="00EF7610"/>
    <w:rsid w:val="00EF7A28"/>
    <w:rsid w:val="00EF7B4E"/>
    <w:rsid w:val="00F0027F"/>
    <w:rsid w:val="00F00389"/>
    <w:rsid w:val="00F0089D"/>
    <w:rsid w:val="00F00D6A"/>
    <w:rsid w:val="00F00F38"/>
    <w:rsid w:val="00F011F7"/>
    <w:rsid w:val="00F01F0C"/>
    <w:rsid w:val="00F01F1A"/>
    <w:rsid w:val="00F02869"/>
    <w:rsid w:val="00F02A44"/>
    <w:rsid w:val="00F02A76"/>
    <w:rsid w:val="00F02D0F"/>
    <w:rsid w:val="00F02D17"/>
    <w:rsid w:val="00F02D76"/>
    <w:rsid w:val="00F03180"/>
    <w:rsid w:val="00F0370F"/>
    <w:rsid w:val="00F0374E"/>
    <w:rsid w:val="00F038FF"/>
    <w:rsid w:val="00F03C0C"/>
    <w:rsid w:val="00F03D2F"/>
    <w:rsid w:val="00F04289"/>
    <w:rsid w:val="00F0435F"/>
    <w:rsid w:val="00F04436"/>
    <w:rsid w:val="00F04509"/>
    <w:rsid w:val="00F0457C"/>
    <w:rsid w:val="00F04737"/>
    <w:rsid w:val="00F047E8"/>
    <w:rsid w:val="00F048B0"/>
    <w:rsid w:val="00F04C3F"/>
    <w:rsid w:val="00F04C43"/>
    <w:rsid w:val="00F04E19"/>
    <w:rsid w:val="00F051DC"/>
    <w:rsid w:val="00F0521C"/>
    <w:rsid w:val="00F0572E"/>
    <w:rsid w:val="00F0618A"/>
    <w:rsid w:val="00F06308"/>
    <w:rsid w:val="00F068C4"/>
    <w:rsid w:val="00F106B2"/>
    <w:rsid w:val="00F10A5A"/>
    <w:rsid w:val="00F10AF5"/>
    <w:rsid w:val="00F10B66"/>
    <w:rsid w:val="00F10D15"/>
    <w:rsid w:val="00F11336"/>
    <w:rsid w:val="00F11C1F"/>
    <w:rsid w:val="00F121A6"/>
    <w:rsid w:val="00F12542"/>
    <w:rsid w:val="00F127B5"/>
    <w:rsid w:val="00F128BC"/>
    <w:rsid w:val="00F12A4D"/>
    <w:rsid w:val="00F12AB0"/>
    <w:rsid w:val="00F13055"/>
    <w:rsid w:val="00F13E06"/>
    <w:rsid w:val="00F14060"/>
    <w:rsid w:val="00F1446A"/>
    <w:rsid w:val="00F14913"/>
    <w:rsid w:val="00F15750"/>
    <w:rsid w:val="00F15794"/>
    <w:rsid w:val="00F16075"/>
    <w:rsid w:val="00F166C9"/>
    <w:rsid w:val="00F16D22"/>
    <w:rsid w:val="00F17530"/>
    <w:rsid w:val="00F179FC"/>
    <w:rsid w:val="00F17F83"/>
    <w:rsid w:val="00F204CA"/>
    <w:rsid w:val="00F205D9"/>
    <w:rsid w:val="00F2070E"/>
    <w:rsid w:val="00F211AB"/>
    <w:rsid w:val="00F21CEC"/>
    <w:rsid w:val="00F22459"/>
    <w:rsid w:val="00F227A7"/>
    <w:rsid w:val="00F22EE7"/>
    <w:rsid w:val="00F2311C"/>
    <w:rsid w:val="00F23549"/>
    <w:rsid w:val="00F23A69"/>
    <w:rsid w:val="00F242B6"/>
    <w:rsid w:val="00F24569"/>
    <w:rsid w:val="00F2466B"/>
    <w:rsid w:val="00F247D8"/>
    <w:rsid w:val="00F24BD8"/>
    <w:rsid w:val="00F24D7E"/>
    <w:rsid w:val="00F25337"/>
    <w:rsid w:val="00F253AD"/>
    <w:rsid w:val="00F25595"/>
    <w:rsid w:val="00F25D8B"/>
    <w:rsid w:val="00F26075"/>
    <w:rsid w:val="00F263AD"/>
    <w:rsid w:val="00F26740"/>
    <w:rsid w:val="00F26BBC"/>
    <w:rsid w:val="00F26C4E"/>
    <w:rsid w:val="00F27A1A"/>
    <w:rsid w:val="00F27C63"/>
    <w:rsid w:val="00F303B1"/>
    <w:rsid w:val="00F30870"/>
    <w:rsid w:val="00F3098A"/>
    <w:rsid w:val="00F30DA9"/>
    <w:rsid w:val="00F30EDF"/>
    <w:rsid w:val="00F3112B"/>
    <w:rsid w:val="00F321AB"/>
    <w:rsid w:val="00F3291D"/>
    <w:rsid w:val="00F33910"/>
    <w:rsid w:val="00F33D94"/>
    <w:rsid w:val="00F34F7D"/>
    <w:rsid w:val="00F355AC"/>
    <w:rsid w:val="00F35D16"/>
    <w:rsid w:val="00F35ED3"/>
    <w:rsid w:val="00F366D1"/>
    <w:rsid w:val="00F40153"/>
    <w:rsid w:val="00F40629"/>
    <w:rsid w:val="00F40668"/>
    <w:rsid w:val="00F40A96"/>
    <w:rsid w:val="00F40CEE"/>
    <w:rsid w:val="00F41572"/>
    <w:rsid w:val="00F41596"/>
    <w:rsid w:val="00F418E6"/>
    <w:rsid w:val="00F42014"/>
    <w:rsid w:val="00F4207F"/>
    <w:rsid w:val="00F429A7"/>
    <w:rsid w:val="00F42D4A"/>
    <w:rsid w:val="00F42DBA"/>
    <w:rsid w:val="00F4323E"/>
    <w:rsid w:val="00F44148"/>
    <w:rsid w:val="00F443BC"/>
    <w:rsid w:val="00F44797"/>
    <w:rsid w:val="00F44F45"/>
    <w:rsid w:val="00F4543D"/>
    <w:rsid w:val="00F458D2"/>
    <w:rsid w:val="00F45969"/>
    <w:rsid w:val="00F45D8D"/>
    <w:rsid w:val="00F464AA"/>
    <w:rsid w:val="00F47042"/>
    <w:rsid w:val="00F470D4"/>
    <w:rsid w:val="00F475C0"/>
    <w:rsid w:val="00F47881"/>
    <w:rsid w:val="00F47A94"/>
    <w:rsid w:val="00F47C8C"/>
    <w:rsid w:val="00F50726"/>
    <w:rsid w:val="00F50D8E"/>
    <w:rsid w:val="00F50FDD"/>
    <w:rsid w:val="00F51297"/>
    <w:rsid w:val="00F51677"/>
    <w:rsid w:val="00F516F9"/>
    <w:rsid w:val="00F518A1"/>
    <w:rsid w:val="00F53210"/>
    <w:rsid w:val="00F53980"/>
    <w:rsid w:val="00F53E5C"/>
    <w:rsid w:val="00F53FC4"/>
    <w:rsid w:val="00F54198"/>
    <w:rsid w:val="00F54228"/>
    <w:rsid w:val="00F542C9"/>
    <w:rsid w:val="00F54427"/>
    <w:rsid w:val="00F545D4"/>
    <w:rsid w:val="00F548EB"/>
    <w:rsid w:val="00F54C27"/>
    <w:rsid w:val="00F54C2B"/>
    <w:rsid w:val="00F55199"/>
    <w:rsid w:val="00F55582"/>
    <w:rsid w:val="00F56264"/>
    <w:rsid w:val="00F56601"/>
    <w:rsid w:val="00F56DED"/>
    <w:rsid w:val="00F575D0"/>
    <w:rsid w:val="00F577ED"/>
    <w:rsid w:val="00F57F10"/>
    <w:rsid w:val="00F602ED"/>
    <w:rsid w:val="00F60850"/>
    <w:rsid w:val="00F60C22"/>
    <w:rsid w:val="00F60CAB"/>
    <w:rsid w:val="00F60D04"/>
    <w:rsid w:val="00F62CDA"/>
    <w:rsid w:val="00F63390"/>
    <w:rsid w:val="00F6339B"/>
    <w:rsid w:val="00F63889"/>
    <w:rsid w:val="00F63F01"/>
    <w:rsid w:val="00F64244"/>
    <w:rsid w:val="00F647A6"/>
    <w:rsid w:val="00F64B1B"/>
    <w:rsid w:val="00F64B5A"/>
    <w:rsid w:val="00F64E15"/>
    <w:rsid w:val="00F65395"/>
    <w:rsid w:val="00F659F6"/>
    <w:rsid w:val="00F65C3A"/>
    <w:rsid w:val="00F66512"/>
    <w:rsid w:val="00F66A7D"/>
    <w:rsid w:val="00F6708B"/>
    <w:rsid w:val="00F679BA"/>
    <w:rsid w:val="00F67CED"/>
    <w:rsid w:val="00F67D05"/>
    <w:rsid w:val="00F67F4F"/>
    <w:rsid w:val="00F67FEF"/>
    <w:rsid w:val="00F7097F"/>
    <w:rsid w:val="00F709E2"/>
    <w:rsid w:val="00F70F5C"/>
    <w:rsid w:val="00F711F7"/>
    <w:rsid w:val="00F7125C"/>
    <w:rsid w:val="00F71299"/>
    <w:rsid w:val="00F7131A"/>
    <w:rsid w:val="00F719EA"/>
    <w:rsid w:val="00F7256C"/>
    <w:rsid w:val="00F72BFA"/>
    <w:rsid w:val="00F72E81"/>
    <w:rsid w:val="00F732A4"/>
    <w:rsid w:val="00F738B9"/>
    <w:rsid w:val="00F749A4"/>
    <w:rsid w:val="00F74F04"/>
    <w:rsid w:val="00F751FA"/>
    <w:rsid w:val="00F754DD"/>
    <w:rsid w:val="00F75A42"/>
    <w:rsid w:val="00F75B28"/>
    <w:rsid w:val="00F75F2A"/>
    <w:rsid w:val="00F76329"/>
    <w:rsid w:val="00F7639D"/>
    <w:rsid w:val="00F7699F"/>
    <w:rsid w:val="00F7733F"/>
    <w:rsid w:val="00F7745E"/>
    <w:rsid w:val="00F77AC8"/>
    <w:rsid w:val="00F77B8E"/>
    <w:rsid w:val="00F8026E"/>
    <w:rsid w:val="00F802A6"/>
    <w:rsid w:val="00F80347"/>
    <w:rsid w:val="00F80566"/>
    <w:rsid w:val="00F805CD"/>
    <w:rsid w:val="00F813CC"/>
    <w:rsid w:val="00F814BF"/>
    <w:rsid w:val="00F81A13"/>
    <w:rsid w:val="00F81B73"/>
    <w:rsid w:val="00F82132"/>
    <w:rsid w:val="00F82AF2"/>
    <w:rsid w:val="00F82CA0"/>
    <w:rsid w:val="00F831FD"/>
    <w:rsid w:val="00F83293"/>
    <w:rsid w:val="00F83990"/>
    <w:rsid w:val="00F83D44"/>
    <w:rsid w:val="00F83F7D"/>
    <w:rsid w:val="00F841C8"/>
    <w:rsid w:val="00F858EC"/>
    <w:rsid w:val="00F85D92"/>
    <w:rsid w:val="00F8627A"/>
    <w:rsid w:val="00F86963"/>
    <w:rsid w:val="00F86EFD"/>
    <w:rsid w:val="00F86FBE"/>
    <w:rsid w:val="00F870D6"/>
    <w:rsid w:val="00F87A2C"/>
    <w:rsid w:val="00F90413"/>
    <w:rsid w:val="00F90489"/>
    <w:rsid w:val="00F90502"/>
    <w:rsid w:val="00F90543"/>
    <w:rsid w:val="00F90A42"/>
    <w:rsid w:val="00F90BD3"/>
    <w:rsid w:val="00F90F27"/>
    <w:rsid w:val="00F91095"/>
    <w:rsid w:val="00F9179A"/>
    <w:rsid w:val="00F91B8C"/>
    <w:rsid w:val="00F91BBD"/>
    <w:rsid w:val="00F9228E"/>
    <w:rsid w:val="00F92404"/>
    <w:rsid w:val="00F924FA"/>
    <w:rsid w:val="00F9260C"/>
    <w:rsid w:val="00F92C39"/>
    <w:rsid w:val="00F93A8D"/>
    <w:rsid w:val="00F93F99"/>
    <w:rsid w:val="00F94901"/>
    <w:rsid w:val="00F94BF1"/>
    <w:rsid w:val="00F94CF4"/>
    <w:rsid w:val="00F95A1F"/>
    <w:rsid w:val="00F95AC2"/>
    <w:rsid w:val="00F95ACF"/>
    <w:rsid w:val="00F95C94"/>
    <w:rsid w:val="00F96218"/>
    <w:rsid w:val="00F9679D"/>
    <w:rsid w:val="00F96808"/>
    <w:rsid w:val="00F97093"/>
    <w:rsid w:val="00FA00F3"/>
    <w:rsid w:val="00FA0945"/>
    <w:rsid w:val="00FA09B3"/>
    <w:rsid w:val="00FA1536"/>
    <w:rsid w:val="00FA20D9"/>
    <w:rsid w:val="00FA22A5"/>
    <w:rsid w:val="00FA2592"/>
    <w:rsid w:val="00FA25F7"/>
    <w:rsid w:val="00FA2D64"/>
    <w:rsid w:val="00FA2DAF"/>
    <w:rsid w:val="00FA2FF8"/>
    <w:rsid w:val="00FA3AEF"/>
    <w:rsid w:val="00FA3FEF"/>
    <w:rsid w:val="00FA42C8"/>
    <w:rsid w:val="00FA49D1"/>
    <w:rsid w:val="00FA53FD"/>
    <w:rsid w:val="00FA56B1"/>
    <w:rsid w:val="00FA5CB5"/>
    <w:rsid w:val="00FA6691"/>
    <w:rsid w:val="00FA6788"/>
    <w:rsid w:val="00FA7B04"/>
    <w:rsid w:val="00FA7C60"/>
    <w:rsid w:val="00FB0207"/>
    <w:rsid w:val="00FB0222"/>
    <w:rsid w:val="00FB02D8"/>
    <w:rsid w:val="00FB047C"/>
    <w:rsid w:val="00FB0704"/>
    <w:rsid w:val="00FB0C1D"/>
    <w:rsid w:val="00FB0DE4"/>
    <w:rsid w:val="00FB131B"/>
    <w:rsid w:val="00FB19AB"/>
    <w:rsid w:val="00FB2273"/>
    <w:rsid w:val="00FB260E"/>
    <w:rsid w:val="00FB2715"/>
    <w:rsid w:val="00FB2945"/>
    <w:rsid w:val="00FB2B08"/>
    <w:rsid w:val="00FB3104"/>
    <w:rsid w:val="00FB31F2"/>
    <w:rsid w:val="00FB357D"/>
    <w:rsid w:val="00FB3C9B"/>
    <w:rsid w:val="00FB4137"/>
    <w:rsid w:val="00FB4374"/>
    <w:rsid w:val="00FB4967"/>
    <w:rsid w:val="00FB51CA"/>
    <w:rsid w:val="00FB51E0"/>
    <w:rsid w:val="00FB58C7"/>
    <w:rsid w:val="00FB5BE5"/>
    <w:rsid w:val="00FB5E74"/>
    <w:rsid w:val="00FB5EDA"/>
    <w:rsid w:val="00FB6596"/>
    <w:rsid w:val="00FB663F"/>
    <w:rsid w:val="00FB68AD"/>
    <w:rsid w:val="00FB71F4"/>
    <w:rsid w:val="00FB74D4"/>
    <w:rsid w:val="00FB7AEB"/>
    <w:rsid w:val="00FB7D8F"/>
    <w:rsid w:val="00FC0498"/>
    <w:rsid w:val="00FC0526"/>
    <w:rsid w:val="00FC071F"/>
    <w:rsid w:val="00FC0C6B"/>
    <w:rsid w:val="00FC0D40"/>
    <w:rsid w:val="00FC0FBD"/>
    <w:rsid w:val="00FC1261"/>
    <w:rsid w:val="00FC1B87"/>
    <w:rsid w:val="00FC1BCA"/>
    <w:rsid w:val="00FC1E4E"/>
    <w:rsid w:val="00FC1E8D"/>
    <w:rsid w:val="00FC24C7"/>
    <w:rsid w:val="00FC2847"/>
    <w:rsid w:val="00FC289C"/>
    <w:rsid w:val="00FC2BBE"/>
    <w:rsid w:val="00FC2BD5"/>
    <w:rsid w:val="00FC39AE"/>
    <w:rsid w:val="00FC3F6C"/>
    <w:rsid w:val="00FC4378"/>
    <w:rsid w:val="00FC4675"/>
    <w:rsid w:val="00FC6079"/>
    <w:rsid w:val="00FC61B5"/>
    <w:rsid w:val="00FC64A6"/>
    <w:rsid w:val="00FC69B0"/>
    <w:rsid w:val="00FC7377"/>
    <w:rsid w:val="00FC7620"/>
    <w:rsid w:val="00FC78CB"/>
    <w:rsid w:val="00FC7CA5"/>
    <w:rsid w:val="00FC7D37"/>
    <w:rsid w:val="00FC7EF1"/>
    <w:rsid w:val="00FC7F36"/>
    <w:rsid w:val="00FD00A1"/>
    <w:rsid w:val="00FD026D"/>
    <w:rsid w:val="00FD0BE0"/>
    <w:rsid w:val="00FD17AA"/>
    <w:rsid w:val="00FD191F"/>
    <w:rsid w:val="00FD1ACE"/>
    <w:rsid w:val="00FD1F2B"/>
    <w:rsid w:val="00FD20FA"/>
    <w:rsid w:val="00FD2262"/>
    <w:rsid w:val="00FD2CF4"/>
    <w:rsid w:val="00FD2F35"/>
    <w:rsid w:val="00FD3149"/>
    <w:rsid w:val="00FD3617"/>
    <w:rsid w:val="00FD3F86"/>
    <w:rsid w:val="00FD40BB"/>
    <w:rsid w:val="00FD45AC"/>
    <w:rsid w:val="00FD46E4"/>
    <w:rsid w:val="00FD5241"/>
    <w:rsid w:val="00FD565A"/>
    <w:rsid w:val="00FD5690"/>
    <w:rsid w:val="00FD5705"/>
    <w:rsid w:val="00FD58E2"/>
    <w:rsid w:val="00FD5C67"/>
    <w:rsid w:val="00FD61A7"/>
    <w:rsid w:val="00FD628A"/>
    <w:rsid w:val="00FD6A36"/>
    <w:rsid w:val="00FD7043"/>
    <w:rsid w:val="00FD70B7"/>
    <w:rsid w:val="00FD755C"/>
    <w:rsid w:val="00FD7736"/>
    <w:rsid w:val="00FE0494"/>
    <w:rsid w:val="00FE0500"/>
    <w:rsid w:val="00FE073C"/>
    <w:rsid w:val="00FE0B47"/>
    <w:rsid w:val="00FE0C4D"/>
    <w:rsid w:val="00FE10AC"/>
    <w:rsid w:val="00FE1DF4"/>
    <w:rsid w:val="00FE22F0"/>
    <w:rsid w:val="00FE2338"/>
    <w:rsid w:val="00FE2947"/>
    <w:rsid w:val="00FE2B1E"/>
    <w:rsid w:val="00FE3540"/>
    <w:rsid w:val="00FE391D"/>
    <w:rsid w:val="00FE3FD4"/>
    <w:rsid w:val="00FE4D77"/>
    <w:rsid w:val="00FE58AD"/>
    <w:rsid w:val="00FE5EBE"/>
    <w:rsid w:val="00FE600D"/>
    <w:rsid w:val="00FE6053"/>
    <w:rsid w:val="00FE69C1"/>
    <w:rsid w:val="00FE6B04"/>
    <w:rsid w:val="00FE6CEC"/>
    <w:rsid w:val="00FE7252"/>
    <w:rsid w:val="00FE7351"/>
    <w:rsid w:val="00FE74B0"/>
    <w:rsid w:val="00FE74E3"/>
    <w:rsid w:val="00FE75EC"/>
    <w:rsid w:val="00FE7C33"/>
    <w:rsid w:val="00FF03E4"/>
    <w:rsid w:val="00FF0720"/>
    <w:rsid w:val="00FF0C8D"/>
    <w:rsid w:val="00FF1037"/>
    <w:rsid w:val="00FF156F"/>
    <w:rsid w:val="00FF27ED"/>
    <w:rsid w:val="00FF285D"/>
    <w:rsid w:val="00FF372B"/>
    <w:rsid w:val="00FF3C0A"/>
    <w:rsid w:val="00FF3C8A"/>
    <w:rsid w:val="00FF3EC8"/>
    <w:rsid w:val="00FF4187"/>
    <w:rsid w:val="00FF488C"/>
    <w:rsid w:val="00FF48B6"/>
    <w:rsid w:val="00FF503C"/>
    <w:rsid w:val="00FF5446"/>
    <w:rsid w:val="00FF585F"/>
    <w:rsid w:val="00FF64D5"/>
    <w:rsid w:val="00FF657F"/>
    <w:rsid w:val="00FF6A19"/>
    <w:rsid w:val="00FF6B73"/>
    <w:rsid w:val="00FF6D26"/>
    <w:rsid w:val="00FF6F30"/>
    <w:rsid w:val="00FF7732"/>
    <w:rsid w:val="00FF787E"/>
    <w:rsid w:val="00FF7951"/>
    <w:rsid w:val="00FF7960"/>
    <w:rsid w:val="00FF7C7E"/>
    <w:rsid w:val="00FF7CAA"/>
    <w:rsid w:val="00FF7CB5"/>
    <w:rsid w:val="00FF7C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3610F"/>
    <w:rPr>
      <w:sz w:val="24"/>
      <w:szCs w:val="24"/>
    </w:rPr>
  </w:style>
  <w:style w:type="paragraph" w:styleId="Heading1">
    <w:name w:val="heading 1"/>
    <w:basedOn w:val="BodyText"/>
    <w:next w:val="BodyText"/>
    <w:rsid w:val="0003610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3610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3610F"/>
    <w:pPr>
      <w:spacing w:before="560" w:line="320" w:lineRule="exact"/>
      <w:ind w:left="0" w:firstLine="0"/>
      <w:outlineLvl w:val="2"/>
    </w:pPr>
    <w:rPr>
      <w:sz w:val="26"/>
    </w:rPr>
  </w:style>
  <w:style w:type="paragraph" w:styleId="Heading4">
    <w:name w:val="heading 4"/>
    <w:basedOn w:val="Heading3"/>
    <w:next w:val="BodyText"/>
    <w:qFormat/>
    <w:rsid w:val="0003610F"/>
    <w:pPr>
      <w:spacing w:before="480"/>
      <w:outlineLvl w:val="3"/>
    </w:pPr>
    <w:rPr>
      <w:b w:val="0"/>
      <w:sz w:val="24"/>
    </w:rPr>
  </w:style>
  <w:style w:type="paragraph" w:styleId="Heading5">
    <w:name w:val="heading 5"/>
    <w:basedOn w:val="Heading4"/>
    <w:next w:val="BodyText"/>
    <w:link w:val="Heading5Char"/>
    <w:qFormat/>
    <w:rsid w:val="0003610F"/>
    <w:pPr>
      <w:outlineLvl w:val="4"/>
    </w:pPr>
    <w:rPr>
      <w:i/>
      <w:sz w:val="22"/>
    </w:rPr>
  </w:style>
  <w:style w:type="paragraph" w:styleId="Heading6">
    <w:name w:val="heading 6"/>
    <w:basedOn w:val="BodyText"/>
    <w:next w:val="BodyText"/>
    <w:rsid w:val="0003610F"/>
    <w:pPr>
      <w:spacing w:after="60"/>
      <w:jc w:val="left"/>
      <w:outlineLvl w:val="5"/>
    </w:pPr>
    <w:rPr>
      <w:i/>
      <w:sz w:val="22"/>
    </w:rPr>
  </w:style>
  <w:style w:type="paragraph" w:styleId="Heading7">
    <w:name w:val="heading 7"/>
    <w:basedOn w:val="BodyText"/>
    <w:next w:val="BodyText"/>
    <w:rsid w:val="0003610F"/>
    <w:pPr>
      <w:spacing w:after="60" w:line="240" w:lineRule="auto"/>
      <w:jc w:val="left"/>
      <w:outlineLvl w:val="6"/>
    </w:pPr>
    <w:rPr>
      <w:rFonts w:ascii="Arial" w:hAnsi="Arial"/>
      <w:sz w:val="20"/>
    </w:rPr>
  </w:style>
  <w:style w:type="paragraph" w:styleId="Heading8">
    <w:name w:val="heading 8"/>
    <w:basedOn w:val="BodyText"/>
    <w:next w:val="BodyText"/>
    <w:rsid w:val="0003610F"/>
    <w:pPr>
      <w:spacing w:after="60" w:line="240" w:lineRule="auto"/>
      <w:jc w:val="left"/>
      <w:outlineLvl w:val="7"/>
    </w:pPr>
    <w:rPr>
      <w:rFonts w:ascii="Arial" w:hAnsi="Arial"/>
      <w:i/>
      <w:sz w:val="20"/>
    </w:rPr>
  </w:style>
  <w:style w:type="paragraph" w:styleId="Heading9">
    <w:name w:val="heading 9"/>
    <w:basedOn w:val="BodyText"/>
    <w:next w:val="BodyText"/>
    <w:rsid w:val="0003610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61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10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3610F"/>
    <w:pPr>
      <w:spacing w:before="240" w:line="300" w:lineRule="atLeast"/>
      <w:jc w:val="both"/>
    </w:pPr>
    <w:rPr>
      <w:sz w:val="24"/>
    </w:rPr>
  </w:style>
  <w:style w:type="paragraph" w:customStyle="1" w:styleId="Chapter">
    <w:name w:val="Chapter"/>
    <w:basedOn w:val="Heading1"/>
    <w:next w:val="BodyText"/>
    <w:semiHidden/>
    <w:rsid w:val="0003610F"/>
    <w:pPr>
      <w:ind w:left="0" w:firstLine="0"/>
      <w:outlineLvl w:val="9"/>
    </w:pPr>
  </w:style>
  <w:style w:type="paragraph" w:customStyle="1" w:styleId="SequenceInfo">
    <w:name w:val="Sequence Info"/>
    <w:basedOn w:val="BodyText"/>
    <w:semiHidden/>
    <w:rsid w:val="0003610F"/>
    <w:rPr>
      <w:vanish/>
      <w:sz w:val="16"/>
    </w:rPr>
  </w:style>
  <w:style w:type="character" w:styleId="CommentReference">
    <w:name w:val="annotation reference"/>
    <w:basedOn w:val="DefaultParagraphFont"/>
    <w:semiHidden/>
    <w:rsid w:val="0003610F"/>
    <w:rPr>
      <w:b/>
      <w:vanish/>
      <w:color w:val="FF00FF"/>
      <w:sz w:val="20"/>
    </w:rPr>
  </w:style>
  <w:style w:type="paragraph" w:styleId="CommentText">
    <w:name w:val="annotation text"/>
    <w:basedOn w:val="Normal"/>
    <w:link w:val="CommentTextChar"/>
    <w:semiHidden/>
    <w:rsid w:val="0003610F"/>
    <w:pPr>
      <w:spacing w:before="120" w:line="240" w:lineRule="atLeast"/>
      <w:ind w:left="567" w:hanging="567"/>
    </w:pPr>
    <w:rPr>
      <w:sz w:val="20"/>
    </w:rPr>
  </w:style>
  <w:style w:type="paragraph" w:customStyle="1" w:styleId="Abbreviation">
    <w:name w:val="Abbreviation"/>
    <w:basedOn w:val="BodyText"/>
    <w:rsid w:val="0003610F"/>
    <w:pPr>
      <w:spacing w:before="120"/>
      <w:ind w:left="2381" w:hanging="2381"/>
      <w:jc w:val="left"/>
    </w:pPr>
  </w:style>
  <w:style w:type="paragraph" w:customStyle="1" w:styleId="Box">
    <w:name w:val="Box"/>
    <w:basedOn w:val="BodyText"/>
    <w:link w:val="BoxChar"/>
    <w:qFormat/>
    <w:rsid w:val="0003610F"/>
    <w:pPr>
      <w:keepNext/>
      <w:spacing w:before="120" w:line="260" w:lineRule="atLeast"/>
    </w:pPr>
    <w:rPr>
      <w:rFonts w:ascii="Arial" w:hAnsi="Arial"/>
      <w:sz w:val="20"/>
    </w:rPr>
  </w:style>
  <w:style w:type="paragraph" w:customStyle="1" w:styleId="QuoteBullet">
    <w:name w:val="Quote Bullet"/>
    <w:basedOn w:val="Quote"/>
    <w:rsid w:val="0003610F"/>
    <w:pPr>
      <w:numPr>
        <w:numId w:val="11"/>
      </w:numPr>
    </w:pPr>
  </w:style>
  <w:style w:type="paragraph" w:styleId="Quote">
    <w:name w:val="Quote"/>
    <w:basedOn w:val="BodyText"/>
    <w:next w:val="BodyText"/>
    <w:qFormat/>
    <w:rsid w:val="0003610F"/>
    <w:pPr>
      <w:spacing w:before="120" w:line="280" w:lineRule="exact"/>
      <w:ind w:left="340"/>
    </w:pPr>
    <w:rPr>
      <w:sz w:val="22"/>
    </w:rPr>
  </w:style>
  <w:style w:type="paragraph" w:customStyle="1" w:styleId="BoxListBullet">
    <w:name w:val="Box List Bullet"/>
    <w:basedOn w:val="BodyText"/>
    <w:rsid w:val="0003610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3610F"/>
    <w:pPr>
      <w:numPr>
        <w:numId w:val="3"/>
      </w:numPr>
      <w:ind w:left="568" w:hanging="284"/>
    </w:pPr>
  </w:style>
  <w:style w:type="paragraph" w:customStyle="1" w:styleId="BoxListNumber">
    <w:name w:val="Box List Number"/>
    <w:basedOn w:val="BodyText"/>
    <w:rsid w:val="0003610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610F"/>
    <w:pPr>
      <w:numPr>
        <w:ilvl w:val="1"/>
      </w:numPr>
      <w:ind w:left="681" w:hanging="397"/>
    </w:pPr>
  </w:style>
  <w:style w:type="paragraph" w:customStyle="1" w:styleId="BoxQuote">
    <w:name w:val="Box Quote"/>
    <w:basedOn w:val="BodyText"/>
    <w:next w:val="Box"/>
    <w:qFormat/>
    <w:rsid w:val="0003610F"/>
    <w:pPr>
      <w:keepNext/>
      <w:spacing w:before="60" w:line="240" w:lineRule="exact"/>
      <w:ind w:left="284"/>
    </w:pPr>
    <w:rPr>
      <w:rFonts w:ascii="Arial" w:hAnsi="Arial"/>
      <w:sz w:val="18"/>
    </w:rPr>
  </w:style>
  <w:style w:type="paragraph" w:customStyle="1" w:styleId="BoxSource">
    <w:name w:val="Box Source"/>
    <w:basedOn w:val="Source"/>
    <w:next w:val="BodyText"/>
    <w:rsid w:val="0003610F"/>
    <w:pPr>
      <w:spacing w:before="120"/>
    </w:pPr>
  </w:style>
  <w:style w:type="paragraph" w:customStyle="1" w:styleId="Source">
    <w:name w:val="Source"/>
    <w:basedOn w:val="Normal"/>
    <w:next w:val="BodyText"/>
    <w:link w:val="SourceChar"/>
    <w:rsid w:val="0003610F"/>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03610F"/>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03610F"/>
    <w:pPr>
      <w:spacing w:after="80" w:line="200" w:lineRule="exact"/>
      <w:ind w:firstLine="0"/>
    </w:pPr>
    <w:rPr>
      <w:b w:val="0"/>
      <w:sz w:val="20"/>
    </w:rPr>
  </w:style>
  <w:style w:type="paragraph" w:customStyle="1" w:styleId="BoxTitle">
    <w:name w:val="Box Title"/>
    <w:basedOn w:val="Caption"/>
    <w:next w:val="BoxSubtitle"/>
    <w:link w:val="BoxTitleChar"/>
    <w:rsid w:val="0003610F"/>
    <w:pPr>
      <w:spacing w:before="120" w:after="0"/>
    </w:pPr>
  </w:style>
  <w:style w:type="paragraph" w:styleId="Caption">
    <w:name w:val="caption"/>
    <w:basedOn w:val="Normal"/>
    <w:next w:val="BodyText"/>
    <w:rsid w:val="0003610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3610F"/>
    <w:pPr>
      <w:spacing w:line="280" w:lineRule="atLeast"/>
      <w:ind w:left="907"/>
    </w:pPr>
    <w:rPr>
      <w:rFonts w:ascii="Arial" w:hAnsi="Arial"/>
      <w:b/>
      <w:sz w:val="20"/>
    </w:rPr>
  </w:style>
  <w:style w:type="character" w:customStyle="1" w:styleId="DocumentInfo">
    <w:name w:val="Document Info"/>
    <w:basedOn w:val="DefaultParagraphFont"/>
    <w:semiHidden/>
    <w:rsid w:val="0003610F"/>
    <w:rPr>
      <w:rFonts w:ascii="Arial" w:hAnsi="Arial"/>
      <w:sz w:val="14"/>
    </w:rPr>
  </w:style>
  <w:style w:type="paragraph" w:styleId="Footer">
    <w:name w:val="footer"/>
    <w:basedOn w:val="BodyText"/>
    <w:link w:val="FooterChar"/>
    <w:rsid w:val="0003610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3610F"/>
    <w:rPr>
      <w:b/>
      <w:color w:val="FF0000"/>
      <w:sz w:val="24"/>
      <w:u w:val="dotted"/>
    </w:rPr>
  </w:style>
  <w:style w:type="paragraph" w:customStyle="1" w:styleId="BoxContinued">
    <w:name w:val="Box Continued"/>
    <w:basedOn w:val="BodyText"/>
    <w:next w:val="BodyText"/>
    <w:link w:val="BoxContinuedChar"/>
    <w:semiHidden/>
    <w:rsid w:val="0003610F"/>
    <w:pPr>
      <w:spacing w:before="180" w:line="220" w:lineRule="exact"/>
      <w:jc w:val="right"/>
    </w:pPr>
    <w:rPr>
      <w:rFonts w:ascii="Arial" w:hAnsi="Arial"/>
      <w:sz w:val="18"/>
    </w:rPr>
  </w:style>
  <w:style w:type="paragraph" w:customStyle="1" w:styleId="Figure">
    <w:name w:val="Figure"/>
    <w:basedOn w:val="BodyText"/>
    <w:rsid w:val="0003610F"/>
    <w:pPr>
      <w:keepNext/>
      <w:spacing w:before="120" w:after="120" w:line="240" w:lineRule="atLeast"/>
      <w:jc w:val="center"/>
    </w:pPr>
  </w:style>
  <w:style w:type="paragraph" w:customStyle="1" w:styleId="FigureTitle">
    <w:name w:val="Figure Title"/>
    <w:basedOn w:val="Caption"/>
    <w:next w:val="Subtitle"/>
    <w:rsid w:val="0003610F"/>
    <w:pPr>
      <w:spacing w:before="120"/>
    </w:pPr>
  </w:style>
  <w:style w:type="paragraph" w:styleId="Subtitle">
    <w:name w:val="Subtitle"/>
    <w:basedOn w:val="Caption"/>
    <w:link w:val="SubtitleChar"/>
    <w:qFormat/>
    <w:rsid w:val="0003610F"/>
    <w:pPr>
      <w:spacing w:before="0" w:line="200" w:lineRule="exact"/>
      <w:ind w:firstLine="0"/>
    </w:pPr>
    <w:rPr>
      <w:b w:val="0"/>
      <w:sz w:val="20"/>
    </w:rPr>
  </w:style>
  <w:style w:type="paragraph" w:customStyle="1" w:styleId="Finding">
    <w:name w:val="Finding"/>
    <w:basedOn w:val="BodyText"/>
    <w:rsid w:val="0003610F"/>
    <w:pPr>
      <w:keepLines/>
      <w:spacing w:before="120" w:line="280" w:lineRule="atLeast"/>
    </w:pPr>
    <w:rPr>
      <w:rFonts w:ascii="Arial" w:hAnsi="Arial"/>
      <w:sz w:val="22"/>
    </w:rPr>
  </w:style>
  <w:style w:type="paragraph" w:customStyle="1" w:styleId="FindingBullet">
    <w:name w:val="Finding Bullet"/>
    <w:basedOn w:val="Finding"/>
    <w:rsid w:val="0003610F"/>
    <w:pPr>
      <w:numPr>
        <w:numId w:val="7"/>
      </w:numPr>
      <w:spacing w:before="80"/>
    </w:pPr>
  </w:style>
  <w:style w:type="paragraph" w:customStyle="1" w:styleId="FindingNoTitle">
    <w:name w:val="Finding NoTitle"/>
    <w:basedOn w:val="Finding"/>
    <w:rsid w:val="0003610F"/>
    <w:pPr>
      <w:spacing w:before="240"/>
    </w:pPr>
  </w:style>
  <w:style w:type="paragraph" w:customStyle="1" w:styleId="FindingTitle">
    <w:name w:val="Finding Title"/>
    <w:basedOn w:val="RecTitle"/>
    <w:next w:val="Finding"/>
    <w:rsid w:val="0003610F"/>
  </w:style>
  <w:style w:type="paragraph" w:customStyle="1" w:styleId="RecTitle">
    <w:name w:val="Rec Title"/>
    <w:basedOn w:val="BodyText"/>
    <w:next w:val="Rec"/>
    <w:qFormat/>
    <w:rsid w:val="0003610F"/>
    <w:pPr>
      <w:keepNext/>
      <w:keepLines/>
      <w:spacing w:line="280" w:lineRule="atLeast"/>
    </w:pPr>
    <w:rPr>
      <w:rFonts w:ascii="Arial" w:hAnsi="Arial"/>
      <w:caps/>
      <w:sz w:val="18"/>
    </w:rPr>
  </w:style>
  <w:style w:type="paragraph" w:customStyle="1" w:styleId="FooterEnd">
    <w:name w:val="Footer End"/>
    <w:basedOn w:val="Footer"/>
    <w:rsid w:val="0003610F"/>
    <w:pPr>
      <w:spacing w:before="0" w:line="20" w:lineRule="exact"/>
    </w:pPr>
  </w:style>
  <w:style w:type="character" w:styleId="FootnoteReference">
    <w:name w:val="footnote reference"/>
    <w:basedOn w:val="DefaultParagraphFont"/>
    <w:semiHidden/>
    <w:rsid w:val="0003610F"/>
    <w:rPr>
      <w:rFonts w:ascii="Times New Roman" w:hAnsi="Times New Roman"/>
      <w:position w:val="6"/>
      <w:sz w:val="20"/>
      <w:vertAlign w:val="baseline"/>
    </w:rPr>
  </w:style>
  <w:style w:type="paragraph" w:styleId="FootnoteText">
    <w:name w:val="footnote text"/>
    <w:basedOn w:val="BodyText"/>
    <w:rsid w:val="0003610F"/>
    <w:pPr>
      <w:tabs>
        <w:tab w:val="left" w:pos="284"/>
      </w:tabs>
      <w:spacing w:before="80" w:line="240" w:lineRule="exact"/>
      <w:ind w:left="284" w:hanging="284"/>
    </w:pPr>
    <w:rPr>
      <w:sz w:val="20"/>
    </w:rPr>
  </w:style>
  <w:style w:type="paragraph" w:styleId="Header">
    <w:name w:val="header"/>
    <w:basedOn w:val="BodyText"/>
    <w:rsid w:val="0003610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610F"/>
    <w:pPr>
      <w:spacing w:line="20" w:lineRule="exact"/>
    </w:pPr>
    <w:rPr>
      <w:sz w:val="16"/>
    </w:rPr>
  </w:style>
  <w:style w:type="paragraph" w:customStyle="1" w:styleId="HeaderEven">
    <w:name w:val="Header Even"/>
    <w:basedOn w:val="Header"/>
    <w:semiHidden/>
    <w:rsid w:val="0003610F"/>
  </w:style>
  <w:style w:type="paragraph" w:customStyle="1" w:styleId="HeaderOdd">
    <w:name w:val="Header Odd"/>
    <w:basedOn w:val="Header"/>
    <w:rsid w:val="0003610F"/>
  </w:style>
  <w:style w:type="paragraph" w:customStyle="1" w:styleId="InformationRequest">
    <w:name w:val="Information Request"/>
    <w:basedOn w:val="Finding"/>
    <w:next w:val="BodyText"/>
    <w:rsid w:val="0003610F"/>
    <w:rPr>
      <w:i/>
    </w:rPr>
  </w:style>
  <w:style w:type="paragraph" w:styleId="ListBullet">
    <w:name w:val="List Bullet"/>
    <w:basedOn w:val="BodyText"/>
    <w:link w:val="ListBulletChar"/>
    <w:rsid w:val="0003610F"/>
    <w:pPr>
      <w:numPr>
        <w:numId w:val="5"/>
      </w:numPr>
      <w:spacing w:before="120"/>
    </w:pPr>
  </w:style>
  <w:style w:type="paragraph" w:styleId="ListBullet2">
    <w:name w:val="List Bullet 2"/>
    <w:basedOn w:val="BodyText"/>
    <w:rsid w:val="0003610F"/>
    <w:pPr>
      <w:numPr>
        <w:numId w:val="2"/>
      </w:numPr>
      <w:spacing w:before="120"/>
    </w:pPr>
  </w:style>
  <w:style w:type="paragraph" w:styleId="ListBullet3">
    <w:name w:val="List Bullet 3"/>
    <w:basedOn w:val="BodyText"/>
    <w:rsid w:val="0003610F"/>
    <w:pPr>
      <w:numPr>
        <w:numId w:val="1"/>
      </w:numPr>
      <w:spacing w:before="120"/>
      <w:ind w:left="1020" w:hanging="340"/>
    </w:pPr>
  </w:style>
  <w:style w:type="paragraph" w:styleId="ListNumber">
    <w:name w:val="List Number"/>
    <w:basedOn w:val="BodyText"/>
    <w:rsid w:val="0003610F"/>
    <w:pPr>
      <w:numPr>
        <w:numId w:val="13"/>
      </w:numPr>
      <w:spacing w:before="120"/>
    </w:pPr>
  </w:style>
  <w:style w:type="paragraph" w:styleId="ListNumber2">
    <w:name w:val="List Number 2"/>
    <w:basedOn w:val="ListNumber"/>
    <w:rsid w:val="0003610F"/>
    <w:pPr>
      <w:numPr>
        <w:ilvl w:val="1"/>
      </w:numPr>
    </w:pPr>
  </w:style>
  <w:style w:type="paragraph" w:styleId="ListNumber3">
    <w:name w:val="List Number 3"/>
    <w:basedOn w:val="ListNumber2"/>
    <w:rsid w:val="0003610F"/>
    <w:pPr>
      <w:numPr>
        <w:ilvl w:val="2"/>
      </w:numPr>
    </w:pPr>
  </w:style>
  <w:style w:type="character" w:customStyle="1" w:styleId="NoteLabel">
    <w:name w:val="Note Label"/>
    <w:basedOn w:val="DefaultParagraphFont"/>
    <w:rsid w:val="0003610F"/>
    <w:rPr>
      <w:rFonts w:ascii="Arial" w:hAnsi="Arial"/>
      <w:b/>
      <w:position w:val="6"/>
      <w:sz w:val="18"/>
    </w:rPr>
  </w:style>
  <w:style w:type="character" w:styleId="PageNumber">
    <w:name w:val="page number"/>
    <w:basedOn w:val="DefaultParagraphFont"/>
    <w:rsid w:val="0003610F"/>
    <w:rPr>
      <w:rFonts w:ascii="Arial" w:hAnsi="Arial"/>
      <w:b/>
      <w:sz w:val="16"/>
    </w:rPr>
  </w:style>
  <w:style w:type="paragraph" w:customStyle="1" w:styleId="PartDivider">
    <w:name w:val="Part Divider"/>
    <w:basedOn w:val="BodyText"/>
    <w:next w:val="BodyText"/>
    <w:semiHidden/>
    <w:rsid w:val="0003610F"/>
    <w:pPr>
      <w:spacing w:before="0" w:line="40" w:lineRule="exact"/>
      <w:jc w:val="right"/>
    </w:pPr>
    <w:rPr>
      <w:smallCaps/>
      <w:sz w:val="16"/>
    </w:rPr>
  </w:style>
  <w:style w:type="paragraph" w:customStyle="1" w:styleId="PartNumber">
    <w:name w:val="Part Number"/>
    <w:basedOn w:val="BodyText"/>
    <w:next w:val="BodyText"/>
    <w:semiHidden/>
    <w:rsid w:val="0003610F"/>
    <w:pPr>
      <w:spacing w:before="4000" w:line="320" w:lineRule="exact"/>
      <w:ind w:left="6634"/>
      <w:jc w:val="right"/>
    </w:pPr>
    <w:rPr>
      <w:smallCaps/>
      <w:spacing w:val="60"/>
      <w:sz w:val="32"/>
    </w:rPr>
  </w:style>
  <w:style w:type="paragraph" w:customStyle="1" w:styleId="PartTitle">
    <w:name w:val="Part Title"/>
    <w:basedOn w:val="BodyText"/>
    <w:semiHidden/>
    <w:rsid w:val="0003610F"/>
    <w:pPr>
      <w:spacing w:before="160" w:after="1360" w:line="520" w:lineRule="exact"/>
      <w:ind w:right="2381"/>
      <w:jc w:val="right"/>
    </w:pPr>
    <w:rPr>
      <w:smallCaps/>
      <w:sz w:val="52"/>
    </w:rPr>
  </w:style>
  <w:style w:type="paragraph" w:customStyle="1" w:styleId="Rec">
    <w:name w:val="Rec"/>
    <w:basedOn w:val="BodyText"/>
    <w:qFormat/>
    <w:rsid w:val="0003610F"/>
    <w:pPr>
      <w:keepLines/>
      <w:spacing w:before="120" w:line="280" w:lineRule="atLeast"/>
    </w:pPr>
    <w:rPr>
      <w:rFonts w:ascii="Arial" w:hAnsi="Arial"/>
      <w:sz w:val="22"/>
    </w:rPr>
  </w:style>
  <w:style w:type="paragraph" w:customStyle="1" w:styleId="RecBullet">
    <w:name w:val="Rec Bullet"/>
    <w:basedOn w:val="Rec"/>
    <w:rsid w:val="0003610F"/>
    <w:pPr>
      <w:numPr>
        <w:numId w:val="8"/>
      </w:numPr>
      <w:spacing w:before="80"/>
    </w:pPr>
  </w:style>
  <w:style w:type="paragraph" w:customStyle="1" w:styleId="RecB">
    <w:name w:val="RecB"/>
    <w:basedOn w:val="Normal"/>
    <w:rsid w:val="0003610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610F"/>
    <w:pPr>
      <w:numPr>
        <w:numId w:val="9"/>
      </w:numPr>
      <w:spacing w:before="80"/>
    </w:pPr>
  </w:style>
  <w:style w:type="paragraph" w:customStyle="1" w:styleId="RecBNoTitle">
    <w:name w:val="RecB NoTitle"/>
    <w:basedOn w:val="RecB"/>
    <w:rsid w:val="0003610F"/>
    <w:pPr>
      <w:spacing w:before="240"/>
    </w:pPr>
  </w:style>
  <w:style w:type="paragraph" w:customStyle="1" w:styleId="Reference">
    <w:name w:val="Reference"/>
    <w:basedOn w:val="BodyText"/>
    <w:rsid w:val="0003610F"/>
    <w:pPr>
      <w:spacing w:before="120"/>
      <w:ind w:left="340" w:hanging="340"/>
    </w:pPr>
  </w:style>
  <w:style w:type="paragraph" w:customStyle="1" w:styleId="SideNote">
    <w:name w:val="Side Note"/>
    <w:basedOn w:val="BodyText"/>
    <w:next w:val="BodyText"/>
    <w:semiHidden/>
    <w:rsid w:val="0003610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610F"/>
    <w:pPr>
      <w:framePr w:wrap="around"/>
      <w:numPr>
        <w:numId w:val="4"/>
      </w:numPr>
      <w:tabs>
        <w:tab w:val="left" w:pos="227"/>
      </w:tabs>
    </w:pPr>
  </w:style>
  <w:style w:type="paragraph" w:customStyle="1" w:styleId="SideNoteGraphic">
    <w:name w:val="Side Note Graphic"/>
    <w:basedOn w:val="SideNote"/>
    <w:next w:val="BodyText"/>
    <w:semiHidden/>
    <w:rsid w:val="0003610F"/>
    <w:pPr>
      <w:framePr w:wrap="around"/>
    </w:pPr>
  </w:style>
  <w:style w:type="paragraph" w:customStyle="1" w:styleId="TableBodyText">
    <w:name w:val="Table Body Text"/>
    <w:basedOn w:val="BodyText"/>
    <w:rsid w:val="0003610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610F"/>
    <w:pPr>
      <w:numPr>
        <w:numId w:val="10"/>
      </w:numPr>
      <w:jc w:val="left"/>
    </w:pPr>
  </w:style>
  <w:style w:type="paragraph" w:customStyle="1" w:styleId="TableColumnHeading">
    <w:name w:val="Table Column Heading"/>
    <w:basedOn w:val="TableBodyText"/>
    <w:rsid w:val="0003610F"/>
    <w:pPr>
      <w:spacing w:before="80" w:after="80"/>
    </w:pPr>
    <w:rPr>
      <w:i/>
    </w:rPr>
  </w:style>
  <w:style w:type="paragraph" w:styleId="TableofFigures">
    <w:name w:val="table of figures"/>
    <w:basedOn w:val="TOC3"/>
    <w:next w:val="BodyText"/>
    <w:semiHidden/>
    <w:rsid w:val="0003610F"/>
    <w:pPr>
      <w:ind w:left="737" w:hanging="737"/>
    </w:pPr>
  </w:style>
  <w:style w:type="paragraph" w:styleId="TOC3">
    <w:name w:val="toc 3"/>
    <w:basedOn w:val="TOC2"/>
    <w:rsid w:val="0003610F"/>
    <w:pPr>
      <w:spacing w:before="60"/>
      <w:ind w:left="1190" w:hanging="680"/>
    </w:pPr>
  </w:style>
  <w:style w:type="paragraph" w:styleId="TOC2">
    <w:name w:val="toc 2"/>
    <w:basedOn w:val="TOC1"/>
    <w:rsid w:val="0003610F"/>
    <w:pPr>
      <w:ind w:left="1134" w:hanging="624"/>
    </w:pPr>
    <w:rPr>
      <w:b w:val="0"/>
    </w:rPr>
  </w:style>
  <w:style w:type="paragraph" w:customStyle="1" w:styleId="TableTitle">
    <w:name w:val="Table Title"/>
    <w:basedOn w:val="Caption"/>
    <w:next w:val="Subtitle"/>
    <w:qFormat/>
    <w:rsid w:val="0003610F"/>
    <w:pPr>
      <w:spacing w:before="120"/>
    </w:pPr>
  </w:style>
  <w:style w:type="paragraph" w:customStyle="1" w:styleId="TableUnitsRow">
    <w:name w:val="Table Units Row"/>
    <w:basedOn w:val="TableBodyText"/>
    <w:rsid w:val="0003610F"/>
    <w:pPr>
      <w:spacing w:before="40"/>
    </w:pPr>
  </w:style>
  <w:style w:type="paragraph" w:styleId="TOC1">
    <w:name w:val="toc 1"/>
    <w:basedOn w:val="Normal"/>
    <w:next w:val="TOC2"/>
    <w:link w:val="TOC1Char"/>
    <w:rsid w:val="0003610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610F"/>
    <w:pPr>
      <w:ind w:left="1191" w:firstLine="0"/>
    </w:pPr>
  </w:style>
  <w:style w:type="paragraph" w:customStyle="1" w:styleId="Jurisdictioncommentsbodytext">
    <w:name w:val="Jurisdiction comments body text"/>
    <w:rsid w:val="0003610F"/>
    <w:pPr>
      <w:spacing w:after="140"/>
      <w:jc w:val="both"/>
    </w:pPr>
    <w:rPr>
      <w:rFonts w:ascii="Arial" w:hAnsi="Arial"/>
      <w:sz w:val="24"/>
      <w:lang w:eastAsia="en-US"/>
    </w:rPr>
  </w:style>
  <w:style w:type="paragraph" w:customStyle="1" w:styleId="Continued">
    <w:name w:val="Continued"/>
    <w:basedOn w:val="BoxContinued"/>
    <w:next w:val="BodyText"/>
    <w:link w:val="ContinuedChar"/>
    <w:rsid w:val="0003610F"/>
  </w:style>
  <w:style w:type="paragraph" w:customStyle="1" w:styleId="BoxHeading1">
    <w:name w:val="Box Heading 1"/>
    <w:basedOn w:val="BodyText"/>
    <w:next w:val="Box"/>
    <w:rsid w:val="0003610F"/>
    <w:pPr>
      <w:keepNext/>
      <w:spacing w:before="200" w:line="280" w:lineRule="atLeast"/>
    </w:pPr>
    <w:rPr>
      <w:rFonts w:ascii="Arial" w:hAnsi="Arial"/>
      <w:b/>
      <w:sz w:val="22"/>
    </w:rPr>
  </w:style>
  <w:style w:type="paragraph" w:customStyle="1" w:styleId="BoxHeading2">
    <w:name w:val="Box Heading 2"/>
    <w:basedOn w:val="BoxHeading1"/>
    <w:next w:val="Normal"/>
    <w:rsid w:val="0003610F"/>
    <w:rPr>
      <w:b w:val="0"/>
      <w:i/>
    </w:rPr>
  </w:style>
  <w:style w:type="table" w:styleId="TableGrid">
    <w:name w:val="Table Grid"/>
    <w:basedOn w:val="TableNormal"/>
    <w:rsid w:val="0003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03610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3610F"/>
    <w:pPr>
      <w:numPr>
        <w:numId w:val="12"/>
      </w:numPr>
      <w:spacing w:after="140"/>
      <w:jc w:val="both"/>
    </w:pPr>
    <w:rPr>
      <w:rFonts w:ascii="Arial" w:hAnsi="Arial"/>
      <w:sz w:val="24"/>
      <w:lang w:eastAsia="en-US"/>
    </w:rPr>
  </w:style>
  <w:style w:type="paragraph" w:styleId="BalloonText">
    <w:name w:val="Balloon Text"/>
    <w:basedOn w:val="Normal"/>
    <w:link w:val="BalloonTextChar"/>
    <w:rsid w:val="0003610F"/>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03610F"/>
    <w:pPr>
      <w:pBdr>
        <w:left w:val="single" w:sz="24" w:space="29" w:color="C0C0C0"/>
      </w:pBdr>
    </w:pPr>
    <w:rPr>
      <w:b/>
      <w:i/>
    </w:rPr>
  </w:style>
  <w:style w:type="character" w:customStyle="1" w:styleId="BalloonTextChar">
    <w:name w:val="Balloon Text Char"/>
    <w:basedOn w:val="DefaultParagraphFont"/>
    <w:link w:val="BalloonText"/>
    <w:rsid w:val="0003610F"/>
    <w:rPr>
      <w:rFonts w:ascii="Tahoma" w:hAnsi="Tahoma" w:cs="Tahoma"/>
      <w:sz w:val="16"/>
      <w:szCs w:val="16"/>
    </w:rPr>
  </w:style>
  <w:style w:type="character" w:customStyle="1" w:styleId="SubtitleChar">
    <w:name w:val="Subtitle Char"/>
    <w:basedOn w:val="DefaultParagraphFont"/>
    <w:link w:val="Subtitle"/>
    <w:rsid w:val="0003610F"/>
    <w:rPr>
      <w:rFonts w:ascii="Arial" w:hAnsi="Arial"/>
      <w:szCs w:val="24"/>
    </w:rPr>
  </w:style>
  <w:style w:type="paragraph" w:customStyle="1" w:styleId="BoxListBullet3">
    <w:name w:val="Box List Bullet 3"/>
    <w:basedOn w:val="ListBullet3"/>
    <w:rsid w:val="0003610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610F"/>
    <w:rPr>
      <w:i/>
      <w:iCs/>
    </w:rPr>
  </w:style>
  <w:style w:type="paragraph" w:customStyle="1" w:styleId="BoxQuoteBullet">
    <w:name w:val="Box Quote Bullet"/>
    <w:basedOn w:val="BoxQuote"/>
    <w:next w:val="Box"/>
    <w:rsid w:val="0003610F"/>
    <w:pPr>
      <w:numPr>
        <w:numId w:val="16"/>
      </w:numPr>
      <w:ind w:left="568" w:hanging="284"/>
    </w:pPr>
  </w:style>
  <w:style w:type="paragraph" w:customStyle="1" w:styleId="InformationRequestBullet">
    <w:name w:val="Information Request Bullet"/>
    <w:basedOn w:val="ListBullet"/>
    <w:next w:val="BodyText"/>
    <w:rsid w:val="0003610F"/>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03610F"/>
    <w:pPr>
      <w:keepNext/>
      <w:spacing w:before="360" w:line="80" w:lineRule="exact"/>
      <w:jc w:val="left"/>
    </w:pPr>
  </w:style>
  <w:style w:type="paragraph" w:customStyle="1" w:styleId="BoxSpaceBelow">
    <w:name w:val="Box Space Below"/>
    <w:basedOn w:val="Box"/>
    <w:rsid w:val="0003610F"/>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3610F"/>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03610F"/>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610F"/>
    <w:pPr>
      <w:numPr>
        <w:numId w:val="20"/>
      </w:numPr>
      <w:ind w:left="568" w:hanging="284"/>
    </w:pPr>
  </w:style>
  <w:style w:type="paragraph" w:customStyle="1" w:styleId="InformationRequestTitle">
    <w:name w:val="Information Request Title"/>
    <w:basedOn w:val="FindingTitle"/>
    <w:next w:val="InformationRequest"/>
    <w:rsid w:val="0003610F"/>
    <w:rPr>
      <w:i/>
    </w:rPr>
  </w:style>
  <w:style w:type="paragraph" w:customStyle="1" w:styleId="Space">
    <w:name w:val="Space"/>
    <w:basedOn w:val="Normal"/>
    <w:rsid w:val="0003610F"/>
    <w:pPr>
      <w:keepNext/>
      <w:spacing w:line="120" w:lineRule="exact"/>
      <w:jc w:val="both"/>
    </w:pPr>
    <w:rPr>
      <w:rFonts w:ascii="Arial" w:hAnsi="Arial"/>
      <w:sz w:val="20"/>
      <w:szCs w:val="20"/>
    </w:rPr>
  </w:style>
  <w:style w:type="paragraph" w:customStyle="1" w:styleId="Heading1nochapterno">
    <w:name w:val="Heading 1 (no chapter no.)"/>
    <w:basedOn w:val="Heading1"/>
    <w:rsid w:val="0003610F"/>
    <w:pPr>
      <w:spacing w:before="0"/>
      <w:ind w:left="0" w:firstLine="0"/>
    </w:pPr>
  </w:style>
  <w:style w:type="paragraph" w:customStyle="1" w:styleId="Heading2nosectionno">
    <w:name w:val="Heading 2 (no section no.)"/>
    <w:basedOn w:val="Heading2"/>
    <w:rsid w:val="0003610F"/>
    <w:pPr>
      <w:ind w:left="0" w:firstLine="0"/>
    </w:pPr>
  </w:style>
  <w:style w:type="character" w:customStyle="1" w:styleId="Heading5Char">
    <w:name w:val="Heading 5 Char"/>
    <w:basedOn w:val="DefaultParagraphFont"/>
    <w:link w:val="Heading5"/>
    <w:rsid w:val="0003610F"/>
    <w:rPr>
      <w:rFonts w:ascii="Arial" w:hAnsi="Arial"/>
      <w:i/>
      <w:sz w:val="22"/>
    </w:rPr>
  </w:style>
  <w:style w:type="paragraph" w:customStyle="1" w:styleId="Figurespace">
    <w:name w:val="Figure space"/>
    <w:basedOn w:val="Box"/>
    <w:rsid w:val="0003610F"/>
    <w:pPr>
      <w:spacing w:before="0" w:line="120" w:lineRule="exact"/>
    </w:pPr>
  </w:style>
  <w:style w:type="paragraph" w:customStyle="1" w:styleId="FooterDraftReport">
    <w:name w:val="FooterDraftReport"/>
    <w:basedOn w:val="Footer"/>
    <w:link w:val="FooterDraftReportChar"/>
    <w:rsid w:val="0003610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3610F"/>
    <w:rPr>
      <w:rFonts w:ascii="Arial" w:hAnsi="Arial"/>
      <w:caps/>
      <w:spacing w:val="-4"/>
      <w:sz w:val="16"/>
    </w:rPr>
  </w:style>
  <w:style w:type="character" w:customStyle="1" w:styleId="FooterDraftReportChar">
    <w:name w:val="FooterDraftReport Char"/>
    <w:basedOn w:val="FooterChar"/>
    <w:link w:val="FooterDraftReport"/>
    <w:rsid w:val="0003610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610F"/>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3610F"/>
    <w:rPr>
      <w:sz w:val="24"/>
      <w:szCs w:val="24"/>
    </w:rPr>
  </w:style>
  <w:style w:type="paragraph" w:styleId="Heading1">
    <w:name w:val="heading 1"/>
    <w:basedOn w:val="BodyText"/>
    <w:next w:val="BodyText"/>
    <w:rsid w:val="0003610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3610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3610F"/>
    <w:pPr>
      <w:spacing w:before="560" w:line="320" w:lineRule="exact"/>
      <w:ind w:left="0" w:firstLine="0"/>
      <w:outlineLvl w:val="2"/>
    </w:pPr>
    <w:rPr>
      <w:sz w:val="26"/>
    </w:rPr>
  </w:style>
  <w:style w:type="paragraph" w:styleId="Heading4">
    <w:name w:val="heading 4"/>
    <w:basedOn w:val="Heading3"/>
    <w:next w:val="BodyText"/>
    <w:qFormat/>
    <w:rsid w:val="0003610F"/>
    <w:pPr>
      <w:spacing w:before="480"/>
      <w:outlineLvl w:val="3"/>
    </w:pPr>
    <w:rPr>
      <w:b w:val="0"/>
      <w:sz w:val="24"/>
    </w:rPr>
  </w:style>
  <w:style w:type="paragraph" w:styleId="Heading5">
    <w:name w:val="heading 5"/>
    <w:basedOn w:val="Heading4"/>
    <w:next w:val="BodyText"/>
    <w:link w:val="Heading5Char"/>
    <w:qFormat/>
    <w:rsid w:val="0003610F"/>
    <w:pPr>
      <w:outlineLvl w:val="4"/>
    </w:pPr>
    <w:rPr>
      <w:i/>
      <w:sz w:val="22"/>
    </w:rPr>
  </w:style>
  <w:style w:type="paragraph" w:styleId="Heading6">
    <w:name w:val="heading 6"/>
    <w:basedOn w:val="BodyText"/>
    <w:next w:val="BodyText"/>
    <w:rsid w:val="0003610F"/>
    <w:pPr>
      <w:spacing w:after="60"/>
      <w:jc w:val="left"/>
      <w:outlineLvl w:val="5"/>
    </w:pPr>
    <w:rPr>
      <w:i/>
      <w:sz w:val="22"/>
    </w:rPr>
  </w:style>
  <w:style w:type="paragraph" w:styleId="Heading7">
    <w:name w:val="heading 7"/>
    <w:basedOn w:val="BodyText"/>
    <w:next w:val="BodyText"/>
    <w:rsid w:val="0003610F"/>
    <w:pPr>
      <w:spacing w:after="60" w:line="240" w:lineRule="auto"/>
      <w:jc w:val="left"/>
      <w:outlineLvl w:val="6"/>
    </w:pPr>
    <w:rPr>
      <w:rFonts w:ascii="Arial" w:hAnsi="Arial"/>
      <w:sz w:val="20"/>
    </w:rPr>
  </w:style>
  <w:style w:type="paragraph" w:styleId="Heading8">
    <w:name w:val="heading 8"/>
    <w:basedOn w:val="BodyText"/>
    <w:next w:val="BodyText"/>
    <w:rsid w:val="0003610F"/>
    <w:pPr>
      <w:spacing w:after="60" w:line="240" w:lineRule="auto"/>
      <w:jc w:val="left"/>
      <w:outlineLvl w:val="7"/>
    </w:pPr>
    <w:rPr>
      <w:rFonts w:ascii="Arial" w:hAnsi="Arial"/>
      <w:i/>
      <w:sz w:val="20"/>
    </w:rPr>
  </w:style>
  <w:style w:type="paragraph" w:styleId="Heading9">
    <w:name w:val="heading 9"/>
    <w:basedOn w:val="BodyText"/>
    <w:next w:val="BodyText"/>
    <w:rsid w:val="0003610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61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10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3610F"/>
    <w:pPr>
      <w:spacing w:before="240" w:line="300" w:lineRule="atLeast"/>
      <w:jc w:val="both"/>
    </w:pPr>
    <w:rPr>
      <w:sz w:val="24"/>
    </w:rPr>
  </w:style>
  <w:style w:type="paragraph" w:customStyle="1" w:styleId="Chapter">
    <w:name w:val="Chapter"/>
    <w:basedOn w:val="Heading1"/>
    <w:next w:val="BodyText"/>
    <w:semiHidden/>
    <w:rsid w:val="0003610F"/>
    <w:pPr>
      <w:ind w:left="0" w:firstLine="0"/>
      <w:outlineLvl w:val="9"/>
    </w:pPr>
  </w:style>
  <w:style w:type="paragraph" w:customStyle="1" w:styleId="SequenceInfo">
    <w:name w:val="Sequence Info"/>
    <w:basedOn w:val="BodyText"/>
    <w:semiHidden/>
    <w:rsid w:val="0003610F"/>
    <w:rPr>
      <w:vanish/>
      <w:sz w:val="16"/>
    </w:rPr>
  </w:style>
  <w:style w:type="character" w:styleId="CommentReference">
    <w:name w:val="annotation reference"/>
    <w:basedOn w:val="DefaultParagraphFont"/>
    <w:semiHidden/>
    <w:rsid w:val="0003610F"/>
    <w:rPr>
      <w:b/>
      <w:vanish/>
      <w:color w:val="FF00FF"/>
      <w:sz w:val="20"/>
    </w:rPr>
  </w:style>
  <w:style w:type="paragraph" w:styleId="CommentText">
    <w:name w:val="annotation text"/>
    <w:basedOn w:val="Normal"/>
    <w:link w:val="CommentTextChar"/>
    <w:semiHidden/>
    <w:rsid w:val="0003610F"/>
    <w:pPr>
      <w:spacing w:before="120" w:line="240" w:lineRule="atLeast"/>
      <w:ind w:left="567" w:hanging="567"/>
    </w:pPr>
    <w:rPr>
      <w:sz w:val="20"/>
    </w:rPr>
  </w:style>
  <w:style w:type="paragraph" w:customStyle="1" w:styleId="Abbreviation">
    <w:name w:val="Abbreviation"/>
    <w:basedOn w:val="BodyText"/>
    <w:rsid w:val="0003610F"/>
    <w:pPr>
      <w:spacing w:before="120"/>
      <w:ind w:left="2381" w:hanging="2381"/>
      <w:jc w:val="left"/>
    </w:pPr>
  </w:style>
  <w:style w:type="paragraph" w:customStyle="1" w:styleId="Box">
    <w:name w:val="Box"/>
    <w:basedOn w:val="BodyText"/>
    <w:link w:val="BoxChar"/>
    <w:qFormat/>
    <w:rsid w:val="0003610F"/>
    <w:pPr>
      <w:keepNext/>
      <w:spacing w:before="120" w:line="260" w:lineRule="atLeast"/>
    </w:pPr>
    <w:rPr>
      <w:rFonts w:ascii="Arial" w:hAnsi="Arial"/>
      <w:sz w:val="20"/>
    </w:rPr>
  </w:style>
  <w:style w:type="paragraph" w:customStyle="1" w:styleId="QuoteBullet">
    <w:name w:val="Quote Bullet"/>
    <w:basedOn w:val="Quote"/>
    <w:rsid w:val="0003610F"/>
    <w:pPr>
      <w:numPr>
        <w:numId w:val="11"/>
      </w:numPr>
    </w:pPr>
  </w:style>
  <w:style w:type="paragraph" w:styleId="Quote">
    <w:name w:val="Quote"/>
    <w:basedOn w:val="BodyText"/>
    <w:next w:val="BodyText"/>
    <w:qFormat/>
    <w:rsid w:val="0003610F"/>
    <w:pPr>
      <w:spacing w:before="120" w:line="280" w:lineRule="exact"/>
      <w:ind w:left="340"/>
    </w:pPr>
    <w:rPr>
      <w:sz w:val="22"/>
    </w:rPr>
  </w:style>
  <w:style w:type="paragraph" w:customStyle="1" w:styleId="BoxListBullet">
    <w:name w:val="Box List Bullet"/>
    <w:basedOn w:val="BodyText"/>
    <w:rsid w:val="0003610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3610F"/>
    <w:pPr>
      <w:numPr>
        <w:numId w:val="3"/>
      </w:numPr>
      <w:ind w:left="568" w:hanging="284"/>
    </w:pPr>
  </w:style>
  <w:style w:type="paragraph" w:customStyle="1" w:styleId="BoxListNumber">
    <w:name w:val="Box List Number"/>
    <w:basedOn w:val="BodyText"/>
    <w:rsid w:val="0003610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3610F"/>
    <w:pPr>
      <w:numPr>
        <w:ilvl w:val="1"/>
      </w:numPr>
      <w:ind w:left="681" w:hanging="397"/>
    </w:pPr>
  </w:style>
  <w:style w:type="paragraph" w:customStyle="1" w:styleId="BoxQuote">
    <w:name w:val="Box Quote"/>
    <w:basedOn w:val="BodyText"/>
    <w:next w:val="Box"/>
    <w:qFormat/>
    <w:rsid w:val="0003610F"/>
    <w:pPr>
      <w:keepNext/>
      <w:spacing w:before="60" w:line="240" w:lineRule="exact"/>
      <w:ind w:left="284"/>
    </w:pPr>
    <w:rPr>
      <w:rFonts w:ascii="Arial" w:hAnsi="Arial"/>
      <w:sz w:val="18"/>
    </w:rPr>
  </w:style>
  <w:style w:type="paragraph" w:customStyle="1" w:styleId="BoxSource">
    <w:name w:val="Box Source"/>
    <w:basedOn w:val="Source"/>
    <w:next w:val="BodyText"/>
    <w:rsid w:val="0003610F"/>
    <w:pPr>
      <w:spacing w:before="120"/>
    </w:pPr>
  </w:style>
  <w:style w:type="paragraph" w:customStyle="1" w:styleId="Source">
    <w:name w:val="Source"/>
    <w:basedOn w:val="Normal"/>
    <w:next w:val="BodyText"/>
    <w:link w:val="SourceChar"/>
    <w:rsid w:val="0003610F"/>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03610F"/>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03610F"/>
    <w:pPr>
      <w:spacing w:after="80" w:line="200" w:lineRule="exact"/>
      <w:ind w:firstLine="0"/>
    </w:pPr>
    <w:rPr>
      <w:b w:val="0"/>
      <w:sz w:val="20"/>
    </w:rPr>
  </w:style>
  <w:style w:type="paragraph" w:customStyle="1" w:styleId="BoxTitle">
    <w:name w:val="Box Title"/>
    <w:basedOn w:val="Caption"/>
    <w:next w:val="BoxSubtitle"/>
    <w:link w:val="BoxTitleChar"/>
    <w:rsid w:val="0003610F"/>
    <w:pPr>
      <w:spacing w:before="120" w:after="0"/>
    </w:pPr>
  </w:style>
  <w:style w:type="paragraph" w:styleId="Caption">
    <w:name w:val="caption"/>
    <w:basedOn w:val="Normal"/>
    <w:next w:val="BodyText"/>
    <w:rsid w:val="0003610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3610F"/>
    <w:pPr>
      <w:spacing w:line="280" w:lineRule="atLeast"/>
      <w:ind w:left="907"/>
    </w:pPr>
    <w:rPr>
      <w:rFonts w:ascii="Arial" w:hAnsi="Arial"/>
      <w:b/>
      <w:sz w:val="20"/>
    </w:rPr>
  </w:style>
  <w:style w:type="character" w:customStyle="1" w:styleId="DocumentInfo">
    <w:name w:val="Document Info"/>
    <w:basedOn w:val="DefaultParagraphFont"/>
    <w:semiHidden/>
    <w:rsid w:val="0003610F"/>
    <w:rPr>
      <w:rFonts w:ascii="Arial" w:hAnsi="Arial"/>
      <w:sz w:val="14"/>
    </w:rPr>
  </w:style>
  <w:style w:type="paragraph" w:styleId="Footer">
    <w:name w:val="footer"/>
    <w:basedOn w:val="BodyText"/>
    <w:link w:val="FooterChar"/>
    <w:rsid w:val="0003610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3610F"/>
    <w:rPr>
      <w:b/>
      <w:color w:val="FF0000"/>
      <w:sz w:val="24"/>
      <w:u w:val="dotted"/>
    </w:rPr>
  </w:style>
  <w:style w:type="paragraph" w:customStyle="1" w:styleId="BoxContinued">
    <w:name w:val="Box Continued"/>
    <w:basedOn w:val="BodyText"/>
    <w:next w:val="BodyText"/>
    <w:link w:val="BoxContinuedChar"/>
    <w:semiHidden/>
    <w:rsid w:val="0003610F"/>
    <w:pPr>
      <w:spacing w:before="180" w:line="220" w:lineRule="exact"/>
      <w:jc w:val="right"/>
    </w:pPr>
    <w:rPr>
      <w:rFonts w:ascii="Arial" w:hAnsi="Arial"/>
      <w:sz w:val="18"/>
    </w:rPr>
  </w:style>
  <w:style w:type="paragraph" w:customStyle="1" w:styleId="Figure">
    <w:name w:val="Figure"/>
    <w:basedOn w:val="BodyText"/>
    <w:rsid w:val="0003610F"/>
    <w:pPr>
      <w:keepNext/>
      <w:spacing w:before="120" w:after="120" w:line="240" w:lineRule="atLeast"/>
      <w:jc w:val="center"/>
    </w:pPr>
  </w:style>
  <w:style w:type="paragraph" w:customStyle="1" w:styleId="FigureTitle">
    <w:name w:val="Figure Title"/>
    <w:basedOn w:val="Caption"/>
    <w:next w:val="Subtitle"/>
    <w:rsid w:val="0003610F"/>
    <w:pPr>
      <w:spacing w:before="120"/>
    </w:pPr>
  </w:style>
  <w:style w:type="paragraph" w:styleId="Subtitle">
    <w:name w:val="Subtitle"/>
    <w:basedOn w:val="Caption"/>
    <w:link w:val="SubtitleChar"/>
    <w:qFormat/>
    <w:rsid w:val="0003610F"/>
    <w:pPr>
      <w:spacing w:before="0" w:line="200" w:lineRule="exact"/>
      <w:ind w:firstLine="0"/>
    </w:pPr>
    <w:rPr>
      <w:b w:val="0"/>
      <w:sz w:val="20"/>
    </w:rPr>
  </w:style>
  <w:style w:type="paragraph" w:customStyle="1" w:styleId="Finding">
    <w:name w:val="Finding"/>
    <w:basedOn w:val="BodyText"/>
    <w:rsid w:val="0003610F"/>
    <w:pPr>
      <w:keepLines/>
      <w:spacing w:before="120" w:line="280" w:lineRule="atLeast"/>
    </w:pPr>
    <w:rPr>
      <w:rFonts w:ascii="Arial" w:hAnsi="Arial"/>
      <w:sz w:val="22"/>
    </w:rPr>
  </w:style>
  <w:style w:type="paragraph" w:customStyle="1" w:styleId="FindingBullet">
    <w:name w:val="Finding Bullet"/>
    <w:basedOn w:val="Finding"/>
    <w:rsid w:val="0003610F"/>
    <w:pPr>
      <w:numPr>
        <w:numId w:val="7"/>
      </w:numPr>
      <w:spacing w:before="80"/>
    </w:pPr>
  </w:style>
  <w:style w:type="paragraph" w:customStyle="1" w:styleId="FindingNoTitle">
    <w:name w:val="Finding NoTitle"/>
    <w:basedOn w:val="Finding"/>
    <w:rsid w:val="0003610F"/>
    <w:pPr>
      <w:spacing w:before="240"/>
    </w:pPr>
  </w:style>
  <w:style w:type="paragraph" w:customStyle="1" w:styleId="FindingTitle">
    <w:name w:val="Finding Title"/>
    <w:basedOn w:val="RecTitle"/>
    <w:next w:val="Finding"/>
    <w:rsid w:val="0003610F"/>
  </w:style>
  <w:style w:type="paragraph" w:customStyle="1" w:styleId="RecTitle">
    <w:name w:val="Rec Title"/>
    <w:basedOn w:val="BodyText"/>
    <w:next w:val="Rec"/>
    <w:qFormat/>
    <w:rsid w:val="0003610F"/>
    <w:pPr>
      <w:keepNext/>
      <w:keepLines/>
      <w:spacing w:line="280" w:lineRule="atLeast"/>
    </w:pPr>
    <w:rPr>
      <w:rFonts w:ascii="Arial" w:hAnsi="Arial"/>
      <w:caps/>
      <w:sz w:val="18"/>
    </w:rPr>
  </w:style>
  <w:style w:type="paragraph" w:customStyle="1" w:styleId="FooterEnd">
    <w:name w:val="Footer End"/>
    <w:basedOn w:val="Footer"/>
    <w:rsid w:val="0003610F"/>
    <w:pPr>
      <w:spacing w:before="0" w:line="20" w:lineRule="exact"/>
    </w:pPr>
  </w:style>
  <w:style w:type="character" w:styleId="FootnoteReference">
    <w:name w:val="footnote reference"/>
    <w:basedOn w:val="DefaultParagraphFont"/>
    <w:semiHidden/>
    <w:rsid w:val="0003610F"/>
    <w:rPr>
      <w:rFonts w:ascii="Times New Roman" w:hAnsi="Times New Roman"/>
      <w:position w:val="6"/>
      <w:sz w:val="20"/>
      <w:vertAlign w:val="baseline"/>
    </w:rPr>
  </w:style>
  <w:style w:type="paragraph" w:styleId="FootnoteText">
    <w:name w:val="footnote text"/>
    <w:basedOn w:val="BodyText"/>
    <w:rsid w:val="0003610F"/>
    <w:pPr>
      <w:tabs>
        <w:tab w:val="left" w:pos="284"/>
      </w:tabs>
      <w:spacing w:before="80" w:line="240" w:lineRule="exact"/>
      <w:ind w:left="284" w:hanging="284"/>
    </w:pPr>
    <w:rPr>
      <w:sz w:val="20"/>
    </w:rPr>
  </w:style>
  <w:style w:type="paragraph" w:styleId="Header">
    <w:name w:val="header"/>
    <w:basedOn w:val="BodyText"/>
    <w:rsid w:val="0003610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610F"/>
    <w:pPr>
      <w:spacing w:line="20" w:lineRule="exact"/>
    </w:pPr>
    <w:rPr>
      <w:sz w:val="16"/>
    </w:rPr>
  </w:style>
  <w:style w:type="paragraph" w:customStyle="1" w:styleId="HeaderEven">
    <w:name w:val="Header Even"/>
    <w:basedOn w:val="Header"/>
    <w:semiHidden/>
    <w:rsid w:val="0003610F"/>
  </w:style>
  <w:style w:type="paragraph" w:customStyle="1" w:styleId="HeaderOdd">
    <w:name w:val="Header Odd"/>
    <w:basedOn w:val="Header"/>
    <w:rsid w:val="0003610F"/>
  </w:style>
  <w:style w:type="paragraph" w:customStyle="1" w:styleId="InformationRequest">
    <w:name w:val="Information Request"/>
    <w:basedOn w:val="Finding"/>
    <w:next w:val="BodyText"/>
    <w:rsid w:val="0003610F"/>
    <w:rPr>
      <w:i/>
    </w:rPr>
  </w:style>
  <w:style w:type="paragraph" w:styleId="ListBullet">
    <w:name w:val="List Bullet"/>
    <w:basedOn w:val="BodyText"/>
    <w:link w:val="ListBulletChar"/>
    <w:rsid w:val="0003610F"/>
    <w:pPr>
      <w:numPr>
        <w:numId w:val="5"/>
      </w:numPr>
      <w:spacing w:before="120"/>
    </w:pPr>
  </w:style>
  <w:style w:type="paragraph" w:styleId="ListBullet2">
    <w:name w:val="List Bullet 2"/>
    <w:basedOn w:val="BodyText"/>
    <w:rsid w:val="0003610F"/>
    <w:pPr>
      <w:numPr>
        <w:numId w:val="2"/>
      </w:numPr>
      <w:spacing w:before="120"/>
    </w:pPr>
  </w:style>
  <w:style w:type="paragraph" w:styleId="ListBullet3">
    <w:name w:val="List Bullet 3"/>
    <w:basedOn w:val="BodyText"/>
    <w:rsid w:val="0003610F"/>
    <w:pPr>
      <w:numPr>
        <w:numId w:val="1"/>
      </w:numPr>
      <w:spacing w:before="120"/>
      <w:ind w:left="1020" w:hanging="340"/>
    </w:pPr>
  </w:style>
  <w:style w:type="paragraph" w:styleId="ListNumber">
    <w:name w:val="List Number"/>
    <w:basedOn w:val="BodyText"/>
    <w:rsid w:val="0003610F"/>
    <w:pPr>
      <w:numPr>
        <w:numId w:val="13"/>
      </w:numPr>
      <w:spacing w:before="120"/>
    </w:pPr>
  </w:style>
  <w:style w:type="paragraph" w:styleId="ListNumber2">
    <w:name w:val="List Number 2"/>
    <w:basedOn w:val="ListNumber"/>
    <w:rsid w:val="0003610F"/>
    <w:pPr>
      <w:numPr>
        <w:ilvl w:val="1"/>
      </w:numPr>
    </w:pPr>
  </w:style>
  <w:style w:type="paragraph" w:styleId="ListNumber3">
    <w:name w:val="List Number 3"/>
    <w:basedOn w:val="ListNumber2"/>
    <w:rsid w:val="0003610F"/>
    <w:pPr>
      <w:numPr>
        <w:ilvl w:val="2"/>
      </w:numPr>
    </w:pPr>
  </w:style>
  <w:style w:type="character" w:customStyle="1" w:styleId="NoteLabel">
    <w:name w:val="Note Label"/>
    <w:basedOn w:val="DefaultParagraphFont"/>
    <w:rsid w:val="0003610F"/>
    <w:rPr>
      <w:rFonts w:ascii="Arial" w:hAnsi="Arial"/>
      <w:b/>
      <w:position w:val="6"/>
      <w:sz w:val="18"/>
    </w:rPr>
  </w:style>
  <w:style w:type="character" w:styleId="PageNumber">
    <w:name w:val="page number"/>
    <w:basedOn w:val="DefaultParagraphFont"/>
    <w:rsid w:val="0003610F"/>
    <w:rPr>
      <w:rFonts w:ascii="Arial" w:hAnsi="Arial"/>
      <w:b/>
      <w:sz w:val="16"/>
    </w:rPr>
  </w:style>
  <w:style w:type="paragraph" w:customStyle="1" w:styleId="PartDivider">
    <w:name w:val="Part Divider"/>
    <w:basedOn w:val="BodyText"/>
    <w:next w:val="BodyText"/>
    <w:semiHidden/>
    <w:rsid w:val="0003610F"/>
    <w:pPr>
      <w:spacing w:before="0" w:line="40" w:lineRule="exact"/>
      <w:jc w:val="right"/>
    </w:pPr>
    <w:rPr>
      <w:smallCaps/>
      <w:sz w:val="16"/>
    </w:rPr>
  </w:style>
  <w:style w:type="paragraph" w:customStyle="1" w:styleId="PartNumber">
    <w:name w:val="Part Number"/>
    <w:basedOn w:val="BodyText"/>
    <w:next w:val="BodyText"/>
    <w:semiHidden/>
    <w:rsid w:val="0003610F"/>
    <w:pPr>
      <w:spacing w:before="4000" w:line="320" w:lineRule="exact"/>
      <w:ind w:left="6634"/>
      <w:jc w:val="right"/>
    </w:pPr>
    <w:rPr>
      <w:smallCaps/>
      <w:spacing w:val="60"/>
      <w:sz w:val="32"/>
    </w:rPr>
  </w:style>
  <w:style w:type="paragraph" w:customStyle="1" w:styleId="PartTitle">
    <w:name w:val="Part Title"/>
    <w:basedOn w:val="BodyText"/>
    <w:semiHidden/>
    <w:rsid w:val="0003610F"/>
    <w:pPr>
      <w:spacing w:before="160" w:after="1360" w:line="520" w:lineRule="exact"/>
      <w:ind w:right="2381"/>
      <w:jc w:val="right"/>
    </w:pPr>
    <w:rPr>
      <w:smallCaps/>
      <w:sz w:val="52"/>
    </w:rPr>
  </w:style>
  <w:style w:type="paragraph" w:customStyle="1" w:styleId="Rec">
    <w:name w:val="Rec"/>
    <w:basedOn w:val="BodyText"/>
    <w:qFormat/>
    <w:rsid w:val="0003610F"/>
    <w:pPr>
      <w:keepLines/>
      <w:spacing w:before="120" w:line="280" w:lineRule="atLeast"/>
    </w:pPr>
    <w:rPr>
      <w:rFonts w:ascii="Arial" w:hAnsi="Arial"/>
      <w:sz w:val="22"/>
    </w:rPr>
  </w:style>
  <w:style w:type="paragraph" w:customStyle="1" w:styleId="RecBullet">
    <w:name w:val="Rec Bullet"/>
    <w:basedOn w:val="Rec"/>
    <w:rsid w:val="0003610F"/>
    <w:pPr>
      <w:numPr>
        <w:numId w:val="8"/>
      </w:numPr>
      <w:spacing w:before="80"/>
    </w:pPr>
  </w:style>
  <w:style w:type="paragraph" w:customStyle="1" w:styleId="RecB">
    <w:name w:val="RecB"/>
    <w:basedOn w:val="Normal"/>
    <w:rsid w:val="0003610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610F"/>
    <w:pPr>
      <w:numPr>
        <w:numId w:val="9"/>
      </w:numPr>
      <w:spacing w:before="80"/>
    </w:pPr>
  </w:style>
  <w:style w:type="paragraph" w:customStyle="1" w:styleId="RecBNoTitle">
    <w:name w:val="RecB NoTitle"/>
    <w:basedOn w:val="RecB"/>
    <w:rsid w:val="0003610F"/>
    <w:pPr>
      <w:spacing w:before="240"/>
    </w:pPr>
  </w:style>
  <w:style w:type="paragraph" w:customStyle="1" w:styleId="Reference">
    <w:name w:val="Reference"/>
    <w:basedOn w:val="BodyText"/>
    <w:rsid w:val="0003610F"/>
    <w:pPr>
      <w:spacing w:before="120"/>
      <w:ind w:left="340" w:hanging="340"/>
    </w:pPr>
  </w:style>
  <w:style w:type="paragraph" w:customStyle="1" w:styleId="SideNote">
    <w:name w:val="Side Note"/>
    <w:basedOn w:val="BodyText"/>
    <w:next w:val="BodyText"/>
    <w:semiHidden/>
    <w:rsid w:val="0003610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3610F"/>
    <w:pPr>
      <w:framePr w:wrap="around"/>
      <w:numPr>
        <w:numId w:val="4"/>
      </w:numPr>
      <w:tabs>
        <w:tab w:val="left" w:pos="227"/>
      </w:tabs>
    </w:pPr>
  </w:style>
  <w:style w:type="paragraph" w:customStyle="1" w:styleId="SideNoteGraphic">
    <w:name w:val="Side Note Graphic"/>
    <w:basedOn w:val="SideNote"/>
    <w:next w:val="BodyText"/>
    <w:semiHidden/>
    <w:rsid w:val="0003610F"/>
    <w:pPr>
      <w:framePr w:wrap="around"/>
    </w:pPr>
  </w:style>
  <w:style w:type="paragraph" w:customStyle="1" w:styleId="TableBodyText">
    <w:name w:val="Table Body Text"/>
    <w:basedOn w:val="BodyText"/>
    <w:rsid w:val="0003610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3610F"/>
    <w:pPr>
      <w:numPr>
        <w:numId w:val="10"/>
      </w:numPr>
      <w:jc w:val="left"/>
    </w:pPr>
  </w:style>
  <w:style w:type="paragraph" w:customStyle="1" w:styleId="TableColumnHeading">
    <w:name w:val="Table Column Heading"/>
    <w:basedOn w:val="TableBodyText"/>
    <w:rsid w:val="0003610F"/>
    <w:pPr>
      <w:spacing w:before="80" w:after="80"/>
    </w:pPr>
    <w:rPr>
      <w:i/>
    </w:rPr>
  </w:style>
  <w:style w:type="paragraph" w:styleId="TableofFigures">
    <w:name w:val="table of figures"/>
    <w:basedOn w:val="TOC3"/>
    <w:next w:val="BodyText"/>
    <w:semiHidden/>
    <w:rsid w:val="0003610F"/>
    <w:pPr>
      <w:ind w:left="737" w:hanging="737"/>
    </w:pPr>
  </w:style>
  <w:style w:type="paragraph" w:styleId="TOC3">
    <w:name w:val="toc 3"/>
    <w:basedOn w:val="TOC2"/>
    <w:rsid w:val="0003610F"/>
    <w:pPr>
      <w:spacing w:before="60"/>
      <w:ind w:left="1190" w:hanging="680"/>
    </w:pPr>
  </w:style>
  <w:style w:type="paragraph" w:styleId="TOC2">
    <w:name w:val="toc 2"/>
    <w:basedOn w:val="TOC1"/>
    <w:rsid w:val="0003610F"/>
    <w:pPr>
      <w:ind w:left="1134" w:hanging="624"/>
    </w:pPr>
    <w:rPr>
      <w:b w:val="0"/>
    </w:rPr>
  </w:style>
  <w:style w:type="paragraph" w:customStyle="1" w:styleId="TableTitle">
    <w:name w:val="Table Title"/>
    <w:basedOn w:val="Caption"/>
    <w:next w:val="Subtitle"/>
    <w:qFormat/>
    <w:rsid w:val="0003610F"/>
    <w:pPr>
      <w:spacing w:before="120"/>
    </w:pPr>
  </w:style>
  <w:style w:type="paragraph" w:customStyle="1" w:styleId="TableUnitsRow">
    <w:name w:val="Table Units Row"/>
    <w:basedOn w:val="TableBodyText"/>
    <w:rsid w:val="0003610F"/>
    <w:pPr>
      <w:spacing w:before="40"/>
    </w:pPr>
  </w:style>
  <w:style w:type="paragraph" w:styleId="TOC1">
    <w:name w:val="toc 1"/>
    <w:basedOn w:val="Normal"/>
    <w:next w:val="TOC2"/>
    <w:link w:val="TOC1Char"/>
    <w:rsid w:val="0003610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3610F"/>
    <w:pPr>
      <w:ind w:left="1191" w:firstLine="0"/>
    </w:pPr>
  </w:style>
  <w:style w:type="paragraph" w:customStyle="1" w:styleId="Jurisdictioncommentsbodytext">
    <w:name w:val="Jurisdiction comments body text"/>
    <w:rsid w:val="0003610F"/>
    <w:pPr>
      <w:spacing w:after="140"/>
      <w:jc w:val="both"/>
    </w:pPr>
    <w:rPr>
      <w:rFonts w:ascii="Arial" w:hAnsi="Arial"/>
      <w:sz w:val="24"/>
      <w:lang w:eastAsia="en-US"/>
    </w:rPr>
  </w:style>
  <w:style w:type="paragraph" w:customStyle="1" w:styleId="Continued">
    <w:name w:val="Continued"/>
    <w:basedOn w:val="BoxContinued"/>
    <w:next w:val="BodyText"/>
    <w:link w:val="ContinuedChar"/>
    <w:rsid w:val="0003610F"/>
  </w:style>
  <w:style w:type="paragraph" w:customStyle="1" w:styleId="BoxHeading1">
    <w:name w:val="Box Heading 1"/>
    <w:basedOn w:val="BodyText"/>
    <w:next w:val="Box"/>
    <w:rsid w:val="0003610F"/>
    <w:pPr>
      <w:keepNext/>
      <w:spacing w:before="200" w:line="280" w:lineRule="atLeast"/>
    </w:pPr>
    <w:rPr>
      <w:rFonts w:ascii="Arial" w:hAnsi="Arial"/>
      <w:b/>
      <w:sz w:val="22"/>
    </w:rPr>
  </w:style>
  <w:style w:type="paragraph" w:customStyle="1" w:styleId="BoxHeading2">
    <w:name w:val="Box Heading 2"/>
    <w:basedOn w:val="BoxHeading1"/>
    <w:next w:val="Normal"/>
    <w:rsid w:val="0003610F"/>
    <w:rPr>
      <w:b w:val="0"/>
      <w:i/>
    </w:rPr>
  </w:style>
  <w:style w:type="table" w:styleId="TableGrid">
    <w:name w:val="Table Grid"/>
    <w:basedOn w:val="TableNormal"/>
    <w:rsid w:val="0003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03610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3610F"/>
    <w:pPr>
      <w:numPr>
        <w:numId w:val="12"/>
      </w:numPr>
      <w:spacing w:after="140"/>
      <w:jc w:val="both"/>
    </w:pPr>
    <w:rPr>
      <w:rFonts w:ascii="Arial" w:hAnsi="Arial"/>
      <w:sz w:val="24"/>
      <w:lang w:eastAsia="en-US"/>
    </w:rPr>
  </w:style>
  <w:style w:type="paragraph" w:styleId="BalloonText">
    <w:name w:val="Balloon Text"/>
    <w:basedOn w:val="Normal"/>
    <w:link w:val="BalloonTextChar"/>
    <w:rsid w:val="0003610F"/>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03610F"/>
    <w:pPr>
      <w:pBdr>
        <w:left w:val="single" w:sz="24" w:space="29" w:color="C0C0C0"/>
      </w:pBdr>
    </w:pPr>
    <w:rPr>
      <w:b/>
      <w:i/>
    </w:rPr>
  </w:style>
  <w:style w:type="character" w:customStyle="1" w:styleId="BalloonTextChar">
    <w:name w:val="Balloon Text Char"/>
    <w:basedOn w:val="DefaultParagraphFont"/>
    <w:link w:val="BalloonText"/>
    <w:rsid w:val="0003610F"/>
    <w:rPr>
      <w:rFonts w:ascii="Tahoma" w:hAnsi="Tahoma" w:cs="Tahoma"/>
      <w:sz w:val="16"/>
      <w:szCs w:val="16"/>
    </w:rPr>
  </w:style>
  <w:style w:type="character" w:customStyle="1" w:styleId="SubtitleChar">
    <w:name w:val="Subtitle Char"/>
    <w:basedOn w:val="DefaultParagraphFont"/>
    <w:link w:val="Subtitle"/>
    <w:rsid w:val="0003610F"/>
    <w:rPr>
      <w:rFonts w:ascii="Arial" w:hAnsi="Arial"/>
      <w:szCs w:val="24"/>
    </w:rPr>
  </w:style>
  <w:style w:type="paragraph" w:customStyle="1" w:styleId="BoxListBullet3">
    <w:name w:val="Box List Bullet 3"/>
    <w:basedOn w:val="ListBullet3"/>
    <w:rsid w:val="0003610F"/>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3610F"/>
    <w:rPr>
      <w:i/>
      <w:iCs/>
    </w:rPr>
  </w:style>
  <w:style w:type="paragraph" w:customStyle="1" w:styleId="BoxQuoteBullet">
    <w:name w:val="Box Quote Bullet"/>
    <w:basedOn w:val="BoxQuote"/>
    <w:next w:val="Box"/>
    <w:rsid w:val="0003610F"/>
    <w:pPr>
      <w:numPr>
        <w:numId w:val="16"/>
      </w:numPr>
      <w:ind w:left="568" w:hanging="284"/>
    </w:pPr>
  </w:style>
  <w:style w:type="paragraph" w:customStyle="1" w:styleId="InformationRequestBullet">
    <w:name w:val="Information Request Bullet"/>
    <w:basedOn w:val="ListBullet"/>
    <w:next w:val="BodyText"/>
    <w:rsid w:val="0003610F"/>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03610F"/>
    <w:pPr>
      <w:keepNext/>
      <w:spacing w:before="360" w:line="80" w:lineRule="exact"/>
      <w:jc w:val="left"/>
    </w:pPr>
  </w:style>
  <w:style w:type="paragraph" w:customStyle="1" w:styleId="BoxSpaceBelow">
    <w:name w:val="Box Space Below"/>
    <w:basedOn w:val="Box"/>
    <w:rsid w:val="0003610F"/>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3610F"/>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03610F"/>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3610F"/>
    <w:pPr>
      <w:numPr>
        <w:numId w:val="20"/>
      </w:numPr>
      <w:ind w:left="568" w:hanging="284"/>
    </w:pPr>
  </w:style>
  <w:style w:type="paragraph" w:customStyle="1" w:styleId="InformationRequestTitle">
    <w:name w:val="Information Request Title"/>
    <w:basedOn w:val="FindingTitle"/>
    <w:next w:val="InformationRequest"/>
    <w:rsid w:val="0003610F"/>
    <w:rPr>
      <w:i/>
    </w:rPr>
  </w:style>
  <w:style w:type="paragraph" w:customStyle="1" w:styleId="Space">
    <w:name w:val="Space"/>
    <w:basedOn w:val="Normal"/>
    <w:rsid w:val="0003610F"/>
    <w:pPr>
      <w:keepNext/>
      <w:spacing w:line="120" w:lineRule="exact"/>
      <w:jc w:val="both"/>
    </w:pPr>
    <w:rPr>
      <w:rFonts w:ascii="Arial" w:hAnsi="Arial"/>
      <w:sz w:val="20"/>
      <w:szCs w:val="20"/>
    </w:rPr>
  </w:style>
  <w:style w:type="paragraph" w:customStyle="1" w:styleId="Heading1nochapterno">
    <w:name w:val="Heading 1 (no chapter no.)"/>
    <w:basedOn w:val="Heading1"/>
    <w:rsid w:val="0003610F"/>
    <w:pPr>
      <w:spacing w:before="0"/>
      <w:ind w:left="0" w:firstLine="0"/>
    </w:pPr>
  </w:style>
  <w:style w:type="paragraph" w:customStyle="1" w:styleId="Heading2nosectionno">
    <w:name w:val="Heading 2 (no section no.)"/>
    <w:basedOn w:val="Heading2"/>
    <w:rsid w:val="0003610F"/>
    <w:pPr>
      <w:ind w:left="0" w:firstLine="0"/>
    </w:pPr>
  </w:style>
  <w:style w:type="character" w:customStyle="1" w:styleId="Heading5Char">
    <w:name w:val="Heading 5 Char"/>
    <w:basedOn w:val="DefaultParagraphFont"/>
    <w:link w:val="Heading5"/>
    <w:rsid w:val="0003610F"/>
    <w:rPr>
      <w:rFonts w:ascii="Arial" w:hAnsi="Arial"/>
      <w:i/>
      <w:sz w:val="22"/>
    </w:rPr>
  </w:style>
  <w:style w:type="paragraph" w:customStyle="1" w:styleId="Figurespace">
    <w:name w:val="Figure space"/>
    <w:basedOn w:val="Box"/>
    <w:rsid w:val="0003610F"/>
    <w:pPr>
      <w:spacing w:before="0" w:line="120" w:lineRule="exact"/>
    </w:pPr>
  </w:style>
  <w:style w:type="paragraph" w:customStyle="1" w:styleId="FooterDraftReport">
    <w:name w:val="FooterDraftReport"/>
    <w:basedOn w:val="Footer"/>
    <w:link w:val="FooterDraftReportChar"/>
    <w:rsid w:val="0003610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3610F"/>
    <w:rPr>
      <w:rFonts w:ascii="Arial" w:hAnsi="Arial"/>
      <w:caps/>
      <w:spacing w:val="-4"/>
      <w:sz w:val="16"/>
    </w:rPr>
  </w:style>
  <w:style w:type="character" w:customStyle="1" w:styleId="FooterDraftReportChar">
    <w:name w:val="FooterDraftReport Char"/>
    <w:basedOn w:val="FooterChar"/>
    <w:link w:val="FooterDraftReport"/>
    <w:rsid w:val="0003610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3610F"/>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8486">
      <w:bodyDiv w:val="1"/>
      <w:marLeft w:val="0"/>
      <w:marRight w:val="0"/>
      <w:marTop w:val="0"/>
      <w:marBottom w:val="0"/>
      <w:divBdr>
        <w:top w:val="none" w:sz="0" w:space="0" w:color="auto"/>
        <w:left w:val="none" w:sz="0" w:space="0" w:color="auto"/>
        <w:bottom w:val="none" w:sz="0" w:space="0" w:color="auto"/>
        <w:right w:val="none" w:sz="0" w:space="0" w:color="auto"/>
      </w:divBdr>
    </w:div>
    <w:div w:id="526143220">
      <w:bodyDiv w:val="1"/>
      <w:marLeft w:val="0"/>
      <w:marRight w:val="0"/>
      <w:marTop w:val="0"/>
      <w:marBottom w:val="0"/>
      <w:divBdr>
        <w:top w:val="none" w:sz="0" w:space="0" w:color="auto"/>
        <w:left w:val="none" w:sz="0" w:space="0" w:color="auto"/>
        <w:bottom w:val="none" w:sz="0" w:space="0" w:color="auto"/>
        <w:right w:val="none" w:sz="0" w:space="0" w:color="auto"/>
      </w:divBdr>
    </w:div>
    <w:div w:id="528106990">
      <w:bodyDiv w:val="1"/>
      <w:marLeft w:val="0"/>
      <w:marRight w:val="0"/>
      <w:marTop w:val="0"/>
      <w:marBottom w:val="0"/>
      <w:divBdr>
        <w:top w:val="none" w:sz="0" w:space="0" w:color="auto"/>
        <w:left w:val="none" w:sz="0" w:space="0" w:color="auto"/>
        <w:bottom w:val="none" w:sz="0" w:space="0" w:color="auto"/>
        <w:right w:val="none" w:sz="0" w:space="0" w:color="auto"/>
      </w:divBdr>
    </w:div>
    <w:div w:id="532808332">
      <w:bodyDiv w:val="1"/>
      <w:marLeft w:val="0"/>
      <w:marRight w:val="0"/>
      <w:marTop w:val="0"/>
      <w:marBottom w:val="0"/>
      <w:divBdr>
        <w:top w:val="none" w:sz="0" w:space="0" w:color="auto"/>
        <w:left w:val="none" w:sz="0" w:space="0" w:color="auto"/>
        <w:bottom w:val="none" w:sz="0" w:space="0" w:color="auto"/>
        <w:right w:val="none" w:sz="0" w:space="0" w:color="auto"/>
      </w:divBdr>
      <w:divsChild>
        <w:div w:id="275675809">
          <w:marLeft w:val="0"/>
          <w:marRight w:val="0"/>
          <w:marTop w:val="0"/>
          <w:marBottom w:val="0"/>
          <w:divBdr>
            <w:top w:val="none" w:sz="0" w:space="0" w:color="auto"/>
            <w:left w:val="none" w:sz="0" w:space="0" w:color="auto"/>
            <w:bottom w:val="none" w:sz="0" w:space="0" w:color="auto"/>
            <w:right w:val="none" w:sz="0" w:space="0" w:color="auto"/>
          </w:divBdr>
          <w:divsChild>
            <w:div w:id="1756511046">
              <w:marLeft w:val="0"/>
              <w:marRight w:val="0"/>
              <w:marTop w:val="0"/>
              <w:marBottom w:val="0"/>
              <w:divBdr>
                <w:top w:val="none" w:sz="0" w:space="0" w:color="auto"/>
                <w:left w:val="none" w:sz="0" w:space="0" w:color="auto"/>
                <w:bottom w:val="none" w:sz="0" w:space="0" w:color="auto"/>
                <w:right w:val="none" w:sz="0" w:space="0" w:color="auto"/>
              </w:divBdr>
              <w:divsChild>
                <w:div w:id="1177768475">
                  <w:marLeft w:val="0"/>
                  <w:marRight w:val="0"/>
                  <w:marTop w:val="0"/>
                  <w:marBottom w:val="0"/>
                  <w:divBdr>
                    <w:top w:val="none" w:sz="0" w:space="0" w:color="auto"/>
                    <w:left w:val="none" w:sz="0" w:space="0" w:color="auto"/>
                    <w:bottom w:val="none" w:sz="0" w:space="0" w:color="auto"/>
                    <w:right w:val="none" w:sz="0" w:space="0" w:color="auto"/>
                  </w:divBdr>
                  <w:divsChild>
                    <w:div w:id="647830899">
                      <w:marLeft w:val="0"/>
                      <w:marRight w:val="0"/>
                      <w:marTop w:val="0"/>
                      <w:marBottom w:val="0"/>
                      <w:divBdr>
                        <w:top w:val="none" w:sz="0" w:space="0" w:color="auto"/>
                        <w:left w:val="none" w:sz="0" w:space="0" w:color="auto"/>
                        <w:bottom w:val="none" w:sz="0" w:space="0" w:color="auto"/>
                        <w:right w:val="none" w:sz="0" w:space="0" w:color="auto"/>
                      </w:divBdr>
                      <w:divsChild>
                        <w:div w:id="691994945">
                          <w:marLeft w:val="0"/>
                          <w:marRight w:val="0"/>
                          <w:marTop w:val="0"/>
                          <w:marBottom w:val="0"/>
                          <w:divBdr>
                            <w:top w:val="none" w:sz="0" w:space="0" w:color="auto"/>
                            <w:left w:val="none" w:sz="0" w:space="0" w:color="auto"/>
                            <w:bottom w:val="none" w:sz="0" w:space="0" w:color="auto"/>
                            <w:right w:val="none" w:sz="0" w:space="0" w:color="auto"/>
                          </w:divBdr>
                          <w:divsChild>
                            <w:div w:id="176700851">
                              <w:marLeft w:val="0"/>
                              <w:marRight w:val="0"/>
                              <w:marTop w:val="0"/>
                              <w:marBottom w:val="0"/>
                              <w:divBdr>
                                <w:top w:val="none" w:sz="0" w:space="0" w:color="auto"/>
                                <w:left w:val="none" w:sz="0" w:space="0" w:color="auto"/>
                                <w:bottom w:val="none" w:sz="0" w:space="0" w:color="auto"/>
                                <w:right w:val="none" w:sz="0" w:space="0" w:color="auto"/>
                              </w:divBdr>
                            </w:div>
                            <w:div w:id="341200231">
                              <w:marLeft w:val="0"/>
                              <w:marRight w:val="0"/>
                              <w:marTop w:val="0"/>
                              <w:marBottom w:val="0"/>
                              <w:divBdr>
                                <w:top w:val="none" w:sz="0" w:space="0" w:color="auto"/>
                                <w:left w:val="none" w:sz="0" w:space="0" w:color="auto"/>
                                <w:bottom w:val="none" w:sz="0" w:space="0" w:color="auto"/>
                                <w:right w:val="none" w:sz="0" w:space="0" w:color="auto"/>
                              </w:divBdr>
                            </w:div>
                            <w:div w:id="872616886">
                              <w:marLeft w:val="0"/>
                              <w:marRight w:val="0"/>
                              <w:marTop w:val="0"/>
                              <w:marBottom w:val="0"/>
                              <w:divBdr>
                                <w:top w:val="none" w:sz="0" w:space="0" w:color="auto"/>
                                <w:left w:val="none" w:sz="0" w:space="0" w:color="auto"/>
                                <w:bottom w:val="none" w:sz="0" w:space="0" w:color="auto"/>
                                <w:right w:val="none" w:sz="0" w:space="0" w:color="auto"/>
                              </w:divBdr>
                              <w:divsChild>
                                <w:div w:id="1478646211">
                                  <w:marLeft w:val="0"/>
                                  <w:marRight w:val="0"/>
                                  <w:marTop w:val="0"/>
                                  <w:marBottom w:val="0"/>
                                  <w:divBdr>
                                    <w:top w:val="none" w:sz="0" w:space="0" w:color="auto"/>
                                    <w:left w:val="none" w:sz="0" w:space="0" w:color="auto"/>
                                    <w:bottom w:val="none" w:sz="0" w:space="0" w:color="auto"/>
                                    <w:right w:val="none" w:sz="0" w:space="0" w:color="auto"/>
                                  </w:divBdr>
                                  <w:divsChild>
                                    <w:div w:id="54285828">
                                      <w:marLeft w:val="0"/>
                                      <w:marRight w:val="0"/>
                                      <w:marTop w:val="0"/>
                                      <w:marBottom w:val="0"/>
                                      <w:divBdr>
                                        <w:top w:val="none" w:sz="0" w:space="0" w:color="auto"/>
                                        <w:left w:val="none" w:sz="0" w:space="0" w:color="auto"/>
                                        <w:bottom w:val="none" w:sz="0" w:space="0" w:color="auto"/>
                                        <w:right w:val="none" w:sz="0" w:space="0" w:color="auto"/>
                                      </w:divBdr>
                                    </w:div>
                                    <w:div w:id="1447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294499">
      <w:bodyDiv w:val="1"/>
      <w:marLeft w:val="0"/>
      <w:marRight w:val="0"/>
      <w:marTop w:val="0"/>
      <w:marBottom w:val="0"/>
      <w:divBdr>
        <w:top w:val="none" w:sz="0" w:space="0" w:color="auto"/>
        <w:left w:val="none" w:sz="0" w:space="0" w:color="auto"/>
        <w:bottom w:val="none" w:sz="0" w:space="0" w:color="auto"/>
        <w:right w:val="none" w:sz="0" w:space="0" w:color="auto"/>
      </w:divBdr>
    </w:div>
    <w:div w:id="603465022">
      <w:bodyDiv w:val="1"/>
      <w:marLeft w:val="0"/>
      <w:marRight w:val="0"/>
      <w:marTop w:val="0"/>
      <w:marBottom w:val="0"/>
      <w:divBdr>
        <w:top w:val="none" w:sz="0" w:space="0" w:color="auto"/>
        <w:left w:val="none" w:sz="0" w:space="0" w:color="auto"/>
        <w:bottom w:val="none" w:sz="0" w:space="0" w:color="auto"/>
        <w:right w:val="none" w:sz="0" w:space="0" w:color="auto"/>
      </w:divBdr>
    </w:div>
    <w:div w:id="843132823">
      <w:bodyDiv w:val="1"/>
      <w:marLeft w:val="0"/>
      <w:marRight w:val="0"/>
      <w:marTop w:val="0"/>
      <w:marBottom w:val="0"/>
      <w:divBdr>
        <w:top w:val="none" w:sz="0" w:space="0" w:color="auto"/>
        <w:left w:val="none" w:sz="0" w:space="0" w:color="auto"/>
        <w:bottom w:val="none" w:sz="0" w:space="0" w:color="auto"/>
        <w:right w:val="none" w:sz="0" w:space="0" w:color="auto"/>
      </w:divBdr>
    </w:div>
    <w:div w:id="935794171">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1">
          <w:marLeft w:val="0"/>
          <w:marRight w:val="0"/>
          <w:marTop w:val="0"/>
          <w:marBottom w:val="0"/>
          <w:divBdr>
            <w:top w:val="none" w:sz="0" w:space="0" w:color="auto"/>
            <w:left w:val="none" w:sz="0" w:space="0" w:color="auto"/>
            <w:bottom w:val="none" w:sz="0" w:space="0" w:color="auto"/>
            <w:right w:val="none" w:sz="0" w:space="0" w:color="auto"/>
          </w:divBdr>
          <w:divsChild>
            <w:div w:id="655691142">
              <w:marLeft w:val="0"/>
              <w:marRight w:val="0"/>
              <w:marTop w:val="0"/>
              <w:marBottom w:val="0"/>
              <w:divBdr>
                <w:top w:val="none" w:sz="0" w:space="0" w:color="auto"/>
                <w:left w:val="none" w:sz="0" w:space="0" w:color="auto"/>
                <w:bottom w:val="none" w:sz="0" w:space="0" w:color="auto"/>
                <w:right w:val="none" w:sz="0" w:space="0" w:color="auto"/>
              </w:divBdr>
              <w:divsChild>
                <w:div w:id="1380083904">
                  <w:marLeft w:val="0"/>
                  <w:marRight w:val="0"/>
                  <w:marTop w:val="0"/>
                  <w:marBottom w:val="0"/>
                  <w:divBdr>
                    <w:top w:val="none" w:sz="0" w:space="0" w:color="auto"/>
                    <w:left w:val="none" w:sz="0" w:space="0" w:color="auto"/>
                    <w:bottom w:val="none" w:sz="0" w:space="0" w:color="auto"/>
                    <w:right w:val="none" w:sz="0" w:space="0" w:color="auto"/>
                  </w:divBdr>
                  <w:divsChild>
                    <w:div w:id="756251395">
                      <w:marLeft w:val="0"/>
                      <w:marRight w:val="0"/>
                      <w:marTop w:val="0"/>
                      <w:marBottom w:val="0"/>
                      <w:divBdr>
                        <w:top w:val="none" w:sz="0" w:space="0" w:color="auto"/>
                        <w:left w:val="single" w:sz="6" w:space="7" w:color="EDEBEA"/>
                        <w:bottom w:val="none" w:sz="0" w:space="0" w:color="auto"/>
                        <w:right w:val="none" w:sz="0" w:space="0" w:color="auto"/>
                      </w:divBdr>
                      <w:divsChild>
                        <w:div w:id="1939097046">
                          <w:marLeft w:val="0"/>
                          <w:marRight w:val="0"/>
                          <w:marTop w:val="0"/>
                          <w:marBottom w:val="0"/>
                          <w:divBdr>
                            <w:top w:val="none" w:sz="0" w:space="0" w:color="auto"/>
                            <w:left w:val="none" w:sz="0" w:space="0" w:color="auto"/>
                            <w:bottom w:val="none" w:sz="0" w:space="0" w:color="auto"/>
                            <w:right w:val="none" w:sz="0" w:space="0" w:color="auto"/>
                          </w:divBdr>
                          <w:divsChild>
                            <w:div w:id="1977442774">
                              <w:marLeft w:val="0"/>
                              <w:marRight w:val="0"/>
                              <w:marTop w:val="0"/>
                              <w:marBottom w:val="0"/>
                              <w:divBdr>
                                <w:top w:val="none" w:sz="0" w:space="0" w:color="auto"/>
                                <w:left w:val="none" w:sz="0" w:space="0" w:color="auto"/>
                                <w:bottom w:val="none" w:sz="0" w:space="0" w:color="auto"/>
                                <w:right w:val="none" w:sz="0" w:space="0" w:color="auto"/>
                              </w:divBdr>
                              <w:divsChild>
                                <w:div w:id="2135634692">
                                  <w:marLeft w:val="0"/>
                                  <w:marRight w:val="0"/>
                                  <w:marTop w:val="0"/>
                                  <w:marBottom w:val="0"/>
                                  <w:divBdr>
                                    <w:top w:val="none" w:sz="0" w:space="0" w:color="auto"/>
                                    <w:left w:val="none" w:sz="0" w:space="0" w:color="auto"/>
                                    <w:bottom w:val="none" w:sz="0" w:space="0" w:color="auto"/>
                                    <w:right w:val="none" w:sz="0" w:space="0" w:color="auto"/>
                                  </w:divBdr>
                                  <w:divsChild>
                                    <w:div w:id="2011056633">
                                      <w:marLeft w:val="0"/>
                                      <w:marRight w:val="0"/>
                                      <w:marTop w:val="0"/>
                                      <w:marBottom w:val="0"/>
                                      <w:divBdr>
                                        <w:top w:val="none" w:sz="0" w:space="0" w:color="auto"/>
                                        <w:left w:val="none" w:sz="0" w:space="0" w:color="auto"/>
                                        <w:bottom w:val="none" w:sz="0" w:space="0" w:color="auto"/>
                                        <w:right w:val="none" w:sz="0" w:space="0" w:color="auto"/>
                                      </w:divBdr>
                                      <w:divsChild>
                                        <w:div w:id="349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56264">
      <w:bodyDiv w:val="1"/>
      <w:marLeft w:val="0"/>
      <w:marRight w:val="0"/>
      <w:marTop w:val="0"/>
      <w:marBottom w:val="0"/>
      <w:divBdr>
        <w:top w:val="none" w:sz="0" w:space="0" w:color="auto"/>
        <w:left w:val="none" w:sz="0" w:space="0" w:color="auto"/>
        <w:bottom w:val="none" w:sz="0" w:space="0" w:color="auto"/>
        <w:right w:val="none" w:sz="0" w:space="0" w:color="auto"/>
      </w:divBdr>
    </w:div>
    <w:div w:id="1259563811">
      <w:bodyDiv w:val="1"/>
      <w:marLeft w:val="0"/>
      <w:marRight w:val="0"/>
      <w:marTop w:val="0"/>
      <w:marBottom w:val="0"/>
      <w:divBdr>
        <w:top w:val="none" w:sz="0" w:space="0" w:color="auto"/>
        <w:left w:val="none" w:sz="0" w:space="0" w:color="auto"/>
        <w:bottom w:val="none" w:sz="0" w:space="0" w:color="auto"/>
        <w:right w:val="none" w:sz="0" w:space="0" w:color="auto"/>
      </w:divBdr>
    </w:div>
    <w:div w:id="1466434507">
      <w:bodyDiv w:val="1"/>
      <w:marLeft w:val="0"/>
      <w:marRight w:val="0"/>
      <w:marTop w:val="0"/>
      <w:marBottom w:val="0"/>
      <w:divBdr>
        <w:top w:val="none" w:sz="0" w:space="0" w:color="auto"/>
        <w:left w:val="none" w:sz="0" w:space="0" w:color="auto"/>
        <w:bottom w:val="none" w:sz="0" w:space="0" w:color="auto"/>
        <w:right w:val="none" w:sz="0" w:space="0" w:color="auto"/>
      </w:divBdr>
    </w:div>
    <w:div w:id="1654021356">
      <w:bodyDiv w:val="1"/>
      <w:marLeft w:val="0"/>
      <w:marRight w:val="0"/>
      <w:marTop w:val="0"/>
      <w:marBottom w:val="0"/>
      <w:divBdr>
        <w:top w:val="none" w:sz="0" w:space="0" w:color="auto"/>
        <w:left w:val="none" w:sz="0" w:space="0" w:color="auto"/>
        <w:bottom w:val="none" w:sz="0" w:space="0" w:color="auto"/>
        <w:right w:val="none" w:sz="0" w:space="0" w:color="auto"/>
      </w:divBdr>
    </w:div>
    <w:div w:id="1712999005">
      <w:bodyDiv w:val="1"/>
      <w:marLeft w:val="0"/>
      <w:marRight w:val="0"/>
      <w:marTop w:val="0"/>
      <w:marBottom w:val="0"/>
      <w:divBdr>
        <w:top w:val="none" w:sz="0" w:space="0" w:color="auto"/>
        <w:left w:val="none" w:sz="0" w:space="0" w:color="auto"/>
        <w:bottom w:val="none" w:sz="0" w:space="0" w:color="auto"/>
        <w:right w:val="none" w:sz="0" w:space="0" w:color="auto"/>
      </w:divBdr>
      <w:divsChild>
        <w:div w:id="2053385070">
          <w:marLeft w:val="0"/>
          <w:marRight w:val="0"/>
          <w:marTop w:val="0"/>
          <w:marBottom w:val="0"/>
          <w:divBdr>
            <w:top w:val="single" w:sz="2" w:space="8" w:color="FF0000"/>
            <w:left w:val="single" w:sz="2" w:space="11" w:color="FF0000"/>
            <w:bottom w:val="single" w:sz="2" w:space="4" w:color="FF0000"/>
            <w:right w:val="single" w:sz="2" w:space="4" w:color="FF0000"/>
          </w:divBdr>
          <w:divsChild>
            <w:div w:id="2086756061">
              <w:marLeft w:val="0"/>
              <w:marRight w:val="0"/>
              <w:marTop w:val="0"/>
              <w:marBottom w:val="0"/>
              <w:divBdr>
                <w:top w:val="none" w:sz="0" w:space="0" w:color="auto"/>
                <w:left w:val="none" w:sz="0" w:space="0" w:color="auto"/>
                <w:bottom w:val="none" w:sz="0" w:space="0" w:color="auto"/>
                <w:right w:val="none" w:sz="0" w:space="0" w:color="auto"/>
              </w:divBdr>
              <w:divsChild>
                <w:div w:id="1614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2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pn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jpe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C6141-59DD-4894-95B1-387476AF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106</TotalTime>
  <Pages>51</Pages>
  <Words>13644</Words>
  <Characters>77777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Sector overview B Child care, education and training - Report on Government Services 2016</vt:lpstr>
    </vt:vector>
  </TitlesOfParts>
  <Company>Productivity Commission</Company>
  <LinksUpToDate>false</LinksUpToDate>
  <CharactersWithSpaces>91239</CharactersWithSpaces>
  <SharedDoc>false</SharedDoc>
  <HLinks>
    <vt:vector size="36" baseType="variant">
      <vt:variant>
        <vt:i4>1638452</vt:i4>
      </vt:variant>
      <vt:variant>
        <vt:i4>32</vt:i4>
      </vt:variant>
      <vt:variant>
        <vt:i4>0</vt:i4>
      </vt:variant>
      <vt:variant>
        <vt:i4>5</vt:i4>
      </vt:variant>
      <vt:variant>
        <vt:lpwstr/>
      </vt:variant>
      <vt:variant>
        <vt:lpwstr>_Toc306790890</vt:lpwstr>
      </vt:variant>
      <vt:variant>
        <vt:i4>1572916</vt:i4>
      </vt:variant>
      <vt:variant>
        <vt:i4>26</vt:i4>
      </vt:variant>
      <vt:variant>
        <vt:i4>0</vt:i4>
      </vt:variant>
      <vt:variant>
        <vt:i4>5</vt:i4>
      </vt:variant>
      <vt:variant>
        <vt:lpwstr/>
      </vt:variant>
      <vt:variant>
        <vt:lpwstr>_Toc306790889</vt:lpwstr>
      </vt:variant>
      <vt:variant>
        <vt:i4>1572916</vt:i4>
      </vt:variant>
      <vt:variant>
        <vt:i4>20</vt:i4>
      </vt:variant>
      <vt:variant>
        <vt:i4>0</vt:i4>
      </vt:variant>
      <vt:variant>
        <vt:i4>5</vt:i4>
      </vt:variant>
      <vt:variant>
        <vt:lpwstr/>
      </vt:variant>
      <vt:variant>
        <vt:lpwstr>_Toc306790888</vt:lpwstr>
      </vt:variant>
      <vt:variant>
        <vt:i4>1572916</vt:i4>
      </vt:variant>
      <vt:variant>
        <vt:i4>14</vt:i4>
      </vt:variant>
      <vt:variant>
        <vt:i4>0</vt:i4>
      </vt:variant>
      <vt:variant>
        <vt:i4>5</vt:i4>
      </vt:variant>
      <vt:variant>
        <vt:lpwstr/>
      </vt:variant>
      <vt:variant>
        <vt:lpwstr>_Toc306790887</vt:lpwstr>
      </vt:variant>
      <vt:variant>
        <vt:i4>1572916</vt:i4>
      </vt:variant>
      <vt:variant>
        <vt:i4>8</vt:i4>
      </vt:variant>
      <vt:variant>
        <vt:i4>0</vt:i4>
      </vt:variant>
      <vt:variant>
        <vt:i4>5</vt:i4>
      </vt:variant>
      <vt:variant>
        <vt:lpwstr/>
      </vt:variant>
      <vt:variant>
        <vt:lpwstr>_Toc306790886</vt:lpwstr>
      </vt:variant>
      <vt:variant>
        <vt:i4>1572916</vt:i4>
      </vt:variant>
      <vt:variant>
        <vt:i4>2</vt:i4>
      </vt:variant>
      <vt:variant>
        <vt:i4>0</vt:i4>
      </vt:variant>
      <vt:variant>
        <vt:i4>5</vt:i4>
      </vt:variant>
      <vt:variant>
        <vt:lpwstr/>
      </vt:variant>
      <vt:variant>
        <vt:lpwstr>_Toc306790885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B Child care, education and training - Report on Government Services 2016</dc:title>
  <dc:creator>Steering Committee for the Review of Government Service Provision</dc:creator>
  <cp:lastModifiedBy>Frech, Tanya</cp:lastModifiedBy>
  <cp:revision>22</cp:revision>
  <cp:lastPrinted>2016-01-14T07:14:00Z</cp:lastPrinted>
  <dcterms:created xsi:type="dcterms:W3CDTF">2015-12-11T00:18:00Z</dcterms:created>
  <dcterms:modified xsi:type="dcterms:W3CDTF">2016-01-15T04:02:00Z</dcterms:modified>
</cp:coreProperties>
</file>