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D0" w:rsidRDefault="00BD19D0" w:rsidP="00BD19D0">
      <w:pPr>
        <w:pStyle w:val="Heading2"/>
      </w:pPr>
      <w:bookmarkStart w:id="0" w:name="_Toc280015402"/>
      <w:bookmarkStart w:id="1" w:name="_Toc280015491"/>
      <w:bookmarkStart w:id="2" w:name="_Toc280016081"/>
      <w:bookmarkStart w:id="3" w:name="_Toc280016442"/>
      <w:bookmarkStart w:id="4" w:name="_Toc280709305"/>
      <w:bookmarkStart w:id="5" w:name="_Toc280712990"/>
      <w:bookmarkStart w:id="6" w:name="_Toc280713021"/>
      <w:bookmarkStart w:id="7" w:name="_Toc280713060"/>
      <w:bookmarkStart w:id="8" w:name="_Toc280713097"/>
      <w:bookmarkStart w:id="9" w:name="_Toc282010970"/>
      <w:bookmarkStart w:id="10" w:name="_Toc304368707"/>
      <w:bookmarkStart w:id="11" w:name="_Toc306799254"/>
      <w:bookmarkStart w:id="12" w:name="_Toc306799663"/>
      <w:bookmarkStart w:id="13" w:name="_Toc309749204"/>
      <w:bookmarkStart w:id="14" w:name="_Toc370727699"/>
      <w:bookmarkStart w:id="15" w:name="_Toc401244855"/>
      <w:bookmarkStart w:id="16" w:name="_Toc278287349"/>
      <w:r>
        <w:t>Data q</w:t>
      </w:r>
      <w:r w:rsidRPr="00A05229">
        <w:t xml:space="preserve">uality </w:t>
      </w:r>
      <w:r>
        <w:t>i</w:t>
      </w:r>
      <w:r w:rsidRPr="00A05229">
        <w:t xml:space="preserve">nformation — </w:t>
      </w:r>
      <w:r w:rsidR="000D25F2">
        <w:t>Emergency management</w:t>
      </w:r>
      <w:r w:rsidR="00F9203C">
        <w:t xml:space="preserve"> sector overview (sector overview</w:t>
      </w:r>
      <w:bookmarkEnd w:id="0"/>
      <w:bookmarkEnd w:id="1"/>
      <w:bookmarkEnd w:id="2"/>
      <w:bookmarkEnd w:id="3"/>
      <w:bookmarkEnd w:id="4"/>
      <w:bookmarkEnd w:id="5"/>
      <w:bookmarkEnd w:id="6"/>
      <w:bookmarkEnd w:id="7"/>
      <w:bookmarkEnd w:id="8"/>
      <w:bookmarkEnd w:id="9"/>
      <w:bookmarkEnd w:id="10"/>
      <w:bookmarkEnd w:id="11"/>
      <w:bookmarkEnd w:id="12"/>
      <w:bookmarkEnd w:id="13"/>
      <w:r w:rsidR="00804D71">
        <w:t> </w:t>
      </w:r>
      <w:r w:rsidR="000D25F2">
        <w:t>D</w:t>
      </w:r>
      <w:r w:rsidR="00F9203C">
        <w:t>)</w:t>
      </w:r>
      <w:bookmarkEnd w:id="14"/>
      <w:bookmarkEnd w:id="15"/>
    </w:p>
    <w:p w:rsidR="00EF4AA6" w:rsidRDefault="00EF4AA6" w:rsidP="00EF4AA6">
      <w:pPr>
        <w:pStyle w:val="BoxSpaceAbove"/>
      </w:pPr>
    </w:p>
    <w:tbl>
      <w:tblPr>
        <w:tblW w:w="8767"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67"/>
      </w:tblGrid>
      <w:tr w:rsidR="00EF4AA6" w:rsidTr="007A4C50">
        <w:tc>
          <w:tcPr>
            <w:tcW w:w="8767" w:type="dxa"/>
            <w:tcBorders>
              <w:top w:val="single" w:sz="6" w:space="0" w:color="78A22F"/>
              <w:left w:val="nil"/>
              <w:bottom w:val="nil"/>
              <w:right w:val="nil"/>
            </w:tcBorders>
            <w:shd w:val="clear" w:color="auto" w:fill="F2F2F2" w:themeFill="background1" w:themeFillShade="F2"/>
          </w:tcPr>
          <w:p w:rsidR="00EF4AA6" w:rsidRDefault="00EF4AA6" w:rsidP="00EF4AA6">
            <w:pPr>
              <w:pStyle w:val="BoxTitle"/>
            </w:pPr>
            <w:r w:rsidRPr="00461B8A">
              <w:t xml:space="preserve">Data quality information </w:t>
            </w:r>
          </w:p>
        </w:tc>
      </w:tr>
      <w:tr w:rsidR="00EF4AA6" w:rsidTr="007A4C50">
        <w:trPr>
          <w:cantSplit/>
        </w:trPr>
        <w:tc>
          <w:tcPr>
            <w:tcW w:w="8767" w:type="dxa"/>
            <w:tcBorders>
              <w:top w:val="nil"/>
              <w:left w:val="nil"/>
              <w:bottom w:val="nil"/>
              <w:right w:val="nil"/>
            </w:tcBorders>
            <w:shd w:val="clear" w:color="auto" w:fill="F2F2F2" w:themeFill="background1" w:themeFillShade="F2"/>
          </w:tcPr>
          <w:p w:rsidR="00EF4AA6" w:rsidRPr="00EF4AA6" w:rsidRDefault="00EF4AA6" w:rsidP="00EF4AA6">
            <w:pPr>
              <w:pStyle w:val="Box"/>
            </w:pPr>
            <w:r>
              <w:t>Data quality information (</w:t>
            </w:r>
            <w:proofErr w:type="spellStart"/>
            <w:r w:rsidRPr="00EF4AA6">
              <w:t>DQI</w:t>
            </w:r>
            <w:proofErr w:type="spellEnd"/>
            <w:r w:rsidRPr="00EF4AA6">
              <w:t>) pr</w:t>
            </w:r>
            <w:r w:rsidR="00E752BA">
              <w:t>o</w:t>
            </w:r>
            <w:r w:rsidRPr="00EF4AA6">
              <w:t>vides information against the seven ABS data quality framework dimensions, for performance indicators and/or measures in the Emergency management sector overview.</w:t>
            </w:r>
          </w:p>
          <w:p w:rsidR="00EF4AA6" w:rsidRDefault="00EF4AA6" w:rsidP="00EF4AA6">
            <w:pPr>
              <w:pStyle w:val="Box"/>
            </w:pPr>
            <w:r w:rsidRPr="00EF4AA6">
              <w:t xml:space="preserve">Technical </w:t>
            </w:r>
            <w:proofErr w:type="spellStart"/>
            <w:r w:rsidRPr="00EF4AA6">
              <w:t>DQI</w:t>
            </w:r>
            <w:proofErr w:type="spellEnd"/>
            <w:r w:rsidRPr="00EF4AA6">
              <w:t xml:space="preserve"> has been supplied or agreed by relevant data providers. Additional Steering Committee commentary does not necessarily reflect</w:t>
            </w:r>
            <w:r>
              <w:t xml:space="preserve"> the views of data providers.</w:t>
            </w:r>
          </w:p>
        </w:tc>
      </w:tr>
      <w:tr w:rsidR="00EF4AA6" w:rsidTr="007A4C50">
        <w:trPr>
          <w:cantSplit/>
        </w:trPr>
        <w:tc>
          <w:tcPr>
            <w:tcW w:w="8767" w:type="dxa"/>
            <w:tcBorders>
              <w:top w:val="nil"/>
              <w:left w:val="nil"/>
              <w:bottom w:val="single" w:sz="6" w:space="0" w:color="78A22F"/>
              <w:right w:val="nil"/>
            </w:tcBorders>
            <w:shd w:val="clear" w:color="auto" w:fill="F2F2F2" w:themeFill="background1" w:themeFillShade="F2"/>
          </w:tcPr>
          <w:p w:rsidR="00EF4AA6" w:rsidRDefault="00EF4AA6" w:rsidP="00BD1EA2">
            <w:pPr>
              <w:pStyle w:val="Box"/>
              <w:spacing w:before="0" w:line="120" w:lineRule="exact"/>
            </w:pPr>
          </w:p>
        </w:tc>
      </w:tr>
      <w:tr w:rsidR="00EF4AA6" w:rsidRPr="000863A5" w:rsidTr="007A4C50">
        <w:tc>
          <w:tcPr>
            <w:tcW w:w="8767" w:type="dxa"/>
            <w:tcBorders>
              <w:top w:val="single" w:sz="6" w:space="0" w:color="78A22F"/>
              <w:left w:val="nil"/>
              <w:bottom w:val="nil"/>
              <w:right w:val="nil"/>
            </w:tcBorders>
          </w:tcPr>
          <w:p w:rsidR="00EF4AA6" w:rsidRPr="00626D32" w:rsidRDefault="00EF4AA6" w:rsidP="00BD1EA2">
            <w:pPr>
              <w:pStyle w:val="BoxSpaceBelow"/>
            </w:pPr>
          </w:p>
        </w:tc>
      </w:tr>
    </w:tbl>
    <w:p w:rsidR="00BD19D0" w:rsidRPr="005C33AC" w:rsidRDefault="005C33AC" w:rsidP="005C33AC">
      <w:pPr>
        <w:pStyle w:val="Heading4"/>
      </w:pPr>
      <w:bookmarkStart w:id="17" w:name="begin"/>
      <w:bookmarkStart w:id="18" w:name="_Toc280709306"/>
      <w:bookmarkStart w:id="19" w:name="_Toc280712991"/>
      <w:bookmarkStart w:id="20" w:name="_Toc280713022"/>
      <w:bookmarkStart w:id="21" w:name="_Toc280713061"/>
      <w:bookmarkStart w:id="22" w:name="_Toc280713098"/>
      <w:bookmarkEnd w:id="16"/>
      <w:bookmarkEnd w:id="17"/>
      <w:r w:rsidRPr="005C33AC">
        <w:t>CONTENTS</w:t>
      </w:r>
    </w:p>
    <w:sdt>
      <w:sdtPr>
        <w:rPr>
          <w:kern w:val="28"/>
          <w:sz w:val="52"/>
        </w:rPr>
        <w:id w:val="1817441861"/>
        <w:docPartObj>
          <w:docPartGallery w:val="Table of Contents"/>
          <w:docPartUnique/>
        </w:docPartObj>
      </w:sdtPr>
      <w:sdtEndPr>
        <w:rPr>
          <w:kern w:val="0"/>
          <w:sz w:val="26"/>
        </w:rPr>
      </w:sdtEndPr>
      <w:sdtContent>
        <w:p w:rsidR="00D5498A" w:rsidRDefault="00D5498A" w:rsidP="00DC5700">
          <w:pPr>
            <w:pStyle w:val="TOC2"/>
            <w:rPr>
              <w:rFonts w:asciiTheme="minorHAnsi" w:eastAsiaTheme="minorEastAsia" w:hAnsiTheme="minorHAnsi" w:cstheme="minorBidi"/>
              <w:noProof/>
              <w:sz w:val="22"/>
              <w:szCs w:val="22"/>
              <w:lang w:eastAsia="en-AU"/>
            </w:rPr>
          </w:pPr>
          <w:r>
            <w:rPr>
              <w:noProof/>
            </w:rPr>
            <w:t>Community preparedness for emergency events</w:t>
          </w:r>
          <w:r>
            <w:rPr>
              <w:noProof/>
            </w:rPr>
            <w:tab/>
          </w:r>
          <w:r w:rsidR="007D7298">
            <w:rPr>
              <w:noProof/>
            </w:rPr>
            <w:t>2</w:t>
          </w:r>
        </w:p>
        <w:p w:rsidR="00D5498A" w:rsidRDefault="00D5498A">
          <w:pPr>
            <w:pStyle w:val="TOC3"/>
            <w:rPr>
              <w:rFonts w:asciiTheme="minorHAnsi" w:eastAsiaTheme="minorEastAsia" w:hAnsiTheme="minorHAnsi" w:cstheme="minorBidi"/>
              <w:noProof/>
              <w:sz w:val="22"/>
              <w:szCs w:val="22"/>
              <w:lang w:eastAsia="en-AU"/>
            </w:rPr>
          </w:pPr>
          <w:r>
            <w:rPr>
              <w:noProof/>
            </w:rPr>
            <w:t>Deaths from emergency events</w:t>
          </w:r>
          <w:r>
            <w:rPr>
              <w:noProof/>
            </w:rPr>
            <w:tab/>
          </w:r>
          <w:r w:rsidR="007D7298">
            <w:rPr>
              <w:noProof/>
            </w:rPr>
            <w:t>4</w:t>
          </w:r>
        </w:p>
        <w:p w:rsidR="00EF4AA6" w:rsidRPr="00EF4AA6" w:rsidRDefault="00D5498A" w:rsidP="00EF4AA6">
          <w:pPr>
            <w:pStyle w:val="TOC3"/>
            <w:rPr>
              <w:lang w:eastAsia="en-AU"/>
            </w:rPr>
          </w:pPr>
          <w:r>
            <w:rPr>
              <w:noProof/>
            </w:rPr>
            <w:t>Total asset from emergency events</w:t>
          </w:r>
          <w:r>
            <w:rPr>
              <w:noProof/>
            </w:rPr>
            <w:tab/>
          </w:r>
          <w:r w:rsidR="007D7298">
            <w:rPr>
              <w:noProof/>
            </w:rPr>
            <w:t>7</w:t>
          </w:r>
        </w:p>
      </w:sdtContent>
    </w:sdt>
    <w:bookmarkEnd w:id="18"/>
    <w:bookmarkEnd w:id="19"/>
    <w:bookmarkEnd w:id="20"/>
    <w:bookmarkEnd w:id="21"/>
    <w:bookmarkEnd w:id="22"/>
    <w:p w:rsidR="00BD19D0" w:rsidRPr="00CF1100" w:rsidRDefault="00BD19D0" w:rsidP="000D25F2">
      <w:pPr>
        <w:pStyle w:val="Heading3"/>
        <w:spacing w:before="0"/>
      </w:pPr>
      <w:r>
        <w:br w:type="page"/>
      </w:r>
    </w:p>
    <w:p w:rsidR="0006694B" w:rsidRPr="000649F9" w:rsidRDefault="0006694B" w:rsidP="0006694B">
      <w:pPr>
        <w:pStyle w:val="Heading3"/>
      </w:pPr>
      <w:bookmarkStart w:id="23" w:name="_Toc401244856"/>
      <w:bookmarkStart w:id="24" w:name="_Toc370727700"/>
      <w:r>
        <w:lastRenderedPageBreak/>
        <w:t>Community preparedness for emergency events</w:t>
      </w:r>
      <w:bookmarkEnd w:id="23"/>
    </w:p>
    <w:p w:rsidR="0006694B" w:rsidRPr="002301A7" w:rsidRDefault="0006694B" w:rsidP="0006694B">
      <w:pPr>
        <w:pStyle w:val="Box"/>
      </w:pPr>
      <w:r w:rsidRPr="002301A7">
        <w:t xml:space="preserve">Data quality information for this indicator has been drafted by the Emergency Management Working Group in consultation with the </w:t>
      </w:r>
      <w:r>
        <w:t>Emergency Management Working Group (</w:t>
      </w:r>
      <w:proofErr w:type="spellStart"/>
      <w:r>
        <w:t>EMWG</w:t>
      </w:r>
      <w:proofErr w:type="spellEnd"/>
      <w:r>
        <w:t>)</w:t>
      </w:r>
      <w:r w:rsidRPr="002301A7">
        <w:t>, with additional Steering Committee comments.</w:t>
      </w:r>
    </w:p>
    <w:tbl>
      <w:tblPr>
        <w:tblpPr w:leftFromText="180" w:rightFromText="180" w:vertAnchor="text" w:tblpXSpec="center" w:tblpY="1"/>
        <w:tblOverlap w:val="never"/>
        <w:tblW w:w="4984" w:type="pct"/>
        <w:tblLayout w:type="fixed"/>
        <w:tblCellMar>
          <w:top w:w="28" w:type="dxa"/>
          <w:left w:w="28" w:type="dxa"/>
          <w:bottom w:w="28" w:type="dxa"/>
          <w:right w:w="28" w:type="dxa"/>
        </w:tblCellMar>
        <w:tblLook w:val="01E0" w:firstRow="1" w:lastRow="1" w:firstColumn="1" w:lastColumn="1" w:noHBand="0" w:noVBand="0"/>
      </w:tblPr>
      <w:tblGrid>
        <w:gridCol w:w="1547"/>
        <w:gridCol w:w="7270"/>
      </w:tblGrid>
      <w:tr w:rsidR="0006694B" w:rsidRPr="001F3F80" w:rsidTr="007A4C50">
        <w:tc>
          <w:tcPr>
            <w:tcW w:w="5000" w:type="pct"/>
            <w:gridSpan w:val="2"/>
          </w:tcPr>
          <w:p w:rsidR="0006694B" w:rsidRPr="003211C6" w:rsidRDefault="0006694B" w:rsidP="0006694B">
            <w:pPr>
              <w:pStyle w:val="DQIMainRowHeadings"/>
              <w:rPr>
                <w:rFonts w:cs="Arial"/>
                <w:sz w:val="22"/>
                <w:szCs w:val="22"/>
              </w:rPr>
            </w:pPr>
            <w:r w:rsidRPr="003211C6">
              <w:t>Indicator definition and description</w:t>
            </w:r>
          </w:p>
        </w:tc>
      </w:tr>
      <w:tr w:rsidR="0006694B" w:rsidRPr="001F3F80" w:rsidTr="007A4C50">
        <w:tc>
          <w:tcPr>
            <w:tcW w:w="877" w:type="pct"/>
          </w:tcPr>
          <w:p w:rsidR="0006694B" w:rsidRPr="00A05229" w:rsidRDefault="0006694B" w:rsidP="0006694B">
            <w:pPr>
              <w:pStyle w:val="DQIRowHeadings"/>
            </w:pPr>
            <w:r w:rsidRPr="00A05229">
              <w:t>Element</w:t>
            </w:r>
          </w:p>
        </w:tc>
        <w:tc>
          <w:tcPr>
            <w:tcW w:w="4123" w:type="pct"/>
          </w:tcPr>
          <w:p w:rsidR="0006694B" w:rsidRDefault="0006694B" w:rsidP="00BD1EA2">
            <w:pPr>
              <w:pStyle w:val="DQITableText"/>
            </w:pPr>
            <w:r w:rsidRPr="00804D71">
              <w:t>Emergency management sector performance indicator framework</w:t>
            </w:r>
            <w:r>
              <w:t xml:space="preserve"> – Sector wide indicators</w:t>
            </w:r>
            <w:r w:rsidRPr="0081001A">
              <w:t xml:space="preserve"> </w:t>
            </w:r>
          </w:p>
        </w:tc>
      </w:tr>
      <w:tr w:rsidR="0006694B" w:rsidRPr="001F3F80" w:rsidTr="007A4C50">
        <w:tc>
          <w:tcPr>
            <w:tcW w:w="877" w:type="pct"/>
          </w:tcPr>
          <w:p w:rsidR="0006694B" w:rsidRPr="00A05229" w:rsidRDefault="0006694B" w:rsidP="0006694B">
            <w:pPr>
              <w:pStyle w:val="DQIRowHeadings"/>
            </w:pPr>
            <w:r w:rsidRPr="00A05229">
              <w:t>Indicator</w:t>
            </w:r>
          </w:p>
        </w:tc>
        <w:tc>
          <w:tcPr>
            <w:tcW w:w="4123" w:type="pct"/>
          </w:tcPr>
          <w:p w:rsidR="0006694B" w:rsidRDefault="0006694B" w:rsidP="00BD1EA2">
            <w:pPr>
              <w:pStyle w:val="DQITableText"/>
            </w:pPr>
            <w:r>
              <w:t>Total asset loss from emergency events</w:t>
            </w:r>
          </w:p>
        </w:tc>
      </w:tr>
      <w:tr w:rsidR="0006694B" w:rsidRPr="001F3F80" w:rsidTr="007A4C50">
        <w:tc>
          <w:tcPr>
            <w:tcW w:w="877" w:type="pct"/>
          </w:tcPr>
          <w:p w:rsidR="0006694B" w:rsidRPr="00A05229" w:rsidRDefault="0006694B" w:rsidP="0006694B">
            <w:pPr>
              <w:pStyle w:val="DQIRowHeadings"/>
            </w:pPr>
            <w:r w:rsidRPr="00A05229">
              <w:t>Measure (computation)</w:t>
            </w:r>
          </w:p>
        </w:tc>
        <w:tc>
          <w:tcPr>
            <w:tcW w:w="4123" w:type="pct"/>
          </w:tcPr>
          <w:p w:rsidR="0006694B" w:rsidRPr="00A05229" w:rsidRDefault="0006694B" w:rsidP="0009177B">
            <w:pPr>
              <w:pStyle w:val="DQITableText"/>
            </w:pPr>
            <w:r w:rsidRPr="00CD72B9">
              <w:t>‘</w:t>
            </w:r>
            <w:r>
              <w:t>Proportion of Australians that have developed emergency plans for natural disasters</w:t>
            </w:r>
            <w:r w:rsidRPr="00CD72B9">
              <w:t xml:space="preserve">’ is defined </w:t>
            </w:r>
            <w:r>
              <w:t>as the proportion of Australians that developed emergency plans (evacuations/meeting places) for natural disasters.</w:t>
            </w:r>
            <w:r w:rsidR="0009177B" w:rsidRPr="00A05229">
              <w:t xml:space="preserve"> </w:t>
            </w:r>
          </w:p>
        </w:tc>
      </w:tr>
      <w:tr w:rsidR="0006694B" w:rsidRPr="001F3F80" w:rsidTr="007A4C50">
        <w:trPr>
          <w:cantSplit/>
        </w:trPr>
        <w:tc>
          <w:tcPr>
            <w:tcW w:w="877" w:type="pct"/>
          </w:tcPr>
          <w:p w:rsidR="0006694B" w:rsidRPr="00A05229" w:rsidRDefault="0006694B" w:rsidP="0006694B">
            <w:pPr>
              <w:pStyle w:val="DQIRowHeadings"/>
            </w:pPr>
            <w:r w:rsidRPr="00A05229">
              <w:t>Data source</w:t>
            </w:r>
          </w:p>
        </w:tc>
        <w:tc>
          <w:tcPr>
            <w:tcW w:w="4123" w:type="pct"/>
          </w:tcPr>
          <w:p w:rsidR="0006694B" w:rsidRPr="00A05229" w:rsidRDefault="0009177B" w:rsidP="007C4623">
            <w:pPr>
              <w:pStyle w:val="DQITableText"/>
            </w:pPr>
            <w:r w:rsidRPr="0009177B">
              <w:t xml:space="preserve">Western, M., </w:t>
            </w:r>
            <w:proofErr w:type="spellStart"/>
            <w:r w:rsidRPr="0009177B">
              <w:t>Mazerolle</w:t>
            </w:r>
            <w:proofErr w:type="spellEnd"/>
            <w:r w:rsidRPr="0009177B">
              <w:t xml:space="preserve">, L., &amp; </w:t>
            </w:r>
            <w:proofErr w:type="spellStart"/>
            <w:r w:rsidRPr="0009177B">
              <w:t>Boreham</w:t>
            </w:r>
            <w:proofErr w:type="spellEnd"/>
            <w:r w:rsidRPr="0009177B">
              <w:t xml:space="preserve">, P. (2012), National Security and Preparedness Survey 2011-2012. Brisbane: Institute </w:t>
            </w:r>
            <w:r w:rsidR="007C4623">
              <w:t>for</w:t>
            </w:r>
            <w:r w:rsidRPr="0009177B">
              <w:t xml:space="preserve"> Social Science Research and the Australian Research Council Centre of Excellence in Policing and Security, The University of Queensland, 2012.</w:t>
            </w:r>
          </w:p>
        </w:tc>
      </w:tr>
      <w:tr w:rsidR="0006694B" w:rsidRPr="000D7225" w:rsidTr="007A4C50">
        <w:trPr>
          <w:cantSplit/>
        </w:trPr>
        <w:tc>
          <w:tcPr>
            <w:tcW w:w="5000" w:type="pct"/>
            <w:gridSpan w:val="2"/>
          </w:tcPr>
          <w:p w:rsidR="0006694B" w:rsidRPr="00CE3D86" w:rsidRDefault="0006694B" w:rsidP="0009177B">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06694B" w:rsidRPr="00254F46" w:rsidTr="007A4C50">
        <w:tc>
          <w:tcPr>
            <w:tcW w:w="877" w:type="pct"/>
          </w:tcPr>
          <w:p w:rsidR="0006694B" w:rsidRPr="00A05229" w:rsidRDefault="0006694B" w:rsidP="0006694B">
            <w:pPr>
              <w:pStyle w:val="DQIRowHeadings"/>
            </w:pPr>
            <w:r w:rsidRPr="00A05229">
              <w:t>Institutional environment</w:t>
            </w:r>
          </w:p>
        </w:tc>
        <w:tc>
          <w:tcPr>
            <w:tcW w:w="4123" w:type="pct"/>
          </w:tcPr>
          <w:p w:rsidR="0006694B" w:rsidRDefault="0006694B" w:rsidP="0009177B">
            <w:pPr>
              <w:pStyle w:val="DQITableText"/>
            </w:pPr>
            <w:r>
              <w:t>The study is funded by:</w:t>
            </w:r>
          </w:p>
          <w:p w:rsidR="0006694B" w:rsidRDefault="0006694B" w:rsidP="0009177B">
            <w:pPr>
              <w:pStyle w:val="DQITableBullet"/>
            </w:pPr>
            <w:r>
              <w:t>the Australian Research Council Centre of Excellence in Policing and Security (</w:t>
            </w:r>
            <w:proofErr w:type="spellStart"/>
            <w:r>
              <w:t>CEPS</w:t>
            </w:r>
            <w:proofErr w:type="spellEnd"/>
            <w:r>
              <w:t xml:space="preserve">) — </w:t>
            </w:r>
            <w:proofErr w:type="spellStart"/>
            <w:r w:rsidRPr="00EF29D2">
              <w:t>CEPS</w:t>
            </w:r>
            <w:proofErr w:type="spellEnd"/>
            <w:r w:rsidRPr="00EF29D2">
              <w:t xml:space="preserve"> is a complex research enterprise consisting of multiple collaborating researchers, and university and partner organisations. </w:t>
            </w:r>
            <w:proofErr w:type="spellStart"/>
            <w:r w:rsidRPr="00EF29D2">
              <w:t>CEPS</w:t>
            </w:r>
            <w:proofErr w:type="spellEnd"/>
            <w:r w:rsidRPr="00EF29D2">
              <w:t xml:space="preserve"> is administered by Griffith University in Brisbane and operates across four University Nodes</w:t>
            </w:r>
          </w:p>
          <w:p w:rsidR="0006694B" w:rsidRDefault="0006694B" w:rsidP="0009177B">
            <w:pPr>
              <w:pStyle w:val="DQITableBullet"/>
            </w:pPr>
            <w:r>
              <w:t xml:space="preserve">the University of Queensland — the study is led by researchers from the Institute </w:t>
            </w:r>
            <w:r w:rsidR="007C4623">
              <w:t>for</w:t>
            </w:r>
            <w:r>
              <w:t xml:space="preserve"> Social Science Research (</w:t>
            </w:r>
            <w:proofErr w:type="spellStart"/>
            <w:r>
              <w:t>ISSR</w:t>
            </w:r>
            <w:proofErr w:type="spellEnd"/>
            <w:r>
              <w:t xml:space="preserve">) at the University of Queensland. </w:t>
            </w:r>
            <w:proofErr w:type="spellStart"/>
            <w:r>
              <w:t>ISSR</w:t>
            </w:r>
            <w:proofErr w:type="spellEnd"/>
            <w:r>
              <w:t xml:space="preserve"> </w:t>
            </w:r>
            <w:r w:rsidRPr="00B93DCB">
              <w:t xml:space="preserve">is a division of The University of Queensland. </w:t>
            </w:r>
            <w:r>
              <w:t xml:space="preserve">The </w:t>
            </w:r>
            <w:r w:rsidRPr="00B93DCB">
              <w:t>institute provides research and postgraduate research training</w:t>
            </w:r>
            <w:r>
              <w:t xml:space="preserve"> </w:t>
            </w:r>
            <w:r w:rsidRPr="00B93DCB">
              <w:t>for the social sciences.</w:t>
            </w:r>
          </w:p>
          <w:p w:rsidR="0006694B" w:rsidRDefault="0006694B" w:rsidP="0009177B">
            <w:pPr>
              <w:pStyle w:val="DQITableBullet"/>
            </w:pPr>
            <w:r>
              <w:t xml:space="preserve">the Queensland Government. </w:t>
            </w:r>
          </w:p>
          <w:p w:rsidR="0006694B" w:rsidRPr="00A05229" w:rsidRDefault="0006694B" w:rsidP="0009177B">
            <w:pPr>
              <w:pStyle w:val="DQITableText"/>
            </w:pPr>
            <w:r>
              <w:t>In kind support to the study is provided by the University of Queensland, the Queensland Government, and the Australian Institute of Criminology.</w:t>
            </w:r>
            <w:r w:rsidR="0009177B" w:rsidRPr="00A05229">
              <w:t xml:space="preserve"> </w:t>
            </w:r>
          </w:p>
        </w:tc>
      </w:tr>
      <w:tr w:rsidR="0006694B" w:rsidRPr="00254F46" w:rsidTr="007A4C50">
        <w:trPr>
          <w:cantSplit/>
        </w:trPr>
        <w:tc>
          <w:tcPr>
            <w:tcW w:w="877" w:type="pct"/>
          </w:tcPr>
          <w:p w:rsidR="0006694B" w:rsidRPr="00A05229" w:rsidRDefault="0006694B" w:rsidP="0006694B">
            <w:pPr>
              <w:pStyle w:val="DQIRowHeadings"/>
            </w:pPr>
            <w:r w:rsidRPr="00A05229">
              <w:t>Relevance</w:t>
            </w:r>
          </w:p>
        </w:tc>
        <w:tc>
          <w:tcPr>
            <w:tcW w:w="4123" w:type="pct"/>
          </w:tcPr>
          <w:p w:rsidR="0006694B" w:rsidRDefault="0006694B" w:rsidP="0009177B">
            <w:pPr>
              <w:pStyle w:val="DQITableText"/>
            </w:pPr>
            <w:r>
              <w:t>Data are available nationally and by state and territory for the 2011-12 financial year.</w:t>
            </w:r>
          </w:p>
          <w:p w:rsidR="0006694B" w:rsidRDefault="0006694B" w:rsidP="0009177B">
            <w:pPr>
              <w:pStyle w:val="DQITableText"/>
            </w:pPr>
            <w:r>
              <w:t>The questionnaire covers a range of issues, including the following topics:</w:t>
            </w:r>
          </w:p>
          <w:p w:rsidR="0006694B" w:rsidRDefault="0006694B" w:rsidP="0009177B">
            <w:pPr>
              <w:pStyle w:val="DQITableBullet"/>
            </w:pPr>
            <w:r>
              <w:t>confidence and attitudes towards national security and policing measures</w:t>
            </w:r>
          </w:p>
          <w:p w:rsidR="0006694B" w:rsidRDefault="0006694B" w:rsidP="0009177B">
            <w:pPr>
              <w:pStyle w:val="DQITableBullet"/>
            </w:pPr>
            <w:r>
              <w:t>confidence and attitudes towards policing and national security agencies</w:t>
            </w:r>
          </w:p>
          <w:p w:rsidR="0006694B" w:rsidRDefault="0006694B" w:rsidP="0009177B">
            <w:pPr>
              <w:pStyle w:val="DQITableBullet"/>
            </w:pPr>
            <w:r>
              <w:t>relationships and interactions with national security and policing agencies</w:t>
            </w:r>
          </w:p>
          <w:p w:rsidR="0006694B" w:rsidRDefault="0006694B" w:rsidP="0009177B">
            <w:pPr>
              <w:pStyle w:val="DQITableBullet"/>
            </w:pPr>
            <w:r>
              <w:t>perceptions of personal security and national security</w:t>
            </w:r>
          </w:p>
          <w:p w:rsidR="0006694B" w:rsidRDefault="0006694B" w:rsidP="0009177B">
            <w:pPr>
              <w:pStyle w:val="DQITableBullet"/>
            </w:pPr>
            <w:r>
              <w:t>self-reported impact on individual behaviours</w:t>
            </w:r>
          </w:p>
          <w:p w:rsidR="0006694B" w:rsidRDefault="0006694B" w:rsidP="0009177B">
            <w:pPr>
              <w:pStyle w:val="DQITableBullet"/>
            </w:pPr>
            <w:r>
              <w:t>emergency preparedness</w:t>
            </w:r>
          </w:p>
          <w:p w:rsidR="0006694B" w:rsidRPr="00A05229" w:rsidRDefault="0006694B" w:rsidP="0009177B">
            <w:pPr>
              <w:pStyle w:val="DQITableBullet"/>
            </w:pPr>
            <w:r>
              <w:t>community resilience.</w:t>
            </w:r>
            <w:r w:rsidR="0009177B" w:rsidRPr="00A05229">
              <w:t xml:space="preserve"> </w:t>
            </w:r>
          </w:p>
        </w:tc>
      </w:tr>
      <w:tr w:rsidR="0006694B" w:rsidRPr="00254F46" w:rsidTr="007A4C50">
        <w:trPr>
          <w:cantSplit/>
          <w:trHeight w:val="1523"/>
        </w:trPr>
        <w:tc>
          <w:tcPr>
            <w:tcW w:w="877" w:type="pct"/>
          </w:tcPr>
          <w:p w:rsidR="0006694B" w:rsidRPr="00A05229" w:rsidRDefault="0006694B" w:rsidP="0006694B">
            <w:pPr>
              <w:pStyle w:val="DQIRowHeadings"/>
            </w:pPr>
            <w:r w:rsidRPr="00A05229">
              <w:t>Timeliness</w:t>
            </w:r>
          </w:p>
        </w:tc>
        <w:tc>
          <w:tcPr>
            <w:tcW w:w="4123" w:type="pct"/>
          </w:tcPr>
          <w:p w:rsidR="0006694B" w:rsidRDefault="0006694B" w:rsidP="0009177B">
            <w:pPr>
              <w:pStyle w:val="DQITableText"/>
            </w:pPr>
            <w:r>
              <w:t>The project gathered cross-sectional indicators of economic, social and cultural wellbeing to assess community perceptions of community preparedness, resilience, vulnerability and their attitudes to key policing and security policies, laws and programs. Future surveys will also collect panel and longitudinal information.</w:t>
            </w:r>
          </w:p>
          <w:p w:rsidR="0006694B" w:rsidRPr="00E75549" w:rsidRDefault="0006694B" w:rsidP="00E4148E">
            <w:pPr>
              <w:pStyle w:val="DQITableText"/>
            </w:pPr>
            <w:r>
              <w:t>The</w:t>
            </w:r>
            <w:r w:rsidR="009E6C0E">
              <w:t xml:space="preserve"> </w:t>
            </w:r>
            <w:r w:rsidR="00011A66" w:rsidRPr="00785817">
              <w:t xml:space="preserve">National Security and Preparedness Survey </w:t>
            </w:r>
            <w:r w:rsidR="00011A66">
              <w:t>(</w:t>
            </w:r>
            <w:proofErr w:type="spellStart"/>
            <w:r w:rsidR="00011A66">
              <w:t>NSPS</w:t>
            </w:r>
            <w:proofErr w:type="spellEnd"/>
            <w:r w:rsidR="00011A66">
              <w:t xml:space="preserve">) </w:t>
            </w:r>
            <w:r>
              <w:t xml:space="preserve">began survey recruitment in November 2011 and </w:t>
            </w:r>
            <w:r w:rsidR="00E4148E">
              <w:t xml:space="preserve">concluded </w:t>
            </w:r>
            <w:r>
              <w:t>in May 2012.</w:t>
            </w:r>
          </w:p>
        </w:tc>
      </w:tr>
    </w:tbl>
    <w:p w:rsidR="002314EB" w:rsidRDefault="002314EB" w:rsidP="00011A66">
      <w:pPr>
        <w:pStyle w:val="BodyText"/>
      </w:pPr>
    </w:p>
    <w:p w:rsidR="002314EB" w:rsidRDefault="002314EB" w:rsidP="002314EB">
      <w:pPr>
        <w:pStyle w:val="BodyText"/>
      </w:pPr>
      <w:r>
        <w:br w:type="page"/>
      </w:r>
    </w:p>
    <w:p w:rsidR="00011A66" w:rsidRDefault="00011A66" w:rsidP="00011A66">
      <w:pPr>
        <w:pStyle w:val="BodyText"/>
      </w:pP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06694B" w:rsidRPr="00254F46" w:rsidTr="00BD1EA2">
        <w:tc>
          <w:tcPr>
            <w:tcW w:w="874" w:type="pct"/>
          </w:tcPr>
          <w:p w:rsidR="0006694B" w:rsidRPr="00A05229" w:rsidRDefault="0006694B" w:rsidP="0006694B">
            <w:pPr>
              <w:pStyle w:val="DQIRowHeadings"/>
            </w:pPr>
            <w:r w:rsidRPr="00A05229">
              <w:t>Accuracy</w:t>
            </w:r>
          </w:p>
        </w:tc>
        <w:tc>
          <w:tcPr>
            <w:tcW w:w="4126" w:type="pct"/>
          </w:tcPr>
          <w:p w:rsidR="0006694B" w:rsidRDefault="0006694B" w:rsidP="0009177B">
            <w:pPr>
              <w:pStyle w:val="DQITableText"/>
            </w:pPr>
            <w:r>
              <w:t>A final random sample of survey respondents (N= 4258) was recruited from all six states and two territories.</w:t>
            </w:r>
            <w:r w:rsidR="009E6C0E">
              <w:t xml:space="preserve"> </w:t>
            </w:r>
          </w:p>
          <w:p w:rsidR="00D5498A" w:rsidRDefault="00D5498A" w:rsidP="0009177B">
            <w:pPr>
              <w:pStyle w:val="DQITableText"/>
            </w:pPr>
            <w:r w:rsidRPr="00D5498A">
              <w:t>The survey was designed to produce descriptive statistics and these may not be representative of the population. Confidence intervals have been prepared for this Report on the assumption that a random sample of the population was selected.</w:t>
            </w:r>
          </w:p>
          <w:p w:rsidR="0006694B" w:rsidRDefault="0006694B" w:rsidP="0009177B">
            <w:pPr>
              <w:pStyle w:val="DQITableText"/>
            </w:pPr>
            <w:r w:rsidRPr="00785817">
              <w:t xml:space="preserve">The </w:t>
            </w:r>
            <w:proofErr w:type="spellStart"/>
            <w:r w:rsidR="00011A66">
              <w:t>NSPS</w:t>
            </w:r>
            <w:proofErr w:type="spellEnd"/>
            <w:r w:rsidR="00011A66">
              <w:t xml:space="preserve"> </w:t>
            </w:r>
            <w:r w:rsidRPr="00785817">
              <w:t>was implemented via Computer Assisted Telephone Interview (</w:t>
            </w:r>
            <w:proofErr w:type="spellStart"/>
            <w:r w:rsidRPr="00785817">
              <w:t>CATI</w:t>
            </w:r>
            <w:proofErr w:type="spellEnd"/>
            <w:r w:rsidRPr="00785817">
              <w:t xml:space="preserve">) recruitment, followed by mail out/online surveys in November 2011. </w:t>
            </w:r>
          </w:p>
          <w:p w:rsidR="0009177B" w:rsidRDefault="0006694B" w:rsidP="0009177B">
            <w:pPr>
              <w:pStyle w:val="DQITableText"/>
            </w:pPr>
            <w:r>
              <w:t>Summary statistics (minimum, maximum, mean, median, and standard deviation) are available for most variables collected</w:t>
            </w:r>
            <w:r w:rsidR="009E6C0E">
              <w:t xml:space="preserve"> </w:t>
            </w:r>
            <w:r>
              <w:t>in the survey.</w:t>
            </w:r>
          </w:p>
          <w:p w:rsidR="0006694B" w:rsidRPr="00F565CD" w:rsidRDefault="0006694B" w:rsidP="0009177B">
            <w:pPr>
              <w:pStyle w:val="DQITableText"/>
            </w:pPr>
            <w:r>
              <w:t>A series of floods in northern New South Wales and southern Queensland in January and February 2012 may have influenced respondent perceptions about, and/or actions around, disaster preparedness.</w:t>
            </w:r>
          </w:p>
        </w:tc>
      </w:tr>
      <w:tr w:rsidR="0006694B" w:rsidRPr="00E57110" w:rsidTr="00BD1EA2">
        <w:trPr>
          <w:cantSplit/>
        </w:trPr>
        <w:tc>
          <w:tcPr>
            <w:tcW w:w="874" w:type="pct"/>
          </w:tcPr>
          <w:p w:rsidR="0006694B" w:rsidRPr="00A05229" w:rsidRDefault="0006694B" w:rsidP="0009177B">
            <w:pPr>
              <w:pStyle w:val="DQIRowHeadings"/>
            </w:pPr>
            <w:r w:rsidRPr="00A05229">
              <w:t>Coherence</w:t>
            </w:r>
          </w:p>
        </w:tc>
        <w:tc>
          <w:tcPr>
            <w:tcW w:w="4126" w:type="pct"/>
          </w:tcPr>
          <w:p w:rsidR="0006694B" w:rsidRPr="00A05229" w:rsidRDefault="0006694B" w:rsidP="0009177B">
            <w:pPr>
              <w:pStyle w:val="DQITableText"/>
            </w:pPr>
            <w:r>
              <w:t xml:space="preserve">The results of the survey, in concert with a similar survey simultaneously being conducted in the US and possibly other countries that are part of the START consortium, will be useful to the range of government agencies involved in anti-and counter-terrorism initiatives. </w:t>
            </w:r>
          </w:p>
        </w:tc>
      </w:tr>
      <w:tr w:rsidR="0006694B" w:rsidRPr="00E57110" w:rsidTr="00BD1EA2">
        <w:trPr>
          <w:cantSplit/>
        </w:trPr>
        <w:tc>
          <w:tcPr>
            <w:tcW w:w="874" w:type="pct"/>
          </w:tcPr>
          <w:p w:rsidR="0006694B" w:rsidRPr="00A05229" w:rsidRDefault="0006694B" w:rsidP="0009177B">
            <w:pPr>
              <w:pStyle w:val="DQIRowHeadings"/>
            </w:pPr>
            <w:r w:rsidRPr="00A05229">
              <w:t>Accessibility</w:t>
            </w:r>
          </w:p>
          <w:p w:rsidR="0006694B" w:rsidRPr="00A05229" w:rsidRDefault="0006694B" w:rsidP="0009177B">
            <w:pPr>
              <w:pStyle w:val="DQIRowHeadings"/>
            </w:pPr>
          </w:p>
        </w:tc>
        <w:tc>
          <w:tcPr>
            <w:tcW w:w="4126" w:type="pct"/>
          </w:tcPr>
          <w:p w:rsidR="0006694B" w:rsidRDefault="0006694B" w:rsidP="0009177B">
            <w:pPr>
              <w:pStyle w:val="DQITableText"/>
            </w:pPr>
            <w:r w:rsidRPr="00785817">
              <w:t xml:space="preserve">The </w:t>
            </w:r>
            <w:proofErr w:type="spellStart"/>
            <w:r>
              <w:t>ISSR</w:t>
            </w:r>
            <w:proofErr w:type="spellEnd"/>
            <w:r>
              <w:t xml:space="preserve"> </w:t>
            </w:r>
            <w:r w:rsidRPr="00785817">
              <w:t xml:space="preserve">research team will </w:t>
            </w:r>
            <w:r>
              <w:t xml:space="preserve">conduct </w:t>
            </w:r>
            <w:r w:rsidRPr="00785817">
              <w:t>analysis of the data from the National Survey. There are currently no papers published, but a number in preparation.</w:t>
            </w:r>
          </w:p>
          <w:p w:rsidR="0006694B" w:rsidRPr="00A05229" w:rsidRDefault="0006694B" w:rsidP="0009177B">
            <w:pPr>
              <w:pStyle w:val="DQITableText"/>
            </w:pPr>
            <w:r>
              <w:t xml:space="preserve">For selected results from the survey please contact the </w:t>
            </w:r>
            <w:proofErr w:type="spellStart"/>
            <w:r>
              <w:t>ISSR</w:t>
            </w:r>
            <w:proofErr w:type="spellEnd"/>
            <w:r>
              <w:t xml:space="preserve"> research team or </w:t>
            </w:r>
            <w:proofErr w:type="spellStart"/>
            <w:r>
              <w:t>CEPS</w:t>
            </w:r>
            <w:proofErr w:type="spellEnd"/>
            <w:r>
              <w:t>.</w:t>
            </w:r>
            <w:r w:rsidR="0009177B" w:rsidRPr="00A05229">
              <w:t xml:space="preserve"> </w:t>
            </w:r>
          </w:p>
        </w:tc>
      </w:tr>
      <w:tr w:rsidR="0006694B" w:rsidRPr="00254F46" w:rsidTr="00BD1EA2">
        <w:trPr>
          <w:cantSplit/>
        </w:trPr>
        <w:tc>
          <w:tcPr>
            <w:tcW w:w="874" w:type="pct"/>
          </w:tcPr>
          <w:p w:rsidR="0006694B" w:rsidRPr="00A05229" w:rsidRDefault="0006694B" w:rsidP="0009177B">
            <w:pPr>
              <w:pStyle w:val="DQIRowHeadings"/>
            </w:pPr>
            <w:r w:rsidRPr="00A05229">
              <w:t>Interpretability</w:t>
            </w:r>
          </w:p>
        </w:tc>
        <w:tc>
          <w:tcPr>
            <w:tcW w:w="4126" w:type="pct"/>
          </w:tcPr>
          <w:p w:rsidR="0006694B" w:rsidRPr="006C2C6E" w:rsidRDefault="0006694B" w:rsidP="0009177B">
            <w:pPr>
              <w:pStyle w:val="DQITableText"/>
            </w:pPr>
            <w:r>
              <w:t xml:space="preserve">A Technical Report on the survey methodology, survey question wording, and collection instruments are available from the </w:t>
            </w:r>
            <w:proofErr w:type="spellStart"/>
            <w:r>
              <w:t>ISSR</w:t>
            </w:r>
            <w:proofErr w:type="spellEnd"/>
            <w:r>
              <w:t xml:space="preserve"> or </w:t>
            </w:r>
            <w:proofErr w:type="spellStart"/>
            <w:r>
              <w:t>CEPS</w:t>
            </w:r>
            <w:proofErr w:type="spellEnd"/>
            <w:r>
              <w:t xml:space="preserve"> on request.</w:t>
            </w:r>
          </w:p>
        </w:tc>
      </w:tr>
      <w:tr w:rsidR="0006694B" w:rsidRPr="00254F46" w:rsidTr="001F7917">
        <w:trPr>
          <w:cantSplit/>
        </w:trPr>
        <w:tc>
          <w:tcPr>
            <w:tcW w:w="5000" w:type="pct"/>
            <w:gridSpan w:val="2"/>
          </w:tcPr>
          <w:p w:rsidR="0006694B" w:rsidRPr="00CE3D86" w:rsidRDefault="0006694B" w:rsidP="00011A66">
            <w:pPr>
              <w:pStyle w:val="DQIMainRowHeadings"/>
            </w:pPr>
            <w:r w:rsidRPr="00C744E0">
              <w:t>Data Gaps/Issues Analysis</w:t>
            </w:r>
          </w:p>
        </w:tc>
      </w:tr>
      <w:tr w:rsidR="0006694B" w:rsidRPr="004F3342" w:rsidTr="001F7917">
        <w:trPr>
          <w:cantSplit/>
          <w:trHeight w:val="539"/>
        </w:trPr>
        <w:tc>
          <w:tcPr>
            <w:tcW w:w="874" w:type="pct"/>
            <w:shd w:val="clear" w:color="auto" w:fill="FFFFFF" w:themeFill="background1"/>
          </w:tcPr>
          <w:p w:rsidR="0006694B" w:rsidRPr="00A05229" w:rsidRDefault="0006694B" w:rsidP="00011A66">
            <w:pPr>
              <w:pStyle w:val="DQIRowHeadings"/>
            </w:pPr>
            <w:r w:rsidRPr="00A05229">
              <w:t>Key data gaps/issues</w:t>
            </w:r>
          </w:p>
        </w:tc>
        <w:tc>
          <w:tcPr>
            <w:tcW w:w="4126" w:type="pct"/>
            <w:shd w:val="clear" w:color="auto" w:fill="FFFFFF" w:themeFill="background1"/>
          </w:tcPr>
          <w:p w:rsidR="0006694B" w:rsidRPr="00620164" w:rsidRDefault="0006694B" w:rsidP="00011A66">
            <w:pPr>
              <w:pStyle w:val="DQITableText"/>
            </w:pPr>
            <w:r w:rsidRPr="00620164">
              <w:t>The Steering Committee notes the following issue:</w:t>
            </w:r>
          </w:p>
          <w:p w:rsidR="0006694B" w:rsidRPr="004F3342" w:rsidRDefault="00011A66" w:rsidP="00011A66">
            <w:pPr>
              <w:pStyle w:val="DQITableBullet"/>
            </w:pPr>
            <w:r w:rsidRPr="004C315F">
              <w:t xml:space="preserve">The </w:t>
            </w:r>
            <w:proofErr w:type="spellStart"/>
            <w:r w:rsidRPr="004C315F">
              <w:t>NSPS</w:t>
            </w:r>
            <w:proofErr w:type="spellEnd"/>
            <w:r w:rsidRPr="004C315F">
              <w:t xml:space="preserve"> has been conducted as a one-off collection at the University of Queensland. Further work to repeat the survey in the future (or the development of time series data) would be welcomed.</w:t>
            </w:r>
          </w:p>
        </w:tc>
      </w:tr>
    </w:tbl>
    <w:p w:rsidR="0006694B" w:rsidRDefault="0006694B" w:rsidP="0006694B">
      <w:pPr>
        <w:pStyle w:val="BodyText"/>
      </w:pPr>
    </w:p>
    <w:p w:rsidR="0009177B" w:rsidRDefault="0009177B" w:rsidP="0009177B">
      <w:pPr>
        <w:pStyle w:val="Heading3"/>
      </w:pPr>
      <w:bookmarkStart w:id="25" w:name="_Toc370727701"/>
      <w:bookmarkStart w:id="26" w:name="_Toc401244857"/>
      <w:r w:rsidRPr="00804D71">
        <w:lastRenderedPageBreak/>
        <w:t>Deaths from emergency events</w:t>
      </w:r>
      <w:bookmarkEnd w:id="25"/>
      <w:bookmarkEnd w:id="26"/>
      <w:r w:rsidRPr="00804D71">
        <w:t xml:space="preserve"> </w:t>
      </w:r>
    </w:p>
    <w:p w:rsidR="0009177B" w:rsidRDefault="0009177B" w:rsidP="0009177B">
      <w:pPr>
        <w:pStyle w:val="Box"/>
      </w:pPr>
      <w:r w:rsidRPr="0001794F">
        <w:t>Data quality information for this indicator has been drafted by the Secretariat in consultation with the ABS,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09177B" w:rsidTr="00BD1EA2">
        <w:trPr>
          <w:jc w:val="center"/>
        </w:trPr>
        <w:tc>
          <w:tcPr>
            <w:tcW w:w="8534" w:type="dxa"/>
            <w:gridSpan w:val="4"/>
            <w:tcMar>
              <w:top w:w="0" w:type="dxa"/>
              <w:left w:w="0" w:type="dxa"/>
              <w:bottom w:w="0" w:type="dxa"/>
              <w:right w:w="108" w:type="dxa"/>
            </w:tcMar>
            <w:hideMark/>
          </w:tcPr>
          <w:p w:rsidR="0009177B" w:rsidRDefault="0009177B" w:rsidP="00BD1EA2">
            <w:pPr>
              <w:pStyle w:val="DQIMainRowHeadings"/>
            </w:pPr>
            <w:r>
              <w:t xml:space="preserve">Indicator definition and description </w:t>
            </w:r>
          </w:p>
        </w:tc>
        <w:tc>
          <w:tcPr>
            <w:tcW w:w="312" w:type="dxa"/>
            <w:tcMar>
              <w:top w:w="0" w:type="dxa"/>
              <w:left w:w="0" w:type="dxa"/>
              <w:bottom w:w="0" w:type="dxa"/>
              <w:right w:w="108" w:type="dxa"/>
            </w:tcMar>
          </w:tcPr>
          <w:p w:rsidR="0009177B" w:rsidRDefault="0009177B" w:rsidP="00BD1EA2">
            <w:pPr>
              <w:pStyle w:val="DQITableText"/>
            </w:pPr>
          </w:p>
        </w:tc>
      </w:tr>
      <w:tr w:rsidR="0009177B" w:rsidTr="00BD1EA2">
        <w:trPr>
          <w:jc w:val="center"/>
        </w:trPr>
        <w:tc>
          <w:tcPr>
            <w:tcW w:w="1588" w:type="dxa"/>
          </w:tcPr>
          <w:p w:rsidR="0009177B" w:rsidRPr="004E2C0D" w:rsidRDefault="0009177B" w:rsidP="00BD1EA2">
            <w:pPr>
              <w:pStyle w:val="DQIRowHeadings"/>
            </w:pPr>
            <w:r w:rsidRPr="004E2C0D">
              <w:t>Element</w:t>
            </w:r>
          </w:p>
        </w:tc>
        <w:tc>
          <w:tcPr>
            <w:tcW w:w="7258" w:type="dxa"/>
            <w:gridSpan w:val="4"/>
          </w:tcPr>
          <w:p w:rsidR="0009177B" w:rsidRDefault="0009177B" w:rsidP="00BD1EA2">
            <w:pPr>
              <w:pStyle w:val="DQITableText"/>
            </w:pPr>
            <w:r w:rsidRPr="00804D71">
              <w:t>Emergency management sector performance indicator framework</w:t>
            </w:r>
            <w:r>
              <w:t xml:space="preserve"> – Sector wide indicators</w:t>
            </w:r>
          </w:p>
        </w:tc>
      </w:tr>
      <w:tr w:rsidR="0009177B" w:rsidTr="00BD1EA2">
        <w:trPr>
          <w:jc w:val="center"/>
        </w:trPr>
        <w:tc>
          <w:tcPr>
            <w:tcW w:w="1588" w:type="dxa"/>
          </w:tcPr>
          <w:p w:rsidR="0009177B" w:rsidRPr="004E2C0D" w:rsidRDefault="0009177B" w:rsidP="00BD1EA2">
            <w:pPr>
              <w:pStyle w:val="DQIRowHeadings"/>
            </w:pPr>
            <w:r w:rsidRPr="004E2C0D">
              <w:t>Indicator</w:t>
            </w:r>
          </w:p>
        </w:tc>
        <w:tc>
          <w:tcPr>
            <w:tcW w:w="7258" w:type="dxa"/>
            <w:gridSpan w:val="4"/>
          </w:tcPr>
          <w:p w:rsidR="0009177B" w:rsidRDefault="0009177B" w:rsidP="00BD1EA2">
            <w:pPr>
              <w:pStyle w:val="DQITableText"/>
            </w:pPr>
            <w:r w:rsidRPr="00804D71">
              <w:t>Deaths from emergency events</w:t>
            </w:r>
          </w:p>
        </w:tc>
      </w:tr>
      <w:tr w:rsidR="0009177B" w:rsidTr="00BD1EA2">
        <w:trPr>
          <w:jc w:val="center"/>
        </w:trPr>
        <w:tc>
          <w:tcPr>
            <w:tcW w:w="1588" w:type="dxa"/>
          </w:tcPr>
          <w:p w:rsidR="0009177B" w:rsidRPr="004E2C0D" w:rsidRDefault="0009177B" w:rsidP="00BD1EA2">
            <w:pPr>
              <w:pStyle w:val="DQIRowHeadings"/>
            </w:pPr>
            <w:r w:rsidRPr="004E2C0D">
              <w:t>Measure/s (computation)</w:t>
            </w:r>
          </w:p>
        </w:tc>
        <w:tc>
          <w:tcPr>
            <w:tcW w:w="7258" w:type="dxa"/>
            <w:gridSpan w:val="4"/>
          </w:tcPr>
          <w:p w:rsidR="0009177B" w:rsidRDefault="0009177B" w:rsidP="00BD1EA2">
            <w:pPr>
              <w:pStyle w:val="DQITableText"/>
            </w:pPr>
            <w:r>
              <w:t>Deaths from emergency events’ is defined as the number of deaths per calendar year in three categories:</w:t>
            </w:r>
          </w:p>
          <w:p w:rsidR="0009177B" w:rsidRDefault="0009177B" w:rsidP="00BD1EA2">
            <w:pPr>
              <w:pStyle w:val="DQITableBullet"/>
            </w:pPr>
            <w:r w:rsidRPr="002F3732">
              <w:rPr>
                <w:i/>
              </w:rPr>
              <w:t>Road traffic deaths</w:t>
            </w:r>
            <w:r>
              <w:t xml:space="preserve"> — deaths primarily caused by accidents involving transport vehicles (mainly cars)</w:t>
            </w:r>
          </w:p>
          <w:p w:rsidR="0009177B" w:rsidRDefault="0009177B" w:rsidP="00BD1EA2">
            <w:pPr>
              <w:pStyle w:val="DQITableBullet"/>
            </w:pPr>
            <w:r w:rsidRPr="002F3732">
              <w:rPr>
                <w:i/>
              </w:rPr>
              <w:t xml:space="preserve">Fire deaths </w:t>
            </w:r>
            <w:r>
              <w:t>— deaths primarily caused by exposure to smoke, fire or flames</w:t>
            </w:r>
          </w:p>
          <w:p w:rsidR="0009177B" w:rsidRPr="00A05229" w:rsidRDefault="0009177B" w:rsidP="00BD1EA2">
            <w:pPr>
              <w:pStyle w:val="DQITableBullet"/>
            </w:pPr>
            <w:r w:rsidRPr="002F3732">
              <w:rPr>
                <w:i/>
              </w:rPr>
              <w:t>Deaths from exposure to forces of nature</w:t>
            </w:r>
            <w:r>
              <w:t xml:space="preserve"> — deaths primarily caused by exposure to forces of nature, such as natural disasters, or extreme climatic or weather conditions.</w:t>
            </w:r>
          </w:p>
          <w:p w:rsidR="0009177B" w:rsidRPr="0006694B" w:rsidRDefault="0009177B" w:rsidP="00BD1EA2">
            <w:pPr>
              <w:pStyle w:val="DQITableText"/>
              <w:rPr>
                <w:u w:val="single"/>
              </w:rPr>
            </w:pPr>
            <w:r w:rsidRPr="0006694B">
              <w:rPr>
                <w:u w:val="single"/>
              </w:rPr>
              <w:t>Numerator/s</w:t>
            </w:r>
          </w:p>
          <w:p w:rsidR="0009177B" w:rsidRPr="00A05229" w:rsidRDefault="0009177B" w:rsidP="001F7917">
            <w:pPr>
              <w:pStyle w:val="DQITableText"/>
              <w:spacing w:before="60"/>
            </w:pPr>
            <w:r w:rsidRPr="00A05229">
              <w:t>The following International Classification of Diseases (</w:t>
            </w:r>
            <w:proofErr w:type="spellStart"/>
            <w:r w:rsidRPr="00A05229">
              <w:t>ICD</w:t>
            </w:r>
            <w:proofErr w:type="spellEnd"/>
            <w:r w:rsidRPr="00A05229">
              <w:t>) codes are aggregated to define the data set:</w:t>
            </w:r>
          </w:p>
          <w:p w:rsidR="0009177B" w:rsidRDefault="0009177B" w:rsidP="00BD1EA2">
            <w:pPr>
              <w:pStyle w:val="DQITableBullet"/>
            </w:pPr>
            <w:r w:rsidRPr="002F3732">
              <w:rPr>
                <w:i/>
              </w:rPr>
              <w:t xml:space="preserve">Road traffic deaths </w:t>
            </w:r>
            <w:r>
              <w:t xml:space="preserve">— </w:t>
            </w:r>
            <w:r w:rsidRPr="002F3732">
              <w:t xml:space="preserve">include </w:t>
            </w:r>
            <w:proofErr w:type="spellStart"/>
            <w:r w:rsidRPr="002F3732">
              <w:t>ICD</w:t>
            </w:r>
            <w:proofErr w:type="spellEnd"/>
            <w:r w:rsidRPr="002F3732">
              <w:t xml:space="preserve"> codes Road traffic accidents </w:t>
            </w:r>
            <w:r>
              <w:br/>
            </w:r>
            <w:r w:rsidRPr="002F3732">
              <w:t>(</w:t>
            </w:r>
            <w:proofErr w:type="spellStart"/>
            <w:r w:rsidRPr="002F3732">
              <w:t>V01</w:t>
            </w:r>
            <w:proofErr w:type="spellEnd"/>
            <w:r>
              <w:t>–</w:t>
            </w:r>
            <w:proofErr w:type="spellStart"/>
            <w:r w:rsidRPr="002F3732">
              <w:t>V79</w:t>
            </w:r>
            <w:proofErr w:type="spellEnd"/>
            <w:r w:rsidRPr="002F3732">
              <w:t>), Intentional self</w:t>
            </w:r>
            <w:r>
              <w:noBreakHyphen/>
            </w:r>
            <w:r w:rsidRPr="002F3732">
              <w:t>harm by crashing of motor vehicle (</w:t>
            </w:r>
            <w:proofErr w:type="spellStart"/>
            <w:r w:rsidRPr="002F3732">
              <w:t>X82</w:t>
            </w:r>
            <w:proofErr w:type="spellEnd"/>
            <w:r w:rsidRPr="002F3732">
              <w:t>), Assault by crashing of motor vehicle (</w:t>
            </w:r>
            <w:proofErr w:type="spellStart"/>
            <w:r w:rsidRPr="002F3732">
              <w:t>Y03</w:t>
            </w:r>
            <w:proofErr w:type="spellEnd"/>
            <w:r w:rsidRPr="002F3732">
              <w:t>), and Crashing of motor vehicle, undetermined intent (</w:t>
            </w:r>
            <w:proofErr w:type="spellStart"/>
            <w:r w:rsidRPr="002F3732">
              <w:t>Y32</w:t>
            </w:r>
            <w:proofErr w:type="spellEnd"/>
            <w:r w:rsidRPr="002F3732">
              <w:t>).</w:t>
            </w:r>
          </w:p>
          <w:p w:rsidR="0009177B" w:rsidRDefault="0009177B" w:rsidP="00BD1EA2">
            <w:pPr>
              <w:pStyle w:val="DQITableBullet"/>
            </w:pPr>
            <w:r w:rsidRPr="002F3732">
              <w:rPr>
                <w:i/>
              </w:rPr>
              <w:t>Fire deaths</w:t>
            </w:r>
            <w:r>
              <w:t xml:space="preserve"> — </w:t>
            </w:r>
            <w:r w:rsidRPr="002F3732">
              <w:t xml:space="preserve">include </w:t>
            </w:r>
            <w:proofErr w:type="spellStart"/>
            <w:r w:rsidRPr="002F3732">
              <w:t>ICD</w:t>
            </w:r>
            <w:proofErr w:type="spellEnd"/>
            <w:r w:rsidRPr="002F3732">
              <w:t xml:space="preserve"> codes Exposure to smoke, fire and flames (</w:t>
            </w:r>
            <w:proofErr w:type="spellStart"/>
            <w:r w:rsidRPr="002F3732">
              <w:t>X00</w:t>
            </w:r>
            <w:proofErr w:type="spellEnd"/>
            <w:r>
              <w:t>–</w:t>
            </w:r>
            <w:proofErr w:type="spellStart"/>
            <w:r w:rsidRPr="002F3732">
              <w:t>X09</w:t>
            </w:r>
            <w:proofErr w:type="spellEnd"/>
            <w:r w:rsidRPr="002F3732">
              <w:t>), Intentional self</w:t>
            </w:r>
            <w:r>
              <w:noBreakHyphen/>
            </w:r>
            <w:r w:rsidRPr="002F3732">
              <w:t>harm by smoke, fire and flames (</w:t>
            </w:r>
            <w:proofErr w:type="spellStart"/>
            <w:r w:rsidRPr="002F3732">
              <w:t>X76</w:t>
            </w:r>
            <w:proofErr w:type="spellEnd"/>
            <w:r w:rsidRPr="002F3732">
              <w:t>), Assault by smoke, fire and flames (</w:t>
            </w:r>
            <w:proofErr w:type="spellStart"/>
            <w:r w:rsidRPr="002F3732">
              <w:t>X97</w:t>
            </w:r>
            <w:proofErr w:type="spellEnd"/>
            <w:r w:rsidRPr="002F3732">
              <w:t>), and Exposure to smoke, fire and flames, undetermined intent (</w:t>
            </w:r>
            <w:proofErr w:type="spellStart"/>
            <w:r w:rsidRPr="002F3732">
              <w:t>Y26</w:t>
            </w:r>
            <w:proofErr w:type="spellEnd"/>
            <w:r w:rsidRPr="002F3732">
              <w:t>).</w:t>
            </w:r>
          </w:p>
          <w:p w:rsidR="0009177B" w:rsidRDefault="0009177B" w:rsidP="00BD1EA2">
            <w:pPr>
              <w:pStyle w:val="DQITableBullet"/>
            </w:pPr>
            <w:r w:rsidRPr="002F3732">
              <w:rPr>
                <w:i/>
              </w:rPr>
              <w:t>Deaths from exposure to forces of nature</w:t>
            </w:r>
            <w:r>
              <w:t xml:space="preserve"> — i</w:t>
            </w:r>
            <w:r w:rsidRPr="002F3732">
              <w:t xml:space="preserve">ncludes </w:t>
            </w:r>
            <w:proofErr w:type="spellStart"/>
            <w:r w:rsidRPr="002F3732">
              <w:t>ICD</w:t>
            </w:r>
            <w:proofErr w:type="spellEnd"/>
            <w:r w:rsidRPr="002F3732">
              <w:t xml:space="preserve"> codes Exposure to excessive natural heat (</w:t>
            </w:r>
            <w:proofErr w:type="spellStart"/>
            <w:r w:rsidRPr="002F3732">
              <w:t>X30</w:t>
            </w:r>
            <w:proofErr w:type="spellEnd"/>
            <w:r w:rsidRPr="002F3732">
              <w:t>), Exposure to excessive natural cold (</w:t>
            </w:r>
            <w:proofErr w:type="spellStart"/>
            <w:r w:rsidRPr="002F3732">
              <w:t>X31</w:t>
            </w:r>
            <w:proofErr w:type="spellEnd"/>
            <w:r w:rsidRPr="002F3732">
              <w:t>), Exposure to sunlight (</w:t>
            </w:r>
            <w:proofErr w:type="spellStart"/>
            <w:r w:rsidRPr="002F3732">
              <w:t>X32</w:t>
            </w:r>
            <w:proofErr w:type="spellEnd"/>
            <w:r w:rsidRPr="002F3732">
              <w:t>), Victim of lightning (</w:t>
            </w:r>
            <w:proofErr w:type="spellStart"/>
            <w:r w:rsidRPr="002F3732">
              <w:t>X33</w:t>
            </w:r>
            <w:proofErr w:type="spellEnd"/>
            <w:r w:rsidRPr="002F3732">
              <w:t>), Victim of earthquake (</w:t>
            </w:r>
            <w:proofErr w:type="spellStart"/>
            <w:r w:rsidRPr="002F3732">
              <w:t>X34</w:t>
            </w:r>
            <w:proofErr w:type="spellEnd"/>
            <w:r w:rsidRPr="002F3732">
              <w:t>), Victim of volcanic eruption (</w:t>
            </w:r>
            <w:proofErr w:type="spellStart"/>
            <w:r w:rsidRPr="002F3732">
              <w:t>X35</w:t>
            </w:r>
            <w:proofErr w:type="spellEnd"/>
            <w:r w:rsidRPr="002F3732">
              <w:t>), Victim of avalanche, landslide and other earth movements (</w:t>
            </w:r>
            <w:proofErr w:type="spellStart"/>
            <w:r w:rsidRPr="002F3732">
              <w:t>X36</w:t>
            </w:r>
            <w:proofErr w:type="spellEnd"/>
            <w:r w:rsidRPr="002F3732">
              <w:t>), Victim of cataclysmic storm (</w:t>
            </w:r>
            <w:proofErr w:type="spellStart"/>
            <w:r w:rsidRPr="002F3732">
              <w:t>X37</w:t>
            </w:r>
            <w:proofErr w:type="spellEnd"/>
            <w:r w:rsidRPr="002F3732">
              <w:t>), Victim of flood (</w:t>
            </w:r>
            <w:proofErr w:type="spellStart"/>
            <w:r w:rsidRPr="002F3732">
              <w:t>X38</w:t>
            </w:r>
            <w:proofErr w:type="spellEnd"/>
            <w:r w:rsidRPr="002F3732">
              <w:t>), and Exposure to other and unspecified forces of nature (</w:t>
            </w:r>
            <w:proofErr w:type="spellStart"/>
            <w:r w:rsidRPr="002F3732">
              <w:t>X39</w:t>
            </w:r>
            <w:proofErr w:type="spellEnd"/>
            <w:r w:rsidRPr="002F3732">
              <w:t>).</w:t>
            </w:r>
          </w:p>
          <w:p w:rsidR="0009177B" w:rsidRPr="0006694B" w:rsidRDefault="0009177B" w:rsidP="00BD1EA2">
            <w:pPr>
              <w:pStyle w:val="DQITableText"/>
              <w:rPr>
                <w:u w:val="single"/>
              </w:rPr>
            </w:pPr>
            <w:r w:rsidRPr="0006694B">
              <w:rPr>
                <w:u w:val="single"/>
              </w:rPr>
              <w:t>Denominator</w:t>
            </w:r>
          </w:p>
          <w:p w:rsidR="0009177B" w:rsidRDefault="0009177B" w:rsidP="001F7917">
            <w:pPr>
              <w:pStyle w:val="DQITableText"/>
              <w:spacing w:before="60"/>
            </w:pPr>
            <w:r w:rsidRPr="00A05229">
              <w:t xml:space="preserve">Population by State and Territory and Australian total </w:t>
            </w:r>
          </w:p>
          <w:p w:rsidR="0009177B" w:rsidRDefault="0009177B" w:rsidP="00BD1EA2">
            <w:pPr>
              <w:pStyle w:val="DQITableText"/>
            </w:pPr>
            <w:r>
              <w:t xml:space="preserve">The measure </w:t>
            </w:r>
            <w:r w:rsidRPr="00A05229">
              <w:t xml:space="preserve">is expressed by State and Territory and Australian total, by </w:t>
            </w:r>
            <w:proofErr w:type="spellStart"/>
            <w:r w:rsidRPr="00A05229">
              <w:t>ICD</w:t>
            </w:r>
            <w:proofErr w:type="spellEnd"/>
            <w:r w:rsidRPr="00A05229">
              <w:t xml:space="preserve"> code detail and total, as an annual, and a three year rolling weighted average rate per million people.</w:t>
            </w:r>
          </w:p>
        </w:tc>
      </w:tr>
      <w:tr w:rsidR="0009177B" w:rsidTr="00BD1EA2">
        <w:trPr>
          <w:jc w:val="center"/>
        </w:trPr>
        <w:tc>
          <w:tcPr>
            <w:tcW w:w="1588" w:type="dxa"/>
          </w:tcPr>
          <w:p w:rsidR="0009177B" w:rsidRPr="004E2C0D" w:rsidRDefault="0009177B" w:rsidP="00BD1EA2">
            <w:pPr>
              <w:pStyle w:val="DQIRowHeadings"/>
            </w:pPr>
            <w:r w:rsidRPr="004E2C0D">
              <w:t>Data source/s</w:t>
            </w:r>
          </w:p>
        </w:tc>
        <w:tc>
          <w:tcPr>
            <w:tcW w:w="7258" w:type="dxa"/>
            <w:gridSpan w:val="4"/>
          </w:tcPr>
          <w:p w:rsidR="0009177B" w:rsidRPr="0006694B" w:rsidRDefault="0009177B" w:rsidP="00BD1EA2">
            <w:pPr>
              <w:pStyle w:val="DQITableText"/>
              <w:rPr>
                <w:u w:val="single"/>
              </w:rPr>
            </w:pPr>
            <w:r w:rsidRPr="0006694B">
              <w:rPr>
                <w:u w:val="single"/>
              </w:rPr>
              <w:t xml:space="preserve">Numerator </w:t>
            </w:r>
          </w:p>
          <w:p w:rsidR="0009177B" w:rsidRPr="00A05229" w:rsidRDefault="0009177B" w:rsidP="001F7917">
            <w:pPr>
              <w:pStyle w:val="DQITableText"/>
              <w:spacing w:before="60"/>
            </w:pPr>
            <w:r w:rsidRPr="00A05229">
              <w:t xml:space="preserve">ABS </w:t>
            </w:r>
            <w:r w:rsidRPr="002F3732">
              <w:rPr>
                <w:i/>
              </w:rPr>
              <w:t>Causes of Death, Australia</w:t>
            </w:r>
            <w:r>
              <w:t>, Cat. no. </w:t>
            </w:r>
            <w:r w:rsidRPr="00A05229">
              <w:t>3303.0 (Underlying causes of death, State and Territory tables, published and unpublished data).</w:t>
            </w:r>
          </w:p>
          <w:p w:rsidR="0009177B" w:rsidRPr="0006694B" w:rsidRDefault="0009177B" w:rsidP="00BD1EA2">
            <w:pPr>
              <w:pStyle w:val="DQITableText"/>
              <w:rPr>
                <w:u w:val="single"/>
              </w:rPr>
            </w:pPr>
            <w:r w:rsidRPr="0006694B">
              <w:rPr>
                <w:u w:val="single"/>
              </w:rPr>
              <w:t xml:space="preserve">Denominator </w:t>
            </w:r>
          </w:p>
          <w:p w:rsidR="0009177B" w:rsidRDefault="0009177B" w:rsidP="001F7917">
            <w:pPr>
              <w:pStyle w:val="DQITableText"/>
              <w:spacing w:before="60"/>
            </w:pPr>
            <w:r w:rsidRPr="00A05229">
              <w:t xml:space="preserve">ABS </w:t>
            </w:r>
            <w:r w:rsidRPr="002F3732">
              <w:rPr>
                <w:i/>
              </w:rPr>
              <w:t>Estimated Residential Population</w:t>
            </w:r>
            <w:r>
              <w:t xml:space="preserve">, Cat. no. </w:t>
            </w:r>
            <w:r w:rsidRPr="00A05229">
              <w:t xml:space="preserve">3101.0 (for more detail about the population data used in the Report see </w:t>
            </w:r>
            <w:proofErr w:type="spellStart"/>
            <w:r w:rsidRPr="00A05229">
              <w:t>RoGS</w:t>
            </w:r>
            <w:proofErr w:type="spellEnd"/>
            <w:r w:rsidRPr="00A05229">
              <w:t xml:space="preserve"> Statistical </w:t>
            </w:r>
            <w:r>
              <w:t>context (chapter 2)).</w:t>
            </w:r>
          </w:p>
        </w:tc>
      </w:tr>
      <w:tr w:rsidR="0009177B" w:rsidTr="00BD1EA2">
        <w:trPr>
          <w:jc w:val="center"/>
        </w:trPr>
        <w:tc>
          <w:tcPr>
            <w:tcW w:w="6721" w:type="dxa"/>
            <w:gridSpan w:val="2"/>
          </w:tcPr>
          <w:p w:rsidR="0009177B" w:rsidRPr="004E2C0D" w:rsidRDefault="0009177B" w:rsidP="00BD1EA2">
            <w:pPr>
              <w:pStyle w:val="DQIMainRowHeadings"/>
            </w:pPr>
            <w:r w:rsidRPr="004E2C0D">
              <w:t>Data Quality Framework Dimensions</w:t>
            </w:r>
          </w:p>
        </w:tc>
        <w:tc>
          <w:tcPr>
            <w:tcW w:w="2125" w:type="dxa"/>
            <w:gridSpan w:val="3"/>
          </w:tcPr>
          <w:p w:rsidR="0009177B" w:rsidRDefault="0009177B" w:rsidP="00BD1EA2">
            <w:pPr>
              <w:pStyle w:val="DQITableText"/>
            </w:pPr>
          </w:p>
        </w:tc>
      </w:tr>
      <w:tr w:rsidR="0009177B" w:rsidTr="00BD1EA2">
        <w:trPr>
          <w:jc w:val="center"/>
        </w:trPr>
        <w:tc>
          <w:tcPr>
            <w:tcW w:w="1588" w:type="dxa"/>
          </w:tcPr>
          <w:p w:rsidR="0009177B" w:rsidRPr="004E2C0D" w:rsidRDefault="0009177B" w:rsidP="00BD1EA2">
            <w:pPr>
              <w:pStyle w:val="DQIRowHeadings"/>
            </w:pPr>
            <w:r w:rsidRPr="004E2C0D">
              <w:t>Institutional environment</w:t>
            </w:r>
          </w:p>
        </w:tc>
        <w:tc>
          <w:tcPr>
            <w:tcW w:w="7258" w:type="dxa"/>
            <w:gridSpan w:val="4"/>
          </w:tcPr>
          <w:p w:rsidR="0009177B" w:rsidRPr="00A05229" w:rsidRDefault="0009177B" w:rsidP="00BD1EA2">
            <w:pPr>
              <w:pStyle w:val="DQITableText"/>
            </w:pPr>
            <w:r w:rsidRPr="00A05229">
              <w:t xml:space="preserve">The Causes of Death collection is published by the Australian Bureau of Statistics (ABS), with data sourced from deaths registrations administered by the various State and Territory Registrars of Births, Deaths and Marriages. It is a legal requirement of each State and Territory that all deaths are registered. </w:t>
            </w:r>
          </w:p>
          <w:p w:rsidR="0009177B" w:rsidRDefault="0009177B" w:rsidP="00BD1EA2">
            <w:pPr>
              <w:pStyle w:val="DQITableText"/>
            </w:pPr>
            <w:r w:rsidRPr="00A05229">
              <w:t xml:space="preserve">The ABS operates within a framework of the Census and Statistics Act 1905 and the Australian Bureau of Statistics Act 1975. These </w:t>
            </w:r>
            <w:r>
              <w:t xml:space="preserve">Acts </w:t>
            </w:r>
            <w:r w:rsidRPr="00A05229">
              <w:t xml:space="preserve">ensure the </w:t>
            </w:r>
            <w:r w:rsidRPr="003A11B8">
              <w:t>confidentiality of respondents and ABS</w:t>
            </w:r>
            <w:r>
              <w:t>’</w:t>
            </w:r>
            <w:r w:rsidRPr="003A11B8">
              <w:t xml:space="preserve"> </w:t>
            </w:r>
            <w:r w:rsidRPr="00A05229">
              <w:t>independence and impartiality from political influence. For more information on the institutional environment of the ABS, including the legislative obligations of the ABS, financing and governance arrangements, and mechanisms for scrutiny of ABS operations, please see</w:t>
            </w:r>
            <w:r>
              <w:t xml:space="preserve"> ABS Institutional Environment.</w:t>
            </w:r>
          </w:p>
        </w:tc>
      </w:tr>
      <w:tr w:rsidR="0009177B" w:rsidTr="00BD1EA2">
        <w:trPr>
          <w:jc w:val="center"/>
        </w:trPr>
        <w:tc>
          <w:tcPr>
            <w:tcW w:w="1588" w:type="dxa"/>
          </w:tcPr>
          <w:p w:rsidR="0009177B" w:rsidRPr="004E2C0D" w:rsidRDefault="0009177B" w:rsidP="00BD1EA2">
            <w:pPr>
              <w:pStyle w:val="DQIRowHeadings"/>
            </w:pPr>
            <w:r w:rsidRPr="004E2C0D">
              <w:lastRenderedPageBreak/>
              <w:t>Relevance</w:t>
            </w:r>
          </w:p>
        </w:tc>
        <w:tc>
          <w:tcPr>
            <w:tcW w:w="7258" w:type="dxa"/>
            <w:gridSpan w:val="4"/>
          </w:tcPr>
          <w:p w:rsidR="0009177B" w:rsidRPr="00A05229" w:rsidRDefault="0009177B" w:rsidP="00BD1EA2">
            <w:pPr>
              <w:pStyle w:val="DQITableText"/>
            </w:pPr>
            <w:r w:rsidRPr="00A05229">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09177B" w:rsidRDefault="0009177B" w:rsidP="00BD1EA2">
            <w:pPr>
              <w:pStyle w:val="DQITableText"/>
            </w:pPr>
            <w:r w:rsidRPr="00A05229">
              <w:t>Data in the Causes of Death collection include demographic items, as well as Causes of Death information coded according to the International Classification of Diseases (</w:t>
            </w:r>
            <w:proofErr w:type="spellStart"/>
            <w:r w:rsidRPr="00A05229">
              <w:t>ICD</w:t>
            </w:r>
            <w:proofErr w:type="spellEnd"/>
            <w:r w:rsidRPr="00A05229">
              <w:t xml:space="preserve">). The </w:t>
            </w:r>
            <w:proofErr w:type="spellStart"/>
            <w:r w:rsidRPr="00A05229">
              <w:t>ICD</w:t>
            </w:r>
            <w:proofErr w:type="spellEnd"/>
            <w:r w:rsidRPr="00A05229">
              <w:t xml:space="preserve">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w:t>
            </w:r>
            <w:proofErr w:type="spellStart"/>
            <w:r w:rsidRPr="00A05229">
              <w:t>ICD</w:t>
            </w:r>
            <w:proofErr w:type="spellEnd"/>
            <w:r w:rsidRPr="00A05229">
              <w:t xml:space="preserve"> has been revised periodically to incorporate changes in the medical field. The 10th revision of </w:t>
            </w:r>
            <w:proofErr w:type="spellStart"/>
            <w:r w:rsidRPr="00A05229">
              <w:t>ICD</w:t>
            </w:r>
            <w:proofErr w:type="spellEnd"/>
            <w:r w:rsidRPr="00A05229">
              <w:t xml:space="preserve"> (</w:t>
            </w:r>
            <w:proofErr w:type="spellStart"/>
            <w:r w:rsidRPr="00A05229">
              <w:t>IC</w:t>
            </w:r>
            <w:r>
              <w:t>D</w:t>
            </w:r>
            <w:proofErr w:type="spellEnd"/>
            <w:r>
              <w:noBreakHyphen/>
              <w:t>10) has been used since 1997.</w:t>
            </w:r>
          </w:p>
        </w:tc>
      </w:tr>
      <w:tr w:rsidR="0009177B" w:rsidTr="00BD1EA2">
        <w:trPr>
          <w:jc w:val="center"/>
        </w:trPr>
        <w:tc>
          <w:tcPr>
            <w:tcW w:w="1588" w:type="dxa"/>
          </w:tcPr>
          <w:p w:rsidR="0009177B" w:rsidRPr="004E2C0D" w:rsidRDefault="0009177B" w:rsidP="00BD1EA2">
            <w:pPr>
              <w:pStyle w:val="DQIRowHeadings"/>
            </w:pPr>
            <w:r w:rsidRPr="004E2C0D">
              <w:t>Timeliness</w:t>
            </w:r>
          </w:p>
        </w:tc>
        <w:tc>
          <w:tcPr>
            <w:tcW w:w="7258" w:type="dxa"/>
            <w:gridSpan w:val="4"/>
          </w:tcPr>
          <w:p w:rsidR="0009177B" w:rsidRPr="00A05229" w:rsidRDefault="0009177B" w:rsidP="00BD1EA2">
            <w:pPr>
              <w:pStyle w:val="DQITableText"/>
            </w:pPr>
            <w:r w:rsidRPr="00A05229">
              <w:t xml:space="preserve">Causes of Death data are published on an annual basis. </w:t>
            </w:r>
          </w:p>
          <w:p w:rsidR="0009177B" w:rsidRPr="00A05229" w:rsidRDefault="0009177B" w:rsidP="00BD1EA2">
            <w:pPr>
              <w:pStyle w:val="DQITableText"/>
            </w:pPr>
            <w:r w:rsidRPr="00A05229">
              <w:t>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w:t>
            </w:r>
            <w:r>
              <w:t xml:space="preserve"> </w:t>
            </w:r>
            <w:r w:rsidRPr="00A05229">
              <w:t xml:space="preserve">of a death. As a result, a small number of deaths occurring in one year are not registered until the following year or later. </w:t>
            </w:r>
          </w:p>
          <w:p w:rsidR="0009177B" w:rsidRDefault="0009177B" w:rsidP="00BD1EA2">
            <w:pPr>
              <w:pStyle w:val="DQITableText"/>
            </w:pPr>
            <w:r w:rsidRPr="00A05229">
              <w:t xml:space="preserve">Preliminary </w:t>
            </w:r>
            <w:r w:rsidRPr="00DE399F">
              <w:t xml:space="preserve">Estimated Residential Population </w:t>
            </w:r>
            <w:r>
              <w:t>(</w:t>
            </w:r>
            <w:proofErr w:type="spellStart"/>
            <w:r w:rsidRPr="00A05229">
              <w:t>ERP</w:t>
            </w:r>
            <w:proofErr w:type="spellEnd"/>
            <w:r>
              <w:t>)</w:t>
            </w:r>
            <w:r w:rsidRPr="00A05229">
              <w:t xml:space="preserve"> data </w:t>
            </w:r>
            <w:r>
              <w:t>are</w:t>
            </w:r>
            <w:r w:rsidRPr="00A05229">
              <w:t xml:space="preserve"> compiled and published quarterly and </w:t>
            </w:r>
            <w:r>
              <w:t>are</w:t>
            </w:r>
            <w:r w:rsidRPr="00A05229">
              <w:t xml:space="preserve"> generally made available five to six months after the end of each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are compiled on a date of occurrence basis. In the case of net overseas migration, final data are based on actual traveller behaviour. Final estimates are made available every 5 years after a census and revisions are made to the previous inter</w:t>
            </w:r>
            <w:r>
              <w:noBreakHyphen/>
            </w:r>
            <w:proofErr w:type="spellStart"/>
            <w:r w:rsidRPr="00A05229">
              <w:t>censal</w:t>
            </w:r>
            <w:proofErr w:type="spellEnd"/>
            <w:r w:rsidRPr="00A05229">
              <w:t xml:space="preserve"> period. </w:t>
            </w:r>
            <w:proofErr w:type="spellStart"/>
            <w:r w:rsidRPr="00A05229">
              <w:t>ERP</w:t>
            </w:r>
            <w:proofErr w:type="spellEnd"/>
            <w:r w:rsidRPr="00A05229">
              <w:t xml:space="preserve"> data are not changed once finalised. Releasing preliminary, revised and final </w:t>
            </w:r>
            <w:proofErr w:type="spellStart"/>
            <w:r w:rsidRPr="00A05229">
              <w:t>ERP</w:t>
            </w:r>
            <w:proofErr w:type="spellEnd"/>
            <w:r w:rsidRPr="00A05229">
              <w:t xml:space="preserve"> involves a balance between timeliness and accuracy.</w:t>
            </w:r>
          </w:p>
        </w:tc>
      </w:tr>
      <w:tr w:rsidR="00011A66" w:rsidTr="004C315F">
        <w:trPr>
          <w:jc w:val="center"/>
        </w:trPr>
        <w:tc>
          <w:tcPr>
            <w:tcW w:w="1588" w:type="dxa"/>
          </w:tcPr>
          <w:p w:rsidR="00011A66" w:rsidRPr="004E2C0D" w:rsidRDefault="00011A66" w:rsidP="00BD1EA2">
            <w:pPr>
              <w:pStyle w:val="DQIRowHeadings"/>
            </w:pPr>
            <w:r w:rsidRPr="004E2C0D">
              <w:t>Accuracy</w:t>
            </w:r>
          </w:p>
        </w:tc>
        <w:tc>
          <w:tcPr>
            <w:tcW w:w="7258" w:type="dxa"/>
            <w:gridSpan w:val="4"/>
            <w:shd w:val="clear" w:color="auto" w:fill="auto"/>
          </w:tcPr>
          <w:p w:rsidR="00011A66" w:rsidRDefault="00011A66" w:rsidP="006C3B2E">
            <w:pPr>
              <w:pStyle w:val="DQITableText"/>
            </w:pPr>
            <w:r w:rsidRPr="00A05229">
              <w:t xml:space="preserve">All </w:t>
            </w:r>
            <w:proofErr w:type="spellStart"/>
            <w:r w:rsidRPr="00A05229">
              <w:t>ERP</w:t>
            </w:r>
            <w:proofErr w:type="spellEnd"/>
            <w:r w:rsidRPr="00A05229">
              <w:t xml:space="preserve"> data sources are subject to non</w:t>
            </w:r>
            <w:r>
              <w:noBreakHyphen/>
            </w:r>
            <w:r w:rsidRPr="00A05229">
              <w:t>sampling error. Non</w:t>
            </w:r>
            <w:r>
              <w:noBreakHyphen/>
            </w:r>
            <w:r w:rsidRPr="00A05229">
              <w:t>sampling error can arise from inaccuracies in collecting, recording and processing the data. In the case of Census and Post Enumeration Survey (</w:t>
            </w:r>
            <w:proofErr w:type="spellStart"/>
            <w:r w:rsidRPr="00A05229">
              <w:t>PES</w:t>
            </w:r>
            <w:proofErr w:type="spellEnd"/>
            <w:r w:rsidRPr="00A05229">
              <w:t xml:space="preserve">) data, every effort is made to minimise reporting error by the careful design of questionnaires, intensive training and supervision of interviewers, and efficient data processing procedures. </w:t>
            </w:r>
          </w:p>
          <w:p w:rsidR="00011A66" w:rsidRDefault="00011A66" w:rsidP="004C315F">
            <w:pPr>
              <w:pStyle w:val="DQITableText"/>
            </w:pPr>
            <w:r>
              <w:t xml:space="preserve">For </w:t>
            </w:r>
            <w:r w:rsidRPr="006032E2">
              <w:t>the Causes of Death collection</w:t>
            </w:r>
            <w:r>
              <w:t xml:space="preserve">, </w:t>
            </w:r>
            <w:r w:rsidRPr="006032E2">
              <w:t>which constitute</w:t>
            </w:r>
            <w:r>
              <w:t>s</w:t>
            </w:r>
            <w:r w:rsidRPr="006032E2">
              <w:t xml:space="preserve"> a complete census of the population</w:t>
            </w:r>
            <w:r>
              <w:t>, n</w:t>
            </w:r>
            <w:r w:rsidRPr="006032E2">
              <w:t>on-sample errors are most likely to influence accuracy. Non-sample error arises from inaccuracies in collecting, recording and processing the data. The most significant of these errors are: misreported data items; deficiencies in coverage; incomplete records; and processing errors. Every effort is made to minimise non</w:t>
            </w:r>
            <w:r>
              <w:noBreakHyphen/>
            </w:r>
            <w:r w:rsidRPr="006032E2">
              <w:t>sample error by working closely with data providers, running quality checks throughout the data processing cycle, training of processing staff, and efficient data processing procedures.</w:t>
            </w:r>
          </w:p>
          <w:p w:rsidR="00011A66" w:rsidRPr="00A05229" w:rsidRDefault="00011A66" w:rsidP="004C315F">
            <w:pPr>
              <w:pStyle w:val="DQITableText"/>
            </w:pPr>
            <w:r w:rsidRPr="006032E2">
              <w:t xml:space="preserve">The ABS has implemented a new revisions process that applies to all coroner certified deaths registered after 1 January 2006. This is a change from previous years where all ABS processing of causes of death data for a particular reference period was finalised approximately 13 months after the end of the reference period. The revisions process enables the use of additional information relating to coroner certified deaths as it becomes available over time, resulting in increased specificity of the assigned </w:t>
            </w:r>
            <w:proofErr w:type="spellStart"/>
            <w:r w:rsidRPr="006032E2">
              <w:t>ICD</w:t>
            </w:r>
            <w:proofErr w:type="spellEnd"/>
            <w:r w:rsidRPr="006032E2">
              <w:t xml:space="preserve">-10 codes. See Explanatory Notes 29-33 and Technical Notes, Causes of Death Revisions, 2006 in </w:t>
            </w:r>
            <w:r w:rsidRPr="006032E2">
              <w:rPr>
                <w:i/>
              </w:rPr>
              <w:t>Causes of Death, Australia</w:t>
            </w:r>
            <w:r w:rsidRPr="006032E2">
              <w:t xml:space="preserve">, 2010 (cat. no. 3303.0) and Causes of Death Revisions, 2010 and 2011 in </w:t>
            </w:r>
            <w:r w:rsidRPr="006032E2">
              <w:rPr>
                <w:i/>
              </w:rPr>
              <w:t>Causes of Death, Australia, 2012</w:t>
            </w:r>
            <w:r w:rsidRPr="006032E2">
              <w:t xml:space="preserve"> (cat. no. 3303.0), for further information on the revision process.</w:t>
            </w:r>
          </w:p>
          <w:p w:rsidR="00011A66" w:rsidRPr="00A05229" w:rsidRDefault="00011A66" w:rsidP="004C315F">
            <w:pPr>
              <w:pStyle w:val="DQITableText"/>
            </w:pPr>
            <w:r w:rsidRPr="00A05229">
              <w:t>Some rates are unreliable due to small numbers of deaths over the reference period. All rates in this indica</w:t>
            </w:r>
            <w:r>
              <w:t>tor must be used with caution.</w:t>
            </w:r>
          </w:p>
        </w:tc>
      </w:tr>
      <w:tr w:rsidR="0009177B" w:rsidTr="00BD1EA2">
        <w:trPr>
          <w:jc w:val="center"/>
        </w:trPr>
        <w:tc>
          <w:tcPr>
            <w:tcW w:w="1588" w:type="dxa"/>
          </w:tcPr>
          <w:p w:rsidR="0009177B" w:rsidRPr="004E2C0D" w:rsidRDefault="0009177B" w:rsidP="00BD1EA2">
            <w:pPr>
              <w:pStyle w:val="DQIRowHeadings"/>
            </w:pPr>
            <w:r w:rsidRPr="004E2C0D">
              <w:t>Coherence</w:t>
            </w:r>
          </w:p>
        </w:tc>
        <w:tc>
          <w:tcPr>
            <w:tcW w:w="7258" w:type="dxa"/>
            <w:gridSpan w:val="4"/>
          </w:tcPr>
          <w:p w:rsidR="0009177B" w:rsidRDefault="0009177B" w:rsidP="00BD1EA2">
            <w:pPr>
              <w:pStyle w:val="DQITableText"/>
            </w:pPr>
            <w:r w:rsidRPr="00A05229">
              <w:t xml:space="preserve">The ABS provide source data for the numerator and </w:t>
            </w:r>
            <w:r>
              <w:t>denominator for this indicator.</w:t>
            </w:r>
          </w:p>
          <w:p w:rsidR="0009177B" w:rsidRDefault="0009177B" w:rsidP="00BD1EA2">
            <w:pPr>
              <w:pStyle w:val="DQITableText"/>
            </w:pPr>
            <w:r w:rsidRPr="002F3732">
              <w:t>The number of road traffic deaths provided in</w:t>
            </w:r>
            <w:r w:rsidRPr="002F3732">
              <w:rPr>
                <w:i/>
              </w:rPr>
              <w:t xml:space="preserve"> Causes of Death</w:t>
            </w:r>
            <w:r w:rsidRPr="002F3732">
              <w:t xml:space="preserve"> (ABS Cat. no. 3303.0) is different to the number of ‘Road fatalities’ presented in </w:t>
            </w:r>
            <w:r>
              <w:t>Police services (</w:t>
            </w:r>
            <w:r w:rsidRPr="002F3732">
              <w:t>chapter</w:t>
            </w:r>
            <w:r>
              <w:t> 6)</w:t>
            </w:r>
            <w:r w:rsidRPr="002F3732">
              <w:t xml:space="preserve">. The ABS source their data from death registrations recorded by the State and Territory </w:t>
            </w:r>
            <w:r w:rsidRPr="002F3732">
              <w:lastRenderedPageBreak/>
              <w:t>Registrars of Births, Deaths and Marriages (where each death must be certified by either a doctor using the Medical Certificate of Cause of Death, or by a coroner). ‘Road fatalities’ in chapter</w:t>
            </w:r>
            <w:r>
              <w:t> 6</w:t>
            </w:r>
            <w:r w:rsidRPr="002F3732">
              <w:t xml:space="preserve"> provides more recent data sourced by the Australian Road Deaths Databases reported by the police each month to the State and Territory road safety authorities.</w:t>
            </w:r>
          </w:p>
        </w:tc>
      </w:tr>
      <w:tr w:rsidR="0009177B" w:rsidTr="00BD1EA2">
        <w:trPr>
          <w:jc w:val="center"/>
        </w:trPr>
        <w:tc>
          <w:tcPr>
            <w:tcW w:w="1588" w:type="dxa"/>
          </w:tcPr>
          <w:p w:rsidR="0009177B" w:rsidRPr="004E2C0D" w:rsidRDefault="0009177B" w:rsidP="00BD1EA2">
            <w:pPr>
              <w:pStyle w:val="DQIRowHeadings"/>
            </w:pPr>
            <w:r w:rsidRPr="004E2C0D">
              <w:lastRenderedPageBreak/>
              <w:t>Accessibility</w:t>
            </w:r>
          </w:p>
        </w:tc>
        <w:tc>
          <w:tcPr>
            <w:tcW w:w="7258" w:type="dxa"/>
            <w:gridSpan w:val="4"/>
          </w:tcPr>
          <w:p w:rsidR="0009177B" w:rsidRPr="00A05229" w:rsidRDefault="0009177B" w:rsidP="00BD1EA2">
            <w:pPr>
              <w:pStyle w:val="DQITableText"/>
            </w:pPr>
            <w:r w:rsidRPr="003A11B8">
              <w:t xml:space="preserve">Causes of Death data are available in a variety of formats on the ABS website, </w:t>
            </w:r>
            <w:proofErr w:type="spellStart"/>
            <w:r w:rsidRPr="003A11B8">
              <w:t>www.abs.gov.au</w:t>
            </w:r>
            <w:proofErr w:type="spellEnd"/>
            <w:r w:rsidRPr="003A11B8">
              <w:t>, under Causes of Death, Australia (</w:t>
            </w:r>
            <w:r>
              <w:t>Cat. no </w:t>
            </w:r>
            <w:r w:rsidRPr="003A11B8">
              <w:t>3303.0</w:t>
            </w:r>
            <w:r>
              <w:t>).</w:t>
            </w:r>
            <w:r w:rsidRPr="00A05229">
              <w:t xml:space="preserve"> </w:t>
            </w:r>
          </w:p>
          <w:p w:rsidR="0009177B" w:rsidRPr="00A05229" w:rsidRDefault="0009177B" w:rsidP="00BD1EA2">
            <w:pPr>
              <w:pStyle w:val="DQITableText"/>
            </w:pPr>
            <w:proofErr w:type="spellStart"/>
            <w:r w:rsidRPr="00A05229">
              <w:t>ERP</w:t>
            </w:r>
            <w:proofErr w:type="spellEnd"/>
            <w:r w:rsidRPr="00A05229">
              <w:t xml:space="preserve"> data </w:t>
            </w:r>
            <w:r>
              <w:t>are</w:t>
            </w:r>
            <w:r w:rsidRPr="00A05229">
              <w:t xml:space="preserve"> available in a variety of formats on the ABS website, </w:t>
            </w:r>
            <w:proofErr w:type="spellStart"/>
            <w:r w:rsidRPr="00A05229">
              <w:t>www.abs.gov.au</w:t>
            </w:r>
            <w:proofErr w:type="spellEnd"/>
            <w:r w:rsidRPr="00A05229">
              <w:t xml:space="preserve">, under the 3101.0 and 3201.0 product families. </w:t>
            </w:r>
          </w:p>
          <w:p w:rsidR="0009177B" w:rsidRDefault="0009177B" w:rsidP="00BD1EA2">
            <w:pPr>
              <w:pStyle w:val="DQITableText"/>
            </w:pPr>
            <w:r w:rsidRPr="00A05229">
              <w:t>Further information on deaths and mortality may be available on request. The ABS observes strict confidentiality protocols as required by the Census and Statistics Act (1905). This may restrict access to data at a very detailed level.</w:t>
            </w:r>
          </w:p>
        </w:tc>
      </w:tr>
      <w:tr w:rsidR="0009177B" w:rsidTr="00BD1EA2">
        <w:trPr>
          <w:jc w:val="center"/>
        </w:trPr>
        <w:tc>
          <w:tcPr>
            <w:tcW w:w="1588" w:type="dxa"/>
          </w:tcPr>
          <w:p w:rsidR="0009177B" w:rsidRPr="004E2C0D" w:rsidRDefault="0009177B" w:rsidP="00BD1EA2">
            <w:pPr>
              <w:pStyle w:val="DQIRowHeadings"/>
            </w:pPr>
            <w:r w:rsidRPr="004E2C0D">
              <w:t>Interpretability</w:t>
            </w:r>
          </w:p>
        </w:tc>
        <w:tc>
          <w:tcPr>
            <w:tcW w:w="7258" w:type="dxa"/>
            <w:gridSpan w:val="4"/>
          </w:tcPr>
          <w:p w:rsidR="0009177B" w:rsidRPr="00CE3D86" w:rsidRDefault="0009177B" w:rsidP="00BD1EA2">
            <w:pPr>
              <w:pStyle w:val="DQITableText"/>
            </w:pPr>
            <w:r w:rsidRPr="00CE3D86">
              <w:t>Data for this indicator are presented as crude rates, per million estimated resident population, and as three year rolling averages due to volatility of the small numbers involved.</w:t>
            </w:r>
          </w:p>
          <w:p w:rsidR="0009177B" w:rsidRDefault="0009177B" w:rsidP="00BD1EA2">
            <w:pPr>
              <w:pStyle w:val="DQITableText"/>
            </w:pPr>
            <w:r w:rsidRPr="003A11B8">
              <w:t xml:space="preserve">Information on how to interpret and use the </w:t>
            </w:r>
            <w:r>
              <w:t>c</w:t>
            </w:r>
            <w:r w:rsidRPr="003A11B8">
              <w:t xml:space="preserve">ause of </w:t>
            </w:r>
            <w:r>
              <w:t>d</w:t>
            </w:r>
            <w:r w:rsidRPr="003A11B8">
              <w:t xml:space="preserve">eath data is available from the Explanatory Notes in Causes of Death, Australia </w:t>
            </w:r>
            <w:r w:rsidRPr="00CE3D86">
              <w:t>(</w:t>
            </w:r>
            <w:r>
              <w:t>Cat. no </w:t>
            </w:r>
            <w:r w:rsidRPr="00CE3D86">
              <w:t>3303.0).</w:t>
            </w:r>
          </w:p>
          <w:p w:rsidR="0009177B" w:rsidRPr="00680707" w:rsidRDefault="0009177B" w:rsidP="00BD1EA2">
            <w:pPr>
              <w:pStyle w:val="DQITableText"/>
            </w:pPr>
            <w:r w:rsidRPr="00680707">
              <w:t>Small value data are randomly adjusted to avoid the release of confidential data.</w:t>
            </w:r>
          </w:p>
          <w:p w:rsidR="0009177B" w:rsidRDefault="0009177B" w:rsidP="00BD1EA2">
            <w:pPr>
              <w:pStyle w:val="DQITableText"/>
            </w:pPr>
            <w:r w:rsidRPr="00FF7981">
              <w:t>Causes of death statistics for states and territories have been compiled in respect of the state or territory of usual residence of the deceased, regardless of where in Australia the dea</w:t>
            </w:r>
            <w:r w:rsidR="0043157C">
              <w:t>th occurred and was registered.</w:t>
            </w:r>
          </w:p>
          <w:p w:rsidR="0009177B" w:rsidRDefault="0009177B" w:rsidP="00BD1EA2">
            <w:pPr>
              <w:pStyle w:val="DQITableText"/>
            </w:pPr>
            <w:r>
              <w:t xml:space="preserve">The </w:t>
            </w:r>
            <w:proofErr w:type="spellStart"/>
            <w:r w:rsidRPr="00DE399F">
              <w:t>ERP</w:t>
            </w:r>
            <w:proofErr w:type="spellEnd"/>
            <w:r w:rsidRPr="00DE399F">
              <w:t xml:space="preserve"> is Australia</w:t>
            </w:r>
            <w:r>
              <w:t>’</w:t>
            </w:r>
            <w:r w:rsidRPr="00DE399F">
              <w:t>s population reported by state and territory and by place of usual residence</w:t>
            </w:r>
            <w:r>
              <w:t>.</w:t>
            </w:r>
          </w:p>
        </w:tc>
      </w:tr>
      <w:tr w:rsidR="0009177B" w:rsidTr="00BD1EA2">
        <w:trPr>
          <w:jc w:val="center"/>
        </w:trPr>
        <w:tc>
          <w:tcPr>
            <w:tcW w:w="7117" w:type="dxa"/>
            <w:gridSpan w:val="3"/>
          </w:tcPr>
          <w:p w:rsidR="0009177B" w:rsidRPr="004E2C0D" w:rsidRDefault="0009177B" w:rsidP="00BD1EA2">
            <w:pPr>
              <w:pStyle w:val="DQIMainRowHeadings"/>
            </w:pPr>
            <w:r w:rsidRPr="004E2C0D">
              <w:t>Data Gaps/Issues Analysis</w:t>
            </w:r>
            <w:r w:rsidR="009E6C0E">
              <w:t xml:space="preserve"> </w:t>
            </w:r>
          </w:p>
        </w:tc>
        <w:tc>
          <w:tcPr>
            <w:tcW w:w="1729" w:type="dxa"/>
            <w:gridSpan w:val="2"/>
          </w:tcPr>
          <w:p w:rsidR="0009177B" w:rsidRDefault="0009177B" w:rsidP="00BD1EA2">
            <w:pPr>
              <w:pStyle w:val="DQITableText"/>
            </w:pPr>
          </w:p>
        </w:tc>
      </w:tr>
      <w:tr w:rsidR="0009177B" w:rsidTr="00BD1EA2">
        <w:trPr>
          <w:jc w:val="center"/>
        </w:trPr>
        <w:tc>
          <w:tcPr>
            <w:tcW w:w="1588" w:type="dxa"/>
          </w:tcPr>
          <w:p w:rsidR="0009177B" w:rsidRDefault="0009177B" w:rsidP="00BD1EA2">
            <w:pPr>
              <w:pStyle w:val="DQIRowHeadings"/>
            </w:pPr>
            <w:r w:rsidRPr="004E2C0D">
              <w:t>Key data gaps /issues</w:t>
            </w:r>
          </w:p>
        </w:tc>
        <w:tc>
          <w:tcPr>
            <w:tcW w:w="7258" w:type="dxa"/>
            <w:gridSpan w:val="4"/>
          </w:tcPr>
          <w:p w:rsidR="0009177B" w:rsidRPr="00CE3D86" w:rsidRDefault="0009177B" w:rsidP="00BD1EA2">
            <w:pPr>
              <w:pStyle w:val="DQITableText"/>
            </w:pPr>
            <w:r w:rsidRPr="00CE3D86">
              <w:t xml:space="preserve">The Steering Committee notes the following key data gaps/issues: </w:t>
            </w:r>
          </w:p>
          <w:p w:rsidR="0009177B" w:rsidRPr="00CE3D86" w:rsidRDefault="0009177B" w:rsidP="00BD1EA2">
            <w:pPr>
              <w:pStyle w:val="DQITableBullet"/>
            </w:pPr>
            <w:r w:rsidRPr="00CE3D86">
              <w:t xml:space="preserve">Timeliness </w:t>
            </w:r>
            <w:r>
              <w:t>—</w:t>
            </w:r>
            <w:r w:rsidRPr="00CE3D86">
              <w:t xml:space="preserve"> data available for the Report on Government </w:t>
            </w:r>
            <w:r>
              <w:t>S</w:t>
            </w:r>
            <w:r w:rsidRPr="00CE3D86">
              <w:t xml:space="preserve">ervices are delayed by one reference year. This is due to a </w:t>
            </w:r>
            <w:proofErr w:type="spellStart"/>
            <w:r w:rsidRPr="00CE3D86">
              <w:t>tradeoff</w:t>
            </w:r>
            <w:proofErr w:type="spellEnd"/>
            <w:r w:rsidRPr="00CE3D86">
              <w:t xml:space="preserve"> between accuracy and timeliness.</w:t>
            </w:r>
          </w:p>
          <w:p w:rsidR="0009177B" w:rsidRDefault="0009177B" w:rsidP="00BD1EA2">
            <w:pPr>
              <w:pStyle w:val="DQITableBullet"/>
            </w:pPr>
            <w:r w:rsidRPr="00CE3D86">
              <w:t xml:space="preserve">Volatility </w:t>
            </w:r>
            <w:r>
              <w:t>—</w:t>
            </w:r>
            <w:r w:rsidRPr="00CE3D86">
              <w:t xml:space="preserve"> due to the small numbers of </w:t>
            </w:r>
            <w:r>
              <w:t>emergency event</w:t>
            </w:r>
            <w:r w:rsidRPr="00CE3D86">
              <w:t xml:space="preserve"> deaths annually, there is a high level of volatility in reported indicator rates. It is important therefore to assess longer term trends where data are available.</w:t>
            </w:r>
          </w:p>
        </w:tc>
      </w:tr>
    </w:tbl>
    <w:p w:rsidR="00E400E8" w:rsidRDefault="00E400E8" w:rsidP="00E400E8">
      <w:pPr>
        <w:pStyle w:val="BodyText"/>
      </w:pPr>
      <w:r>
        <w:br w:type="page"/>
      </w:r>
    </w:p>
    <w:p w:rsidR="00B1303B" w:rsidRDefault="002A25F5" w:rsidP="00B1303B">
      <w:pPr>
        <w:pStyle w:val="Heading3"/>
      </w:pPr>
      <w:bookmarkStart w:id="27" w:name="_Toc401244858"/>
      <w:r>
        <w:lastRenderedPageBreak/>
        <w:t>Total asset</w:t>
      </w:r>
      <w:r w:rsidR="00D5498A">
        <w:t xml:space="preserve"> loss</w:t>
      </w:r>
      <w:r>
        <w:t xml:space="preserve"> from emergency events</w:t>
      </w:r>
      <w:bookmarkEnd w:id="24"/>
      <w:bookmarkEnd w:id="27"/>
      <w:r>
        <w:t xml:space="preserve"> </w:t>
      </w:r>
    </w:p>
    <w:p w:rsidR="00B1303B" w:rsidRDefault="00B1303B" w:rsidP="00EF4AA6">
      <w:pPr>
        <w:pStyle w:val="Box"/>
      </w:pPr>
      <w:r w:rsidRPr="0001794F">
        <w:t xml:space="preserve">Data quality </w:t>
      </w:r>
      <w:r w:rsidRPr="00EF4AA6">
        <w:t>information</w:t>
      </w:r>
      <w:r w:rsidRPr="0001794F">
        <w:t xml:space="preserve"> for this indicator has been drafted by the Secretariat in consultation with the </w:t>
      </w:r>
      <w:r>
        <w:t>Australian Government</w:t>
      </w:r>
      <w:r w:rsidRPr="0001794F">
        <w:t>, with additional Steering Committee comments.</w:t>
      </w:r>
    </w:p>
    <w:p w:rsidR="00BD1237" w:rsidRDefault="00BD1237" w:rsidP="00BD123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6"/>
        <w:gridCol w:w="5133"/>
        <w:gridCol w:w="396"/>
        <w:gridCol w:w="1417"/>
        <w:gridCol w:w="285"/>
      </w:tblGrid>
      <w:tr w:rsidR="00BD1237" w:rsidTr="00240707">
        <w:trPr>
          <w:jc w:val="center"/>
        </w:trPr>
        <w:tc>
          <w:tcPr>
            <w:tcW w:w="8532" w:type="dxa"/>
            <w:gridSpan w:val="4"/>
            <w:tcMar>
              <w:top w:w="0" w:type="dxa"/>
              <w:left w:w="0" w:type="dxa"/>
              <w:bottom w:w="0" w:type="dxa"/>
              <w:right w:w="108" w:type="dxa"/>
            </w:tcMar>
            <w:hideMark/>
          </w:tcPr>
          <w:p w:rsidR="00BD1237" w:rsidRDefault="00BD1237" w:rsidP="00BD1237">
            <w:pPr>
              <w:pStyle w:val="DQIMainRowHeadings"/>
            </w:pPr>
            <w:r>
              <w:t xml:space="preserve">Indicator definition and description </w:t>
            </w:r>
          </w:p>
        </w:tc>
        <w:tc>
          <w:tcPr>
            <w:tcW w:w="285" w:type="dxa"/>
            <w:tcMar>
              <w:top w:w="0" w:type="dxa"/>
              <w:left w:w="0" w:type="dxa"/>
              <w:bottom w:w="0" w:type="dxa"/>
              <w:right w:w="108" w:type="dxa"/>
            </w:tcMar>
          </w:tcPr>
          <w:p w:rsidR="00BD1237" w:rsidRDefault="00BD1237" w:rsidP="00BD1EA2">
            <w:pPr>
              <w:pStyle w:val="DQITableText"/>
            </w:pPr>
          </w:p>
        </w:tc>
      </w:tr>
      <w:tr w:rsidR="00BD1237" w:rsidTr="00240707">
        <w:trPr>
          <w:jc w:val="center"/>
        </w:trPr>
        <w:tc>
          <w:tcPr>
            <w:tcW w:w="1586" w:type="dxa"/>
          </w:tcPr>
          <w:p w:rsidR="00BD1237" w:rsidRPr="004E2C0D" w:rsidRDefault="00BD1237" w:rsidP="00BD1EA2">
            <w:pPr>
              <w:pStyle w:val="DQIRowHeadings"/>
            </w:pPr>
            <w:r w:rsidRPr="004E2C0D">
              <w:t>Element</w:t>
            </w:r>
          </w:p>
        </w:tc>
        <w:tc>
          <w:tcPr>
            <w:tcW w:w="7231" w:type="dxa"/>
            <w:gridSpan w:val="4"/>
          </w:tcPr>
          <w:p w:rsidR="00BD1237" w:rsidRDefault="00BD1237" w:rsidP="00BD1237">
            <w:pPr>
              <w:pStyle w:val="DQITableText"/>
            </w:pPr>
            <w:r w:rsidRPr="00804D71">
              <w:t>Emergency management sector performance indicator framework</w:t>
            </w:r>
            <w:r>
              <w:t xml:space="preserve"> – Sector wide indicators</w:t>
            </w:r>
            <w:r w:rsidRPr="0081001A">
              <w:t xml:space="preserve"> </w:t>
            </w:r>
          </w:p>
        </w:tc>
      </w:tr>
      <w:tr w:rsidR="00BD1237" w:rsidTr="00240707">
        <w:trPr>
          <w:jc w:val="center"/>
        </w:trPr>
        <w:tc>
          <w:tcPr>
            <w:tcW w:w="1586" w:type="dxa"/>
          </w:tcPr>
          <w:p w:rsidR="00BD1237" w:rsidRPr="004E2C0D" w:rsidRDefault="00BD1237" w:rsidP="00BD1EA2">
            <w:pPr>
              <w:pStyle w:val="DQIRowHeadings"/>
            </w:pPr>
            <w:r w:rsidRPr="004E2C0D">
              <w:t>Indicator</w:t>
            </w:r>
          </w:p>
        </w:tc>
        <w:tc>
          <w:tcPr>
            <w:tcW w:w="7231" w:type="dxa"/>
            <w:gridSpan w:val="4"/>
          </w:tcPr>
          <w:p w:rsidR="00BD1237" w:rsidRDefault="00BD1237" w:rsidP="00BD1EA2">
            <w:pPr>
              <w:pStyle w:val="DQITableText"/>
            </w:pPr>
            <w:r>
              <w:t>Total asset loss from emergency events</w:t>
            </w:r>
          </w:p>
        </w:tc>
      </w:tr>
      <w:tr w:rsidR="00BD1237" w:rsidTr="00240707">
        <w:trPr>
          <w:jc w:val="center"/>
        </w:trPr>
        <w:tc>
          <w:tcPr>
            <w:tcW w:w="1586" w:type="dxa"/>
          </w:tcPr>
          <w:p w:rsidR="00BD1237" w:rsidRPr="004E2C0D" w:rsidRDefault="00BD1237" w:rsidP="00BD1EA2">
            <w:pPr>
              <w:pStyle w:val="DQIRowHeadings"/>
            </w:pPr>
            <w:r w:rsidRPr="004E2C0D">
              <w:t>Measure/s (computation)</w:t>
            </w:r>
          </w:p>
        </w:tc>
        <w:tc>
          <w:tcPr>
            <w:tcW w:w="7231" w:type="dxa"/>
            <w:gridSpan w:val="4"/>
          </w:tcPr>
          <w:p w:rsidR="00BD1237" w:rsidRPr="00BD1237" w:rsidRDefault="00BD1237" w:rsidP="00BD1237">
            <w:pPr>
              <w:pStyle w:val="DQITableText"/>
              <w:rPr>
                <w:u w:val="single"/>
              </w:rPr>
            </w:pPr>
            <w:r w:rsidRPr="00BD1237">
              <w:rPr>
                <w:u w:val="single"/>
              </w:rPr>
              <w:t>Insured losses from disaster events</w:t>
            </w:r>
          </w:p>
          <w:p w:rsidR="00BD1237" w:rsidRDefault="00BD1237" w:rsidP="00BD1237">
            <w:pPr>
              <w:pStyle w:val="DQITableText"/>
            </w:pPr>
            <w:r w:rsidRPr="00933757">
              <w:t>‘</w:t>
            </w:r>
            <w:r>
              <w:t>Insured losses from disaster events</w:t>
            </w:r>
            <w:r w:rsidRPr="00933757">
              <w:t xml:space="preserve">’ data </w:t>
            </w:r>
            <w:r>
              <w:t>are defined as the insured asset losses incurred by the community following disaster event.</w:t>
            </w:r>
          </w:p>
          <w:p w:rsidR="00BD1237" w:rsidRDefault="00BD1237" w:rsidP="00BD1237">
            <w:pPr>
              <w:pStyle w:val="DQITableText"/>
            </w:pPr>
            <w:r>
              <w:t xml:space="preserve">Estimates of asset losses </w:t>
            </w:r>
            <w:r w:rsidRPr="00933757">
              <w:t xml:space="preserve">are derived from the submissions of general insurance companies following large events incurring cost to the community and insurers. </w:t>
            </w:r>
          </w:p>
          <w:p w:rsidR="00BD1237" w:rsidRPr="00933757" w:rsidRDefault="00BD1237" w:rsidP="00BD1237">
            <w:pPr>
              <w:pStyle w:val="DQITableText"/>
            </w:pPr>
            <w:r w:rsidRPr="00933757">
              <w:t xml:space="preserve">To be included </w:t>
            </w:r>
            <w:r>
              <w:t>as a disaster event</w:t>
            </w:r>
            <w:r w:rsidRPr="00933757">
              <w:t>, natural, technological and human</w:t>
            </w:r>
            <w:r>
              <w:noBreakHyphen/>
            </w:r>
            <w:r w:rsidRPr="00933757">
              <w:t>caused events must meet at least one of the following criteria:</w:t>
            </w:r>
          </w:p>
          <w:p w:rsidR="00BD1237" w:rsidRPr="00933757" w:rsidRDefault="00BD1237" w:rsidP="00BD1237">
            <w:pPr>
              <w:pStyle w:val="TableBullet"/>
            </w:pPr>
            <w:r w:rsidRPr="00933757">
              <w:t>three or more deaths</w:t>
            </w:r>
          </w:p>
          <w:p w:rsidR="00BD1237" w:rsidRPr="00933757" w:rsidRDefault="00BD1237" w:rsidP="00BD1237">
            <w:pPr>
              <w:pStyle w:val="TableBullet"/>
            </w:pPr>
            <w:r w:rsidRPr="00933757">
              <w:t>20 injuries or illnesses</w:t>
            </w:r>
          </w:p>
          <w:p w:rsidR="00BD1237" w:rsidRPr="00933757" w:rsidRDefault="00BD1237" w:rsidP="00BD1237">
            <w:pPr>
              <w:pStyle w:val="TableBullet"/>
            </w:pPr>
            <w:r w:rsidRPr="00933757">
              <w:t>significant damage to property, infrastructure, agriculture or the environment; or disruption to essential services, commerce or industry; or trauma or dislocation of the community at an estimated total cost of $10</w:t>
            </w:r>
            <w:r>
              <w:t> </w:t>
            </w:r>
            <w:r w:rsidRPr="00933757">
              <w:t>million or more at the time the event occurred.</w:t>
            </w:r>
          </w:p>
          <w:p w:rsidR="00BD1237" w:rsidRDefault="00BD1237" w:rsidP="00BD1237">
            <w:pPr>
              <w:pStyle w:val="DQITableText"/>
            </w:pPr>
            <w:r>
              <w:t xml:space="preserve">For the </w:t>
            </w:r>
            <w:r>
              <w:rPr>
                <w:i/>
              </w:rPr>
              <w:t xml:space="preserve">Report on Government Services </w:t>
            </w:r>
            <w:r>
              <w:t>the following event types are in scope: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3484"/>
              <w:gridCol w:w="3485"/>
            </w:tblGrid>
            <w:tr w:rsidR="00BD1237" w:rsidTr="00BD1237">
              <w:tc>
                <w:tcPr>
                  <w:tcW w:w="3484" w:type="dxa"/>
                </w:tcPr>
                <w:p w:rsidR="00BD1237" w:rsidRDefault="00BD1237" w:rsidP="00BD1EA2">
                  <w:pPr>
                    <w:pStyle w:val="TableBullet"/>
                  </w:pPr>
                  <w:r w:rsidRPr="00EF4AA6">
                    <w:t>Bushfire</w:t>
                  </w:r>
                </w:p>
                <w:p w:rsidR="00BD1237" w:rsidRDefault="00BD1237" w:rsidP="00BD1EA2">
                  <w:pPr>
                    <w:pStyle w:val="TableBullet"/>
                  </w:pPr>
                  <w:r w:rsidRPr="00EF4AA6">
                    <w:t>Cyclone</w:t>
                  </w:r>
                </w:p>
                <w:p w:rsidR="00BD1237" w:rsidRDefault="00BD1237" w:rsidP="00BD1EA2">
                  <w:pPr>
                    <w:pStyle w:val="TableBullet"/>
                  </w:pPr>
                  <w:r w:rsidRPr="00EF4AA6">
                    <w:t>Earthquake</w:t>
                  </w:r>
                </w:p>
                <w:p w:rsidR="00BD1237" w:rsidRDefault="00BD1237" w:rsidP="00BD1EA2">
                  <w:pPr>
                    <w:pStyle w:val="TableBullet"/>
                  </w:pPr>
                  <w:r w:rsidRPr="00EF4AA6">
                    <w:t>Environmental</w:t>
                  </w:r>
                </w:p>
                <w:p w:rsidR="00BD1237" w:rsidRDefault="00BD1237" w:rsidP="00BD1EA2">
                  <w:pPr>
                    <w:pStyle w:val="TableBullet"/>
                  </w:pPr>
                  <w:r w:rsidRPr="00EF4AA6">
                    <w:t>Flood</w:t>
                  </w:r>
                </w:p>
                <w:p w:rsidR="00BD1237" w:rsidRDefault="00BD1237" w:rsidP="00BD1EA2">
                  <w:pPr>
                    <w:pStyle w:val="DQITableBullet"/>
                  </w:pPr>
                  <w:r w:rsidRPr="00EF4AA6">
                    <w:t>Hail</w:t>
                  </w:r>
                </w:p>
              </w:tc>
              <w:tc>
                <w:tcPr>
                  <w:tcW w:w="3485" w:type="dxa"/>
                </w:tcPr>
                <w:p w:rsidR="00BD1237" w:rsidRPr="00EF4AA6" w:rsidRDefault="00BD1237" w:rsidP="00BD1EA2">
                  <w:pPr>
                    <w:pStyle w:val="DQITableBullet"/>
                  </w:pPr>
                  <w:r w:rsidRPr="00EF4AA6">
                    <w:t>Landslide</w:t>
                  </w:r>
                </w:p>
                <w:p w:rsidR="00BD1237" w:rsidRPr="00EF4AA6" w:rsidRDefault="00BD1237" w:rsidP="00BD1EA2">
                  <w:pPr>
                    <w:pStyle w:val="DQITableBullet"/>
                  </w:pPr>
                  <w:r w:rsidRPr="00EF4AA6">
                    <w:t xml:space="preserve">Severe Storm </w:t>
                  </w:r>
                </w:p>
                <w:p w:rsidR="00BD1237" w:rsidRPr="00EF4AA6" w:rsidRDefault="00BD1237" w:rsidP="00BD1EA2">
                  <w:pPr>
                    <w:pStyle w:val="DQITableBullet"/>
                  </w:pPr>
                  <w:r w:rsidRPr="00EF4AA6">
                    <w:t>Tornado</w:t>
                  </w:r>
                </w:p>
                <w:p w:rsidR="00BD1237" w:rsidRPr="00EF4AA6" w:rsidRDefault="00BD1237" w:rsidP="00BD1EA2">
                  <w:pPr>
                    <w:pStyle w:val="DQITableBullet"/>
                  </w:pPr>
                  <w:r w:rsidRPr="00EF4AA6">
                    <w:t>Tsunami</w:t>
                  </w:r>
                </w:p>
                <w:p w:rsidR="00BD1237" w:rsidRDefault="00BD1237" w:rsidP="00BD1EA2">
                  <w:pPr>
                    <w:pStyle w:val="DQITableBullet"/>
                  </w:pPr>
                  <w:r w:rsidRPr="00EF4AA6">
                    <w:t>Urban fire.</w:t>
                  </w:r>
                </w:p>
              </w:tc>
            </w:tr>
          </w:tbl>
          <w:p w:rsidR="00BD1237" w:rsidRPr="001D0765" w:rsidRDefault="00BD1237" w:rsidP="00BD1237">
            <w:pPr>
              <w:pStyle w:val="DQITableText"/>
              <w:rPr>
                <w:u w:val="single"/>
              </w:rPr>
            </w:pPr>
            <w:r w:rsidRPr="001D0765">
              <w:rPr>
                <w:u w:val="single"/>
              </w:rPr>
              <w:t>Deflator</w:t>
            </w:r>
          </w:p>
          <w:p w:rsidR="00BD1237" w:rsidRDefault="00BD1237" w:rsidP="00BD1237">
            <w:pPr>
              <w:pStyle w:val="DQITableText"/>
            </w:pPr>
            <w:r w:rsidRPr="00854E63">
              <w:t>Time series financial data are adjusted to</w:t>
            </w:r>
            <w:r>
              <w:t xml:space="preserve"> real </w:t>
            </w:r>
            <w:r w:rsidRPr="00854E63">
              <w:t>dollars using the General Government Final Consumption Expenditure (</w:t>
            </w:r>
            <w:proofErr w:type="spellStart"/>
            <w:r w:rsidRPr="00854E63">
              <w:t>GGFCE</w:t>
            </w:r>
            <w:proofErr w:type="spellEnd"/>
            <w:r w:rsidRPr="00854E63">
              <w:t>) chain price deflator.</w:t>
            </w:r>
          </w:p>
        </w:tc>
        <w:bookmarkStart w:id="28" w:name="_GoBack"/>
        <w:bookmarkEnd w:id="28"/>
      </w:tr>
      <w:tr w:rsidR="00BD1237" w:rsidTr="00240707">
        <w:trPr>
          <w:jc w:val="center"/>
        </w:trPr>
        <w:tc>
          <w:tcPr>
            <w:tcW w:w="1586" w:type="dxa"/>
          </w:tcPr>
          <w:p w:rsidR="00BD1237" w:rsidRPr="004E2C0D" w:rsidRDefault="00BD1237" w:rsidP="00BD1EA2">
            <w:pPr>
              <w:pStyle w:val="DQIRowHeadings"/>
            </w:pPr>
            <w:r w:rsidRPr="004E2C0D">
              <w:t>Data source/s</w:t>
            </w:r>
          </w:p>
        </w:tc>
        <w:tc>
          <w:tcPr>
            <w:tcW w:w="7231" w:type="dxa"/>
            <w:gridSpan w:val="4"/>
          </w:tcPr>
          <w:p w:rsidR="001F7917" w:rsidRPr="0006694B" w:rsidRDefault="001F7917" w:rsidP="001F7917">
            <w:pPr>
              <w:pStyle w:val="DQITableText"/>
              <w:rPr>
                <w:u w:val="single"/>
              </w:rPr>
            </w:pPr>
            <w:r>
              <w:rPr>
                <w:u w:val="single"/>
              </w:rPr>
              <w:t>Numer</w:t>
            </w:r>
            <w:r w:rsidRPr="0006694B">
              <w:rPr>
                <w:u w:val="single"/>
              </w:rPr>
              <w:t>ator</w:t>
            </w:r>
          </w:p>
          <w:p w:rsidR="00BD1237" w:rsidRPr="001D0765" w:rsidRDefault="00BD1237" w:rsidP="00BD1237">
            <w:pPr>
              <w:pStyle w:val="DQITableText"/>
            </w:pPr>
            <w:r>
              <w:t xml:space="preserve">Australian Government 2013, </w:t>
            </w:r>
            <w:r>
              <w:rPr>
                <w:i/>
              </w:rPr>
              <w:t xml:space="preserve">Australian Emergency Management: Knowledge </w:t>
            </w:r>
            <w:r w:rsidRPr="00F4574F">
              <w:rPr>
                <w:i/>
              </w:rPr>
              <w:t>Hub</w:t>
            </w:r>
            <w:r>
              <w:t xml:space="preserve">, maintained by the Australian Emergency Management Institute, </w:t>
            </w:r>
            <w:r w:rsidRPr="00AA343E">
              <w:t>http://</w:t>
            </w:r>
            <w:proofErr w:type="spellStart"/>
            <w:r w:rsidRPr="00AA343E">
              <w:t>www.emknowledge.gov.au</w:t>
            </w:r>
            <w:proofErr w:type="spellEnd"/>
            <w:r>
              <w:t xml:space="preserve"> (accessed 23 April 2013</w:t>
            </w:r>
          </w:p>
          <w:p w:rsidR="00BD1237" w:rsidRPr="001D0765" w:rsidRDefault="00BD1237" w:rsidP="00BD1237">
            <w:pPr>
              <w:pStyle w:val="DQITableText"/>
              <w:rPr>
                <w:u w:val="single"/>
              </w:rPr>
            </w:pPr>
            <w:r w:rsidRPr="001D0765">
              <w:rPr>
                <w:u w:val="single"/>
              </w:rPr>
              <w:t xml:space="preserve">Denominator </w:t>
            </w:r>
          </w:p>
          <w:p w:rsidR="00BD1237" w:rsidRDefault="00BD1237" w:rsidP="00BD1237">
            <w:pPr>
              <w:pStyle w:val="DQITableText"/>
            </w:pPr>
            <w:r w:rsidRPr="0039658D">
              <w:t>ABS 2013, Australian National Accounts: National Income, Expenditure and Product, June 2013, Cat. no. 5206.0</w:t>
            </w:r>
          </w:p>
        </w:tc>
      </w:tr>
      <w:tr w:rsidR="00BD1237" w:rsidTr="00240707">
        <w:trPr>
          <w:jc w:val="center"/>
        </w:trPr>
        <w:tc>
          <w:tcPr>
            <w:tcW w:w="6719" w:type="dxa"/>
            <w:gridSpan w:val="2"/>
          </w:tcPr>
          <w:p w:rsidR="00BD1237" w:rsidRPr="004E2C0D" w:rsidRDefault="00BD1237" w:rsidP="00BD1EA2">
            <w:pPr>
              <w:pStyle w:val="DQIMainRowHeadings"/>
            </w:pPr>
            <w:r w:rsidRPr="004E2C0D">
              <w:t>Data Quality Framework Dimensions</w:t>
            </w:r>
          </w:p>
        </w:tc>
        <w:tc>
          <w:tcPr>
            <w:tcW w:w="2098" w:type="dxa"/>
            <w:gridSpan w:val="3"/>
          </w:tcPr>
          <w:p w:rsidR="00BD1237" w:rsidRDefault="00BD1237" w:rsidP="00BD1EA2">
            <w:pPr>
              <w:pStyle w:val="DQITableText"/>
            </w:pPr>
          </w:p>
        </w:tc>
      </w:tr>
      <w:tr w:rsidR="00BD1237" w:rsidTr="00240707">
        <w:trPr>
          <w:jc w:val="center"/>
        </w:trPr>
        <w:tc>
          <w:tcPr>
            <w:tcW w:w="1586" w:type="dxa"/>
          </w:tcPr>
          <w:p w:rsidR="00BD1237" w:rsidRPr="004E2C0D" w:rsidRDefault="00BD1237" w:rsidP="00BD1EA2">
            <w:pPr>
              <w:pStyle w:val="DQIRowHeadings"/>
            </w:pPr>
            <w:r w:rsidRPr="004E2C0D">
              <w:t>Institutional environment</w:t>
            </w:r>
          </w:p>
        </w:tc>
        <w:tc>
          <w:tcPr>
            <w:tcW w:w="7231" w:type="dxa"/>
            <w:gridSpan w:val="4"/>
          </w:tcPr>
          <w:p w:rsidR="00BD1237" w:rsidRPr="001D0765" w:rsidRDefault="00BD1237" w:rsidP="00BD1237">
            <w:pPr>
              <w:pStyle w:val="DQITableText"/>
              <w:rPr>
                <w:u w:val="single"/>
              </w:rPr>
            </w:pPr>
            <w:r w:rsidRPr="001D0765">
              <w:rPr>
                <w:u w:val="single"/>
              </w:rPr>
              <w:t>Data Collector: Insurance Council of Australia (ICA)</w:t>
            </w:r>
          </w:p>
          <w:p w:rsidR="00BD1237" w:rsidRDefault="00BD1237" w:rsidP="00BD1237">
            <w:pPr>
              <w:pStyle w:val="DQITableText"/>
            </w:pPr>
            <w:r>
              <w:t xml:space="preserve">Collection authority: Data are derived from the submissions of ICA member general insurance companies following large events incurring cost to the community and insurers. </w:t>
            </w:r>
          </w:p>
          <w:p w:rsidR="00BD1237" w:rsidRDefault="00BD1237" w:rsidP="00BD1237">
            <w:pPr>
              <w:pStyle w:val="DQITableText"/>
            </w:pPr>
            <w:r w:rsidRPr="00B973AD">
              <w:t>The Insurance Council of Australia is the representative body of the general insurance industry in Australia. Its members represent more than 90 per cent of total premium income written by private sector general insurers</w:t>
            </w:r>
            <w:r>
              <w:t>.</w:t>
            </w:r>
          </w:p>
          <w:p w:rsidR="00BD1237" w:rsidRPr="001D0765" w:rsidRDefault="00BD1237" w:rsidP="00BD1237">
            <w:pPr>
              <w:pStyle w:val="DQITableText"/>
              <w:rPr>
                <w:u w:val="single"/>
              </w:rPr>
            </w:pPr>
            <w:r w:rsidRPr="001D0765">
              <w:rPr>
                <w:u w:val="single"/>
              </w:rPr>
              <w:t>Data Compiler: The Australian Emergency Management Institute (</w:t>
            </w:r>
            <w:proofErr w:type="spellStart"/>
            <w:r w:rsidRPr="001D0765">
              <w:rPr>
                <w:u w:val="single"/>
              </w:rPr>
              <w:t>AEMI</w:t>
            </w:r>
            <w:proofErr w:type="spellEnd"/>
            <w:r w:rsidRPr="001D0765">
              <w:rPr>
                <w:u w:val="single"/>
              </w:rPr>
              <w:t>)</w:t>
            </w:r>
          </w:p>
          <w:p w:rsidR="00BD1237" w:rsidRDefault="00BD1237" w:rsidP="00BD1237">
            <w:pPr>
              <w:pStyle w:val="DQITableText"/>
            </w:pPr>
            <w:r>
              <w:t xml:space="preserve">The </w:t>
            </w:r>
            <w:proofErr w:type="spellStart"/>
            <w:r>
              <w:t>AEMI</w:t>
            </w:r>
            <w:proofErr w:type="spellEnd"/>
            <w:r>
              <w:t xml:space="preserve"> hosts the Australian Emergency Management Knowledge Hub. </w:t>
            </w:r>
            <w:r w:rsidRPr="00B973AD">
              <w:t xml:space="preserve">The Knowledge Hub provides research, resources and news relevant to emergency </w:t>
            </w:r>
            <w:r w:rsidRPr="00B973AD">
              <w:lastRenderedPageBreak/>
              <w:t>management and includes statistics and information, photos, video and media about past disaster events.</w:t>
            </w:r>
          </w:p>
          <w:p w:rsidR="00BD1237" w:rsidRDefault="00BD1237" w:rsidP="00BD1237">
            <w:pPr>
              <w:pStyle w:val="DQITableText"/>
            </w:pPr>
            <w:r>
              <w:t xml:space="preserve">The </w:t>
            </w:r>
            <w:proofErr w:type="spellStart"/>
            <w:r>
              <w:t>AEMI</w:t>
            </w:r>
            <w:proofErr w:type="spellEnd"/>
            <w:r>
              <w:t xml:space="preserve"> </w:t>
            </w:r>
            <w:r w:rsidRPr="00B973AD">
              <w:t>is a centre of excellence for knowledge and skills development in the national emergency management sector. As a part of the Attorney</w:t>
            </w:r>
            <w:r>
              <w:noBreakHyphen/>
            </w:r>
            <w:r w:rsidRPr="00B973AD">
              <w:t xml:space="preserve">General’s Department, </w:t>
            </w:r>
            <w:proofErr w:type="spellStart"/>
            <w:r w:rsidRPr="00B973AD">
              <w:t>AEMI</w:t>
            </w:r>
            <w:proofErr w:type="spellEnd"/>
            <w:r w:rsidRPr="00B973AD">
              <w:t xml:space="preserve"> provides a range of education, training, professional development, information, research and community awareness services to the nation and our region.</w:t>
            </w:r>
          </w:p>
        </w:tc>
      </w:tr>
      <w:tr w:rsidR="00BD1237" w:rsidTr="00240707">
        <w:trPr>
          <w:jc w:val="center"/>
        </w:trPr>
        <w:tc>
          <w:tcPr>
            <w:tcW w:w="1586" w:type="dxa"/>
          </w:tcPr>
          <w:p w:rsidR="00BD1237" w:rsidRPr="004E2C0D" w:rsidRDefault="00BD1237" w:rsidP="00BD1237">
            <w:pPr>
              <w:pStyle w:val="DQIRowHeadings"/>
            </w:pPr>
            <w:r w:rsidRPr="004E2C0D">
              <w:lastRenderedPageBreak/>
              <w:t>Relevance</w:t>
            </w:r>
          </w:p>
        </w:tc>
        <w:tc>
          <w:tcPr>
            <w:tcW w:w="7231" w:type="dxa"/>
            <w:gridSpan w:val="4"/>
          </w:tcPr>
          <w:p w:rsidR="00BD1237" w:rsidRDefault="00BD1237" w:rsidP="00BD1237">
            <w:pPr>
              <w:pStyle w:val="DQITableText"/>
            </w:pPr>
            <w:r w:rsidRPr="001D0765">
              <w:rPr>
                <w:u w:val="single"/>
              </w:rPr>
              <w:t>Data topic</w:t>
            </w:r>
            <w:r>
              <w:t xml:space="preserve">: Estimates of asset losses are derived from the submissions of general insurance companies following large events incurring cost to the community and insurers. </w:t>
            </w:r>
          </w:p>
          <w:p w:rsidR="00BD1237" w:rsidRDefault="00BD1237" w:rsidP="00BD1237">
            <w:pPr>
              <w:pStyle w:val="DQITableText"/>
            </w:pPr>
            <w:r w:rsidRPr="001D0765">
              <w:rPr>
                <w:u w:val="single"/>
              </w:rPr>
              <w:t>Level of geography</w:t>
            </w:r>
            <w:r>
              <w:t>: The incurred cost of claims is available for each declared emergency event can be coded to state/territory locations.</w:t>
            </w:r>
          </w:p>
          <w:p w:rsidR="00BD1237" w:rsidRDefault="00BD1237" w:rsidP="00BD1237">
            <w:pPr>
              <w:pStyle w:val="DQITableText"/>
            </w:pPr>
            <w:r w:rsidRPr="001D0765">
              <w:rPr>
                <w:u w:val="single"/>
              </w:rPr>
              <w:t>Key Data Items</w:t>
            </w:r>
            <w:r>
              <w:t xml:space="preserve">: The incurred cost of claims is available for each declared emergency event by disaster/event type, </w:t>
            </w:r>
            <w:r w:rsidRPr="00A32D8C">
              <w:t>Catastrophe Number</w:t>
            </w:r>
            <w:r>
              <w:t xml:space="preserve"> (</w:t>
            </w:r>
            <w:r w:rsidRPr="00A32D8C">
              <w:t>if declared</w:t>
            </w:r>
            <w:r>
              <w:t>), date, location, state, original cost and normalised cost.</w:t>
            </w:r>
          </w:p>
          <w:p w:rsidR="00BD1237" w:rsidRDefault="00BD1237" w:rsidP="00BD1237">
            <w:pPr>
              <w:pStyle w:val="DQITableText"/>
            </w:pPr>
            <w:r w:rsidRPr="001D0765">
              <w:rPr>
                <w:u w:val="single"/>
              </w:rPr>
              <w:t>Additional information</w:t>
            </w:r>
            <w:r>
              <w:t>: Value of asset loss is a measure of the economic cost of emergency events. The prevention/mitigation, preparedness, and response activities of government contribute to reduce the value of total asset loss from emergency events. A low or decreasing value of total asset loss from emergency events is desirable.</w:t>
            </w:r>
          </w:p>
        </w:tc>
      </w:tr>
      <w:tr w:rsidR="00BD1237" w:rsidTr="00240707">
        <w:trPr>
          <w:jc w:val="center"/>
        </w:trPr>
        <w:tc>
          <w:tcPr>
            <w:tcW w:w="1586" w:type="dxa"/>
          </w:tcPr>
          <w:p w:rsidR="00BD1237" w:rsidRPr="004E2C0D" w:rsidRDefault="00BD1237" w:rsidP="00BD1EA2">
            <w:pPr>
              <w:pStyle w:val="DQIRowHeadings"/>
            </w:pPr>
            <w:r w:rsidRPr="004E2C0D">
              <w:t>Timeliness</w:t>
            </w:r>
          </w:p>
        </w:tc>
        <w:tc>
          <w:tcPr>
            <w:tcW w:w="7231" w:type="dxa"/>
            <w:gridSpan w:val="4"/>
          </w:tcPr>
          <w:p w:rsidR="00BD1237" w:rsidRDefault="00BD1237" w:rsidP="00BD1237">
            <w:pPr>
              <w:pStyle w:val="DQITableText"/>
            </w:pPr>
            <w:r w:rsidRPr="001D0765">
              <w:rPr>
                <w:u w:val="single"/>
              </w:rPr>
              <w:t>Data collected</w:t>
            </w:r>
            <w:r>
              <w:t xml:space="preserve">: Data are available for individual emergency events, allowing for the creation of financial year and/or calendar year data. </w:t>
            </w:r>
          </w:p>
          <w:p w:rsidR="00BD1237" w:rsidRDefault="00BD1237" w:rsidP="00BD1237">
            <w:pPr>
              <w:pStyle w:val="DQITableText"/>
            </w:pPr>
            <w:r w:rsidRPr="001D0765">
              <w:rPr>
                <w:u w:val="single"/>
              </w:rPr>
              <w:t>Data available</w:t>
            </w:r>
            <w:r w:rsidRPr="00684DFE">
              <w:t xml:space="preserve">: </w:t>
            </w:r>
            <w:r>
              <w:t xml:space="preserve">Reports are available approximately four months after the reference period. </w:t>
            </w:r>
          </w:p>
          <w:p w:rsidR="00BD1237" w:rsidRDefault="00BD1237" w:rsidP="00BD1237">
            <w:pPr>
              <w:pStyle w:val="DQITableText"/>
            </w:pPr>
            <w:r w:rsidRPr="001D0765">
              <w:rPr>
                <w:u w:val="single"/>
              </w:rPr>
              <w:t>Additional information</w:t>
            </w:r>
            <w:r w:rsidRPr="00684DFE">
              <w:t>:</w:t>
            </w:r>
            <w:r>
              <w:t xml:space="preserve"> </w:t>
            </w:r>
            <w:r w:rsidRPr="00684DFE">
              <w:t>The final loss figure for an event can take many years to resolve.</w:t>
            </w:r>
          </w:p>
        </w:tc>
      </w:tr>
      <w:tr w:rsidR="00BD1237" w:rsidTr="00240707">
        <w:trPr>
          <w:jc w:val="center"/>
        </w:trPr>
        <w:tc>
          <w:tcPr>
            <w:tcW w:w="1586" w:type="dxa"/>
          </w:tcPr>
          <w:p w:rsidR="00BD1237" w:rsidRPr="004E2C0D" w:rsidRDefault="00BD1237" w:rsidP="00BD1EA2">
            <w:pPr>
              <w:pStyle w:val="DQIRowHeadings"/>
            </w:pPr>
            <w:r w:rsidRPr="004E2C0D">
              <w:t>Accuracy</w:t>
            </w:r>
          </w:p>
        </w:tc>
        <w:tc>
          <w:tcPr>
            <w:tcW w:w="7231" w:type="dxa"/>
            <w:gridSpan w:val="4"/>
          </w:tcPr>
          <w:p w:rsidR="00BD1237" w:rsidRDefault="00BD1237" w:rsidP="00BD1237">
            <w:pPr>
              <w:pStyle w:val="DQITableText"/>
            </w:pPr>
            <w:r>
              <w:t xml:space="preserve">The asset loss data </w:t>
            </w:r>
            <w:r w:rsidRPr="00933757">
              <w:t>do not represent the entire cost of the event, it is only a</w:t>
            </w:r>
            <w:r>
              <w:t>n</w:t>
            </w:r>
            <w:r w:rsidRPr="00933757">
              <w:t xml:space="preserve"> approximation of the insured loss based upon reported data. </w:t>
            </w:r>
          </w:p>
          <w:p w:rsidR="00BD1237" w:rsidRDefault="00BD1237" w:rsidP="00BD1237">
            <w:pPr>
              <w:pStyle w:val="DQITableBullet"/>
            </w:pPr>
            <w:r w:rsidRPr="00933757">
              <w:t xml:space="preserve">The final loss figure for an event can take many years to resolve. </w:t>
            </w:r>
          </w:p>
          <w:p w:rsidR="00BD1237" w:rsidRDefault="00BD1237" w:rsidP="00BD1237">
            <w:pPr>
              <w:pStyle w:val="DQITableBullet"/>
            </w:pPr>
            <w:r w:rsidRPr="00933757">
              <w:t>Events are only recorded where there is a potential for the insured loss to exceed $10</w:t>
            </w:r>
            <w:r>
              <w:t> </w:t>
            </w:r>
            <w:r w:rsidRPr="00933757">
              <w:t xml:space="preserve">million. </w:t>
            </w:r>
            <w:r>
              <w:t>M</w:t>
            </w:r>
            <w:r w:rsidRPr="00933757">
              <w:t>any large single losses occur on a day to day basis in Australia that are not part of a larger catastrophe event.</w:t>
            </w:r>
          </w:p>
          <w:p w:rsidR="00BD1237" w:rsidRDefault="00BD1237" w:rsidP="00BD1237">
            <w:pPr>
              <w:pStyle w:val="DQITableBullet"/>
            </w:pPr>
            <w:r w:rsidRPr="001D0765">
              <w:t>Other</w:t>
            </w:r>
            <w:r>
              <w:t xml:space="preserve"> c</w:t>
            </w:r>
            <w:r w:rsidRPr="00933757">
              <w:t xml:space="preserve">osts not taken into account </w:t>
            </w:r>
            <w:r>
              <w:t>include:</w:t>
            </w:r>
          </w:p>
          <w:p w:rsidR="00BD1237" w:rsidRPr="00933757" w:rsidRDefault="00BD1237" w:rsidP="00BD1237">
            <w:pPr>
              <w:pStyle w:val="DQITableBullet2"/>
            </w:pPr>
            <w:r>
              <w:t xml:space="preserve">the </w:t>
            </w:r>
            <w:r w:rsidRPr="001D0765">
              <w:t>losses</w:t>
            </w:r>
            <w:r>
              <w:t xml:space="preserve"> of insurance companies that are not a member of the Insurance Council. </w:t>
            </w:r>
          </w:p>
          <w:p w:rsidR="00BD1237" w:rsidRPr="00933757" w:rsidRDefault="00BD1237" w:rsidP="00BD1237">
            <w:pPr>
              <w:pStyle w:val="DQITableBullet2"/>
            </w:pPr>
            <w:r w:rsidRPr="00933757">
              <w:t>costs incurred by emergency services; local, State, Territory and Commonwealth governments; non</w:t>
            </w:r>
            <w:r>
              <w:noBreakHyphen/>
            </w:r>
            <w:r w:rsidRPr="00933757">
              <w:t>government organisations; and by local governments during clean</w:t>
            </w:r>
            <w:r>
              <w:noBreakHyphen/>
            </w:r>
            <w:r w:rsidRPr="00933757">
              <w:t>up</w:t>
            </w:r>
          </w:p>
          <w:p w:rsidR="00BD1237" w:rsidRPr="00933757" w:rsidRDefault="00BD1237" w:rsidP="00BD1237">
            <w:pPr>
              <w:pStyle w:val="DQITableBullet2"/>
            </w:pPr>
            <w:r w:rsidRPr="00933757">
              <w:t>remedial and environmental damage costs (including pollution of foreshores and riverbanks and beach erosion)</w:t>
            </w:r>
          </w:p>
          <w:p w:rsidR="00BD1237" w:rsidRPr="00933757" w:rsidRDefault="00BD1237" w:rsidP="00BD1237">
            <w:pPr>
              <w:pStyle w:val="DQITableBullet2"/>
            </w:pPr>
            <w:r w:rsidRPr="00933757">
              <w:t>costs associated with community dislocation</w:t>
            </w:r>
          </w:p>
          <w:p w:rsidR="00BD1237" w:rsidRPr="00933757" w:rsidRDefault="00BD1237" w:rsidP="00BD1237">
            <w:pPr>
              <w:pStyle w:val="DQITableBullet2"/>
            </w:pPr>
            <w:r w:rsidRPr="00933757">
              <w:t>costs associated with job losses</w:t>
            </w:r>
          </w:p>
          <w:p w:rsidR="00BD1237" w:rsidRDefault="00BD1237" w:rsidP="00BD1237">
            <w:pPr>
              <w:pStyle w:val="DQITableBullet2"/>
            </w:pPr>
            <w:r w:rsidRPr="00933757">
              <w:t>costs associated with rehabilitation/recovery</w:t>
            </w:r>
          </w:p>
          <w:p w:rsidR="00BD1237" w:rsidRDefault="00BD1237" w:rsidP="00BD1237">
            <w:pPr>
              <w:pStyle w:val="DQITableBullet2"/>
            </w:pPr>
            <w:r w:rsidRPr="00933757">
              <w:t>medical and funeral costs associated with injuries and deaths.</w:t>
            </w:r>
          </w:p>
        </w:tc>
      </w:tr>
      <w:tr w:rsidR="00BD1237" w:rsidTr="00240707">
        <w:trPr>
          <w:jc w:val="center"/>
        </w:trPr>
        <w:tc>
          <w:tcPr>
            <w:tcW w:w="1586" w:type="dxa"/>
          </w:tcPr>
          <w:p w:rsidR="00BD1237" w:rsidRPr="004E2C0D" w:rsidRDefault="00BD1237" w:rsidP="00BD1EA2">
            <w:pPr>
              <w:pStyle w:val="DQIRowHeadings"/>
            </w:pPr>
            <w:r w:rsidRPr="004E2C0D">
              <w:t>Coherence</w:t>
            </w:r>
          </w:p>
        </w:tc>
        <w:tc>
          <w:tcPr>
            <w:tcW w:w="7231" w:type="dxa"/>
            <w:gridSpan w:val="4"/>
          </w:tcPr>
          <w:p w:rsidR="00BD1237" w:rsidRDefault="00BD1237" w:rsidP="00BD1237">
            <w:pPr>
              <w:pStyle w:val="DQITableText"/>
            </w:pPr>
            <w:r w:rsidRPr="005E6DBD">
              <w:t>Insurance companies must adhere to common accounting practices for insurance companies, and provide data according to an agreed classification system.</w:t>
            </w:r>
          </w:p>
        </w:tc>
      </w:tr>
      <w:tr w:rsidR="00BD1237" w:rsidTr="00240707">
        <w:trPr>
          <w:jc w:val="center"/>
        </w:trPr>
        <w:tc>
          <w:tcPr>
            <w:tcW w:w="1586" w:type="dxa"/>
          </w:tcPr>
          <w:p w:rsidR="00BD1237" w:rsidRPr="004E2C0D" w:rsidRDefault="00BD1237" w:rsidP="00BD1EA2">
            <w:pPr>
              <w:pStyle w:val="DQIRowHeadings"/>
            </w:pPr>
            <w:r w:rsidRPr="004E2C0D">
              <w:t>Accessibility</w:t>
            </w:r>
          </w:p>
        </w:tc>
        <w:tc>
          <w:tcPr>
            <w:tcW w:w="7231" w:type="dxa"/>
            <w:gridSpan w:val="4"/>
          </w:tcPr>
          <w:p w:rsidR="00BD1237" w:rsidRDefault="00BD1237" w:rsidP="00BD1237">
            <w:pPr>
              <w:pStyle w:val="DQITableText"/>
            </w:pPr>
            <w:r w:rsidRPr="00137460">
              <w:t>The Attorney</w:t>
            </w:r>
            <w:r>
              <w:noBreakHyphen/>
            </w:r>
            <w:r w:rsidRPr="00137460">
              <w:t>General</w:t>
            </w:r>
            <w:r>
              <w:t>’</w:t>
            </w:r>
            <w:r w:rsidRPr="00137460">
              <w:t>s Department aims to make information on th</w:t>
            </w:r>
            <w:r>
              <w:t>e Knowledge Hub</w:t>
            </w:r>
            <w:r w:rsidRPr="00137460">
              <w:t xml:space="preserve"> website accessible to all users.</w:t>
            </w:r>
            <w:r>
              <w:t xml:space="preserve"> D</w:t>
            </w:r>
            <w:r w:rsidRPr="00137460">
              <w:t xml:space="preserve">ata are available in a variety of formats on the website, </w:t>
            </w:r>
            <w:proofErr w:type="spellStart"/>
            <w:r w:rsidRPr="00137460">
              <w:t>www.</w:t>
            </w:r>
            <w:r>
              <w:t>e</w:t>
            </w:r>
            <w:r w:rsidRPr="00137460">
              <w:t>mknowledge.gov.au</w:t>
            </w:r>
            <w:proofErr w:type="spellEnd"/>
            <w:r w:rsidRPr="00137460">
              <w:t>.</w:t>
            </w:r>
          </w:p>
        </w:tc>
      </w:tr>
      <w:tr w:rsidR="00BD1237" w:rsidTr="00240707">
        <w:trPr>
          <w:jc w:val="center"/>
        </w:trPr>
        <w:tc>
          <w:tcPr>
            <w:tcW w:w="1586" w:type="dxa"/>
          </w:tcPr>
          <w:p w:rsidR="00BD1237" w:rsidRPr="004E2C0D" w:rsidRDefault="00BD1237" w:rsidP="00BD1EA2">
            <w:pPr>
              <w:pStyle w:val="DQIRowHeadings"/>
            </w:pPr>
            <w:r w:rsidRPr="004E2C0D">
              <w:t>Interpretability</w:t>
            </w:r>
          </w:p>
        </w:tc>
        <w:tc>
          <w:tcPr>
            <w:tcW w:w="7231" w:type="dxa"/>
            <w:gridSpan w:val="4"/>
          </w:tcPr>
          <w:p w:rsidR="001A3205" w:rsidRDefault="001A3205" w:rsidP="001A3205">
            <w:pPr>
              <w:pStyle w:val="DQITableText"/>
            </w:pPr>
            <w:r>
              <w:t>Insurance Statistics Australia publishes an Operations Guidebook, which documents the key collection processes, standards and classifications. The guidebook is available at:</w:t>
            </w:r>
          </w:p>
          <w:p w:rsidR="00BD1237" w:rsidRDefault="001A3205" w:rsidP="001A3205">
            <w:pPr>
              <w:pStyle w:val="DQITableBullet"/>
            </w:pPr>
            <w:r w:rsidRPr="00AA343E">
              <w:t>http://</w:t>
            </w:r>
            <w:proofErr w:type="spellStart"/>
            <w:r w:rsidRPr="00AA343E">
              <w:t>www.insurancestats.com.au</w:t>
            </w:r>
            <w:proofErr w:type="spellEnd"/>
            <w:r w:rsidRPr="00AA343E">
              <w:t>/</w:t>
            </w:r>
            <w:proofErr w:type="spellStart"/>
            <w:r w:rsidRPr="00AA343E">
              <w:t>objectives.html</w:t>
            </w:r>
            <w:proofErr w:type="spellEnd"/>
          </w:p>
        </w:tc>
      </w:tr>
      <w:tr w:rsidR="00BD1237" w:rsidTr="00240707">
        <w:trPr>
          <w:jc w:val="center"/>
        </w:trPr>
        <w:tc>
          <w:tcPr>
            <w:tcW w:w="7115" w:type="dxa"/>
            <w:gridSpan w:val="3"/>
          </w:tcPr>
          <w:p w:rsidR="00BD1237" w:rsidRPr="004E2C0D" w:rsidRDefault="00BD1237" w:rsidP="00BD1EA2">
            <w:pPr>
              <w:pStyle w:val="DQIMainRowHeadings"/>
            </w:pPr>
            <w:r w:rsidRPr="004E2C0D">
              <w:t>Data Gaps/Issues Analysis</w:t>
            </w:r>
            <w:r w:rsidR="009E6C0E">
              <w:t xml:space="preserve"> </w:t>
            </w:r>
          </w:p>
        </w:tc>
        <w:tc>
          <w:tcPr>
            <w:tcW w:w="1702" w:type="dxa"/>
            <w:gridSpan w:val="2"/>
          </w:tcPr>
          <w:p w:rsidR="00BD1237" w:rsidRDefault="00BD1237" w:rsidP="00BD1EA2">
            <w:pPr>
              <w:pStyle w:val="DQITableText"/>
            </w:pPr>
          </w:p>
        </w:tc>
      </w:tr>
      <w:tr w:rsidR="00BD1237" w:rsidTr="00240707">
        <w:trPr>
          <w:jc w:val="center"/>
        </w:trPr>
        <w:tc>
          <w:tcPr>
            <w:tcW w:w="1586" w:type="dxa"/>
          </w:tcPr>
          <w:p w:rsidR="00BD1237" w:rsidRDefault="00BD1237" w:rsidP="00BD1EA2">
            <w:pPr>
              <w:pStyle w:val="DQIRowHeadings"/>
            </w:pPr>
            <w:r w:rsidRPr="004E2C0D">
              <w:t>Key data gaps /issues</w:t>
            </w:r>
          </w:p>
        </w:tc>
        <w:tc>
          <w:tcPr>
            <w:tcW w:w="7231" w:type="dxa"/>
            <w:gridSpan w:val="4"/>
          </w:tcPr>
          <w:p w:rsidR="001A3205" w:rsidRPr="00CE3D86" w:rsidRDefault="001A3205" w:rsidP="001A3205">
            <w:pPr>
              <w:pStyle w:val="DQITableText"/>
            </w:pPr>
            <w:r w:rsidRPr="00CE3D86">
              <w:t xml:space="preserve">The Steering Committee notes the following key data gaps/issues: </w:t>
            </w:r>
          </w:p>
          <w:p w:rsidR="00BD1237" w:rsidRDefault="001A3205" w:rsidP="001A3205">
            <w:pPr>
              <w:pStyle w:val="DQITableBullet"/>
            </w:pPr>
            <w:r w:rsidRPr="00CE3D86">
              <w:t xml:space="preserve">Volatility </w:t>
            </w:r>
            <w:r>
              <w:t>—</w:t>
            </w:r>
            <w:r w:rsidRPr="00CE3D86">
              <w:t xml:space="preserve"> due to the </w:t>
            </w:r>
            <w:r>
              <w:t>sporadic nature o</w:t>
            </w:r>
            <w:r w:rsidRPr="00CE3D86">
              <w:t xml:space="preserve">f </w:t>
            </w:r>
            <w:r>
              <w:t>emergency event</w:t>
            </w:r>
            <w:r w:rsidRPr="00CE3D86">
              <w:t xml:space="preserve">s, there is a high level of volatility in reported </w:t>
            </w:r>
            <w:r>
              <w:t>asset loss data</w:t>
            </w:r>
            <w:r w:rsidRPr="00CE3D86">
              <w:t>. It is important therefore to assess longer term trends where data are available.</w:t>
            </w:r>
          </w:p>
        </w:tc>
      </w:tr>
    </w:tbl>
    <w:p w:rsidR="00BC760C" w:rsidRDefault="00BC760C" w:rsidP="0006694B">
      <w:pPr>
        <w:pStyle w:val="FooterEnd"/>
      </w:pPr>
    </w:p>
    <w:sectPr w:rsidR="00BC760C" w:rsidSect="00867AE3">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D8C" w:rsidRDefault="00A32D8C">
      <w:r>
        <w:separator/>
      </w:r>
    </w:p>
  </w:endnote>
  <w:endnote w:type="continuationSeparator" w:id="0">
    <w:p w:rsidR="00A32D8C" w:rsidRDefault="00A3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B61" w:rsidTr="005F48ED">
      <w:trPr>
        <w:trHeight w:hRule="exact" w:val="567"/>
      </w:trPr>
      <w:tc>
        <w:tcPr>
          <w:tcW w:w="510" w:type="dxa"/>
        </w:tcPr>
        <w:p w:rsidR="00C22B61" w:rsidRPr="00A24443" w:rsidRDefault="00C22B6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40707">
            <w:rPr>
              <w:rStyle w:val="PageNumber"/>
              <w:caps w:val="0"/>
              <w:noProof/>
            </w:rPr>
            <w:t>2</w:t>
          </w:r>
          <w:r w:rsidRPr="00A24443">
            <w:rPr>
              <w:rStyle w:val="PageNumber"/>
              <w:caps w:val="0"/>
            </w:rPr>
            <w:fldChar w:fldCharType="end"/>
          </w:r>
        </w:p>
      </w:tc>
      <w:tc>
        <w:tcPr>
          <w:tcW w:w="7767" w:type="dxa"/>
        </w:tcPr>
        <w:p w:rsidR="00C22B61" w:rsidRPr="0013739A" w:rsidRDefault="007D7298" w:rsidP="00867AE3">
          <w:pPr>
            <w:pStyle w:val="Footer"/>
            <w:rPr>
              <w:rFonts w:cs="Arial"/>
            </w:rPr>
          </w:pPr>
          <w:r>
            <w:rPr>
              <w:rFonts w:cs="Arial"/>
            </w:rPr>
            <w:t>Report on Government Services 2016</w:t>
          </w:r>
          <w:bookmarkStart w:id="29" w:name="DraftReportEven"/>
          <w:bookmarkEnd w:id="29"/>
        </w:p>
      </w:tc>
      <w:tc>
        <w:tcPr>
          <w:tcW w:w="510" w:type="dxa"/>
        </w:tcPr>
        <w:p w:rsidR="00C22B61" w:rsidRDefault="00C22B61" w:rsidP="0019293B">
          <w:pPr>
            <w:pStyle w:val="Footer"/>
          </w:pPr>
        </w:p>
      </w:tc>
    </w:tr>
  </w:tbl>
  <w:p w:rsidR="00C22B61" w:rsidRDefault="00C22B61" w:rsidP="0019293B">
    <w:pPr>
      <w:pStyle w:val="FooterEnd"/>
    </w:pPr>
  </w:p>
  <w:p w:rsidR="00A32D8C" w:rsidRDefault="00A32D8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B61" w:rsidTr="005F48ED">
      <w:trPr>
        <w:trHeight w:hRule="exact" w:val="567"/>
      </w:trPr>
      <w:tc>
        <w:tcPr>
          <w:tcW w:w="510" w:type="dxa"/>
        </w:tcPr>
        <w:p w:rsidR="00C22B61" w:rsidRDefault="00C22B61">
          <w:pPr>
            <w:pStyle w:val="Footer"/>
            <w:ind w:right="360" w:firstLine="360"/>
          </w:pPr>
        </w:p>
      </w:tc>
      <w:tc>
        <w:tcPr>
          <w:tcW w:w="7767" w:type="dxa"/>
        </w:tcPr>
        <w:p w:rsidR="00C22B61" w:rsidRPr="00BA5B14" w:rsidRDefault="007D7298" w:rsidP="0013739A">
          <w:pPr>
            <w:pStyle w:val="Footer"/>
            <w:jc w:val="right"/>
            <w:rPr>
              <w:rFonts w:cs="Arial"/>
            </w:rPr>
          </w:pPr>
          <w:r>
            <w:rPr>
              <w:rFonts w:cs="Arial"/>
            </w:rPr>
            <w:t xml:space="preserve">Emergency management </w:t>
          </w:r>
          <w:proofErr w:type="spellStart"/>
          <w:r>
            <w:rPr>
              <w:rFonts w:cs="Arial"/>
            </w:rPr>
            <w:t>DQI</w:t>
          </w:r>
          <w:proofErr w:type="spellEnd"/>
        </w:p>
      </w:tc>
      <w:tc>
        <w:tcPr>
          <w:tcW w:w="510" w:type="dxa"/>
        </w:tcPr>
        <w:p w:rsidR="00C22B61" w:rsidRPr="00A24443" w:rsidRDefault="00C22B6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40707">
            <w:rPr>
              <w:rStyle w:val="PageNumber"/>
              <w:caps w:val="0"/>
              <w:noProof/>
            </w:rPr>
            <w:t>1</w:t>
          </w:r>
          <w:r w:rsidRPr="00A24443">
            <w:rPr>
              <w:rStyle w:val="PageNumber"/>
              <w:caps w:val="0"/>
            </w:rPr>
            <w:fldChar w:fldCharType="end"/>
          </w:r>
        </w:p>
      </w:tc>
    </w:tr>
  </w:tbl>
  <w:p w:rsidR="00C22B61" w:rsidRDefault="00C22B61">
    <w:pPr>
      <w:pStyle w:val="FooterEnd"/>
    </w:pPr>
  </w:p>
  <w:p w:rsidR="00A32D8C" w:rsidRDefault="00A32D8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D8C" w:rsidRDefault="00A32D8C">
      <w:r>
        <w:separator/>
      </w:r>
    </w:p>
  </w:footnote>
  <w:footnote w:type="continuationSeparator" w:id="0">
    <w:p w:rsidR="00A32D8C" w:rsidRDefault="00A32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1701"/>
      <w:gridCol w:w="7088"/>
    </w:tblGrid>
    <w:tr w:rsidR="00A32D8C" w:rsidTr="007A4C50">
      <w:tc>
        <w:tcPr>
          <w:tcW w:w="1701" w:type="dxa"/>
          <w:tcBorders>
            <w:top w:val="single" w:sz="24" w:space="0" w:color="auto"/>
          </w:tcBorders>
        </w:tcPr>
        <w:p w:rsidR="00A32D8C" w:rsidRDefault="00A32D8C" w:rsidP="00D01377">
          <w:pPr>
            <w:pStyle w:val="HeaderEven"/>
          </w:pPr>
        </w:p>
      </w:tc>
      <w:tc>
        <w:tcPr>
          <w:tcW w:w="7088" w:type="dxa"/>
          <w:tcBorders>
            <w:top w:val="single" w:sz="6" w:space="0" w:color="auto"/>
          </w:tcBorders>
        </w:tcPr>
        <w:p w:rsidR="00A32D8C" w:rsidRPr="0043157C" w:rsidRDefault="00A32D8C" w:rsidP="005A3CC4">
          <w:pPr>
            <w:pStyle w:val="HeaderEven"/>
            <w:jc w:val="right"/>
            <w:rPr>
              <w:sz w:val="28"/>
              <w:szCs w:val="28"/>
            </w:rPr>
          </w:pPr>
        </w:p>
      </w:tc>
    </w:tr>
  </w:tbl>
  <w:p w:rsidR="00A32D8C" w:rsidRDefault="00A32D8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Borders>
        <w:top w:val="single" w:sz="6" w:space="0" w:color="auto"/>
      </w:tblBorders>
      <w:tblLayout w:type="fixed"/>
      <w:tblCellMar>
        <w:left w:w="0" w:type="dxa"/>
        <w:right w:w="0" w:type="dxa"/>
      </w:tblCellMar>
      <w:tblLook w:val="0000" w:firstRow="0" w:lastRow="0" w:firstColumn="0" w:lastColumn="0" w:noHBand="0" w:noVBand="0"/>
    </w:tblPr>
    <w:tblGrid>
      <w:gridCol w:w="6946"/>
      <w:gridCol w:w="1843"/>
    </w:tblGrid>
    <w:tr w:rsidR="00A32D8C" w:rsidTr="007A4C50">
      <w:tc>
        <w:tcPr>
          <w:tcW w:w="6946" w:type="dxa"/>
          <w:tcBorders>
            <w:top w:val="single" w:sz="6" w:space="0" w:color="auto"/>
          </w:tcBorders>
        </w:tcPr>
        <w:p w:rsidR="00A32D8C" w:rsidRPr="0043157C" w:rsidRDefault="00A32D8C" w:rsidP="00301085">
          <w:pPr>
            <w:pStyle w:val="HeaderOdd"/>
            <w:rPr>
              <w:sz w:val="28"/>
              <w:szCs w:val="28"/>
            </w:rPr>
          </w:pPr>
        </w:p>
      </w:tc>
      <w:tc>
        <w:tcPr>
          <w:tcW w:w="1843" w:type="dxa"/>
          <w:tcBorders>
            <w:top w:val="single" w:sz="24" w:space="0" w:color="auto"/>
          </w:tcBorders>
        </w:tcPr>
        <w:p w:rsidR="00A32D8C" w:rsidRDefault="00A32D8C" w:rsidP="00D01377">
          <w:pPr>
            <w:pStyle w:val="HeaderOdd"/>
          </w:pPr>
        </w:p>
      </w:tc>
    </w:tr>
  </w:tbl>
  <w:p w:rsidR="00A32D8C" w:rsidRDefault="00A32D8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3F6ECB2C"/>
    <w:lvl w:ilvl="0" w:tplc="CB0AE870">
      <w:start w:val="1"/>
      <w:numFmt w:val="bullet"/>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5DDA322A"/>
    <w:multiLevelType w:val="hybridMultilevel"/>
    <w:tmpl w:val="5D786018"/>
    <w:lvl w:ilvl="0" w:tplc="277AEB3A">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4"/>
  </w:num>
  <w:num w:numId="3">
    <w:abstractNumId w:val="22"/>
  </w:num>
  <w:num w:numId="4">
    <w:abstractNumId w:val="2"/>
  </w:num>
  <w:num w:numId="5">
    <w:abstractNumId w:val="14"/>
  </w:num>
  <w:num w:numId="6">
    <w:abstractNumId w:val="3"/>
  </w:num>
  <w:num w:numId="7">
    <w:abstractNumId w:val="21"/>
  </w:num>
  <w:num w:numId="8">
    <w:abstractNumId w:val="16"/>
  </w:num>
  <w:num w:numId="9">
    <w:abstractNumId w:val="23"/>
  </w:num>
  <w:num w:numId="10">
    <w:abstractNumId w:val="10"/>
  </w:num>
  <w:num w:numId="11">
    <w:abstractNumId w:val="7"/>
  </w:num>
  <w:num w:numId="12">
    <w:abstractNumId w:val="15"/>
  </w:num>
  <w:num w:numId="13">
    <w:abstractNumId w:val="6"/>
  </w:num>
  <w:num w:numId="14">
    <w:abstractNumId w:val="5"/>
  </w:num>
  <w:num w:numId="15">
    <w:abstractNumId w:val="11"/>
  </w:num>
  <w:num w:numId="16">
    <w:abstractNumId w:val="13"/>
  </w:num>
  <w:num w:numId="17">
    <w:abstractNumId w:val="17"/>
  </w:num>
  <w:num w:numId="18">
    <w:abstractNumId w:val="20"/>
  </w:num>
  <w:num w:numId="19">
    <w:abstractNumId w:val="8"/>
  </w:num>
  <w:num w:numId="20">
    <w:abstractNumId w:val="19"/>
  </w:num>
  <w:num w:numId="21">
    <w:abstractNumId w:val="18"/>
  </w:num>
  <w:num w:numId="22">
    <w:abstractNumId w:val="9"/>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road rescue and ambulance DQI"/>
    <w:docVar w:name="ShortReportTitle" w:val="Report on Government Services 2012"/>
  </w:docVars>
  <w:rsids>
    <w:rsidRoot w:val="00BD19D0"/>
    <w:rsid w:val="00011A66"/>
    <w:rsid w:val="0003664B"/>
    <w:rsid w:val="0004111F"/>
    <w:rsid w:val="0006694B"/>
    <w:rsid w:val="0007150B"/>
    <w:rsid w:val="0009177B"/>
    <w:rsid w:val="000938F5"/>
    <w:rsid w:val="000B4B31"/>
    <w:rsid w:val="000B601B"/>
    <w:rsid w:val="000C207E"/>
    <w:rsid w:val="000D25F2"/>
    <w:rsid w:val="000F1D5E"/>
    <w:rsid w:val="00110116"/>
    <w:rsid w:val="00120FFC"/>
    <w:rsid w:val="00126EB8"/>
    <w:rsid w:val="0013423E"/>
    <w:rsid w:val="001363AA"/>
    <w:rsid w:val="00137460"/>
    <w:rsid w:val="0019293B"/>
    <w:rsid w:val="001A3205"/>
    <w:rsid w:val="001A74B6"/>
    <w:rsid w:val="001B18EA"/>
    <w:rsid w:val="001C0865"/>
    <w:rsid w:val="001C3ABA"/>
    <w:rsid w:val="001D0765"/>
    <w:rsid w:val="001D35B6"/>
    <w:rsid w:val="001E5DE7"/>
    <w:rsid w:val="001E7BE8"/>
    <w:rsid w:val="001F0248"/>
    <w:rsid w:val="001F7917"/>
    <w:rsid w:val="00202C2C"/>
    <w:rsid w:val="002138A8"/>
    <w:rsid w:val="00214707"/>
    <w:rsid w:val="00221060"/>
    <w:rsid w:val="002235B6"/>
    <w:rsid w:val="002314EB"/>
    <w:rsid w:val="00235F13"/>
    <w:rsid w:val="00240707"/>
    <w:rsid w:val="00242279"/>
    <w:rsid w:val="002523D2"/>
    <w:rsid w:val="00291B40"/>
    <w:rsid w:val="00291B8B"/>
    <w:rsid w:val="002A25F5"/>
    <w:rsid w:val="002B4008"/>
    <w:rsid w:val="002D0E8E"/>
    <w:rsid w:val="002F105E"/>
    <w:rsid w:val="002F3732"/>
    <w:rsid w:val="002F63D3"/>
    <w:rsid w:val="002F7BF3"/>
    <w:rsid w:val="00301085"/>
    <w:rsid w:val="00301189"/>
    <w:rsid w:val="003011DA"/>
    <w:rsid w:val="00302CD9"/>
    <w:rsid w:val="00323E09"/>
    <w:rsid w:val="00333932"/>
    <w:rsid w:val="003518AA"/>
    <w:rsid w:val="00353182"/>
    <w:rsid w:val="003602E1"/>
    <w:rsid w:val="00371240"/>
    <w:rsid w:val="00374731"/>
    <w:rsid w:val="0039658D"/>
    <w:rsid w:val="003B4E55"/>
    <w:rsid w:val="003C38B5"/>
    <w:rsid w:val="003C5D99"/>
    <w:rsid w:val="003F0789"/>
    <w:rsid w:val="00401882"/>
    <w:rsid w:val="004077AB"/>
    <w:rsid w:val="004100C8"/>
    <w:rsid w:val="00412ACE"/>
    <w:rsid w:val="00431249"/>
    <w:rsid w:val="0043157C"/>
    <w:rsid w:val="00434C19"/>
    <w:rsid w:val="00436941"/>
    <w:rsid w:val="00450810"/>
    <w:rsid w:val="00454B67"/>
    <w:rsid w:val="00460751"/>
    <w:rsid w:val="00470927"/>
    <w:rsid w:val="00477144"/>
    <w:rsid w:val="0049459F"/>
    <w:rsid w:val="004B43AE"/>
    <w:rsid w:val="004C2370"/>
    <w:rsid w:val="004C30ED"/>
    <w:rsid w:val="004C315F"/>
    <w:rsid w:val="004D18B7"/>
    <w:rsid w:val="004E39E9"/>
    <w:rsid w:val="00513439"/>
    <w:rsid w:val="005648C7"/>
    <w:rsid w:val="00583C39"/>
    <w:rsid w:val="0059096F"/>
    <w:rsid w:val="005909CF"/>
    <w:rsid w:val="00591E71"/>
    <w:rsid w:val="005951CA"/>
    <w:rsid w:val="0059550D"/>
    <w:rsid w:val="005A3CC4"/>
    <w:rsid w:val="005A595B"/>
    <w:rsid w:val="005B3753"/>
    <w:rsid w:val="005C33AC"/>
    <w:rsid w:val="005E6DBD"/>
    <w:rsid w:val="00607BF1"/>
    <w:rsid w:val="00630D4D"/>
    <w:rsid w:val="00632A74"/>
    <w:rsid w:val="00653DB4"/>
    <w:rsid w:val="00661F56"/>
    <w:rsid w:val="00684DFE"/>
    <w:rsid w:val="006A4655"/>
    <w:rsid w:val="006C7038"/>
    <w:rsid w:val="006E73EF"/>
    <w:rsid w:val="006F579F"/>
    <w:rsid w:val="00742308"/>
    <w:rsid w:val="00742DE0"/>
    <w:rsid w:val="00746A99"/>
    <w:rsid w:val="0075629A"/>
    <w:rsid w:val="007604BB"/>
    <w:rsid w:val="00790A3C"/>
    <w:rsid w:val="0079415E"/>
    <w:rsid w:val="007A21EB"/>
    <w:rsid w:val="007A36B6"/>
    <w:rsid w:val="007A4C50"/>
    <w:rsid w:val="007C27CC"/>
    <w:rsid w:val="007C36C9"/>
    <w:rsid w:val="007C4623"/>
    <w:rsid w:val="007D7298"/>
    <w:rsid w:val="007E01E4"/>
    <w:rsid w:val="007F7107"/>
    <w:rsid w:val="008009F1"/>
    <w:rsid w:val="00804D71"/>
    <w:rsid w:val="0081030F"/>
    <w:rsid w:val="0082087D"/>
    <w:rsid w:val="00822892"/>
    <w:rsid w:val="008345D7"/>
    <w:rsid w:val="00843AF7"/>
    <w:rsid w:val="00850966"/>
    <w:rsid w:val="0086082C"/>
    <w:rsid w:val="00864ADC"/>
    <w:rsid w:val="00867AE3"/>
    <w:rsid w:val="00880153"/>
    <w:rsid w:val="00880F97"/>
    <w:rsid w:val="0088133A"/>
    <w:rsid w:val="0089285E"/>
    <w:rsid w:val="0089436C"/>
    <w:rsid w:val="008A4BCD"/>
    <w:rsid w:val="009030BF"/>
    <w:rsid w:val="00914368"/>
    <w:rsid w:val="009234A8"/>
    <w:rsid w:val="00931076"/>
    <w:rsid w:val="00933757"/>
    <w:rsid w:val="009345D9"/>
    <w:rsid w:val="00934B15"/>
    <w:rsid w:val="00942B62"/>
    <w:rsid w:val="00956A0C"/>
    <w:rsid w:val="00956BD9"/>
    <w:rsid w:val="00962489"/>
    <w:rsid w:val="00972C7F"/>
    <w:rsid w:val="009B718A"/>
    <w:rsid w:val="009E6C0E"/>
    <w:rsid w:val="009F696D"/>
    <w:rsid w:val="009F6BC6"/>
    <w:rsid w:val="00A01B04"/>
    <w:rsid w:val="00A0532F"/>
    <w:rsid w:val="00A05A81"/>
    <w:rsid w:val="00A110E5"/>
    <w:rsid w:val="00A17328"/>
    <w:rsid w:val="00A250D0"/>
    <w:rsid w:val="00A2703A"/>
    <w:rsid w:val="00A32D8C"/>
    <w:rsid w:val="00A33DFF"/>
    <w:rsid w:val="00A35115"/>
    <w:rsid w:val="00A53449"/>
    <w:rsid w:val="00A554AB"/>
    <w:rsid w:val="00A8094C"/>
    <w:rsid w:val="00A94FA6"/>
    <w:rsid w:val="00AA343E"/>
    <w:rsid w:val="00AA6710"/>
    <w:rsid w:val="00AA7DD7"/>
    <w:rsid w:val="00AB0681"/>
    <w:rsid w:val="00B028CA"/>
    <w:rsid w:val="00B07B20"/>
    <w:rsid w:val="00B1303B"/>
    <w:rsid w:val="00B463A7"/>
    <w:rsid w:val="00B53E7E"/>
    <w:rsid w:val="00B6342E"/>
    <w:rsid w:val="00B7113F"/>
    <w:rsid w:val="00B9381D"/>
    <w:rsid w:val="00B973AD"/>
    <w:rsid w:val="00BA73B6"/>
    <w:rsid w:val="00BB4FCD"/>
    <w:rsid w:val="00BB52CD"/>
    <w:rsid w:val="00BC34AD"/>
    <w:rsid w:val="00BC760C"/>
    <w:rsid w:val="00BD1237"/>
    <w:rsid w:val="00BD13EA"/>
    <w:rsid w:val="00BD19D0"/>
    <w:rsid w:val="00BE3808"/>
    <w:rsid w:val="00C062E9"/>
    <w:rsid w:val="00C13721"/>
    <w:rsid w:val="00C22B61"/>
    <w:rsid w:val="00C543F4"/>
    <w:rsid w:val="00C6291C"/>
    <w:rsid w:val="00C633CB"/>
    <w:rsid w:val="00C8762C"/>
    <w:rsid w:val="00CA00F9"/>
    <w:rsid w:val="00CA2961"/>
    <w:rsid w:val="00CB50D7"/>
    <w:rsid w:val="00CB7177"/>
    <w:rsid w:val="00CC1998"/>
    <w:rsid w:val="00CC4946"/>
    <w:rsid w:val="00CC72C5"/>
    <w:rsid w:val="00CD45C2"/>
    <w:rsid w:val="00D01377"/>
    <w:rsid w:val="00D166B4"/>
    <w:rsid w:val="00D26F5B"/>
    <w:rsid w:val="00D270A4"/>
    <w:rsid w:val="00D34E1B"/>
    <w:rsid w:val="00D5498A"/>
    <w:rsid w:val="00D54C36"/>
    <w:rsid w:val="00D63D73"/>
    <w:rsid w:val="00D66E1E"/>
    <w:rsid w:val="00D75722"/>
    <w:rsid w:val="00D77765"/>
    <w:rsid w:val="00D83A6B"/>
    <w:rsid w:val="00DB67C9"/>
    <w:rsid w:val="00DC0C95"/>
    <w:rsid w:val="00DC5700"/>
    <w:rsid w:val="00DD6580"/>
    <w:rsid w:val="00E17C72"/>
    <w:rsid w:val="00E2696F"/>
    <w:rsid w:val="00E400E8"/>
    <w:rsid w:val="00E4148E"/>
    <w:rsid w:val="00E669E2"/>
    <w:rsid w:val="00E752BA"/>
    <w:rsid w:val="00E76135"/>
    <w:rsid w:val="00E87F51"/>
    <w:rsid w:val="00EA5C69"/>
    <w:rsid w:val="00EF4AA6"/>
    <w:rsid w:val="00F056FC"/>
    <w:rsid w:val="00F135D8"/>
    <w:rsid w:val="00F31299"/>
    <w:rsid w:val="00F3534A"/>
    <w:rsid w:val="00F4574F"/>
    <w:rsid w:val="00F85325"/>
    <w:rsid w:val="00F9203C"/>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A343E"/>
    <w:rPr>
      <w:sz w:val="24"/>
      <w:szCs w:val="24"/>
    </w:rPr>
  </w:style>
  <w:style w:type="paragraph" w:styleId="Heading1">
    <w:name w:val="heading 1"/>
    <w:basedOn w:val="BodyText"/>
    <w:next w:val="BodyText"/>
    <w:rsid w:val="00AA343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A343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343E"/>
    <w:pPr>
      <w:spacing w:before="560" w:line="320" w:lineRule="exact"/>
      <w:ind w:left="0" w:firstLine="0"/>
      <w:outlineLvl w:val="2"/>
    </w:pPr>
    <w:rPr>
      <w:sz w:val="26"/>
    </w:rPr>
  </w:style>
  <w:style w:type="paragraph" w:styleId="Heading4">
    <w:name w:val="heading 4"/>
    <w:basedOn w:val="Heading3"/>
    <w:next w:val="BodyText"/>
    <w:qFormat/>
    <w:rsid w:val="00AA343E"/>
    <w:pPr>
      <w:spacing w:before="480"/>
      <w:outlineLvl w:val="3"/>
    </w:pPr>
    <w:rPr>
      <w:b w:val="0"/>
      <w:sz w:val="24"/>
    </w:rPr>
  </w:style>
  <w:style w:type="paragraph" w:styleId="Heading5">
    <w:name w:val="heading 5"/>
    <w:basedOn w:val="Heading4"/>
    <w:next w:val="BodyText"/>
    <w:link w:val="Heading5Char"/>
    <w:qFormat/>
    <w:rsid w:val="00AA343E"/>
    <w:pPr>
      <w:outlineLvl w:val="4"/>
    </w:pPr>
    <w:rPr>
      <w:i/>
      <w:sz w:val="22"/>
    </w:rPr>
  </w:style>
  <w:style w:type="paragraph" w:styleId="Heading6">
    <w:name w:val="heading 6"/>
    <w:basedOn w:val="BodyText"/>
    <w:next w:val="BodyText"/>
    <w:rsid w:val="00AA343E"/>
    <w:pPr>
      <w:spacing w:after="60"/>
      <w:jc w:val="left"/>
      <w:outlineLvl w:val="5"/>
    </w:pPr>
    <w:rPr>
      <w:i/>
      <w:sz w:val="22"/>
    </w:rPr>
  </w:style>
  <w:style w:type="paragraph" w:styleId="Heading7">
    <w:name w:val="heading 7"/>
    <w:basedOn w:val="BodyText"/>
    <w:next w:val="BodyText"/>
    <w:rsid w:val="00AA343E"/>
    <w:pPr>
      <w:spacing w:after="60" w:line="240" w:lineRule="auto"/>
      <w:jc w:val="left"/>
      <w:outlineLvl w:val="6"/>
    </w:pPr>
    <w:rPr>
      <w:rFonts w:ascii="Arial" w:hAnsi="Arial"/>
      <w:sz w:val="20"/>
    </w:rPr>
  </w:style>
  <w:style w:type="paragraph" w:styleId="Heading8">
    <w:name w:val="heading 8"/>
    <w:basedOn w:val="BodyText"/>
    <w:next w:val="BodyText"/>
    <w:rsid w:val="00AA343E"/>
    <w:pPr>
      <w:spacing w:after="60" w:line="240" w:lineRule="auto"/>
      <w:jc w:val="left"/>
      <w:outlineLvl w:val="7"/>
    </w:pPr>
    <w:rPr>
      <w:rFonts w:ascii="Arial" w:hAnsi="Arial"/>
      <w:i/>
      <w:sz w:val="20"/>
    </w:rPr>
  </w:style>
  <w:style w:type="paragraph" w:styleId="Heading9">
    <w:name w:val="heading 9"/>
    <w:basedOn w:val="BodyText"/>
    <w:next w:val="BodyText"/>
    <w:rsid w:val="00AA343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34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343E"/>
  </w:style>
  <w:style w:type="paragraph" w:styleId="BodyText">
    <w:name w:val="Body Text"/>
    <w:link w:val="BodyTextChar"/>
    <w:qFormat/>
    <w:rsid w:val="00AA343E"/>
    <w:pPr>
      <w:spacing w:before="240" w:line="300" w:lineRule="atLeast"/>
      <w:jc w:val="both"/>
    </w:pPr>
    <w:rPr>
      <w:sz w:val="24"/>
    </w:rPr>
  </w:style>
  <w:style w:type="paragraph" w:customStyle="1" w:styleId="Chapter">
    <w:name w:val="Chapter"/>
    <w:basedOn w:val="Heading1"/>
    <w:next w:val="BodyText"/>
    <w:semiHidden/>
    <w:rsid w:val="00AA343E"/>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AA343E"/>
    <w:pPr>
      <w:spacing w:before="80" w:line="200" w:lineRule="exact"/>
      <w:ind w:right="6"/>
      <w:jc w:val="left"/>
    </w:pPr>
    <w:rPr>
      <w:rFonts w:ascii="Arial" w:hAnsi="Arial"/>
      <w:caps/>
      <w:spacing w:val="-4"/>
      <w:sz w:val="16"/>
    </w:rPr>
  </w:style>
  <w:style w:type="paragraph" w:customStyle="1" w:styleId="FooterEnd">
    <w:name w:val="Footer End"/>
    <w:basedOn w:val="Footer"/>
    <w:rsid w:val="00AA343E"/>
    <w:pPr>
      <w:spacing w:before="0" w:line="20" w:lineRule="exact"/>
    </w:pPr>
  </w:style>
  <w:style w:type="paragraph" w:styleId="Header">
    <w:name w:val="header"/>
    <w:basedOn w:val="BodyText"/>
    <w:rsid w:val="00AA343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343E"/>
    <w:pPr>
      <w:spacing w:line="20" w:lineRule="exact"/>
    </w:pPr>
    <w:rPr>
      <w:sz w:val="16"/>
    </w:rPr>
  </w:style>
  <w:style w:type="paragraph" w:customStyle="1" w:styleId="HeaderEven">
    <w:name w:val="Header Even"/>
    <w:basedOn w:val="Header"/>
    <w:semiHidden/>
    <w:rsid w:val="00AA343E"/>
  </w:style>
  <w:style w:type="paragraph" w:customStyle="1" w:styleId="HeaderOdd">
    <w:name w:val="Header Odd"/>
    <w:basedOn w:val="Header"/>
    <w:semiHidden/>
    <w:rsid w:val="00AA343E"/>
  </w:style>
  <w:style w:type="character" w:styleId="PageNumber">
    <w:name w:val="page number"/>
    <w:basedOn w:val="DefaultParagraphFont"/>
    <w:rsid w:val="00AA343E"/>
    <w:rPr>
      <w:rFonts w:ascii="Arial" w:hAnsi="Arial"/>
      <w:b/>
      <w:sz w:val="16"/>
    </w:rPr>
  </w:style>
  <w:style w:type="paragraph" w:customStyle="1" w:styleId="Abbreviation">
    <w:name w:val="Abbreviation"/>
    <w:basedOn w:val="BodyText"/>
    <w:rsid w:val="00AA343E"/>
    <w:pPr>
      <w:spacing w:before="120"/>
      <w:ind w:left="2381" w:hanging="2381"/>
      <w:jc w:val="left"/>
    </w:pPr>
  </w:style>
  <w:style w:type="paragraph" w:customStyle="1" w:styleId="Box">
    <w:name w:val="Box"/>
    <w:basedOn w:val="BodyText"/>
    <w:link w:val="BoxChar"/>
    <w:qFormat/>
    <w:rsid w:val="00AA343E"/>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AA343E"/>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AA343E"/>
    <w:pPr>
      <w:spacing w:before="180" w:line="220" w:lineRule="exact"/>
      <w:jc w:val="right"/>
    </w:pPr>
    <w:rPr>
      <w:rFonts w:ascii="Arial" w:hAnsi="Arial"/>
      <w:sz w:val="18"/>
    </w:rPr>
  </w:style>
  <w:style w:type="paragraph" w:customStyle="1" w:styleId="BoxHeading1">
    <w:name w:val="Box Heading 1"/>
    <w:basedOn w:val="BodyText"/>
    <w:next w:val="Box"/>
    <w:rsid w:val="00AA343E"/>
    <w:pPr>
      <w:keepNext/>
      <w:spacing w:before="200" w:line="280" w:lineRule="atLeast"/>
    </w:pPr>
    <w:rPr>
      <w:rFonts w:ascii="Arial" w:hAnsi="Arial"/>
      <w:b/>
      <w:sz w:val="22"/>
    </w:rPr>
  </w:style>
  <w:style w:type="paragraph" w:customStyle="1" w:styleId="BoxHeading2">
    <w:name w:val="Box Heading 2"/>
    <w:basedOn w:val="BoxHeading1"/>
    <w:next w:val="Normal"/>
    <w:rsid w:val="00AA343E"/>
    <w:rPr>
      <w:b w:val="0"/>
      <w:i/>
    </w:rPr>
  </w:style>
  <w:style w:type="paragraph" w:customStyle="1" w:styleId="BoxListBullet">
    <w:name w:val="Box List Bullet"/>
    <w:basedOn w:val="BodyText"/>
    <w:rsid w:val="00AA343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A343E"/>
    <w:pPr>
      <w:numPr>
        <w:numId w:val="2"/>
      </w:numPr>
      <w:ind w:left="568" w:hanging="284"/>
    </w:pPr>
  </w:style>
  <w:style w:type="paragraph" w:customStyle="1" w:styleId="BoxListNumber">
    <w:name w:val="Box List Number"/>
    <w:basedOn w:val="BodyText"/>
    <w:rsid w:val="00AA343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A343E"/>
    <w:pPr>
      <w:numPr>
        <w:ilvl w:val="1"/>
      </w:numPr>
      <w:ind w:left="681" w:hanging="397"/>
    </w:pPr>
  </w:style>
  <w:style w:type="paragraph" w:customStyle="1" w:styleId="BoxQuote">
    <w:name w:val="Box Quote"/>
    <w:basedOn w:val="BodyText"/>
    <w:next w:val="Box"/>
    <w:qFormat/>
    <w:rsid w:val="00AA343E"/>
    <w:pPr>
      <w:keepNext/>
      <w:spacing w:before="60" w:line="240" w:lineRule="exact"/>
      <w:ind w:left="284"/>
    </w:pPr>
    <w:rPr>
      <w:rFonts w:ascii="Arial" w:hAnsi="Arial"/>
      <w:sz w:val="18"/>
    </w:rPr>
  </w:style>
  <w:style w:type="paragraph" w:customStyle="1" w:styleId="Note">
    <w:name w:val="Note"/>
    <w:basedOn w:val="BodyText"/>
    <w:next w:val="BodyText"/>
    <w:rsid w:val="00AA343E"/>
    <w:pPr>
      <w:keepLines/>
      <w:spacing w:before="80" w:line="220" w:lineRule="exact"/>
    </w:pPr>
    <w:rPr>
      <w:rFonts w:ascii="Arial" w:hAnsi="Arial"/>
      <w:sz w:val="18"/>
    </w:rPr>
  </w:style>
  <w:style w:type="paragraph" w:customStyle="1" w:styleId="Source">
    <w:name w:val="Source"/>
    <w:basedOn w:val="Normal"/>
    <w:next w:val="BodyText"/>
    <w:rsid w:val="00AA343E"/>
    <w:pPr>
      <w:keepLines/>
      <w:spacing w:before="80" w:line="220" w:lineRule="exact"/>
      <w:jc w:val="both"/>
    </w:pPr>
    <w:rPr>
      <w:rFonts w:ascii="Arial" w:hAnsi="Arial"/>
      <w:sz w:val="18"/>
      <w:szCs w:val="20"/>
    </w:rPr>
  </w:style>
  <w:style w:type="paragraph" w:customStyle="1" w:styleId="BoxSource">
    <w:name w:val="Box Source"/>
    <w:basedOn w:val="Source"/>
    <w:next w:val="BodyText"/>
    <w:rsid w:val="00AA343E"/>
    <w:pPr>
      <w:spacing w:before="120"/>
    </w:pPr>
  </w:style>
  <w:style w:type="paragraph" w:customStyle="1" w:styleId="BoxSpace">
    <w:name w:val="Box Space"/>
    <w:basedOn w:val="BodyText"/>
    <w:rsid w:val="009B718A"/>
    <w:pPr>
      <w:keepNext/>
      <w:spacing w:before="360" w:line="80" w:lineRule="exact"/>
      <w:jc w:val="left"/>
    </w:pPr>
  </w:style>
  <w:style w:type="paragraph" w:styleId="Caption">
    <w:name w:val="caption"/>
    <w:basedOn w:val="Normal"/>
    <w:next w:val="BodyText"/>
    <w:rsid w:val="00AA343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A343E"/>
    <w:pPr>
      <w:spacing w:before="120" w:after="0"/>
    </w:pPr>
  </w:style>
  <w:style w:type="paragraph" w:customStyle="1" w:styleId="BoxSubtitle">
    <w:name w:val="Box Subtitle"/>
    <w:basedOn w:val="BoxTitle"/>
    <w:next w:val="Normal"/>
    <w:rsid w:val="00AA343E"/>
    <w:pPr>
      <w:spacing w:after="80" w:line="200" w:lineRule="exact"/>
      <w:ind w:firstLine="0"/>
    </w:pPr>
    <w:rPr>
      <w:b w:val="0"/>
      <w:sz w:val="20"/>
    </w:rPr>
  </w:style>
  <w:style w:type="paragraph" w:customStyle="1" w:styleId="ChapterSummary">
    <w:name w:val="Chapter Summary"/>
    <w:basedOn w:val="BodyText"/>
    <w:rsid w:val="00AA343E"/>
    <w:pPr>
      <w:spacing w:line="280" w:lineRule="atLeast"/>
      <w:ind w:left="907"/>
    </w:pPr>
    <w:rPr>
      <w:rFonts w:ascii="Arial" w:hAnsi="Arial"/>
      <w:b/>
      <w:sz w:val="20"/>
    </w:rPr>
  </w:style>
  <w:style w:type="character" w:styleId="CommentReference">
    <w:name w:val="annotation reference"/>
    <w:basedOn w:val="DefaultParagraphFont"/>
    <w:semiHidden/>
    <w:rsid w:val="00AA343E"/>
    <w:rPr>
      <w:b/>
      <w:vanish/>
      <w:color w:val="FF00FF"/>
      <w:sz w:val="20"/>
    </w:rPr>
  </w:style>
  <w:style w:type="paragraph" w:styleId="CommentText">
    <w:name w:val="annotation text"/>
    <w:basedOn w:val="Normal"/>
    <w:semiHidden/>
    <w:rsid w:val="00AA343E"/>
    <w:pPr>
      <w:spacing w:before="120" w:line="240" w:lineRule="atLeast"/>
      <w:ind w:left="567" w:hanging="567"/>
    </w:pPr>
    <w:rPr>
      <w:sz w:val="20"/>
    </w:rPr>
  </w:style>
  <w:style w:type="paragraph" w:customStyle="1" w:styleId="Continued">
    <w:name w:val="Continued"/>
    <w:basedOn w:val="BoxContinued"/>
    <w:next w:val="BodyText"/>
    <w:rsid w:val="00AA343E"/>
  </w:style>
  <w:style w:type="character" w:customStyle="1" w:styleId="DocumentInfo">
    <w:name w:val="Document Info"/>
    <w:basedOn w:val="DefaultParagraphFont"/>
    <w:semiHidden/>
    <w:rsid w:val="00AA343E"/>
    <w:rPr>
      <w:rFonts w:ascii="Arial" w:hAnsi="Arial"/>
      <w:sz w:val="14"/>
    </w:rPr>
  </w:style>
  <w:style w:type="character" w:customStyle="1" w:styleId="DraftingNote">
    <w:name w:val="Drafting Note"/>
    <w:basedOn w:val="DefaultParagraphFont"/>
    <w:rsid w:val="00AA343E"/>
    <w:rPr>
      <w:b/>
      <w:color w:val="FF0000"/>
      <w:sz w:val="24"/>
      <w:u w:val="dotted"/>
    </w:rPr>
  </w:style>
  <w:style w:type="paragraph" w:customStyle="1" w:styleId="Figure">
    <w:name w:val="Figure"/>
    <w:basedOn w:val="BodyText"/>
    <w:rsid w:val="00AA343E"/>
    <w:pPr>
      <w:keepNext/>
      <w:spacing w:before="120" w:after="120" w:line="240" w:lineRule="atLeast"/>
      <w:jc w:val="center"/>
    </w:pPr>
  </w:style>
  <w:style w:type="paragraph" w:customStyle="1" w:styleId="FigureTitle">
    <w:name w:val="Figure Title"/>
    <w:basedOn w:val="Caption"/>
    <w:next w:val="Subtitle"/>
    <w:rsid w:val="00AA343E"/>
    <w:pPr>
      <w:spacing w:before="120"/>
    </w:pPr>
  </w:style>
  <w:style w:type="paragraph" w:styleId="Subtitle">
    <w:name w:val="Subtitle"/>
    <w:basedOn w:val="Caption"/>
    <w:link w:val="SubtitleChar"/>
    <w:qFormat/>
    <w:rsid w:val="00AA343E"/>
    <w:pPr>
      <w:spacing w:before="0" w:line="200" w:lineRule="exact"/>
      <w:ind w:firstLine="0"/>
    </w:pPr>
    <w:rPr>
      <w:b w:val="0"/>
      <w:sz w:val="20"/>
    </w:rPr>
  </w:style>
  <w:style w:type="paragraph" w:customStyle="1" w:styleId="Finding">
    <w:name w:val="Finding"/>
    <w:basedOn w:val="BodyText"/>
    <w:rsid w:val="00AA343E"/>
    <w:pPr>
      <w:keepLines/>
      <w:spacing w:before="120" w:line="280" w:lineRule="atLeast"/>
    </w:pPr>
    <w:rPr>
      <w:rFonts w:ascii="Arial" w:hAnsi="Arial"/>
      <w:sz w:val="22"/>
    </w:rPr>
  </w:style>
  <w:style w:type="paragraph" w:customStyle="1" w:styleId="FindingBullet">
    <w:name w:val="Finding Bullet"/>
    <w:basedOn w:val="Finding"/>
    <w:rsid w:val="00AA343E"/>
    <w:pPr>
      <w:numPr>
        <w:numId w:val="3"/>
      </w:numPr>
      <w:spacing w:before="80"/>
    </w:pPr>
  </w:style>
  <w:style w:type="paragraph" w:customStyle="1" w:styleId="FindingNoTitle">
    <w:name w:val="Finding NoTitle"/>
    <w:basedOn w:val="Finding"/>
    <w:rsid w:val="00AA343E"/>
    <w:pPr>
      <w:spacing w:before="240"/>
    </w:pPr>
  </w:style>
  <w:style w:type="paragraph" w:customStyle="1" w:styleId="RecTitle">
    <w:name w:val="Rec Title"/>
    <w:basedOn w:val="BodyText"/>
    <w:next w:val="Rec"/>
    <w:qFormat/>
    <w:rsid w:val="00AA343E"/>
    <w:pPr>
      <w:keepNext/>
      <w:keepLines/>
      <w:spacing w:line="280" w:lineRule="atLeast"/>
    </w:pPr>
    <w:rPr>
      <w:rFonts w:ascii="Arial" w:hAnsi="Arial"/>
      <w:caps/>
      <w:sz w:val="18"/>
    </w:rPr>
  </w:style>
  <w:style w:type="paragraph" w:customStyle="1" w:styleId="FindingTitle">
    <w:name w:val="Finding Title"/>
    <w:basedOn w:val="RecTitle"/>
    <w:next w:val="Finding"/>
    <w:rsid w:val="00AA343E"/>
  </w:style>
  <w:style w:type="character" w:styleId="FootnoteReference">
    <w:name w:val="footnote reference"/>
    <w:basedOn w:val="DefaultParagraphFont"/>
    <w:semiHidden/>
    <w:rsid w:val="00AA343E"/>
    <w:rPr>
      <w:rFonts w:ascii="Times New Roman" w:hAnsi="Times New Roman"/>
      <w:position w:val="6"/>
      <w:sz w:val="20"/>
      <w:vertAlign w:val="baseline"/>
    </w:rPr>
  </w:style>
  <w:style w:type="paragraph" w:customStyle="1" w:styleId="InformationRequest">
    <w:name w:val="Information Request"/>
    <w:basedOn w:val="Finding"/>
    <w:next w:val="BodyText"/>
    <w:rsid w:val="00AA343E"/>
    <w:rPr>
      <w:i/>
    </w:rPr>
  </w:style>
  <w:style w:type="paragraph" w:customStyle="1" w:styleId="Jurisdictioncommentsbodytext">
    <w:name w:val="Jurisdiction comments body text"/>
    <w:rsid w:val="00AA343E"/>
    <w:pPr>
      <w:spacing w:after="140"/>
      <w:jc w:val="both"/>
    </w:pPr>
    <w:rPr>
      <w:rFonts w:ascii="Arial" w:hAnsi="Arial"/>
      <w:sz w:val="24"/>
      <w:lang w:eastAsia="en-US"/>
    </w:rPr>
  </w:style>
  <w:style w:type="paragraph" w:customStyle="1" w:styleId="Jurisdictioncommentsheading">
    <w:name w:val="Jurisdiction comments heading"/>
    <w:rsid w:val="00AA343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343E"/>
    <w:pPr>
      <w:numPr>
        <w:numId w:val="4"/>
      </w:numPr>
      <w:spacing w:after="140"/>
      <w:jc w:val="both"/>
    </w:pPr>
    <w:rPr>
      <w:rFonts w:ascii="Arial" w:hAnsi="Arial"/>
      <w:sz w:val="24"/>
      <w:lang w:eastAsia="en-US"/>
    </w:rPr>
  </w:style>
  <w:style w:type="paragraph" w:styleId="ListBullet">
    <w:name w:val="List Bullet"/>
    <w:basedOn w:val="BodyText"/>
    <w:rsid w:val="00AA343E"/>
    <w:pPr>
      <w:numPr>
        <w:numId w:val="5"/>
      </w:numPr>
      <w:spacing w:before="120"/>
    </w:pPr>
  </w:style>
  <w:style w:type="paragraph" w:styleId="ListBullet2">
    <w:name w:val="List Bullet 2"/>
    <w:basedOn w:val="BodyText"/>
    <w:rsid w:val="00AA343E"/>
    <w:pPr>
      <w:numPr>
        <w:numId w:val="6"/>
      </w:numPr>
      <w:spacing w:before="120"/>
    </w:pPr>
  </w:style>
  <w:style w:type="paragraph" w:styleId="ListBullet3">
    <w:name w:val="List Bullet 3"/>
    <w:basedOn w:val="BodyText"/>
    <w:rsid w:val="00AA343E"/>
    <w:pPr>
      <w:numPr>
        <w:numId w:val="7"/>
      </w:numPr>
      <w:spacing w:before="120"/>
      <w:ind w:left="1020" w:hanging="340"/>
    </w:pPr>
  </w:style>
  <w:style w:type="paragraph" w:styleId="ListNumber">
    <w:name w:val="List Number"/>
    <w:basedOn w:val="BodyText"/>
    <w:rsid w:val="00AA343E"/>
    <w:pPr>
      <w:numPr>
        <w:numId w:val="13"/>
      </w:numPr>
      <w:spacing w:before="120"/>
    </w:pPr>
  </w:style>
  <w:style w:type="paragraph" w:styleId="ListNumber2">
    <w:name w:val="List Number 2"/>
    <w:basedOn w:val="ListNumber"/>
    <w:rsid w:val="00AA343E"/>
    <w:pPr>
      <w:numPr>
        <w:ilvl w:val="1"/>
      </w:numPr>
    </w:pPr>
  </w:style>
  <w:style w:type="paragraph" w:styleId="ListNumber3">
    <w:name w:val="List Number 3"/>
    <w:basedOn w:val="ListNumber2"/>
    <w:rsid w:val="00AA343E"/>
    <w:pPr>
      <w:numPr>
        <w:ilvl w:val="2"/>
      </w:numPr>
    </w:pPr>
  </w:style>
  <w:style w:type="character" w:customStyle="1" w:styleId="NoteLabel">
    <w:name w:val="Note Label"/>
    <w:basedOn w:val="DefaultParagraphFont"/>
    <w:rsid w:val="00AA343E"/>
    <w:rPr>
      <w:rFonts w:ascii="Arial" w:hAnsi="Arial"/>
      <w:b/>
      <w:position w:val="6"/>
      <w:sz w:val="18"/>
    </w:rPr>
  </w:style>
  <w:style w:type="paragraph" w:customStyle="1" w:styleId="PartDivider">
    <w:name w:val="Part Divider"/>
    <w:basedOn w:val="BodyText"/>
    <w:next w:val="BodyText"/>
    <w:semiHidden/>
    <w:rsid w:val="00AA343E"/>
    <w:pPr>
      <w:spacing w:before="0" w:line="40" w:lineRule="exact"/>
      <w:jc w:val="right"/>
    </w:pPr>
    <w:rPr>
      <w:smallCaps/>
      <w:sz w:val="16"/>
    </w:rPr>
  </w:style>
  <w:style w:type="paragraph" w:customStyle="1" w:styleId="PartNumber">
    <w:name w:val="Part Number"/>
    <w:basedOn w:val="BodyText"/>
    <w:next w:val="BodyText"/>
    <w:semiHidden/>
    <w:rsid w:val="00AA343E"/>
    <w:pPr>
      <w:spacing w:before="4000" w:line="320" w:lineRule="exact"/>
      <w:ind w:left="6634"/>
      <w:jc w:val="right"/>
    </w:pPr>
    <w:rPr>
      <w:smallCaps/>
      <w:spacing w:val="60"/>
      <w:sz w:val="32"/>
    </w:rPr>
  </w:style>
  <w:style w:type="paragraph" w:customStyle="1" w:styleId="PartTitle">
    <w:name w:val="Part Title"/>
    <w:basedOn w:val="BodyText"/>
    <w:semiHidden/>
    <w:rsid w:val="00AA343E"/>
    <w:pPr>
      <w:spacing w:before="160" w:after="1360" w:line="520" w:lineRule="exact"/>
      <w:ind w:right="2381"/>
      <w:jc w:val="right"/>
    </w:pPr>
    <w:rPr>
      <w:smallCaps/>
      <w:sz w:val="52"/>
    </w:rPr>
  </w:style>
  <w:style w:type="paragraph" w:styleId="Quote">
    <w:name w:val="Quote"/>
    <w:basedOn w:val="BodyText"/>
    <w:next w:val="BodyText"/>
    <w:qFormat/>
    <w:rsid w:val="00AA343E"/>
    <w:pPr>
      <w:spacing w:before="120" w:line="280" w:lineRule="exact"/>
      <w:ind w:left="340"/>
    </w:pPr>
    <w:rPr>
      <w:sz w:val="22"/>
    </w:rPr>
  </w:style>
  <w:style w:type="paragraph" w:customStyle="1" w:styleId="QuoteBullet">
    <w:name w:val="Quote Bullet"/>
    <w:basedOn w:val="Quote"/>
    <w:rsid w:val="00AA343E"/>
    <w:pPr>
      <w:numPr>
        <w:numId w:val="8"/>
      </w:numPr>
    </w:pPr>
  </w:style>
  <w:style w:type="paragraph" w:customStyle="1" w:styleId="Rec">
    <w:name w:val="Rec"/>
    <w:basedOn w:val="BodyText"/>
    <w:qFormat/>
    <w:rsid w:val="00AA343E"/>
    <w:pPr>
      <w:keepLines/>
      <w:spacing w:before="120" w:line="280" w:lineRule="atLeast"/>
    </w:pPr>
    <w:rPr>
      <w:rFonts w:ascii="Arial" w:hAnsi="Arial"/>
      <w:sz w:val="22"/>
    </w:rPr>
  </w:style>
  <w:style w:type="paragraph" w:customStyle="1" w:styleId="RecBullet">
    <w:name w:val="Rec Bullet"/>
    <w:basedOn w:val="Rec"/>
    <w:rsid w:val="00AA343E"/>
    <w:pPr>
      <w:numPr>
        <w:numId w:val="9"/>
      </w:numPr>
      <w:spacing w:before="80"/>
    </w:pPr>
  </w:style>
  <w:style w:type="paragraph" w:customStyle="1" w:styleId="RecB">
    <w:name w:val="RecB"/>
    <w:basedOn w:val="Normal"/>
    <w:rsid w:val="00AA343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A343E"/>
    <w:pPr>
      <w:numPr>
        <w:numId w:val="10"/>
      </w:numPr>
      <w:spacing w:before="80"/>
    </w:pPr>
  </w:style>
  <w:style w:type="paragraph" w:customStyle="1" w:styleId="RecBNoTitle">
    <w:name w:val="RecB NoTitle"/>
    <w:basedOn w:val="RecB"/>
    <w:rsid w:val="00AA343E"/>
    <w:pPr>
      <w:spacing w:before="240"/>
    </w:pPr>
  </w:style>
  <w:style w:type="paragraph" w:customStyle="1" w:styleId="Reference">
    <w:name w:val="Reference"/>
    <w:basedOn w:val="BodyText"/>
    <w:rsid w:val="00AA343E"/>
    <w:pPr>
      <w:spacing w:before="120"/>
      <w:ind w:left="340" w:hanging="340"/>
    </w:pPr>
  </w:style>
  <w:style w:type="paragraph" w:customStyle="1" w:styleId="SequenceInfo">
    <w:name w:val="Sequence Info"/>
    <w:basedOn w:val="BodyText"/>
    <w:semiHidden/>
    <w:rsid w:val="00AA343E"/>
    <w:rPr>
      <w:vanish/>
      <w:sz w:val="16"/>
    </w:rPr>
  </w:style>
  <w:style w:type="paragraph" w:customStyle="1" w:styleId="SideNote">
    <w:name w:val="Side Note"/>
    <w:basedOn w:val="BodyText"/>
    <w:next w:val="BodyText"/>
    <w:semiHidden/>
    <w:rsid w:val="00AA343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343E"/>
    <w:pPr>
      <w:framePr w:wrap="around"/>
      <w:numPr>
        <w:numId w:val="11"/>
      </w:numPr>
      <w:tabs>
        <w:tab w:val="left" w:pos="227"/>
      </w:tabs>
    </w:pPr>
  </w:style>
  <w:style w:type="paragraph" w:customStyle="1" w:styleId="SideNoteGraphic">
    <w:name w:val="Side Note Graphic"/>
    <w:basedOn w:val="SideNote"/>
    <w:next w:val="BodyText"/>
    <w:semiHidden/>
    <w:rsid w:val="00AA343E"/>
    <w:pPr>
      <w:framePr w:wrap="around"/>
    </w:pPr>
  </w:style>
  <w:style w:type="paragraph" w:customStyle="1" w:styleId="TableBodyText">
    <w:name w:val="Table Body Text"/>
    <w:basedOn w:val="BodyText"/>
    <w:link w:val="TableBodyTextChar"/>
    <w:rsid w:val="00AA343E"/>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AA343E"/>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AA343E"/>
    <w:pPr>
      <w:spacing w:before="80" w:after="80"/>
    </w:pPr>
    <w:rPr>
      <w:i/>
    </w:rPr>
  </w:style>
  <w:style w:type="paragraph" w:styleId="TOC2">
    <w:name w:val="toc 2"/>
    <w:basedOn w:val="TOC1"/>
    <w:rsid w:val="00AA343E"/>
    <w:pPr>
      <w:ind w:left="1134" w:hanging="624"/>
    </w:pPr>
    <w:rPr>
      <w:b w:val="0"/>
    </w:rPr>
  </w:style>
  <w:style w:type="paragraph" w:styleId="TOC3">
    <w:name w:val="toc 3"/>
    <w:basedOn w:val="TOC2"/>
    <w:rsid w:val="00AA343E"/>
    <w:pPr>
      <w:spacing w:before="60"/>
      <w:ind w:left="1190" w:hanging="680"/>
    </w:pPr>
  </w:style>
  <w:style w:type="paragraph" w:styleId="TableofFigures">
    <w:name w:val="table of figures"/>
    <w:basedOn w:val="TOC3"/>
    <w:next w:val="BodyText"/>
    <w:semiHidden/>
    <w:rsid w:val="00AA343E"/>
    <w:pPr>
      <w:ind w:left="737" w:hanging="737"/>
    </w:pPr>
  </w:style>
  <w:style w:type="paragraph" w:customStyle="1" w:styleId="TableTitle">
    <w:name w:val="Table Title"/>
    <w:basedOn w:val="Caption"/>
    <w:next w:val="Subtitle"/>
    <w:qFormat/>
    <w:rsid w:val="00AA343E"/>
    <w:pPr>
      <w:spacing w:before="120"/>
    </w:pPr>
  </w:style>
  <w:style w:type="paragraph" w:customStyle="1" w:styleId="TableUnitsRow">
    <w:name w:val="Table Units Row"/>
    <w:basedOn w:val="TableBodyText"/>
    <w:rsid w:val="00AA343E"/>
    <w:pPr>
      <w:spacing w:before="40"/>
    </w:pPr>
  </w:style>
  <w:style w:type="paragraph" w:styleId="TOC1">
    <w:name w:val="toc 1"/>
    <w:basedOn w:val="Normal"/>
    <w:next w:val="TOC2"/>
    <w:link w:val="TOC1Char"/>
    <w:rsid w:val="00AA343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A343E"/>
    <w:pPr>
      <w:ind w:left="1191" w:firstLine="0"/>
    </w:pPr>
  </w:style>
  <w:style w:type="table" w:styleId="TableGrid">
    <w:name w:val="Table Grid"/>
    <w:basedOn w:val="TableNormal"/>
    <w:rsid w:val="00AA3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AA343E"/>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AA343E"/>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character" w:customStyle="1" w:styleId="SubtitleChar">
    <w:name w:val="Subtitle Char"/>
    <w:basedOn w:val="DefaultParagraphFont"/>
    <w:link w:val="Subtitle"/>
    <w:rsid w:val="00AA343E"/>
    <w:rPr>
      <w:rFonts w:ascii="Arial" w:hAnsi="Arial"/>
      <w:szCs w:val="24"/>
    </w:rPr>
  </w:style>
  <w:style w:type="paragraph" w:customStyle="1" w:styleId="RecBBullet2">
    <w:name w:val="RecB Bullet 2"/>
    <w:basedOn w:val="ListBullet2"/>
    <w:semiHidden/>
    <w:rsid w:val="00AA343E"/>
    <w:pPr>
      <w:pBdr>
        <w:left w:val="single" w:sz="24" w:space="29" w:color="C0C0C0"/>
      </w:pBdr>
    </w:pPr>
    <w:rPr>
      <w:b/>
      <w:i/>
    </w:rPr>
  </w:style>
  <w:style w:type="character" w:customStyle="1" w:styleId="BalloonTextChar">
    <w:name w:val="Balloon Text Char"/>
    <w:basedOn w:val="DefaultParagraphFont"/>
    <w:link w:val="BalloonText"/>
    <w:rsid w:val="00AA343E"/>
    <w:rPr>
      <w:rFonts w:ascii="Tahoma" w:hAnsi="Tahoma" w:cs="Tahoma"/>
      <w:sz w:val="16"/>
      <w:szCs w:val="16"/>
    </w:rPr>
  </w:style>
  <w:style w:type="paragraph" w:customStyle="1" w:styleId="BoxListBullet3">
    <w:name w:val="Box List Bullet 3"/>
    <w:basedOn w:val="ListBullet3"/>
    <w:rsid w:val="00AA343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343E"/>
    <w:rPr>
      <w:i/>
      <w:iCs/>
    </w:rPr>
  </w:style>
  <w:style w:type="paragraph" w:customStyle="1" w:styleId="BoxQuoteBullet">
    <w:name w:val="Box Quote Bullet"/>
    <w:basedOn w:val="BoxQuote"/>
    <w:next w:val="Box"/>
    <w:rsid w:val="00AA343E"/>
    <w:pPr>
      <w:numPr>
        <w:numId w:val="15"/>
      </w:numPr>
      <w:ind w:left="568" w:hanging="284"/>
    </w:pPr>
  </w:style>
  <w:style w:type="paragraph" w:customStyle="1" w:styleId="InformationRequestBullet">
    <w:name w:val="Information Request Bullet"/>
    <w:basedOn w:val="ListBullet"/>
    <w:next w:val="BodyText"/>
    <w:rsid w:val="00AA343E"/>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AA343E"/>
    <w:pPr>
      <w:keepNext/>
      <w:spacing w:before="360" w:line="80" w:lineRule="exact"/>
      <w:jc w:val="left"/>
    </w:pPr>
  </w:style>
  <w:style w:type="paragraph" w:customStyle="1" w:styleId="BoxSpaceBelow">
    <w:name w:val="Box Space Below"/>
    <w:basedOn w:val="Box"/>
    <w:rsid w:val="00AA343E"/>
    <w:pPr>
      <w:keepNext w:val="0"/>
      <w:spacing w:before="60" w:after="60" w:line="80" w:lineRule="exact"/>
    </w:pPr>
    <w:rPr>
      <w:sz w:val="14"/>
    </w:rPr>
  </w:style>
  <w:style w:type="character" w:styleId="PlaceholderText">
    <w:name w:val="Placeholder Text"/>
    <w:basedOn w:val="DefaultParagraphFont"/>
    <w:uiPriority w:val="99"/>
    <w:semiHidden/>
    <w:rsid w:val="00454B67"/>
    <w:rPr>
      <w:color w:val="808080"/>
    </w:rPr>
  </w:style>
  <w:style w:type="paragraph" w:customStyle="1" w:styleId="KeyPointsListBullet">
    <w:name w:val="Key Points List Bullet"/>
    <w:basedOn w:val="Normal"/>
    <w:qFormat/>
    <w:rsid w:val="00AA343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343E"/>
    <w:pPr>
      <w:numPr>
        <w:numId w:val="19"/>
      </w:numPr>
      <w:ind w:left="568" w:hanging="284"/>
    </w:pPr>
  </w:style>
  <w:style w:type="paragraph" w:customStyle="1" w:styleId="InformationRequestTitle">
    <w:name w:val="Information Request Title"/>
    <w:basedOn w:val="FindingTitle"/>
    <w:next w:val="InformationRequest"/>
    <w:rsid w:val="00AA343E"/>
    <w:rPr>
      <w:i/>
    </w:rPr>
  </w:style>
  <w:style w:type="paragraph" w:customStyle="1" w:styleId="Space">
    <w:name w:val="Space"/>
    <w:basedOn w:val="Normal"/>
    <w:rsid w:val="00AA343E"/>
    <w:pPr>
      <w:keepNext/>
      <w:spacing w:line="120" w:lineRule="exact"/>
      <w:jc w:val="both"/>
    </w:pPr>
    <w:rPr>
      <w:rFonts w:ascii="Arial" w:hAnsi="Arial"/>
      <w:sz w:val="20"/>
      <w:szCs w:val="20"/>
    </w:rPr>
  </w:style>
  <w:style w:type="paragraph" w:customStyle="1" w:styleId="Heading1nochapterno">
    <w:name w:val="Heading 1 (no chapter no.)"/>
    <w:basedOn w:val="Heading1"/>
    <w:rsid w:val="00AA343E"/>
    <w:pPr>
      <w:spacing w:before="0"/>
      <w:ind w:left="0" w:firstLine="0"/>
    </w:pPr>
  </w:style>
  <w:style w:type="paragraph" w:customStyle="1" w:styleId="Heading2nosectionno">
    <w:name w:val="Heading 2 (no section no.)"/>
    <w:basedOn w:val="Heading2"/>
    <w:rsid w:val="00AA343E"/>
    <w:pPr>
      <w:ind w:left="0" w:firstLine="0"/>
    </w:pPr>
  </w:style>
  <w:style w:type="character" w:customStyle="1" w:styleId="Heading5Char">
    <w:name w:val="Heading 5 Char"/>
    <w:basedOn w:val="DefaultParagraphFont"/>
    <w:link w:val="Heading5"/>
    <w:rsid w:val="00AA343E"/>
    <w:rPr>
      <w:rFonts w:ascii="Arial" w:hAnsi="Arial"/>
      <w:i/>
      <w:sz w:val="22"/>
    </w:rPr>
  </w:style>
  <w:style w:type="paragraph" w:customStyle="1" w:styleId="Figurespace">
    <w:name w:val="Figure space"/>
    <w:basedOn w:val="Box"/>
    <w:rsid w:val="00AA343E"/>
    <w:pPr>
      <w:spacing w:before="0" w:line="120" w:lineRule="exact"/>
    </w:pPr>
  </w:style>
  <w:style w:type="paragraph" w:customStyle="1" w:styleId="FooterDraftReport">
    <w:name w:val="FooterDraftReport"/>
    <w:basedOn w:val="Footer"/>
    <w:link w:val="FooterDraftReportChar"/>
    <w:rsid w:val="00AA343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A343E"/>
    <w:rPr>
      <w:rFonts w:ascii="Arial" w:hAnsi="Arial"/>
      <w:caps/>
      <w:spacing w:val="-4"/>
      <w:sz w:val="16"/>
    </w:rPr>
  </w:style>
  <w:style w:type="character" w:customStyle="1" w:styleId="FooterDraftReportChar">
    <w:name w:val="FooterDraftReport Char"/>
    <w:basedOn w:val="FooterChar"/>
    <w:link w:val="FooterDraftReport"/>
    <w:rsid w:val="00AA343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A343E"/>
    <w:rPr>
      <w:rFonts w:ascii="Arial" w:hAnsi="Arial"/>
      <w:b/>
      <w:sz w:val="26"/>
      <w:szCs w:val="26"/>
      <w:lang w:eastAsia="en-US"/>
    </w:rPr>
  </w:style>
  <w:style w:type="paragraph" w:customStyle="1" w:styleId="DQIContentsTitle">
    <w:name w:val="DQI Contents Title"/>
    <w:basedOn w:val="Heading5"/>
    <w:next w:val="TOC3"/>
    <w:rsid w:val="00EF4AA6"/>
    <w:rPr>
      <w:b/>
      <w:i w:val="0"/>
      <w:sz w:val="24"/>
      <w:szCs w:val="24"/>
    </w:rPr>
  </w:style>
  <w:style w:type="paragraph" w:customStyle="1" w:styleId="Heading1NotTOC">
    <w:name w:val="Heading 1 Not TOC"/>
    <w:basedOn w:val="Heading1"/>
    <w:next w:val="BodyText"/>
    <w:rsid w:val="00EF4AA6"/>
    <w:rPr>
      <w:kern w:val="28"/>
      <w:szCs w:val="26"/>
      <w:lang w:eastAsia="en-US"/>
    </w:rPr>
  </w:style>
  <w:style w:type="paragraph" w:customStyle="1" w:styleId="PCTableOfContents1">
    <w:name w:val="*PCTableOfContents1"/>
    <w:rsid w:val="00EF4AA6"/>
    <w:rPr>
      <w:noProof/>
      <w:sz w:val="3276"/>
    </w:rPr>
  </w:style>
  <w:style w:type="paragraph" w:customStyle="1" w:styleId="DQIMainRowHeadings">
    <w:name w:val="DQI Main Row Headings"/>
    <w:basedOn w:val="Normal"/>
    <w:next w:val="Normal"/>
    <w:rsid w:val="00EF4AA6"/>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EF4AA6"/>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EF4AA6"/>
    <w:pPr>
      <w:spacing w:before="120" w:after="0"/>
      <w:ind w:left="0" w:right="0"/>
      <w:jc w:val="both"/>
    </w:pPr>
  </w:style>
  <w:style w:type="paragraph" w:customStyle="1" w:styleId="DQITableBullet">
    <w:name w:val="DQI Table Bullet"/>
    <w:basedOn w:val="TableBullet"/>
    <w:rsid w:val="001D0765"/>
    <w:pPr>
      <w:tabs>
        <w:tab w:val="clear" w:pos="170"/>
      </w:tabs>
      <w:spacing w:before="40" w:after="0"/>
      <w:jc w:val="both"/>
    </w:pPr>
  </w:style>
  <w:style w:type="paragraph" w:customStyle="1" w:styleId="DQITableBullet2">
    <w:name w:val="DQI Table Bullet 2"/>
    <w:basedOn w:val="DQITableBullet"/>
    <w:rsid w:val="001D0765"/>
    <w:pPr>
      <w:numPr>
        <w:numId w:val="20"/>
      </w:numPr>
      <w:ind w:left="340" w:hanging="17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A343E"/>
    <w:rPr>
      <w:sz w:val="24"/>
      <w:szCs w:val="24"/>
    </w:rPr>
  </w:style>
  <w:style w:type="paragraph" w:styleId="Heading1">
    <w:name w:val="heading 1"/>
    <w:basedOn w:val="BodyText"/>
    <w:next w:val="BodyText"/>
    <w:rsid w:val="00AA343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A343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343E"/>
    <w:pPr>
      <w:spacing w:before="560" w:line="320" w:lineRule="exact"/>
      <w:ind w:left="0" w:firstLine="0"/>
      <w:outlineLvl w:val="2"/>
    </w:pPr>
    <w:rPr>
      <w:sz w:val="26"/>
    </w:rPr>
  </w:style>
  <w:style w:type="paragraph" w:styleId="Heading4">
    <w:name w:val="heading 4"/>
    <w:basedOn w:val="Heading3"/>
    <w:next w:val="BodyText"/>
    <w:qFormat/>
    <w:rsid w:val="00AA343E"/>
    <w:pPr>
      <w:spacing w:before="480"/>
      <w:outlineLvl w:val="3"/>
    </w:pPr>
    <w:rPr>
      <w:b w:val="0"/>
      <w:sz w:val="24"/>
    </w:rPr>
  </w:style>
  <w:style w:type="paragraph" w:styleId="Heading5">
    <w:name w:val="heading 5"/>
    <w:basedOn w:val="Heading4"/>
    <w:next w:val="BodyText"/>
    <w:link w:val="Heading5Char"/>
    <w:qFormat/>
    <w:rsid w:val="00AA343E"/>
    <w:pPr>
      <w:outlineLvl w:val="4"/>
    </w:pPr>
    <w:rPr>
      <w:i/>
      <w:sz w:val="22"/>
    </w:rPr>
  </w:style>
  <w:style w:type="paragraph" w:styleId="Heading6">
    <w:name w:val="heading 6"/>
    <w:basedOn w:val="BodyText"/>
    <w:next w:val="BodyText"/>
    <w:rsid w:val="00AA343E"/>
    <w:pPr>
      <w:spacing w:after="60"/>
      <w:jc w:val="left"/>
      <w:outlineLvl w:val="5"/>
    </w:pPr>
    <w:rPr>
      <w:i/>
      <w:sz w:val="22"/>
    </w:rPr>
  </w:style>
  <w:style w:type="paragraph" w:styleId="Heading7">
    <w:name w:val="heading 7"/>
    <w:basedOn w:val="BodyText"/>
    <w:next w:val="BodyText"/>
    <w:rsid w:val="00AA343E"/>
    <w:pPr>
      <w:spacing w:after="60" w:line="240" w:lineRule="auto"/>
      <w:jc w:val="left"/>
      <w:outlineLvl w:val="6"/>
    </w:pPr>
    <w:rPr>
      <w:rFonts w:ascii="Arial" w:hAnsi="Arial"/>
      <w:sz w:val="20"/>
    </w:rPr>
  </w:style>
  <w:style w:type="paragraph" w:styleId="Heading8">
    <w:name w:val="heading 8"/>
    <w:basedOn w:val="BodyText"/>
    <w:next w:val="BodyText"/>
    <w:rsid w:val="00AA343E"/>
    <w:pPr>
      <w:spacing w:after="60" w:line="240" w:lineRule="auto"/>
      <w:jc w:val="left"/>
      <w:outlineLvl w:val="7"/>
    </w:pPr>
    <w:rPr>
      <w:rFonts w:ascii="Arial" w:hAnsi="Arial"/>
      <w:i/>
      <w:sz w:val="20"/>
    </w:rPr>
  </w:style>
  <w:style w:type="paragraph" w:styleId="Heading9">
    <w:name w:val="heading 9"/>
    <w:basedOn w:val="BodyText"/>
    <w:next w:val="BodyText"/>
    <w:rsid w:val="00AA343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34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343E"/>
  </w:style>
  <w:style w:type="paragraph" w:styleId="BodyText">
    <w:name w:val="Body Text"/>
    <w:link w:val="BodyTextChar"/>
    <w:qFormat/>
    <w:rsid w:val="00AA343E"/>
    <w:pPr>
      <w:spacing w:before="240" w:line="300" w:lineRule="atLeast"/>
      <w:jc w:val="both"/>
    </w:pPr>
    <w:rPr>
      <w:sz w:val="24"/>
    </w:rPr>
  </w:style>
  <w:style w:type="paragraph" w:customStyle="1" w:styleId="Chapter">
    <w:name w:val="Chapter"/>
    <w:basedOn w:val="Heading1"/>
    <w:next w:val="BodyText"/>
    <w:semiHidden/>
    <w:rsid w:val="00AA343E"/>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AA343E"/>
    <w:pPr>
      <w:spacing w:before="80" w:line="200" w:lineRule="exact"/>
      <w:ind w:right="6"/>
      <w:jc w:val="left"/>
    </w:pPr>
    <w:rPr>
      <w:rFonts w:ascii="Arial" w:hAnsi="Arial"/>
      <w:caps/>
      <w:spacing w:val="-4"/>
      <w:sz w:val="16"/>
    </w:rPr>
  </w:style>
  <w:style w:type="paragraph" w:customStyle="1" w:styleId="FooterEnd">
    <w:name w:val="Footer End"/>
    <w:basedOn w:val="Footer"/>
    <w:rsid w:val="00AA343E"/>
    <w:pPr>
      <w:spacing w:before="0" w:line="20" w:lineRule="exact"/>
    </w:pPr>
  </w:style>
  <w:style w:type="paragraph" w:styleId="Header">
    <w:name w:val="header"/>
    <w:basedOn w:val="BodyText"/>
    <w:rsid w:val="00AA343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343E"/>
    <w:pPr>
      <w:spacing w:line="20" w:lineRule="exact"/>
    </w:pPr>
    <w:rPr>
      <w:sz w:val="16"/>
    </w:rPr>
  </w:style>
  <w:style w:type="paragraph" w:customStyle="1" w:styleId="HeaderEven">
    <w:name w:val="Header Even"/>
    <w:basedOn w:val="Header"/>
    <w:semiHidden/>
    <w:rsid w:val="00AA343E"/>
  </w:style>
  <w:style w:type="paragraph" w:customStyle="1" w:styleId="HeaderOdd">
    <w:name w:val="Header Odd"/>
    <w:basedOn w:val="Header"/>
    <w:semiHidden/>
    <w:rsid w:val="00AA343E"/>
  </w:style>
  <w:style w:type="character" w:styleId="PageNumber">
    <w:name w:val="page number"/>
    <w:basedOn w:val="DefaultParagraphFont"/>
    <w:rsid w:val="00AA343E"/>
    <w:rPr>
      <w:rFonts w:ascii="Arial" w:hAnsi="Arial"/>
      <w:b/>
      <w:sz w:val="16"/>
    </w:rPr>
  </w:style>
  <w:style w:type="paragraph" w:customStyle="1" w:styleId="Abbreviation">
    <w:name w:val="Abbreviation"/>
    <w:basedOn w:val="BodyText"/>
    <w:rsid w:val="00AA343E"/>
    <w:pPr>
      <w:spacing w:before="120"/>
      <w:ind w:left="2381" w:hanging="2381"/>
      <w:jc w:val="left"/>
    </w:pPr>
  </w:style>
  <w:style w:type="paragraph" w:customStyle="1" w:styleId="Box">
    <w:name w:val="Box"/>
    <w:basedOn w:val="BodyText"/>
    <w:link w:val="BoxChar"/>
    <w:qFormat/>
    <w:rsid w:val="00AA343E"/>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AA343E"/>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AA343E"/>
    <w:pPr>
      <w:spacing w:before="180" w:line="220" w:lineRule="exact"/>
      <w:jc w:val="right"/>
    </w:pPr>
    <w:rPr>
      <w:rFonts w:ascii="Arial" w:hAnsi="Arial"/>
      <w:sz w:val="18"/>
    </w:rPr>
  </w:style>
  <w:style w:type="paragraph" w:customStyle="1" w:styleId="BoxHeading1">
    <w:name w:val="Box Heading 1"/>
    <w:basedOn w:val="BodyText"/>
    <w:next w:val="Box"/>
    <w:rsid w:val="00AA343E"/>
    <w:pPr>
      <w:keepNext/>
      <w:spacing w:before="200" w:line="280" w:lineRule="atLeast"/>
    </w:pPr>
    <w:rPr>
      <w:rFonts w:ascii="Arial" w:hAnsi="Arial"/>
      <w:b/>
      <w:sz w:val="22"/>
    </w:rPr>
  </w:style>
  <w:style w:type="paragraph" w:customStyle="1" w:styleId="BoxHeading2">
    <w:name w:val="Box Heading 2"/>
    <w:basedOn w:val="BoxHeading1"/>
    <w:next w:val="Normal"/>
    <w:rsid w:val="00AA343E"/>
    <w:rPr>
      <w:b w:val="0"/>
      <w:i/>
    </w:rPr>
  </w:style>
  <w:style w:type="paragraph" w:customStyle="1" w:styleId="BoxListBullet">
    <w:name w:val="Box List Bullet"/>
    <w:basedOn w:val="BodyText"/>
    <w:rsid w:val="00AA343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A343E"/>
    <w:pPr>
      <w:numPr>
        <w:numId w:val="2"/>
      </w:numPr>
      <w:ind w:left="568" w:hanging="284"/>
    </w:pPr>
  </w:style>
  <w:style w:type="paragraph" w:customStyle="1" w:styleId="BoxListNumber">
    <w:name w:val="Box List Number"/>
    <w:basedOn w:val="BodyText"/>
    <w:rsid w:val="00AA343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A343E"/>
    <w:pPr>
      <w:numPr>
        <w:ilvl w:val="1"/>
      </w:numPr>
      <w:ind w:left="681" w:hanging="397"/>
    </w:pPr>
  </w:style>
  <w:style w:type="paragraph" w:customStyle="1" w:styleId="BoxQuote">
    <w:name w:val="Box Quote"/>
    <w:basedOn w:val="BodyText"/>
    <w:next w:val="Box"/>
    <w:qFormat/>
    <w:rsid w:val="00AA343E"/>
    <w:pPr>
      <w:keepNext/>
      <w:spacing w:before="60" w:line="240" w:lineRule="exact"/>
      <w:ind w:left="284"/>
    </w:pPr>
    <w:rPr>
      <w:rFonts w:ascii="Arial" w:hAnsi="Arial"/>
      <w:sz w:val="18"/>
    </w:rPr>
  </w:style>
  <w:style w:type="paragraph" w:customStyle="1" w:styleId="Note">
    <w:name w:val="Note"/>
    <w:basedOn w:val="BodyText"/>
    <w:next w:val="BodyText"/>
    <w:rsid w:val="00AA343E"/>
    <w:pPr>
      <w:keepLines/>
      <w:spacing w:before="80" w:line="220" w:lineRule="exact"/>
    </w:pPr>
    <w:rPr>
      <w:rFonts w:ascii="Arial" w:hAnsi="Arial"/>
      <w:sz w:val="18"/>
    </w:rPr>
  </w:style>
  <w:style w:type="paragraph" w:customStyle="1" w:styleId="Source">
    <w:name w:val="Source"/>
    <w:basedOn w:val="Normal"/>
    <w:next w:val="BodyText"/>
    <w:rsid w:val="00AA343E"/>
    <w:pPr>
      <w:keepLines/>
      <w:spacing w:before="80" w:line="220" w:lineRule="exact"/>
      <w:jc w:val="both"/>
    </w:pPr>
    <w:rPr>
      <w:rFonts w:ascii="Arial" w:hAnsi="Arial"/>
      <w:sz w:val="18"/>
      <w:szCs w:val="20"/>
    </w:rPr>
  </w:style>
  <w:style w:type="paragraph" w:customStyle="1" w:styleId="BoxSource">
    <w:name w:val="Box Source"/>
    <w:basedOn w:val="Source"/>
    <w:next w:val="BodyText"/>
    <w:rsid w:val="00AA343E"/>
    <w:pPr>
      <w:spacing w:before="120"/>
    </w:pPr>
  </w:style>
  <w:style w:type="paragraph" w:customStyle="1" w:styleId="BoxSpace">
    <w:name w:val="Box Space"/>
    <w:basedOn w:val="BodyText"/>
    <w:rsid w:val="009B718A"/>
    <w:pPr>
      <w:keepNext/>
      <w:spacing w:before="360" w:line="80" w:lineRule="exact"/>
      <w:jc w:val="left"/>
    </w:pPr>
  </w:style>
  <w:style w:type="paragraph" w:styleId="Caption">
    <w:name w:val="caption"/>
    <w:basedOn w:val="Normal"/>
    <w:next w:val="BodyText"/>
    <w:rsid w:val="00AA343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A343E"/>
    <w:pPr>
      <w:spacing w:before="120" w:after="0"/>
    </w:pPr>
  </w:style>
  <w:style w:type="paragraph" w:customStyle="1" w:styleId="BoxSubtitle">
    <w:name w:val="Box Subtitle"/>
    <w:basedOn w:val="BoxTitle"/>
    <w:next w:val="Normal"/>
    <w:rsid w:val="00AA343E"/>
    <w:pPr>
      <w:spacing w:after="80" w:line="200" w:lineRule="exact"/>
      <w:ind w:firstLine="0"/>
    </w:pPr>
    <w:rPr>
      <w:b w:val="0"/>
      <w:sz w:val="20"/>
    </w:rPr>
  </w:style>
  <w:style w:type="paragraph" w:customStyle="1" w:styleId="ChapterSummary">
    <w:name w:val="Chapter Summary"/>
    <w:basedOn w:val="BodyText"/>
    <w:rsid w:val="00AA343E"/>
    <w:pPr>
      <w:spacing w:line="280" w:lineRule="atLeast"/>
      <w:ind w:left="907"/>
    </w:pPr>
    <w:rPr>
      <w:rFonts w:ascii="Arial" w:hAnsi="Arial"/>
      <w:b/>
      <w:sz w:val="20"/>
    </w:rPr>
  </w:style>
  <w:style w:type="character" w:styleId="CommentReference">
    <w:name w:val="annotation reference"/>
    <w:basedOn w:val="DefaultParagraphFont"/>
    <w:semiHidden/>
    <w:rsid w:val="00AA343E"/>
    <w:rPr>
      <w:b/>
      <w:vanish/>
      <w:color w:val="FF00FF"/>
      <w:sz w:val="20"/>
    </w:rPr>
  </w:style>
  <w:style w:type="paragraph" w:styleId="CommentText">
    <w:name w:val="annotation text"/>
    <w:basedOn w:val="Normal"/>
    <w:semiHidden/>
    <w:rsid w:val="00AA343E"/>
    <w:pPr>
      <w:spacing w:before="120" w:line="240" w:lineRule="atLeast"/>
      <w:ind w:left="567" w:hanging="567"/>
    </w:pPr>
    <w:rPr>
      <w:sz w:val="20"/>
    </w:rPr>
  </w:style>
  <w:style w:type="paragraph" w:customStyle="1" w:styleId="Continued">
    <w:name w:val="Continued"/>
    <w:basedOn w:val="BoxContinued"/>
    <w:next w:val="BodyText"/>
    <w:rsid w:val="00AA343E"/>
  </w:style>
  <w:style w:type="character" w:customStyle="1" w:styleId="DocumentInfo">
    <w:name w:val="Document Info"/>
    <w:basedOn w:val="DefaultParagraphFont"/>
    <w:semiHidden/>
    <w:rsid w:val="00AA343E"/>
    <w:rPr>
      <w:rFonts w:ascii="Arial" w:hAnsi="Arial"/>
      <w:sz w:val="14"/>
    </w:rPr>
  </w:style>
  <w:style w:type="character" w:customStyle="1" w:styleId="DraftingNote">
    <w:name w:val="Drafting Note"/>
    <w:basedOn w:val="DefaultParagraphFont"/>
    <w:rsid w:val="00AA343E"/>
    <w:rPr>
      <w:b/>
      <w:color w:val="FF0000"/>
      <w:sz w:val="24"/>
      <w:u w:val="dotted"/>
    </w:rPr>
  </w:style>
  <w:style w:type="paragraph" w:customStyle="1" w:styleId="Figure">
    <w:name w:val="Figure"/>
    <w:basedOn w:val="BodyText"/>
    <w:rsid w:val="00AA343E"/>
    <w:pPr>
      <w:keepNext/>
      <w:spacing w:before="120" w:after="120" w:line="240" w:lineRule="atLeast"/>
      <w:jc w:val="center"/>
    </w:pPr>
  </w:style>
  <w:style w:type="paragraph" w:customStyle="1" w:styleId="FigureTitle">
    <w:name w:val="Figure Title"/>
    <w:basedOn w:val="Caption"/>
    <w:next w:val="Subtitle"/>
    <w:rsid w:val="00AA343E"/>
    <w:pPr>
      <w:spacing w:before="120"/>
    </w:pPr>
  </w:style>
  <w:style w:type="paragraph" w:styleId="Subtitle">
    <w:name w:val="Subtitle"/>
    <w:basedOn w:val="Caption"/>
    <w:link w:val="SubtitleChar"/>
    <w:qFormat/>
    <w:rsid w:val="00AA343E"/>
    <w:pPr>
      <w:spacing w:before="0" w:line="200" w:lineRule="exact"/>
      <w:ind w:firstLine="0"/>
    </w:pPr>
    <w:rPr>
      <w:b w:val="0"/>
      <w:sz w:val="20"/>
    </w:rPr>
  </w:style>
  <w:style w:type="paragraph" w:customStyle="1" w:styleId="Finding">
    <w:name w:val="Finding"/>
    <w:basedOn w:val="BodyText"/>
    <w:rsid w:val="00AA343E"/>
    <w:pPr>
      <w:keepLines/>
      <w:spacing w:before="120" w:line="280" w:lineRule="atLeast"/>
    </w:pPr>
    <w:rPr>
      <w:rFonts w:ascii="Arial" w:hAnsi="Arial"/>
      <w:sz w:val="22"/>
    </w:rPr>
  </w:style>
  <w:style w:type="paragraph" w:customStyle="1" w:styleId="FindingBullet">
    <w:name w:val="Finding Bullet"/>
    <w:basedOn w:val="Finding"/>
    <w:rsid w:val="00AA343E"/>
    <w:pPr>
      <w:numPr>
        <w:numId w:val="3"/>
      </w:numPr>
      <w:spacing w:before="80"/>
    </w:pPr>
  </w:style>
  <w:style w:type="paragraph" w:customStyle="1" w:styleId="FindingNoTitle">
    <w:name w:val="Finding NoTitle"/>
    <w:basedOn w:val="Finding"/>
    <w:rsid w:val="00AA343E"/>
    <w:pPr>
      <w:spacing w:before="240"/>
    </w:pPr>
  </w:style>
  <w:style w:type="paragraph" w:customStyle="1" w:styleId="RecTitle">
    <w:name w:val="Rec Title"/>
    <w:basedOn w:val="BodyText"/>
    <w:next w:val="Rec"/>
    <w:qFormat/>
    <w:rsid w:val="00AA343E"/>
    <w:pPr>
      <w:keepNext/>
      <w:keepLines/>
      <w:spacing w:line="280" w:lineRule="atLeast"/>
    </w:pPr>
    <w:rPr>
      <w:rFonts w:ascii="Arial" w:hAnsi="Arial"/>
      <w:caps/>
      <w:sz w:val="18"/>
    </w:rPr>
  </w:style>
  <w:style w:type="paragraph" w:customStyle="1" w:styleId="FindingTitle">
    <w:name w:val="Finding Title"/>
    <w:basedOn w:val="RecTitle"/>
    <w:next w:val="Finding"/>
    <w:rsid w:val="00AA343E"/>
  </w:style>
  <w:style w:type="character" w:styleId="FootnoteReference">
    <w:name w:val="footnote reference"/>
    <w:basedOn w:val="DefaultParagraphFont"/>
    <w:semiHidden/>
    <w:rsid w:val="00AA343E"/>
    <w:rPr>
      <w:rFonts w:ascii="Times New Roman" w:hAnsi="Times New Roman"/>
      <w:position w:val="6"/>
      <w:sz w:val="20"/>
      <w:vertAlign w:val="baseline"/>
    </w:rPr>
  </w:style>
  <w:style w:type="paragraph" w:customStyle="1" w:styleId="InformationRequest">
    <w:name w:val="Information Request"/>
    <w:basedOn w:val="Finding"/>
    <w:next w:val="BodyText"/>
    <w:rsid w:val="00AA343E"/>
    <w:rPr>
      <w:i/>
    </w:rPr>
  </w:style>
  <w:style w:type="paragraph" w:customStyle="1" w:styleId="Jurisdictioncommentsbodytext">
    <w:name w:val="Jurisdiction comments body text"/>
    <w:rsid w:val="00AA343E"/>
    <w:pPr>
      <w:spacing w:after="140"/>
      <w:jc w:val="both"/>
    </w:pPr>
    <w:rPr>
      <w:rFonts w:ascii="Arial" w:hAnsi="Arial"/>
      <w:sz w:val="24"/>
      <w:lang w:eastAsia="en-US"/>
    </w:rPr>
  </w:style>
  <w:style w:type="paragraph" w:customStyle="1" w:styleId="Jurisdictioncommentsheading">
    <w:name w:val="Jurisdiction comments heading"/>
    <w:rsid w:val="00AA343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343E"/>
    <w:pPr>
      <w:numPr>
        <w:numId w:val="4"/>
      </w:numPr>
      <w:spacing w:after="140"/>
      <w:jc w:val="both"/>
    </w:pPr>
    <w:rPr>
      <w:rFonts w:ascii="Arial" w:hAnsi="Arial"/>
      <w:sz w:val="24"/>
      <w:lang w:eastAsia="en-US"/>
    </w:rPr>
  </w:style>
  <w:style w:type="paragraph" w:styleId="ListBullet">
    <w:name w:val="List Bullet"/>
    <w:basedOn w:val="BodyText"/>
    <w:rsid w:val="00AA343E"/>
    <w:pPr>
      <w:numPr>
        <w:numId w:val="5"/>
      </w:numPr>
      <w:spacing w:before="120"/>
    </w:pPr>
  </w:style>
  <w:style w:type="paragraph" w:styleId="ListBullet2">
    <w:name w:val="List Bullet 2"/>
    <w:basedOn w:val="BodyText"/>
    <w:rsid w:val="00AA343E"/>
    <w:pPr>
      <w:numPr>
        <w:numId w:val="6"/>
      </w:numPr>
      <w:spacing w:before="120"/>
    </w:pPr>
  </w:style>
  <w:style w:type="paragraph" w:styleId="ListBullet3">
    <w:name w:val="List Bullet 3"/>
    <w:basedOn w:val="BodyText"/>
    <w:rsid w:val="00AA343E"/>
    <w:pPr>
      <w:numPr>
        <w:numId w:val="7"/>
      </w:numPr>
      <w:spacing w:before="120"/>
      <w:ind w:left="1020" w:hanging="340"/>
    </w:pPr>
  </w:style>
  <w:style w:type="paragraph" w:styleId="ListNumber">
    <w:name w:val="List Number"/>
    <w:basedOn w:val="BodyText"/>
    <w:rsid w:val="00AA343E"/>
    <w:pPr>
      <w:numPr>
        <w:numId w:val="13"/>
      </w:numPr>
      <w:spacing w:before="120"/>
    </w:pPr>
  </w:style>
  <w:style w:type="paragraph" w:styleId="ListNumber2">
    <w:name w:val="List Number 2"/>
    <w:basedOn w:val="ListNumber"/>
    <w:rsid w:val="00AA343E"/>
    <w:pPr>
      <w:numPr>
        <w:ilvl w:val="1"/>
      </w:numPr>
    </w:pPr>
  </w:style>
  <w:style w:type="paragraph" w:styleId="ListNumber3">
    <w:name w:val="List Number 3"/>
    <w:basedOn w:val="ListNumber2"/>
    <w:rsid w:val="00AA343E"/>
    <w:pPr>
      <w:numPr>
        <w:ilvl w:val="2"/>
      </w:numPr>
    </w:pPr>
  </w:style>
  <w:style w:type="character" w:customStyle="1" w:styleId="NoteLabel">
    <w:name w:val="Note Label"/>
    <w:basedOn w:val="DefaultParagraphFont"/>
    <w:rsid w:val="00AA343E"/>
    <w:rPr>
      <w:rFonts w:ascii="Arial" w:hAnsi="Arial"/>
      <w:b/>
      <w:position w:val="6"/>
      <w:sz w:val="18"/>
    </w:rPr>
  </w:style>
  <w:style w:type="paragraph" w:customStyle="1" w:styleId="PartDivider">
    <w:name w:val="Part Divider"/>
    <w:basedOn w:val="BodyText"/>
    <w:next w:val="BodyText"/>
    <w:semiHidden/>
    <w:rsid w:val="00AA343E"/>
    <w:pPr>
      <w:spacing w:before="0" w:line="40" w:lineRule="exact"/>
      <w:jc w:val="right"/>
    </w:pPr>
    <w:rPr>
      <w:smallCaps/>
      <w:sz w:val="16"/>
    </w:rPr>
  </w:style>
  <w:style w:type="paragraph" w:customStyle="1" w:styleId="PartNumber">
    <w:name w:val="Part Number"/>
    <w:basedOn w:val="BodyText"/>
    <w:next w:val="BodyText"/>
    <w:semiHidden/>
    <w:rsid w:val="00AA343E"/>
    <w:pPr>
      <w:spacing w:before="4000" w:line="320" w:lineRule="exact"/>
      <w:ind w:left="6634"/>
      <w:jc w:val="right"/>
    </w:pPr>
    <w:rPr>
      <w:smallCaps/>
      <w:spacing w:val="60"/>
      <w:sz w:val="32"/>
    </w:rPr>
  </w:style>
  <w:style w:type="paragraph" w:customStyle="1" w:styleId="PartTitle">
    <w:name w:val="Part Title"/>
    <w:basedOn w:val="BodyText"/>
    <w:semiHidden/>
    <w:rsid w:val="00AA343E"/>
    <w:pPr>
      <w:spacing w:before="160" w:after="1360" w:line="520" w:lineRule="exact"/>
      <w:ind w:right="2381"/>
      <w:jc w:val="right"/>
    </w:pPr>
    <w:rPr>
      <w:smallCaps/>
      <w:sz w:val="52"/>
    </w:rPr>
  </w:style>
  <w:style w:type="paragraph" w:styleId="Quote">
    <w:name w:val="Quote"/>
    <w:basedOn w:val="BodyText"/>
    <w:next w:val="BodyText"/>
    <w:qFormat/>
    <w:rsid w:val="00AA343E"/>
    <w:pPr>
      <w:spacing w:before="120" w:line="280" w:lineRule="exact"/>
      <w:ind w:left="340"/>
    </w:pPr>
    <w:rPr>
      <w:sz w:val="22"/>
    </w:rPr>
  </w:style>
  <w:style w:type="paragraph" w:customStyle="1" w:styleId="QuoteBullet">
    <w:name w:val="Quote Bullet"/>
    <w:basedOn w:val="Quote"/>
    <w:rsid w:val="00AA343E"/>
    <w:pPr>
      <w:numPr>
        <w:numId w:val="8"/>
      </w:numPr>
    </w:pPr>
  </w:style>
  <w:style w:type="paragraph" w:customStyle="1" w:styleId="Rec">
    <w:name w:val="Rec"/>
    <w:basedOn w:val="BodyText"/>
    <w:qFormat/>
    <w:rsid w:val="00AA343E"/>
    <w:pPr>
      <w:keepLines/>
      <w:spacing w:before="120" w:line="280" w:lineRule="atLeast"/>
    </w:pPr>
    <w:rPr>
      <w:rFonts w:ascii="Arial" w:hAnsi="Arial"/>
      <w:sz w:val="22"/>
    </w:rPr>
  </w:style>
  <w:style w:type="paragraph" w:customStyle="1" w:styleId="RecBullet">
    <w:name w:val="Rec Bullet"/>
    <w:basedOn w:val="Rec"/>
    <w:rsid w:val="00AA343E"/>
    <w:pPr>
      <w:numPr>
        <w:numId w:val="9"/>
      </w:numPr>
      <w:spacing w:before="80"/>
    </w:pPr>
  </w:style>
  <w:style w:type="paragraph" w:customStyle="1" w:styleId="RecB">
    <w:name w:val="RecB"/>
    <w:basedOn w:val="Normal"/>
    <w:rsid w:val="00AA343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A343E"/>
    <w:pPr>
      <w:numPr>
        <w:numId w:val="10"/>
      </w:numPr>
      <w:spacing w:before="80"/>
    </w:pPr>
  </w:style>
  <w:style w:type="paragraph" w:customStyle="1" w:styleId="RecBNoTitle">
    <w:name w:val="RecB NoTitle"/>
    <w:basedOn w:val="RecB"/>
    <w:rsid w:val="00AA343E"/>
    <w:pPr>
      <w:spacing w:before="240"/>
    </w:pPr>
  </w:style>
  <w:style w:type="paragraph" w:customStyle="1" w:styleId="Reference">
    <w:name w:val="Reference"/>
    <w:basedOn w:val="BodyText"/>
    <w:rsid w:val="00AA343E"/>
    <w:pPr>
      <w:spacing w:before="120"/>
      <w:ind w:left="340" w:hanging="340"/>
    </w:pPr>
  </w:style>
  <w:style w:type="paragraph" w:customStyle="1" w:styleId="SequenceInfo">
    <w:name w:val="Sequence Info"/>
    <w:basedOn w:val="BodyText"/>
    <w:semiHidden/>
    <w:rsid w:val="00AA343E"/>
    <w:rPr>
      <w:vanish/>
      <w:sz w:val="16"/>
    </w:rPr>
  </w:style>
  <w:style w:type="paragraph" w:customStyle="1" w:styleId="SideNote">
    <w:name w:val="Side Note"/>
    <w:basedOn w:val="BodyText"/>
    <w:next w:val="BodyText"/>
    <w:semiHidden/>
    <w:rsid w:val="00AA343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343E"/>
    <w:pPr>
      <w:framePr w:wrap="around"/>
      <w:numPr>
        <w:numId w:val="11"/>
      </w:numPr>
      <w:tabs>
        <w:tab w:val="left" w:pos="227"/>
      </w:tabs>
    </w:pPr>
  </w:style>
  <w:style w:type="paragraph" w:customStyle="1" w:styleId="SideNoteGraphic">
    <w:name w:val="Side Note Graphic"/>
    <w:basedOn w:val="SideNote"/>
    <w:next w:val="BodyText"/>
    <w:semiHidden/>
    <w:rsid w:val="00AA343E"/>
    <w:pPr>
      <w:framePr w:wrap="around"/>
    </w:pPr>
  </w:style>
  <w:style w:type="paragraph" w:customStyle="1" w:styleId="TableBodyText">
    <w:name w:val="Table Body Text"/>
    <w:basedOn w:val="BodyText"/>
    <w:link w:val="TableBodyTextChar"/>
    <w:rsid w:val="00AA343E"/>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AA343E"/>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AA343E"/>
    <w:pPr>
      <w:spacing w:before="80" w:after="80"/>
    </w:pPr>
    <w:rPr>
      <w:i/>
    </w:rPr>
  </w:style>
  <w:style w:type="paragraph" w:styleId="TOC2">
    <w:name w:val="toc 2"/>
    <w:basedOn w:val="TOC1"/>
    <w:rsid w:val="00AA343E"/>
    <w:pPr>
      <w:ind w:left="1134" w:hanging="624"/>
    </w:pPr>
    <w:rPr>
      <w:b w:val="0"/>
    </w:rPr>
  </w:style>
  <w:style w:type="paragraph" w:styleId="TOC3">
    <w:name w:val="toc 3"/>
    <w:basedOn w:val="TOC2"/>
    <w:rsid w:val="00AA343E"/>
    <w:pPr>
      <w:spacing w:before="60"/>
      <w:ind w:left="1190" w:hanging="680"/>
    </w:pPr>
  </w:style>
  <w:style w:type="paragraph" w:styleId="TableofFigures">
    <w:name w:val="table of figures"/>
    <w:basedOn w:val="TOC3"/>
    <w:next w:val="BodyText"/>
    <w:semiHidden/>
    <w:rsid w:val="00AA343E"/>
    <w:pPr>
      <w:ind w:left="737" w:hanging="737"/>
    </w:pPr>
  </w:style>
  <w:style w:type="paragraph" w:customStyle="1" w:styleId="TableTitle">
    <w:name w:val="Table Title"/>
    <w:basedOn w:val="Caption"/>
    <w:next w:val="Subtitle"/>
    <w:qFormat/>
    <w:rsid w:val="00AA343E"/>
    <w:pPr>
      <w:spacing w:before="120"/>
    </w:pPr>
  </w:style>
  <w:style w:type="paragraph" w:customStyle="1" w:styleId="TableUnitsRow">
    <w:name w:val="Table Units Row"/>
    <w:basedOn w:val="TableBodyText"/>
    <w:rsid w:val="00AA343E"/>
    <w:pPr>
      <w:spacing w:before="40"/>
    </w:pPr>
  </w:style>
  <w:style w:type="paragraph" w:styleId="TOC1">
    <w:name w:val="toc 1"/>
    <w:basedOn w:val="Normal"/>
    <w:next w:val="TOC2"/>
    <w:link w:val="TOC1Char"/>
    <w:rsid w:val="00AA343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A343E"/>
    <w:pPr>
      <w:ind w:left="1191" w:firstLine="0"/>
    </w:pPr>
  </w:style>
  <w:style w:type="table" w:styleId="TableGrid">
    <w:name w:val="Table Grid"/>
    <w:basedOn w:val="TableNormal"/>
    <w:rsid w:val="00AA3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AA343E"/>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AA343E"/>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character" w:customStyle="1" w:styleId="SubtitleChar">
    <w:name w:val="Subtitle Char"/>
    <w:basedOn w:val="DefaultParagraphFont"/>
    <w:link w:val="Subtitle"/>
    <w:rsid w:val="00AA343E"/>
    <w:rPr>
      <w:rFonts w:ascii="Arial" w:hAnsi="Arial"/>
      <w:szCs w:val="24"/>
    </w:rPr>
  </w:style>
  <w:style w:type="paragraph" w:customStyle="1" w:styleId="RecBBullet2">
    <w:name w:val="RecB Bullet 2"/>
    <w:basedOn w:val="ListBullet2"/>
    <w:semiHidden/>
    <w:rsid w:val="00AA343E"/>
    <w:pPr>
      <w:pBdr>
        <w:left w:val="single" w:sz="24" w:space="29" w:color="C0C0C0"/>
      </w:pBdr>
    </w:pPr>
    <w:rPr>
      <w:b/>
      <w:i/>
    </w:rPr>
  </w:style>
  <w:style w:type="character" w:customStyle="1" w:styleId="BalloonTextChar">
    <w:name w:val="Balloon Text Char"/>
    <w:basedOn w:val="DefaultParagraphFont"/>
    <w:link w:val="BalloonText"/>
    <w:rsid w:val="00AA343E"/>
    <w:rPr>
      <w:rFonts w:ascii="Tahoma" w:hAnsi="Tahoma" w:cs="Tahoma"/>
      <w:sz w:val="16"/>
      <w:szCs w:val="16"/>
    </w:rPr>
  </w:style>
  <w:style w:type="paragraph" w:customStyle="1" w:styleId="BoxListBullet3">
    <w:name w:val="Box List Bullet 3"/>
    <w:basedOn w:val="ListBullet3"/>
    <w:rsid w:val="00AA343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343E"/>
    <w:rPr>
      <w:i/>
      <w:iCs/>
    </w:rPr>
  </w:style>
  <w:style w:type="paragraph" w:customStyle="1" w:styleId="BoxQuoteBullet">
    <w:name w:val="Box Quote Bullet"/>
    <w:basedOn w:val="BoxQuote"/>
    <w:next w:val="Box"/>
    <w:rsid w:val="00AA343E"/>
    <w:pPr>
      <w:numPr>
        <w:numId w:val="15"/>
      </w:numPr>
      <w:ind w:left="568" w:hanging="284"/>
    </w:pPr>
  </w:style>
  <w:style w:type="paragraph" w:customStyle="1" w:styleId="InformationRequestBullet">
    <w:name w:val="Information Request Bullet"/>
    <w:basedOn w:val="ListBullet"/>
    <w:next w:val="BodyText"/>
    <w:rsid w:val="00AA343E"/>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AA343E"/>
    <w:pPr>
      <w:keepNext/>
      <w:spacing w:before="360" w:line="80" w:lineRule="exact"/>
      <w:jc w:val="left"/>
    </w:pPr>
  </w:style>
  <w:style w:type="paragraph" w:customStyle="1" w:styleId="BoxSpaceBelow">
    <w:name w:val="Box Space Below"/>
    <w:basedOn w:val="Box"/>
    <w:rsid w:val="00AA343E"/>
    <w:pPr>
      <w:keepNext w:val="0"/>
      <w:spacing w:before="60" w:after="60" w:line="80" w:lineRule="exact"/>
    </w:pPr>
    <w:rPr>
      <w:sz w:val="14"/>
    </w:rPr>
  </w:style>
  <w:style w:type="character" w:styleId="PlaceholderText">
    <w:name w:val="Placeholder Text"/>
    <w:basedOn w:val="DefaultParagraphFont"/>
    <w:uiPriority w:val="99"/>
    <w:semiHidden/>
    <w:rsid w:val="00454B67"/>
    <w:rPr>
      <w:color w:val="808080"/>
    </w:rPr>
  </w:style>
  <w:style w:type="paragraph" w:customStyle="1" w:styleId="KeyPointsListBullet">
    <w:name w:val="Key Points List Bullet"/>
    <w:basedOn w:val="Normal"/>
    <w:qFormat/>
    <w:rsid w:val="00AA343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343E"/>
    <w:pPr>
      <w:numPr>
        <w:numId w:val="19"/>
      </w:numPr>
      <w:ind w:left="568" w:hanging="284"/>
    </w:pPr>
  </w:style>
  <w:style w:type="paragraph" w:customStyle="1" w:styleId="InformationRequestTitle">
    <w:name w:val="Information Request Title"/>
    <w:basedOn w:val="FindingTitle"/>
    <w:next w:val="InformationRequest"/>
    <w:rsid w:val="00AA343E"/>
    <w:rPr>
      <w:i/>
    </w:rPr>
  </w:style>
  <w:style w:type="paragraph" w:customStyle="1" w:styleId="Space">
    <w:name w:val="Space"/>
    <w:basedOn w:val="Normal"/>
    <w:rsid w:val="00AA343E"/>
    <w:pPr>
      <w:keepNext/>
      <w:spacing w:line="120" w:lineRule="exact"/>
      <w:jc w:val="both"/>
    </w:pPr>
    <w:rPr>
      <w:rFonts w:ascii="Arial" w:hAnsi="Arial"/>
      <w:sz w:val="20"/>
      <w:szCs w:val="20"/>
    </w:rPr>
  </w:style>
  <w:style w:type="paragraph" w:customStyle="1" w:styleId="Heading1nochapterno">
    <w:name w:val="Heading 1 (no chapter no.)"/>
    <w:basedOn w:val="Heading1"/>
    <w:rsid w:val="00AA343E"/>
    <w:pPr>
      <w:spacing w:before="0"/>
      <w:ind w:left="0" w:firstLine="0"/>
    </w:pPr>
  </w:style>
  <w:style w:type="paragraph" w:customStyle="1" w:styleId="Heading2nosectionno">
    <w:name w:val="Heading 2 (no section no.)"/>
    <w:basedOn w:val="Heading2"/>
    <w:rsid w:val="00AA343E"/>
    <w:pPr>
      <w:ind w:left="0" w:firstLine="0"/>
    </w:pPr>
  </w:style>
  <w:style w:type="character" w:customStyle="1" w:styleId="Heading5Char">
    <w:name w:val="Heading 5 Char"/>
    <w:basedOn w:val="DefaultParagraphFont"/>
    <w:link w:val="Heading5"/>
    <w:rsid w:val="00AA343E"/>
    <w:rPr>
      <w:rFonts w:ascii="Arial" w:hAnsi="Arial"/>
      <w:i/>
      <w:sz w:val="22"/>
    </w:rPr>
  </w:style>
  <w:style w:type="paragraph" w:customStyle="1" w:styleId="Figurespace">
    <w:name w:val="Figure space"/>
    <w:basedOn w:val="Box"/>
    <w:rsid w:val="00AA343E"/>
    <w:pPr>
      <w:spacing w:before="0" w:line="120" w:lineRule="exact"/>
    </w:pPr>
  </w:style>
  <w:style w:type="paragraph" w:customStyle="1" w:styleId="FooterDraftReport">
    <w:name w:val="FooterDraftReport"/>
    <w:basedOn w:val="Footer"/>
    <w:link w:val="FooterDraftReportChar"/>
    <w:rsid w:val="00AA343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A343E"/>
    <w:rPr>
      <w:rFonts w:ascii="Arial" w:hAnsi="Arial"/>
      <w:caps/>
      <w:spacing w:val="-4"/>
      <w:sz w:val="16"/>
    </w:rPr>
  </w:style>
  <w:style w:type="character" w:customStyle="1" w:styleId="FooterDraftReportChar">
    <w:name w:val="FooterDraftReport Char"/>
    <w:basedOn w:val="FooterChar"/>
    <w:link w:val="FooterDraftReport"/>
    <w:rsid w:val="00AA343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A343E"/>
    <w:rPr>
      <w:rFonts w:ascii="Arial" w:hAnsi="Arial"/>
      <w:b/>
      <w:sz w:val="26"/>
      <w:szCs w:val="26"/>
      <w:lang w:eastAsia="en-US"/>
    </w:rPr>
  </w:style>
  <w:style w:type="paragraph" w:customStyle="1" w:styleId="DQIContentsTitle">
    <w:name w:val="DQI Contents Title"/>
    <w:basedOn w:val="Heading5"/>
    <w:next w:val="TOC3"/>
    <w:rsid w:val="00EF4AA6"/>
    <w:rPr>
      <w:b/>
      <w:i w:val="0"/>
      <w:sz w:val="24"/>
      <w:szCs w:val="24"/>
    </w:rPr>
  </w:style>
  <w:style w:type="paragraph" w:customStyle="1" w:styleId="Heading1NotTOC">
    <w:name w:val="Heading 1 Not TOC"/>
    <w:basedOn w:val="Heading1"/>
    <w:next w:val="BodyText"/>
    <w:rsid w:val="00EF4AA6"/>
    <w:rPr>
      <w:kern w:val="28"/>
      <w:szCs w:val="26"/>
      <w:lang w:eastAsia="en-US"/>
    </w:rPr>
  </w:style>
  <w:style w:type="paragraph" w:customStyle="1" w:styleId="PCTableOfContents1">
    <w:name w:val="*PCTableOfContents1"/>
    <w:rsid w:val="00EF4AA6"/>
    <w:rPr>
      <w:noProof/>
      <w:sz w:val="3276"/>
    </w:rPr>
  </w:style>
  <w:style w:type="paragraph" w:customStyle="1" w:styleId="DQIMainRowHeadings">
    <w:name w:val="DQI Main Row Headings"/>
    <w:basedOn w:val="Normal"/>
    <w:next w:val="Normal"/>
    <w:rsid w:val="00EF4AA6"/>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EF4AA6"/>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EF4AA6"/>
    <w:pPr>
      <w:spacing w:before="120" w:after="0"/>
      <w:ind w:left="0" w:right="0"/>
      <w:jc w:val="both"/>
    </w:pPr>
  </w:style>
  <w:style w:type="paragraph" w:customStyle="1" w:styleId="DQITableBullet">
    <w:name w:val="DQI Table Bullet"/>
    <w:basedOn w:val="TableBullet"/>
    <w:rsid w:val="001D0765"/>
    <w:pPr>
      <w:tabs>
        <w:tab w:val="clear" w:pos="170"/>
      </w:tabs>
      <w:spacing w:before="40" w:after="0"/>
      <w:jc w:val="both"/>
    </w:pPr>
  </w:style>
  <w:style w:type="paragraph" w:customStyle="1" w:styleId="DQITableBullet2">
    <w:name w:val="DQI Table Bullet 2"/>
    <w:basedOn w:val="DQITableBullet"/>
    <w:rsid w:val="001D0765"/>
    <w:pPr>
      <w:numPr>
        <w:numId w:val="20"/>
      </w:numPr>
      <w:ind w:left="340" w:hanging="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BBA06-537D-4052-927F-8786B012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TotalTime>
  <Pages>8</Pages>
  <Words>3137</Words>
  <Characters>18520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DQI D Emergency management - Report on Government Services 2016</vt:lpstr>
    </vt:vector>
  </TitlesOfParts>
  <Manager/>
  <Company>Productivity Commission</Company>
  <LinksUpToDate>false</LinksUpToDate>
  <CharactersWithSpaces>21614</CharactersWithSpaces>
  <SharedDoc>false</SharedDoc>
  <HLinks>
    <vt:vector size="60" baseType="variant">
      <vt:variant>
        <vt:i4>4194361</vt:i4>
      </vt:variant>
      <vt:variant>
        <vt:i4>60</vt:i4>
      </vt:variant>
      <vt:variant>
        <vt:i4>0</vt:i4>
      </vt:variant>
      <vt:variant>
        <vt:i4>5</vt:i4>
      </vt:variant>
      <vt:variant>
        <vt:lpwstr>http://knowledgeweb.afac.com.au/national_data__and__glossary/national_data/data_requests</vt:lpwstr>
      </vt:variant>
      <vt:variant>
        <vt:lpwstr/>
      </vt:variant>
      <vt:variant>
        <vt:i4>5308504</vt:i4>
      </vt:variant>
      <vt:variant>
        <vt:i4>57</vt:i4>
      </vt:variant>
      <vt:variant>
        <vt:i4>0</vt:i4>
      </vt:variant>
      <vt:variant>
        <vt:i4>5</vt:i4>
      </vt:variant>
      <vt:variant>
        <vt:lpwstr>http://www.abs.gov.au/websitedbs/d3310114.nsf/4a256353001af3ed4b2562bb00121564/10ca14cb967e5b83ca2573ae00197b65!OpenDocument</vt:lpwstr>
      </vt:variant>
      <vt:variant>
        <vt:lpwstr/>
      </vt:variant>
      <vt:variant>
        <vt:i4>5505073</vt:i4>
      </vt:variant>
      <vt:variant>
        <vt:i4>54</vt:i4>
      </vt:variant>
      <vt:variant>
        <vt:i4>0</vt:i4>
      </vt:variant>
      <vt:variant>
        <vt:i4>5</vt:i4>
      </vt:variant>
      <vt:variant>
        <vt:lpwstr>http://knowledgeweb.afac.com.au/national_data__and__glossary</vt:lpwstr>
      </vt:variant>
      <vt:variant>
        <vt:lpwstr/>
      </vt:variant>
      <vt:variant>
        <vt:i4>4194361</vt:i4>
      </vt:variant>
      <vt:variant>
        <vt:i4>36</vt:i4>
      </vt:variant>
      <vt:variant>
        <vt:i4>0</vt:i4>
      </vt:variant>
      <vt:variant>
        <vt:i4>5</vt:i4>
      </vt:variant>
      <vt:variant>
        <vt:lpwstr>http://knowledgeweb.afac.com.au/national_data__and__glossary/national_data/data_requests</vt:lpwstr>
      </vt:variant>
      <vt:variant>
        <vt:lpwstr/>
      </vt:variant>
      <vt:variant>
        <vt:i4>5505073</vt:i4>
      </vt:variant>
      <vt:variant>
        <vt:i4>33</vt:i4>
      </vt:variant>
      <vt:variant>
        <vt:i4>0</vt:i4>
      </vt:variant>
      <vt:variant>
        <vt:i4>5</vt:i4>
      </vt:variant>
      <vt:variant>
        <vt:lpwstr>http://knowledgeweb.afac.com.au/national_data__and__glossary</vt:lpwstr>
      </vt:variant>
      <vt:variant>
        <vt:lpwstr/>
      </vt:variant>
      <vt:variant>
        <vt:i4>1507389</vt:i4>
      </vt:variant>
      <vt:variant>
        <vt:i4>26</vt:i4>
      </vt:variant>
      <vt:variant>
        <vt:i4>0</vt:i4>
      </vt:variant>
      <vt:variant>
        <vt:i4>5</vt:i4>
      </vt:variant>
      <vt:variant>
        <vt:lpwstr/>
      </vt:variant>
      <vt:variant>
        <vt:lpwstr>_Toc314226855</vt:lpwstr>
      </vt:variant>
      <vt:variant>
        <vt:i4>1507389</vt:i4>
      </vt:variant>
      <vt:variant>
        <vt:i4>20</vt:i4>
      </vt:variant>
      <vt:variant>
        <vt:i4>0</vt:i4>
      </vt:variant>
      <vt:variant>
        <vt:i4>5</vt:i4>
      </vt:variant>
      <vt:variant>
        <vt:lpwstr/>
      </vt:variant>
      <vt:variant>
        <vt:lpwstr>_Toc314226854</vt:lpwstr>
      </vt:variant>
      <vt:variant>
        <vt:i4>1507389</vt:i4>
      </vt:variant>
      <vt:variant>
        <vt:i4>14</vt:i4>
      </vt:variant>
      <vt:variant>
        <vt:i4>0</vt:i4>
      </vt:variant>
      <vt:variant>
        <vt:i4>5</vt:i4>
      </vt:variant>
      <vt:variant>
        <vt:lpwstr/>
      </vt:variant>
      <vt:variant>
        <vt:lpwstr>_Toc314226853</vt:lpwstr>
      </vt:variant>
      <vt:variant>
        <vt:i4>1507389</vt:i4>
      </vt:variant>
      <vt:variant>
        <vt:i4>8</vt:i4>
      </vt:variant>
      <vt:variant>
        <vt:i4>0</vt:i4>
      </vt:variant>
      <vt:variant>
        <vt:i4>5</vt:i4>
      </vt:variant>
      <vt:variant>
        <vt:lpwstr/>
      </vt:variant>
      <vt:variant>
        <vt:lpwstr>_Toc314226852</vt:lpwstr>
      </vt:variant>
      <vt:variant>
        <vt:i4>1507389</vt:i4>
      </vt:variant>
      <vt:variant>
        <vt:i4>2</vt:i4>
      </vt:variant>
      <vt:variant>
        <vt:i4>0</vt:i4>
      </vt:variant>
      <vt:variant>
        <vt:i4>5</vt:i4>
      </vt:variant>
      <vt:variant>
        <vt:lpwstr/>
      </vt:variant>
      <vt:variant>
        <vt:lpwstr>_Toc314226851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D Emergency management - Report on Government Services 2016</dc:title>
  <dc:subject/>
  <dc:creator>Steering Committee for the Review of Government Service Provision</dc:creator>
  <cp:lastModifiedBy>Frech, Tanya</cp:lastModifiedBy>
  <cp:revision>5</cp:revision>
  <cp:lastPrinted>2015-12-17T00:13:00Z</cp:lastPrinted>
  <dcterms:created xsi:type="dcterms:W3CDTF">2015-11-29T23:39:00Z</dcterms:created>
  <dcterms:modified xsi:type="dcterms:W3CDTF">2015-12-20T23:58:00Z</dcterms:modified>
</cp:coreProperties>
</file>