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9D0" w:rsidRDefault="00BD19D0" w:rsidP="00AA0B0F">
      <w:pPr>
        <w:pStyle w:val="Heading2nosectionno"/>
      </w:pPr>
      <w:bookmarkStart w:id="0" w:name="_Toc280015402"/>
      <w:bookmarkStart w:id="1" w:name="_Toc280015491"/>
      <w:bookmarkStart w:id="2" w:name="_Toc280016081"/>
      <w:bookmarkStart w:id="3" w:name="_Toc280016442"/>
      <w:bookmarkStart w:id="4" w:name="_Toc280709305"/>
      <w:bookmarkStart w:id="5" w:name="_Toc280712990"/>
      <w:bookmarkStart w:id="6" w:name="_Toc280713021"/>
      <w:bookmarkStart w:id="7" w:name="_Toc280713060"/>
      <w:bookmarkStart w:id="8" w:name="_Toc280713097"/>
      <w:bookmarkStart w:id="9" w:name="_Toc282010970"/>
      <w:bookmarkStart w:id="10" w:name="_Toc304368707"/>
      <w:bookmarkStart w:id="11" w:name="_Toc306799254"/>
      <w:bookmarkStart w:id="12" w:name="_Toc306799663"/>
      <w:bookmarkStart w:id="13" w:name="_Toc309749204"/>
      <w:bookmarkStart w:id="14" w:name="_Toc370457793"/>
      <w:bookmarkStart w:id="15" w:name="_Toc398732469"/>
      <w:bookmarkStart w:id="16" w:name="_Toc398732545"/>
      <w:bookmarkStart w:id="17" w:name="_Toc398732649"/>
      <w:bookmarkStart w:id="18" w:name="_Toc398732740"/>
      <w:bookmarkStart w:id="19" w:name="_Toc398801877"/>
      <w:bookmarkStart w:id="20" w:name="_Toc398808735"/>
      <w:bookmarkStart w:id="21" w:name="_Toc398816105"/>
      <w:bookmarkStart w:id="22" w:name="_Toc278287349"/>
      <w:r>
        <w:t>Data q</w:t>
      </w:r>
      <w:r w:rsidRPr="00A05229">
        <w:t xml:space="preserve">uality </w:t>
      </w:r>
      <w:r>
        <w:t>i</w:t>
      </w:r>
      <w:r w:rsidRPr="00A05229">
        <w:t xml:space="preserve">nformation — </w:t>
      </w:r>
      <w:r w:rsidR="00A05A81">
        <w:t>Fire</w:t>
      </w:r>
      <w:r w:rsidR="00907609">
        <w:t xml:space="preserve"> </w:t>
      </w:r>
      <w:r w:rsidR="00A05A81">
        <w:t>and ambulance</w:t>
      </w:r>
      <w:r w:rsidR="00907609">
        <w:t xml:space="preserve"> services</w:t>
      </w:r>
      <w:r>
        <w:t>,</w:t>
      </w:r>
      <w:r w:rsidRPr="00A05229">
        <w:t xml:space="preserve"> chapter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00FB72DD">
        <w:t>9</w:t>
      </w:r>
    </w:p>
    <w:p w:rsidR="00162EBE" w:rsidRDefault="00162EBE" w:rsidP="00162EB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62EBE" w:rsidTr="00162EBE">
        <w:tc>
          <w:tcPr>
            <w:tcW w:w="8771" w:type="dxa"/>
            <w:tcBorders>
              <w:top w:val="single" w:sz="6" w:space="0" w:color="78A22F"/>
              <w:left w:val="nil"/>
              <w:bottom w:val="nil"/>
              <w:right w:val="nil"/>
            </w:tcBorders>
            <w:shd w:val="clear" w:color="auto" w:fill="F2F2F2" w:themeFill="background1" w:themeFillShade="F2"/>
          </w:tcPr>
          <w:p w:rsidR="00162EBE" w:rsidRDefault="00162EBE" w:rsidP="004D4FF5">
            <w:pPr>
              <w:pStyle w:val="BoxTitle"/>
            </w:pPr>
            <w:r w:rsidRPr="00461B8A">
              <w:t xml:space="preserve">Data quality information </w:t>
            </w:r>
          </w:p>
        </w:tc>
      </w:tr>
      <w:tr w:rsidR="00162EBE" w:rsidTr="00162EBE">
        <w:trPr>
          <w:cantSplit/>
        </w:trPr>
        <w:tc>
          <w:tcPr>
            <w:tcW w:w="8771" w:type="dxa"/>
            <w:tcBorders>
              <w:top w:val="nil"/>
              <w:left w:val="nil"/>
              <w:bottom w:val="nil"/>
              <w:right w:val="nil"/>
            </w:tcBorders>
            <w:shd w:val="clear" w:color="auto" w:fill="F2F2F2" w:themeFill="background1" w:themeFillShade="F2"/>
          </w:tcPr>
          <w:p w:rsidR="00AA0B0F" w:rsidRDefault="00AA0B0F" w:rsidP="00AA0B0F">
            <w:pPr>
              <w:pStyle w:val="Box"/>
            </w:pPr>
            <w:r>
              <w:t>Data quality information (</w:t>
            </w:r>
            <w:proofErr w:type="spellStart"/>
            <w:r>
              <w:t>DQI</w:t>
            </w:r>
            <w:proofErr w:type="spellEnd"/>
            <w:r>
              <w:t xml:space="preserve">) provides information against the seven </w:t>
            </w:r>
            <w:r w:rsidR="00180ECD" w:rsidRPr="00180ECD">
              <w:t>Australian Bureau of Statistics</w:t>
            </w:r>
            <w:r w:rsidR="00180ECD">
              <w:t xml:space="preserve"> (</w:t>
            </w:r>
            <w:r>
              <w:t>ABS</w:t>
            </w:r>
            <w:r w:rsidR="00180ECD">
              <w:t>)</w:t>
            </w:r>
            <w:r>
              <w:t xml:space="preserve"> data quality framework dimensions, for </w:t>
            </w:r>
            <w:r w:rsidRPr="00AA0B0F">
              <w:t xml:space="preserve">a selection of </w:t>
            </w:r>
            <w:r>
              <w:t xml:space="preserve">performance indicators and/or measures in the Fire and ambulance services chapter. </w:t>
            </w:r>
            <w:proofErr w:type="spellStart"/>
            <w:r w:rsidRPr="00AA0B0F">
              <w:t>DQI</w:t>
            </w:r>
            <w:proofErr w:type="spellEnd"/>
            <w:r w:rsidRPr="00AA0B0F">
              <w:t xml:space="preserve"> for additional indicators will be progressively introduced in future reports.</w:t>
            </w:r>
          </w:p>
          <w:p w:rsidR="00AA0B0F" w:rsidRDefault="00AA0B0F" w:rsidP="00AA0B0F">
            <w:pPr>
              <w:pStyle w:val="Box"/>
            </w:pPr>
            <w:r>
              <w:t xml:space="preserve">Technical </w:t>
            </w:r>
            <w:proofErr w:type="spellStart"/>
            <w:r>
              <w:t>DQI</w:t>
            </w:r>
            <w:proofErr w:type="spellEnd"/>
            <w:r>
              <w:t xml:space="preserve"> has been supplied or agreed by relevant data providers. Additional Steering Committee commentary does not necessarily reflect the views of data providers.</w:t>
            </w:r>
          </w:p>
        </w:tc>
      </w:tr>
      <w:tr w:rsidR="00162EBE" w:rsidTr="00162EBE">
        <w:trPr>
          <w:cantSplit/>
        </w:trPr>
        <w:tc>
          <w:tcPr>
            <w:tcW w:w="8771" w:type="dxa"/>
            <w:tcBorders>
              <w:top w:val="nil"/>
              <w:left w:val="nil"/>
              <w:bottom w:val="single" w:sz="6" w:space="0" w:color="78A22F"/>
              <w:right w:val="nil"/>
            </w:tcBorders>
            <w:shd w:val="clear" w:color="auto" w:fill="F2F2F2" w:themeFill="background1" w:themeFillShade="F2"/>
          </w:tcPr>
          <w:p w:rsidR="00162EBE" w:rsidRDefault="00162EBE" w:rsidP="00162EBE">
            <w:pPr>
              <w:pStyle w:val="Box"/>
              <w:spacing w:before="0" w:line="120" w:lineRule="exact"/>
            </w:pPr>
          </w:p>
        </w:tc>
      </w:tr>
      <w:tr w:rsidR="00162EBE" w:rsidRPr="000863A5" w:rsidTr="00162EBE">
        <w:tc>
          <w:tcPr>
            <w:tcW w:w="8771" w:type="dxa"/>
            <w:tcBorders>
              <w:top w:val="single" w:sz="6" w:space="0" w:color="78A22F"/>
              <w:left w:val="nil"/>
              <w:bottom w:val="nil"/>
              <w:right w:val="nil"/>
            </w:tcBorders>
          </w:tcPr>
          <w:p w:rsidR="00162EBE" w:rsidRPr="00626D32" w:rsidRDefault="00162EBE" w:rsidP="00162EBE">
            <w:pPr>
              <w:pStyle w:val="BoxSpaceBelow"/>
            </w:pPr>
          </w:p>
        </w:tc>
      </w:tr>
    </w:tbl>
    <w:p w:rsidR="00162EBE" w:rsidRPr="006C3FB6" w:rsidRDefault="006C73F3" w:rsidP="006C73F3">
      <w:pPr>
        <w:pStyle w:val="Heading4"/>
      </w:pPr>
      <w:bookmarkStart w:id="23" w:name="_Toc396827039"/>
      <w:bookmarkStart w:id="24" w:name="_Toc280709306"/>
      <w:bookmarkStart w:id="25" w:name="_Toc280712991"/>
      <w:bookmarkStart w:id="26" w:name="_Toc280713022"/>
      <w:bookmarkStart w:id="27" w:name="_Toc280713061"/>
      <w:bookmarkStart w:id="28" w:name="_Toc280713098"/>
      <w:bookmarkEnd w:id="22"/>
      <w:r>
        <w:t>CONTENTS</w:t>
      </w:r>
      <w:bookmarkEnd w:id="23"/>
    </w:p>
    <w:sdt>
      <w:sdtPr>
        <w:rPr>
          <w:kern w:val="28"/>
          <w:sz w:val="52"/>
        </w:rPr>
        <w:id w:val="813994536"/>
        <w:docPartObj>
          <w:docPartGallery w:val="Table of Contents"/>
          <w:docPartUnique/>
        </w:docPartObj>
      </w:sdtPr>
      <w:sdtEndPr>
        <w:rPr>
          <w:kern w:val="0"/>
          <w:sz w:val="26"/>
        </w:rPr>
      </w:sdtEndPr>
      <w:sdtContent>
        <w:p w:rsidR="003A3266" w:rsidRDefault="003A3266">
          <w:pPr>
            <w:pStyle w:val="TOC2"/>
            <w:rPr>
              <w:rFonts w:asciiTheme="minorHAnsi" w:eastAsiaTheme="minorEastAsia" w:hAnsiTheme="minorHAnsi" w:cstheme="minorBidi"/>
              <w:b/>
              <w:noProof/>
              <w:sz w:val="22"/>
              <w:szCs w:val="22"/>
              <w:lang w:eastAsia="en-AU"/>
            </w:rPr>
          </w:pPr>
          <w:r>
            <w:rPr>
              <w:noProof/>
            </w:rPr>
            <w:t>Emergency services for fire events</w:t>
          </w:r>
          <w:r>
            <w:rPr>
              <w:noProof/>
            </w:rPr>
            <w:tab/>
          </w:r>
          <w:r w:rsidR="00B560A0">
            <w:rPr>
              <w:noProof/>
            </w:rPr>
            <w:t>3</w:t>
          </w:r>
        </w:p>
        <w:p w:rsidR="003A3266" w:rsidRDefault="003A3266">
          <w:pPr>
            <w:pStyle w:val="TOC3"/>
            <w:rPr>
              <w:rFonts w:asciiTheme="minorHAnsi" w:eastAsiaTheme="minorEastAsia" w:hAnsiTheme="minorHAnsi" w:cstheme="minorBidi"/>
              <w:noProof/>
              <w:sz w:val="22"/>
              <w:szCs w:val="22"/>
              <w:lang w:eastAsia="en-AU"/>
            </w:rPr>
          </w:pPr>
          <w:r>
            <w:rPr>
              <w:noProof/>
            </w:rPr>
            <w:t>Fire incidents</w:t>
          </w:r>
          <w:r>
            <w:rPr>
              <w:noProof/>
            </w:rPr>
            <w:tab/>
          </w:r>
          <w:r w:rsidR="00B560A0">
            <w:rPr>
              <w:noProof/>
            </w:rPr>
            <w:t>3</w:t>
          </w:r>
        </w:p>
        <w:p w:rsidR="003A3266" w:rsidRDefault="003A3266">
          <w:pPr>
            <w:pStyle w:val="TOC4"/>
            <w:rPr>
              <w:rFonts w:asciiTheme="minorHAnsi" w:eastAsiaTheme="minorEastAsia" w:hAnsiTheme="minorHAnsi" w:cstheme="minorBidi"/>
              <w:noProof/>
              <w:sz w:val="22"/>
              <w:szCs w:val="22"/>
              <w:lang w:eastAsia="en-AU"/>
            </w:rPr>
          </w:pPr>
          <w:r>
            <w:rPr>
              <w:noProof/>
            </w:rPr>
            <w:t>Fire incidents per 100 000 people in the population</w:t>
          </w:r>
          <w:r>
            <w:rPr>
              <w:noProof/>
            </w:rPr>
            <w:tab/>
          </w:r>
          <w:r w:rsidR="00B560A0">
            <w:rPr>
              <w:noProof/>
            </w:rPr>
            <w:t>3</w:t>
          </w:r>
        </w:p>
        <w:p w:rsidR="003A3266" w:rsidRDefault="003A3266">
          <w:pPr>
            <w:pStyle w:val="TOC4"/>
            <w:rPr>
              <w:rFonts w:asciiTheme="minorHAnsi" w:eastAsiaTheme="minorEastAsia" w:hAnsiTheme="minorHAnsi" w:cstheme="minorBidi"/>
              <w:noProof/>
              <w:sz w:val="22"/>
              <w:szCs w:val="22"/>
              <w:lang w:eastAsia="en-AU"/>
            </w:rPr>
          </w:pPr>
          <w:r>
            <w:rPr>
              <w:noProof/>
            </w:rPr>
            <w:t>Non</w:t>
          </w:r>
          <w:r>
            <w:rPr>
              <w:noProof/>
            </w:rPr>
            <w:noBreakHyphen/>
            <w:t>fire incidents: Reported road crash rescue incidents</w:t>
          </w:r>
          <w:r>
            <w:rPr>
              <w:noProof/>
            </w:rPr>
            <w:tab/>
          </w:r>
          <w:r w:rsidR="00B560A0">
            <w:rPr>
              <w:noProof/>
            </w:rPr>
            <w:t>9</w:t>
          </w:r>
        </w:p>
        <w:p w:rsidR="003A3266" w:rsidRPr="00611F06" w:rsidRDefault="003A3266">
          <w:pPr>
            <w:pStyle w:val="TOC3"/>
            <w:rPr>
              <w:rFonts w:asciiTheme="minorHAnsi" w:eastAsiaTheme="minorEastAsia" w:hAnsiTheme="minorHAnsi" w:cstheme="minorBidi"/>
              <w:noProof/>
              <w:color w:val="000000" w:themeColor="text1"/>
              <w:sz w:val="22"/>
              <w:szCs w:val="22"/>
              <w:lang w:eastAsia="en-AU"/>
            </w:rPr>
          </w:pPr>
          <w:r>
            <w:rPr>
              <w:noProof/>
            </w:rPr>
            <w:t>Fire risk preventi</w:t>
          </w:r>
          <w:r w:rsidRPr="00611F06">
            <w:rPr>
              <w:noProof/>
              <w:color w:val="000000" w:themeColor="text1"/>
            </w:rPr>
            <w:t>on/mitigation activities</w:t>
          </w:r>
          <w:r w:rsidRPr="00611F06">
            <w:rPr>
              <w:noProof/>
              <w:color w:val="000000" w:themeColor="text1"/>
            </w:rPr>
            <w:tab/>
          </w:r>
          <w:r w:rsidR="00B560A0">
            <w:rPr>
              <w:noProof/>
              <w:color w:val="000000" w:themeColor="text1"/>
            </w:rPr>
            <w:t>16</w:t>
          </w:r>
        </w:p>
        <w:p w:rsidR="003A3266" w:rsidRPr="00611F06" w:rsidRDefault="003A3266">
          <w:pPr>
            <w:pStyle w:val="TOC4"/>
            <w:rPr>
              <w:rFonts w:asciiTheme="minorHAnsi" w:eastAsiaTheme="minorEastAsia" w:hAnsiTheme="minorHAnsi" w:cstheme="minorBidi"/>
              <w:noProof/>
              <w:color w:val="000000" w:themeColor="text1"/>
              <w:sz w:val="22"/>
              <w:szCs w:val="22"/>
              <w:lang w:eastAsia="en-AU"/>
            </w:rPr>
          </w:pPr>
          <w:r w:rsidRPr="00611F06">
            <w:rPr>
              <w:noProof/>
              <w:color w:val="000000" w:themeColor="text1"/>
            </w:rPr>
            <w:t>Accidental residential structure fires per 100 000 households</w:t>
          </w:r>
          <w:r w:rsidRPr="00611F06">
            <w:rPr>
              <w:noProof/>
              <w:color w:val="000000" w:themeColor="text1"/>
            </w:rPr>
            <w:tab/>
          </w:r>
          <w:r w:rsidR="00B560A0">
            <w:rPr>
              <w:noProof/>
              <w:color w:val="000000" w:themeColor="text1"/>
            </w:rPr>
            <w:t>16</w:t>
          </w:r>
        </w:p>
        <w:p w:rsidR="003A3266" w:rsidRPr="00611F06" w:rsidRDefault="003A3266">
          <w:pPr>
            <w:pStyle w:val="TOC4"/>
            <w:rPr>
              <w:noProof/>
              <w:color w:val="000000" w:themeColor="text1"/>
            </w:rPr>
          </w:pPr>
          <w:r w:rsidRPr="00611F06">
            <w:rPr>
              <w:noProof/>
              <w:color w:val="000000" w:themeColor="text1"/>
            </w:rPr>
            <w:t>Residential structures with smoke alarms</w:t>
          </w:r>
          <w:r w:rsidRPr="00611F06">
            <w:rPr>
              <w:noProof/>
              <w:color w:val="000000" w:themeColor="text1"/>
            </w:rPr>
            <w:tab/>
          </w:r>
          <w:r w:rsidR="00B560A0">
            <w:rPr>
              <w:noProof/>
              <w:color w:val="000000" w:themeColor="text1"/>
            </w:rPr>
            <w:t>18</w:t>
          </w:r>
        </w:p>
        <w:p w:rsidR="00C742CD" w:rsidRPr="00611F06" w:rsidRDefault="00C742CD" w:rsidP="00926F62">
          <w:pPr>
            <w:pStyle w:val="TOC4"/>
            <w:rPr>
              <w:rFonts w:eastAsiaTheme="minorEastAsia"/>
              <w:noProof/>
              <w:color w:val="000000" w:themeColor="text1"/>
            </w:rPr>
          </w:pPr>
          <w:r w:rsidRPr="00611F06">
            <w:rPr>
              <w:rFonts w:eastAsiaTheme="minorEastAsia"/>
              <w:noProof/>
              <w:color w:val="000000" w:themeColor="text1"/>
            </w:rPr>
            <w:t>Firefighter workforce</w:t>
          </w:r>
          <w:r w:rsidRPr="00611F06">
            <w:rPr>
              <w:rFonts w:eastAsiaTheme="minorEastAsia"/>
              <w:noProof/>
              <w:color w:val="000000" w:themeColor="text1"/>
            </w:rPr>
            <w:tab/>
          </w:r>
          <w:r w:rsidR="00D832E2" w:rsidRPr="00611F06">
            <w:rPr>
              <w:rFonts w:eastAsiaTheme="minorEastAsia"/>
              <w:noProof/>
              <w:color w:val="000000" w:themeColor="text1"/>
            </w:rPr>
            <w:t>2</w:t>
          </w:r>
          <w:r w:rsidR="00CE79A0">
            <w:rPr>
              <w:rFonts w:eastAsiaTheme="minorEastAsia"/>
              <w:noProof/>
              <w:color w:val="000000" w:themeColor="text1"/>
            </w:rPr>
            <w:t>1</w:t>
          </w:r>
        </w:p>
        <w:p w:rsidR="003A3266" w:rsidRPr="00611F06" w:rsidRDefault="003A3266">
          <w:pPr>
            <w:pStyle w:val="TOC3"/>
            <w:rPr>
              <w:rFonts w:asciiTheme="minorHAnsi" w:eastAsiaTheme="minorEastAsia" w:hAnsiTheme="minorHAnsi" w:cstheme="minorBidi"/>
              <w:noProof/>
              <w:color w:val="000000" w:themeColor="text1"/>
              <w:sz w:val="22"/>
              <w:szCs w:val="22"/>
              <w:lang w:eastAsia="en-AU"/>
            </w:rPr>
          </w:pPr>
          <w:r w:rsidRPr="00611F06">
            <w:rPr>
              <w:noProof/>
              <w:color w:val="000000" w:themeColor="text1"/>
            </w:rPr>
            <w:t>Response times to structure fires</w:t>
          </w:r>
          <w:r w:rsidRPr="00611F06">
            <w:rPr>
              <w:noProof/>
              <w:color w:val="000000" w:themeColor="text1"/>
            </w:rPr>
            <w:tab/>
          </w:r>
          <w:r w:rsidR="00B560A0">
            <w:rPr>
              <w:noProof/>
              <w:color w:val="000000" w:themeColor="text1"/>
            </w:rPr>
            <w:t>24</w:t>
          </w:r>
        </w:p>
        <w:p w:rsidR="003A3266" w:rsidRPr="00611F06" w:rsidRDefault="003A3266">
          <w:pPr>
            <w:pStyle w:val="TOC3"/>
            <w:rPr>
              <w:rFonts w:asciiTheme="minorHAnsi" w:eastAsiaTheme="minorEastAsia" w:hAnsiTheme="minorHAnsi" w:cstheme="minorBidi"/>
              <w:noProof/>
              <w:color w:val="000000" w:themeColor="text1"/>
              <w:sz w:val="22"/>
              <w:szCs w:val="22"/>
              <w:lang w:eastAsia="en-AU"/>
            </w:rPr>
          </w:pPr>
          <w:r w:rsidRPr="00611F06">
            <w:rPr>
              <w:noProof/>
              <w:color w:val="000000" w:themeColor="text1"/>
            </w:rPr>
            <w:t>Fire services expenditure per person</w:t>
          </w:r>
          <w:r w:rsidRPr="00611F06">
            <w:rPr>
              <w:noProof/>
              <w:color w:val="000000" w:themeColor="text1"/>
            </w:rPr>
            <w:tab/>
          </w:r>
          <w:r w:rsidR="00B560A0">
            <w:rPr>
              <w:noProof/>
              <w:color w:val="000000" w:themeColor="text1"/>
            </w:rPr>
            <w:t>32</w:t>
          </w:r>
        </w:p>
        <w:p w:rsidR="003A3266" w:rsidRPr="00611F06" w:rsidRDefault="003A3266">
          <w:pPr>
            <w:pStyle w:val="TOC3"/>
            <w:rPr>
              <w:rFonts w:asciiTheme="minorHAnsi" w:eastAsiaTheme="minorEastAsia" w:hAnsiTheme="minorHAnsi" w:cstheme="minorBidi"/>
              <w:noProof/>
              <w:color w:val="000000" w:themeColor="text1"/>
              <w:sz w:val="22"/>
              <w:szCs w:val="22"/>
              <w:lang w:eastAsia="en-AU"/>
            </w:rPr>
          </w:pPr>
          <w:r w:rsidRPr="00611F06">
            <w:rPr>
              <w:noProof/>
              <w:color w:val="000000" w:themeColor="text1"/>
            </w:rPr>
            <w:t>Fire death rate</w:t>
          </w:r>
          <w:r w:rsidRPr="00611F06">
            <w:rPr>
              <w:noProof/>
              <w:color w:val="000000" w:themeColor="text1"/>
            </w:rPr>
            <w:tab/>
          </w:r>
          <w:r w:rsidR="00B560A0">
            <w:rPr>
              <w:noProof/>
              <w:color w:val="000000" w:themeColor="text1"/>
            </w:rPr>
            <w:t>35</w:t>
          </w:r>
        </w:p>
        <w:p w:rsidR="003A3266" w:rsidRDefault="003A3266">
          <w:pPr>
            <w:pStyle w:val="TOC4"/>
            <w:rPr>
              <w:rFonts w:asciiTheme="minorHAnsi" w:eastAsiaTheme="minorEastAsia" w:hAnsiTheme="minorHAnsi" w:cstheme="minorBidi"/>
              <w:noProof/>
              <w:sz w:val="22"/>
              <w:szCs w:val="22"/>
              <w:lang w:eastAsia="en-AU"/>
            </w:rPr>
          </w:pPr>
          <w:r w:rsidRPr="00611F06">
            <w:rPr>
              <w:noProof/>
              <w:color w:val="000000" w:themeColor="text1"/>
            </w:rPr>
            <w:t>Annual fire death rate</w:t>
          </w:r>
          <w:r>
            <w:rPr>
              <w:noProof/>
            </w:rPr>
            <w:tab/>
          </w:r>
          <w:r w:rsidR="00B560A0">
            <w:rPr>
              <w:noProof/>
            </w:rPr>
            <w:t>35</w:t>
          </w:r>
        </w:p>
        <w:p w:rsidR="003A3266" w:rsidRDefault="003A3266">
          <w:pPr>
            <w:pStyle w:val="TOC4"/>
            <w:rPr>
              <w:rFonts w:asciiTheme="minorHAnsi" w:eastAsiaTheme="minorEastAsia" w:hAnsiTheme="minorHAnsi" w:cstheme="minorBidi"/>
              <w:noProof/>
              <w:sz w:val="22"/>
              <w:szCs w:val="22"/>
              <w:lang w:eastAsia="en-AU"/>
            </w:rPr>
          </w:pPr>
          <w:r>
            <w:rPr>
              <w:noProof/>
            </w:rPr>
            <w:t>Landscape fire death rate</w:t>
          </w:r>
          <w:r>
            <w:rPr>
              <w:noProof/>
            </w:rPr>
            <w:tab/>
          </w:r>
          <w:r w:rsidR="00B560A0">
            <w:rPr>
              <w:noProof/>
            </w:rPr>
            <w:t>38</w:t>
          </w:r>
        </w:p>
        <w:p w:rsidR="003A3266" w:rsidRDefault="003A3266">
          <w:pPr>
            <w:pStyle w:val="TOC3"/>
            <w:rPr>
              <w:rFonts w:asciiTheme="minorHAnsi" w:eastAsiaTheme="minorEastAsia" w:hAnsiTheme="minorHAnsi" w:cstheme="minorBidi"/>
              <w:noProof/>
              <w:sz w:val="22"/>
              <w:szCs w:val="22"/>
              <w:lang w:eastAsia="en-AU"/>
            </w:rPr>
          </w:pPr>
          <w:r>
            <w:rPr>
              <w:noProof/>
            </w:rPr>
            <w:t>Fire injury rate</w:t>
          </w:r>
          <w:r>
            <w:rPr>
              <w:noProof/>
            </w:rPr>
            <w:tab/>
          </w:r>
          <w:r w:rsidR="00B560A0">
            <w:rPr>
              <w:noProof/>
            </w:rPr>
            <w:t>40</w:t>
          </w:r>
        </w:p>
        <w:p w:rsidR="003A3266" w:rsidRDefault="003A3266">
          <w:pPr>
            <w:pStyle w:val="TOC4"/>
            <w:rPr>
              <w:rFonts w:asciiTheme="minorHAnsi" w:eastAsiaTheme="minorEastAsia" w:hAnsiTheme="minorHAnsi" w:cstheme="minorBidi"/>
              <w:noProof/>
              <w:sz w:val="22"/>
              <w:szCs w:val="22"/>
              <w:lang w:eastAsia="en-AU"/>
            </w:rPr>
          </w:pPr>
          <w:r>
            <w:rPr>
              <w:noProof/>
            </w:rPr>
            <w:t>Annual fire hospitalisation rate</w:t>
          </w:r>
          <w:r>
            <w:rPr>
              <w:noProof/>
            </w:rPr>
            <w:tab/>
          </w:r>
          <w:r w:rsidR="00B560A0">
            <w:rPr>
              <w:noProof/>
            </w:rPr>
            <w:t>40</w:t>
          </w:r>
        </w:p>
        <w:p w:rsidR="003A3266" w:rsidRDefault="003A3266">
          <w:pPr>
            <w:pStyle w:val="TOC3"/>
            <w:rPr>
              <w:rFonts w:asciiTheme="minorHAnsi" w:eastAsiaTheme="minorEastAsia" w:hAnsiTheme="minorHAnsi" w:cstheme="minorBidi"/>
              <w:noProof/>
              <w:sz w:val="22"/>
              <w:szCs w:val="22"/>
              <w:lang w:eastAsia="en-AU"/>
            </w:rPr>
          </w:pPr>
          <w:r>
            <w:rPr>
              <w:noProof/>
            </w:rPr>
            <w:t>Confinement to room/object of origin</w:t>
          </w:r>
          <w:r>
            <w:rPr>
              <w:noProof/>
            </w:rPr>
            <w:tab/>
          </w:r>
          <w:r w:rsidR="00B560A0">
            <w:rPr>
              <w:noProof/>
            </w:rPr>
            <w:t>43</w:t>
          </w:r>
        </w:p>
        <w:p w:rsidR="003A3266" w:rsidRDefault="003A3266">
          <w:pPr>
            <w:pStyle w:val="TOC3"/>
            <w:rPr>
              <w:rFonts w:asciiTheme="minorHAnsi" w:eastAsiaTheme="minorEastAsia" w:hAnsiTheme="minorHAnsi" w:cstheme="minorBidi"/>
              <w:noProof/>
              <w:sz w:val="22"/>
              <w:szCs w:val="22"/>
              <w:lang w:eastAsia="en-AU"/>
            </w:rPr>
          </w:pPr>
          <w:r>
            <w:rPr>
              <w:noProof/>
            </w:rPr>
            <w:t>Value of asset losses from fire events</w:t>
          </w:r>
          <w:r>
            <w:rPr>
              <w:noProof/>
            </w:rPr>
            <w:tab/>
          </w:r>
          <w:r w:rsidR="00B560A0">
            <w:rPr>
              <w:noProof/>
            </w:rPr>
            <w:t>48</w:t>
          </w:r>
        </w:p>
        <w:p w:rsidR="003A3266" w:rsidRDefault="003A3266">
          <w:pPr>
            <w:pStyle w:val="TOC4"/>
            <w:rPr>
              <w:rFonts w:asciiTheme="minorHAnsi" w:eastAsiaTheme="minorEastAsia" w:hAnsiTheme="minorHAnsi" w:cstheme="minorBidi"/>
              <w:noProof/>
              <w:sz w:val="22"/>
              <w:szCs w:val="22"/>
              <w:lang w:eastAsia="en-AU"/>
            </w:rPr>
          </w:pPr>
          <w:r>
            <w:rPr>
              <w:noProof/>
            </w:rPr>
            <w:t>Value of insurance claims from fire events</w:t>
          </w:r>
          <w:r>
            <w:rPr>
              <w:noProof/>
            </w:rPr>
            <w:tab/>
          </w:r>
          <w:r w:rsidR="00B560A0">
            <w:rPr>
              <w:noProof/>
            </w:rPr>
            <w:t>48</w:t>
          </w:r>
        </w:p>
        <w:p w:rsidR="003A3266" w:rsidRDefault="003A3266">
          <w:pPr>
            <w:pStyle w:val="TOC2"/>
            <w:rPr>
              <w:rFonts w:asciiTheme="minorHAnsi" w:eastAsiaTheme="minorEastAsia" w:hAnsiTheme="minorHAnsi" w:cstheme="minorBidi"/>
              <w:b/>
              <w:noProof/>
              <w:sz w:val="22"/>
              <w:szCs w:val="22"/>
              <w:lang w:eastAsia="en-AU"/>
            </w:rPr>
          </w:pPr>
          <w:r>
            <w:rPr>
              <w:noProof/>
            </w:rPr>
            <w:t>Emergency services for ambulance events</w:t>
          </w:r>
          <w:r>
            <w:rPr>
              <w:noProof/>
            </w:rPr>
            <w:tab/>
          </w:r>
          <w:r w:rsidR="00B560A0">
            <w:rPr>
              <w:noProof/>
            </w:rPr>
            <w:t>50</w:t>
          </w:r>
        </w:p>
        <w:p w:rsidR="003A3266" w:rsidRDefault="003A3266">
          <w:pPr>
            <w:pStyle w:val="TOC3"/>
            <w:rPr>
              <w:rFonts w:asciiTheme="minorHAnsi" w:eastAsiaTheme="minorEastAsia" w:hAnsiTheme="minorHAnsi" w:cstheme="minorBidi"/>
              <w:noProof/>
              <w:sz w:val="22"/>
              <w:szCs w:val="22"/>
              <w:lang w:eastAsia="en-AU"/>
            </w:rPr>
          </w:pPr>
          <w:r>
            <w:rPr>
              <w:noProof/>
            </w:rPr>
            <w:t>Response Locations</w:t>
          </w:r>
          <w:r>
            <w:rPr>
              <w:noProof/>
            </w:rPr>
            <w:tab/>
          </w:r>
          <w:r w:rsidR="00B560A0">
            <w:rPr>
              <w:noProof/>
            </w:rPr>
            <w:t>50</w:t>
          </w:r>
        </w:p>
        <w:p w:rsidR="003A3266" w:rsidRDefault="003A3266">
          <w:pPr>
            <w:pStyle w:val="TOC3"/>
            <w:rPr>
              <w:rFonts w:asciiTheme="minorHAnsi" w:eastAsiaTheme="minorEastAsia" w:hAnsiTheme="minorHAnsi" w:cstheme="minorBidi"/>
              <w:noProof/>
              <w:sz w:val="22"/>
              <w:szCs w:val="22"/>
              <w:lang w:eastAsia="en-AU"/>
            </w:rPr>
          </w:pPr>
          <w:r>
            <w:rPr>
              <w:noProof/>
            </w:rPr>
            <w:lastRenderedPageBreak/>
            <w:t>Availability of ambulance officers/paramedics</w:t>
          </w:r>
          <w:r>
            <w:rPr>
              <w:noProof/>
            </w:rPr>
            <w:tab/>
          </w:r>
          <w:r w:rsidR="00B560A0">
            <w:rPr>
              <w:noProof/>
            </w:rPr>
            <w:t>52</w:t>
          </w:r>
        </w:p>
        <w:p w:rsidR="003A3266" w:rsidRDefault="003A3266">
          <w:pPr>
            <w:pStyle w:val="TOC3"/>
            <w:rPr>
              <w:rFonts w:asciiTheme="minorHAnsi" w:eastAsiaTheme="minorEastAsia" w:hAnsiTheme="minorHAnsi" w:cstheme="minorBidi"/>
              <w:noProof/>
              <w:sz w:val="22"/>
              <w:szCs w:val="22"/>
              <w:lang w:eastAsia="en-AU"/>
            </w:rPr>
          </w:pPr>
          <w:r>
            <w:rPr>
              <w:noProof/>
            </w:rPr>
            <w:t>Urban centre response times</w:t>
          </w:r>
          <w:r>
            <w:rPr>
              <w:noProof/>
            </w:rPr>
            <w:tab/>
          </w:r>
          <w:r w:rsidR="00B560A0">
            <w:rPr>
              <w:noProof/>
            </w:rPr>
            <w:t>54</w:t>
          </w:r>
        </w:p>
        <w:p w:rsidR="003A3266" w:rsidRDefault="003A3266">
          <w:pPr>
            <w:pStyle w:val="TOC3"/>
            <w:rPr>
              <w:rFonts w:asciiTheme="minorHAnsi" w:eastAsiaTheme="minorEastAsia" w:hAnsiTheme="minorHAnsi" w:cstheme="minorBidi"/>
              <w:noProof/>
              <w:sz w:val="22"/>
              <w:szCs w:val="22"/>
              <w:lang w:eastAsia="en-AU"/>
            </w:rPr>
          </w:pPr>
          <w:r>
            <w:rPr>
              <w:noProof/>
            </w:rPr>
            <w:t>State</w:t>
          </w:r>
          <w:r>
            <w:rPr>
              <w:noProof/>
            </w:rPr>
            <w:noBreakHyphen/>
            <w:t>wide response times</w:t>
          </w:r>
          <w:r>
            <w:rPr>
              <w:noProof/>
            </w:rPr>
            <w:tab/>
          </w:r>
          <w:r w:rsidR="00B560A0">
            <w:rPr>
              <w:noProof/>
            </w:rPr>
            <w:t>56</w:t>
          </w:r>
        </w:p>
        <w:p w:rsidR="003A3266" w:rsidRDefault="003A3266">
          <w:pPr>
            <w:pStyle w:val="TOC3"/>
            <w:rPr>
              <w:rFonts w:asciiTheme="minorHAnsi" w:eastAsiaTheme="minorEastAsia" w:hAnsiTheme="minorHAnsi" w:cstheme="minorBidi"/>
              <w:noProof/>
              <w:sz w:val="22"/>
              <w:szCs w:val="22"/>
              <w:lang w:eastAsia="en-AU"/>
            </w:rPr>
          </w:pPr>
          <w:r>
            <w:rPr>
              <w:noProof/>
            </w:rPr>
            <w:t>Triple zero call answer time</w:t>
          </w:r>
          <w:r>
            <w:rPr>
              <w:noProof/>
            </w:rPr>
            <w:tab/>
          </w:r>
          <w:r w:rsidR="00B560A0">
            <w:rPr>
              <w:noProof/>
            </w:rPr>
            <w:t>58</w:t>
          </w:r>
        </w:p>
        <w:p w:rsidR="003A3266" w:rsidRDefault="003A3266">
          <w:pPr>
            <w:pStyle w:val="TOC3"/>
            <w:rPr>
              <w:rFonts w:asciiTheme="minorHAnsi" w:eastAsiaTheme="minorEastAsia" w:hAnsiTheme="minorHAnsi" w:cstheme="minorBidi"/>
              <w:noProof/>
              <w:sz w:val="22"/>
              <w:szCs w:val="22"/>
              <w:lang w:eastAsia="en-AU"/>
            </w:rPr>
          </w:pPr>
          <w:r>
            <w:rPr>
              <w:noProof/>
            </w:rPr>
            <w:t>Workforce by Age Group</w:t>
          </w:r>
          <w:r>
            <w:rPr>
              <w:noProof/>
            </w:rPr>
            <w:tab/>
          </w:r>
          <w:r w:rsidR="00B560A0">
            <w:rPr>
              <w:noProof/>
            </w:rPr>
            <w:t>60</w:t>
          </w:r>
        </w:p>
        <w:p w:rsidR="003A3266" w:rsidRDefault="003A3266">
          <w:pPr>
            <w:pStyle w:val="TOC3"/>
            <w:rPr>
              <w:rFonts w:asciiTheme="minorHAnsi" w:eastAsiaTheme="minorEastAsia" w:hAnsiTheme="minorHAnsi" w:cstheme="minorBidi"/>
              <w:noProof/>
              <w:sz w:val="22"/>
              <w:szCs w:val="22"/>
              <w:lang w:eastAsia="en-AU"/>
            </w:rPr>
          </w:pPr>
          <w:r>
            <w:rPr>
              <w:noProof/>
            </w:rPr>
            <w:t>Staff attrition</w:t>
          </w:r>
          <w:r>
            <w:rPr>
              <w:noProof/>
            </w:rPr>
            <w:tab/>
          </w:r>
          <w:r w:rsidR="00B560A0">
            <w:rPr>
              <w:noProof/>
            </w:rPr>
            <w:t>62</w:t>
          </w:r>
        </w:p>
        <w:p w:rsidR="003A3266" w:rsidRDefault="003A3266">
          <w:pPr>
            <w:pStyle w:val="TOC3"/>
            <w:rPr>
              <w:rFonts w:asciiTheme="minorHAnsi" w:eastAsiaTheme="minorEastAsia" w:hAnsiTheme="minorHAnsi" w:cstheme="minorBidi"/>
              <w:noProof/>
              <w:sz w:val="22"/>
              <w:szCs w:val="22"/>
              <w:lang w:eastAsia="en-AU"/>
            </w:rPr>
          </w:pPr>
          <w:r>
            <w:rPr>
              <w:noProof/>
            </w:rPr>
            <w:t>Enrolments in accredited paramedic training courses</w:t>
          </w:r>
          <w:r>
            <w:rPr>
              <w:noProof/>
            </w:rPr>
            <w:tab/>
          </w:r>
          <w:r w:rsidR="00B560A0">
            <w:rPr>
              <w:noProof/>
            </w:rPr>
            <w:t>64</w:t>
          </w:r>
        </w:p>
        <w:p w:rsidR="003A3266" w:rsidRDefault="003A3266">
          <w:pPr>
            <w:pStyle w:val="TOC3"/>
            <w:rPr>
              <w:rFonts w:asciiTheme="minorHAnsi" w:eastAsiaTheme="minorEastAsia" w:hAnsiTheme="minorHAnsi" w:cstheme="minorBidi"/>
              <w:noProof/>
              <w:sz w:val="22"/>
              <w:szCs w:val="22"/>
              <w:lang w:eastAsia="en-AU"/>
            </w:rPr>
          </w:pPr>
          <w:r>
            <w:rPr>
              <w:noProof/>
            </w:rPr>
            <w:t>Ambulance service expenditure per person</w:t>
          </w:r>
          <w:r>
            <w:rPr>
              <w:noProof/>
            </w:rPr>
            <w:tab/>
          </w:r>
          <w:r w:rsidR="00B560A0">
            <w:rPr>
              <w:noProof/>
            </w:rPr>
            <w:t>66</w:t>
          </w:r>
        </w:p>
        <w:p w:rsidR="003A3266" w:rsidRDefault="003A3266">
          <w:pPr>
            <w:pStyle w:val="TOC3"/>
            <w:rPr>
              <w:rFonts w:asciiTheme="minorHAnsi" w:eastAsiaTheme="minorEastAsia" w:hAnsiTheme="minorHAnsi" w:cstheme="minorBidi"/>
              <w:noProof/>
              <w:sz w:val="22"/>
              <w:szCs w:val="22"/>
              <w:lang w:eastAsia="en-AU"/>
            </w:rPr>
          </w:pPr>
          <w:r>
            <w:rPr>
              <w:noProof/>
            </w:rPr>
            <w:t>Cardiac arrest survived event</w:t>
          </w:r>
          <w:r>
            <w:rPr>
              <w:noProof/>
            </w:rPr>
            <w:tab/>
          </w:r>
          <w:r w:rsidR="00B560A0">
            <w:rPr>
              <w:noProof/>
            </w:rPr>
            <w:t>68</w:t>
          </w:r>
        </w:p>
        <w:p w:rsidR="003A3266" w:rsidRDefault="003A3266">
          <w:pPr>
            <w:pStyle w:val="TOC3"/>
            <w:rPr>
              <w:rFonts w:asciiTheme="minorHAnsi" w:eastAsiaTheme="minorEastAsia" w:hAnsiTheme="minorHAnsi" w:cstheme="minorBidi"/>
              <w:noProof/>
              <w:sz w:val="22"/>
              <w:szCs w:val="22"/>
              <w:lang w:eastAsia="en-AU"/>
            </w:rPr>
          </w:pPr>
          <w:r>
            <w:rPr>
              <w:noProof/>
            </w:rPr>
            <w:t>Pain management</w:t>
          </w:r>
          <w:r>
            <w:rPr>
              <w:noProof/>
            </w:rPr>
            <w:tab/>
          </w:r>
          <w:r w:rsidR="00B560A0">
            <w:rPr>
              <w:noProof/>
            </w:rPr>
            <w:t>70</w:t>
          </w:r>
        </w:p>
        <w:p w:rsidR="003A3266" w:rsidRDefault="003A3266">
          <w:pPr>
            <w:pStyle w:val="TOC3"/>
            <w:rPr>
              <w:rFonts w:asciiTheme="minorHAnsi" w:eastAsiaTheme="minorEastAsia" w:hAnsiTheme="minorHAnsi" w:cstheme="minorBidi"/>
              <w:noProof/>
              <w:sz w:val="22"/>
              <w:szCs w:val="22"/>
              <w:lang w:eastAsia="en-AU"/>
            </w:rPr>
          </w:pPr>
          <w:r>
            <w:rPr>
              <w:noProof/>
            </w:rPr>
            <w:t>Level of patient satisfaction</w:t>
          </w:r>
          <w:r>
            <w:rPr>
              <w:noProof/>
            </w:rPr>
            <w:tab/>
          </w:r>
          <w:r w:rsidR="00B560A0">
            <w:rPr>
              <w:noProof/>
            </w:rPr>
            <w:t>72</w:t>
          </w:r>
        </w:p>
        <w:p w:rsidR="00162EBE" w:rsidRPr="00162EBE" w:rsidRDefault="00A6515C" w:rsidP="003A3266">
          <w:pPr>
            <w:pStyle w:val="TOC2"/>
            <w:rPr>
              <w:lang w:eastAsia="en-AU"/>
            </w:rPr>
          </w:pPr>
        </w:p>
      </w:sdtContent>
    </w:sdt>
    <w:bookmarkEnd w:id="24"/>
    <w:bookmarkEnd w:id="25"/>
    <w:bookmarkEnd w:id="26"/>
    <w:bookmarkEnd w:id="27"/>
    <w:bookmarkEnd w:id="28"/>
    <w:p w:rsidR="004A38B5" w:rsidRDefault="008E1527">
      <w:r>
        <w:t xml:space="preserve"> </w:t>
      </w:r>
      <w:r w:rsidR="004A38B5">
        <w:br w:type="page"/>
      </w:r>
    </w:p>
    <w:p w:rsidR="00030E96" w:rsidRDefault="00030E96" w:rsidP="00030E96">
      <w:pPr>
        <w:pStyle w:val="Heading2"/>
      </w:pPr>
      <w:bookmarkStart w:id="29" w:name="_Toc398732470"/>
      <w:bookmarkStart w:id="30" w:name="_Toc405885731"/>
      <w:r w:rsidRPr="00030E96">
        <w:lastRenderedPageBreak/>
        <w:t>Emergency services for fire events</w:t>
      </w:r>
      <w:bookmarkEnd w:id="29"/>
      <w:bookmarkEnd w:id="30"/>
    </w:p>
    <w:p w:rsidR="00B1734C" w:rsidRDefault="00B1734C" w:rsidP="00B1734C">
      <w:pPr>
        <w:pStyle w:val="Heading3"/>
      </w:pPr>
      <w:bookmarkStart w:id="31" w:name="_Toc398732471"/>
      <w:bookmarkStart w:id="32" w:name="_Toc405885732"/>
      <w:r>
        <w:t>Fire incidents</w:t>
      </w:r>
      <w:bookmarkEnd w:id="31"/>
      <w:bookmarkEnd w:id="32"/>
      <w:r w:rsidRPr="00706570">
        <w:t xml:space="preserve"> </w:t>
      </w:r>
    </w:p>
    <w:p w:rsidR="004D4FF5" w:rsidRPr="004D4FF5" w:rsidRDefault="004D4FF5" w:rsidP="004D4FF5">
      <w:pPr>
        <w:pStyle w:val="Heading4"/>
      </w:pPr>
      <w:bookmarkStart w:id="33" w:name="_Toc405885733"/>
      <w:r>
        <w:t>Fire incidents per 100 000 people in the populat</w:t>
      </w:r>
      <w:r w:rsidR="00EE788F">
        <w:t>i</w:t>
      </w:r>
      <w:r>
        <w:t>on</w:t>
      </w:r>
      <w:bookmarkEnd w:id="33"/>
    </w:p>
    <w:p w:rsidR="004B13A1" w:rsidRDefault="00B1734C" w:rsidP="00B34120">
      <w:pPr>
        <w:pStyle w:val="Box"/>
      </w:pPr>
      <w:r w:rsidRPr="0001794F">
        <w:t xml:space="preserve">Data quality information for this indicator has been drafted by the </w:t>
      </w:r>
      <w:r>
        <w:t>Emergency Management</w:t>
      </w:r>
      <w:r w:rsidRPr="0001794F">
        <w:t xml:space="preserve"> </w:t>
      </w:r>
      <w:r>
        <w:t xml:space="preserve">Working Group </w:t>
      </w:r>
      <w:r w:rsidRPr="0001794F">
        <w:t xml:space="preserve">in consultation with </w:t>
      </w:r>
      <w:r w:rsidRPr="007E3FDC">
        <w:t>the Australasian Fire and Emergency Se</w:t>
      </w:r>
      <w:r w:rsidR="0070634D">
        <w:t>rvice Authorities Council (</w:t>
      </w:r>
      <w:proofErr w:type="spellStart"/>
      <w:r w:rsidR="0070634D">
        <w:t>AFAC</w:t>
      </w:r>
      <w:proofErr w:type="spellEnd"/>
      <w:r w:rsidRPr="0024018B">
        <w:t>)</w:t>
      </w:r>
      <w:r w:rsidRPr="0001794F">
        <w:t>, with additional Steering Committee comments.</w:t>
      </w:r>
    </w:p>
    <w:tbl>
      <w:tblPr>
        <w:tblW w:w="5028" w:type="pct"/>
        <w:jc w:val="center"/>
        <w:tblInd w:w="106" w:type="dxa"/>
        <w:tblLayout w:type="fixed"/>
        <w:tblCellMar>
          <w:top w:w="28" w:type="dxa"/>
          <w:left w:w="28" w:type="dxa"/>
          <w:bottom w:w="28" w:type="dxa"/>
          <w:right w:w="28" w:type="dxa"/>
        </w:tblCellMar>
        <w:tblLook w:val="01E0" w:firstRow="1" w:lastRow="1" w:firstColumn="1" w:lastColumn="1" w:noHBand="0" w:noVBand="0"/>
      </w:tblPr>
      <w:tblGrid>
        <w:gridCol w:w="1437"/>
        <w:gridCol w:w="2006"/>
        <w:gridCol w:w="463"/>
        <w:gridCol w:w="275"/>
        <w:gridCol w:w="4457"/>
      </w:tblGrid>
      <w:tr w:rsidR="00B34120" w:rsidTr="00B34120">
        <w:trPr>
          <w:jc w:val="center"/>
        </w:trPr>
        <w:tc>
          <w:tcPr>
            <w:tcW w:w="1993" w:type="pct"/>
            <w:gridSpan w:val="2"/>
            <w:tcBorders>
              <w:left w:val="nil"/>
              <w:bottom w:val="nil"/>
              <w:right w:val="nil"/>
            </w:tcBorders>
            <w:hideMark/>
          </w:tcPr>
          <w:p w:rsidR="00B34120" w:rsidRPr="00B34120" w:rsidRDefault="00B34120" w:rsidP="00EE788F">
            <w:pPr>
              <w:pStyle w:val="DQIRowHeadings"/>
              <w:rPr>
                <w:b w:val="0"/>
              </w:rPr>
            </w:pPr>
            <w:r w:rsidRPr="00B34120">
              <w:t>Indicator definition and description</w:t>
            </w:r>
          </w:p>
        </w:tc>
        <w:tc>
          <w:tcPr>
            <w:tcW w:w="3007" w:type="pct"/>
            <w:gridSpan w:val="3"/>
            <w:tcBorders>
              <w:left w:val="nil"/>
              <w:bottom w:val="nil"/>
              <w:right w:val="nil"/>
            </w:tcBorders>
          </w:tcPr>
          <w:p w:rsidR="00B34120" w:rsidRDefault="00B34120" w:rsidP="00AB6309">
            <w:pPr>
              <w:pStyle w:val="DQITableText"/>
            </w:pPr>
          </w:p>
        </w:tc>
      </w:tr>
      <w:tr w:rsidR="00B34120" w:rsidTr="00B34120">
        <w:trPr>
          <w:jc w:val="center"/>
        </w:trPr>
        <w:tc>
          <w:tcPr>
            <w:tcW w:w="832" w:type="pct"/>
          </w:tcPr>
          <w:p w:rsidR="00B34120" w:rsidRDefault="00B34120" w:rsidP="00162EBE">
            <w:pPr>
              <w:pStyle w:val="DQIRowHeadings"/>
            </w:pPr>
            <w:r w:rsidRPr="00162EBE">
              <w:t>Element</w:t>
            </w:r>
          </w:p>
        </w:tc>
        <w:tc>
          <w:tcPr>
            <w:tcW w:w="4168" w:type="pct"/>
            <w:gridSpan w:val="4"/>
          </w:tcPr>
          <w:p w:rsidR="00B34120" w:rsidRDefault="00180ECD" w:rsidP="00AB6309">
            <w:pPr>
              <w:pStyle w:val="DQITableText"/>
            </w:pPr>
            <w:r>
              <w:t>Equity/effectiveness — Prevention/mitigation</w:t>
            </w:r>
          </w:p>
        </w:tc>
      </w:tr>
      <w:tr w:rsidR="00B34120" w:rsidTr="00B34120">
        <w:trPr>
          <w:jc w:val="center"/>
        </w:trPr>
        <w:tc>
          <w:tcPr>
            <w:tcW w:w="832" w:type="pct"/>
            <w:hideMark/>
          </w:tcPr>
          <w:p w:rsidR="00B34120" w:rsidRDefault="00B34120" w:rsidP="00162EBE">
            <w:pPr>
              <w:pStyle w:val="DQIRowHeadings"/>
            </w:pPr>
            <w:r>
              <w:t>Indicator</w:t>
            </w:r>
          </w:p>
        </w:tc>
        <w:tc>
          <w:tcPr>
            <w:tcW w:w="4168" w:type="pct"/>
            <w:gridSpan w:val="4"/>
            <w:hideMark/>
          </w:tcPr>
          <w:p w:rsidR="00B34120" w:rsidRDefault="00B34120" w:rsidP="00162EBE">
            <w:pPr>
              <w:pStyle w:val="DQITableText"/>
            </w:pPr>
            <w:r>
              <w:t>Fire incidents</w:t>
            </w:r>
          </w:p>
        </w:tc>
      </w:tr>
      <w:tr w:rsidR="00B34120" w:rsidTr="00B34120">
        <w:trPr>
          <w:jc w:val="center"/>
        </w:trPr>
        <w:tc>
          <w:tcPr>
            <w:tcW w:w="832" w:type="pct"/>
          </w:tcPr>
          <w:p w:rsidR="00B34120" w:rsidRDefault="00B34120" w:rsidP="00162EBE">
            <w:pPr>
              <w:pStyle w:val="DQIRowHeadings"/>
              <w:rPr>
                <w:b w:val="0"/>
              </w:rPr>
            </w:pPr>
            <w:r>
              <w:t xml:space="preserve">Measures </w:t>
            </w:r>
          </w:p>
        </w:tc>
        <w:tc>
          <w:tcPr>
            <w:tcW w:w="4168" w:type="pct"/>
            <w:gridSpan w:val="4"/>
          </w:tcPr>
          <w:p w:rsidR="00B34120" w:rsidRDefault="00B34120" w:rsidP="00162EBE">
            <w:pPr>
              <w:pStyle w:val="DQITableText"/>
            </w:pPr>
            <w:r>
              <w:t xml:space="preserve">‘Fire incidents’ is defined as the number of fire events that are reported to a fire service organisation and require a response. </w:t>
            </w:r>
          </w:p>
          <w:p w:rsidR="00B34120" w:rsidRDefault="00B34120" w:rsidP="00162EBE">
            <w:pPr>
              <w:pStyle w:val="DQITableText"/>
            </w:pPr>
            <w:r>
              <w:t>A jurisdiction’s fire service organisation includes fire service providers, land management agencies and their umbrella department/s.</w:t>
            </w:r>
          </w:p>
          <w:p w:rsidR="00B34120" w:rsidRDefault="00B34120" w:rsidP="00162EBE">
            <w:pPr>
              <w:pStyle w:val="DQITableText"/>
            </w:pPr>
            <w:r>
              <w:t>Data are provided for:</w:t>
            </w:r>
          </w:p>
          <w:p w:rsidR="00B34120" w:rsidRDefault="00B34120" w:rsidP="00162EBE">
            <w:pPr>
              <w:pStyle w:val="DQITableBullet"/>
              <w:rPr>
                <w:i/>
              </w:rPr>
            </w:pPr>
            <w:r>
              <w:rPr>
                <w:i/>
              </w:rPr>
              <w:t>fire incidents attended by fire service organisations per 100 000 people</w:t>
            </w:r>
            <w:r>
              <w:t xml:space="preserve"> — the total number of fire events that are reported to a fire </w:t>
            </w:r>
            <w:r w:rsidRPr="00162EBE">
              <w:t>service</w:t>
            </w:r>
            <w:r>
              <w:t xml:space="preserve"> and require a response</w:t>
            </w:r>
          </w:p>
          <w:p w:rsidR="00B34120" w:rsidRDefault="00B34120" w:rsidP="004F74EE">
            <w:pPr>
              <w:pStyle w:val="DQITableBullet2"/>
            </w:pPr>
            <w:r w:rsidRPr="00162EBE">
              <w:rPr>
                <w:i/>
              </w:rPr>
              <w:t xml:space="preserve">structure fires </w:t>
            </w:r>
            <w:r>
              <w:t>— a</w:t>
            </w:r>
            <w:r w:rsidRPr="004F74EE">
              <w:t xml:space="preserve"> structure fire is a fire in a building, or involving a building, whether or not t</w:t>
            </w:r>
            <w:r>
              <w:t>here is damage to the structure</w:t>
            </w:r>
          </w:p>
          <w:p w:rsidR="00B34120" w:rsidRDefault="00B34120" w:rsidP="004F74EE">
            <w:pPr>
              <w:pStyle w:val="DQITableBullet2"/>
            </w:pPr>
            <w:r>
              <w:rPr>
                <w:i/>
              </w:rPr>
              <w:t>l</w:t>
            </w:r>
            <w:r w:rsidRPr="00162EBE">
              <w:rPr>
                <w:i/>
              </w:rPr>
              <w:t>andscape (bush and grass) fire incidents</w:t>
            </w:r>
            <w:r>
              <w:t xml:space="preserve"> — ‘Landscape (bush and grass) fire incidents’ includes all vegetation fires (such as bushfires or grassfires), irrespective of the size of the area burnt</w:t>
            </w:r>
          </w:p>
          <w:p w:rsidR="00B34120" w:rsidRDefault="00B34120" w:rsidP="004F74EE">
            <w:pPr>
              <w:pStyle w:val="DQITableBullet2"/>
            </w:pPr>
            <w:r>
              <w:rPr>
                <w:i/>
              </w:rPr>
              <w:t xml:space="preserve">other fire incidents </w:t>
            </w:r>
            <w:r w:rsidRPr="004F74EE">
              <w:t>— Other fire incidents include mobile property type fires (such as to cars planes, or trains). outside storage fires, special structure fires (such as to bridges or tunnels). is a fire in a building, or involving a building, whether or not there is damage to the structure.</w:t>
            </w:r>
          </w:p>
          <w:p w:rsidR="00B34120" w:rsidRDefault="00B34120" w:rsidP="00162EBE">
            <w:pPr>
              <w:pStyle w:val="DQITableText"/>
            </w:pPr>
            <w:r>
              <w:t>Measures of ‘non</w:t>
            </w:r>
            <w:r>
              <w:noBreakHyphen/>
              <w:t>fire’ incidents and false alarms incidents attended to by fire service organisations is provided as contextual information relating to the broader activities of fire service organisations.</w:t>
            </w:r>
          </w:p>
          <w:p w:rsidR="00B34120" w:rsidRDefault="00B34120" w:rsidP="004F74EE">
            <w:pPr>
              <w:pStyle w:val="DQITableText"/>
            </w:pPr>
            <w:r>
              <w:t>Measures (other than ignition factors for structure types) are calculated as:</w:t>
            </w:r>
          </w:p>
          <w:tbl>
            <w:tblPr>
              <w:tblStyle w:val="TableGrid"/>
              <w:tblW w:w="6960" w:type="dxa"/>
              <w:tblInd w:w="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28" w:type="dxa"/>
                <w:bottom w:w="28" w:type="dxa"/>
                <w:right w:w="28" w:type="dxa"/>
              </w:tblCellMar>
              <w:tblLook w:val="01E0" w:firstRow="1" w:lastRow="1" w:firstColumn="1" w:lastColumn="1" w:noHBand="0" w:noVBand="0"/>
              <w:tblDescription w:val="More details can be found within the text surrounding this image."/>
            </w:tblPr>
            <w:tblGrid>
              <w:gridCol w:w="1541"/>
              <w:gridCol w:w="5419"/>
            </w:tblGrid>
            <w:tr w:rsidR="00B34120" w:rsidTr="000C06D3">
              <w:tc>
                <w:tcPr>
                  <w:tcW w:w="1107" w:type="pct"/>
                  <w:vAlign w:val="center"/>
                  <w:hideMark/>
                </w:tcPr>
                <w:p w:rsidR="00B34120" w:rsidRDefault="00B34120">
                  <w:pPr>
                    <w:pStyle w:val="TableBodyText"/>
                    <w:spacing w:after="0"/>
                    <w:ind w:right="0"/>
                    <w:jc w:val="left"/>
                    <w:rPr>
                      <w:b/>
                    </w:rPr>
                  </w:pPr>
                  <w:r>
                    <w:rPr>
                      <w:b/>
                    </w:rPr>
                    <w:t>Numerator:</w:t>
                  </w:r>
                </w:p>
              </w:tc>
              <w:tc>
                <w:tcPr>
                  <w:tcW w:w="3893" w:type="pct"/>
                  <w:vAlign w:val="bottom"/>
                  <w:hideMark/>
                </w:tcPr>
                <w:p w:rsidR="00B34120" w:rsidRDefault="00B34120">
                  <w:pPr>
                    <w:pStyle w:val="TableBodyText"/>
                    <w:spacing w:after="0"/>
                    <w:jc w:val="center"/>
                    <w:rPr>
                      <w:b/>
                    </w:rPr>
                  </w:pPr>
                  <w:r>
                    <w:rPr>
                      <w:b/>
                    </w:rPr>
                    <w:t>the number of fire incidents (by type)</w:t>
                  </w:r>
                </w:p>
              </w:tc>
            </w:tr>
            <w:tr w:rsidR="00B34120" w:rsidTr="000C06D3">
              <w:trPr>
                <w:trHeight w:hRule="exact" w:val="28"/>
              </w:trPr>
              <w:tc>
                <w:tcPr>
                  <w:tcW w:w="1107" w:type="pct"/>
                  <w:vAlign w:val="center"/>
                </w:tcPr>
                <w:p w:rsidR="00B34120" w:rsidRDefault="00B34120">
                  <w:pPr>
                    <w:pStyle w:val="FooterEnd"/>
                    <w:jc w:val="center"/>
                  </w:pPr>
                </w:p>
              </w:tc>
              <w:tc>
                <w:tcPr>
                  <w:tcW w:w="3893" w:type="pct"/>
                  <w:tcBorders>
                    <w:top w:val="nil"/>
                    <w:left w:val="nil"/>
                    <w:bottom w:val="single" w:sz="4" w:space="0" w:color="auto"/>
                    <w:right w:val="nil"/>
                  </w:tcBorders>
                </w:tcPr>
                <w:p w:rsidR="00B34120" w:rsidRDefault="00B34120">
                  <w:pPr>
                    <w:pStyle w:val="FooterEnd"/>
                    <w:jc w:val="center"/>
                  </w:pPr>
                </w:p>
              </w:tc>
            </w:tr>
            <w:tr w:rsidR="00B34120" w:rsidTr="000C06D3">
              <w:trPr>
                <w:trHeight w:hRule="exact" w:val="28"/>
              </w:trPr>
              <w:tc>
                <w:tcPr>
                  <w:tcW w:w="1107" w:type="pct"/>
                  <w:vAlign w:val="center"/>
                </w:tcPr>
                <w:p w:rsidR="00B34120" w:rsidRDefault="00B34120">
                  <w:pPr>
                    <w:pStyle w:val="FooterEnd"/>
                    <w:jc w:val="center"/>
                  </w:pPr>
                </w:p>
              </w:tc>
              <w:tc>
                <w:tcPr>
                  <w:tcW w:w="3893" w:type="pct"/>
                  <w:tcBorders>
                    <w:top w:val="single" w:sz="4" w:space="0" w:color="auto"/>
                    <w:left w:val="nil"/>
                    <w:bottom w:val="nil"/>
                    <w:right w:val="nil"/>
                  </w:tcBorders>
                </w:tcPr>
                <w:p w:rsidR="00B34120" w:rsidRDefault="00B34120">
                  <w:pPr>
                    <w:pStyle w:val="FooterEnd"/>
                    <w:jc w:val="center"/>
                  </w:pPr>
                </w:p>
              </w:tc>
            </w:tr>
            <w:tr w:rsidR="00B34120" w:rsidTr="000C06D3">
              <w:tc>
                <w:tcPr>
                  <w:tcW w:w="1107" w:type="pct"/>
                  <w:vAlign w:val="center"/>
                  <w:hideMark/>
                </w:tcPr>
                <w:p w:rsidR="00B34120" w:rsidRDefault="00B34120">
                  <w:pPr>
                    <w:pStyle w:val="TableBodyText"/>
                    <w:ind w:right="-24"/>
                    <w:jc w:val="left"/>
                    <w:rPr>
                      <w:b/>
                    </w:rPr>
                  </w:pPr>
                  <w:r>
                    <w:rPr>
                      <w:b/>
                    </w:rPr>
                    <w:t>Denominator:</w:t>
                  </w:r>
                </w:p>
              </w:tc>
              <w:tc>
                <w:tcPr>
                  <w:tcW w:w="3893" w:type="pct"/>
                  <w:hideMark/>
                </w:tcPr>
                <w:p w:rsidR="00B34120" w:rsidRDefault="00B34120" w:rsidP="00EE788F">
                  <w:pPr>
                    <w:pStyle w:val="TableBodyText"/>
                    <w:jc w:val="center"/>
                    <w:rPr>
                      <w:b/>
                    </w:rPr>
                  </w:pPr>
                  <w:r>
                    <w:rPr>
                      <w:b/>
                    </w:rPr>
                    <w:t>(estimated resident population)</w:t>
                  </w:r>
                </w:p>
              </w:tc>
            </w:tr>
          </w:tbl>
          <w:p w:rsidR="00B34120" w:rsidRDefault="00B34120" w:rsidP="00162EBE">
            <w:pPr>
              <w:pStyle w:val="DQITableText"/>
            </w:pPr>
            <w:r>
              <w:t>Fire incidents are coded by type according to the Australian Incident Reporting System (AIRS) classification:</w:t>
            </w:r>
          </w:p>
          <w:p w:rsidR="00B34120" w:rsidRPr="004F74EE" w:rsidRDefault="00B34120" w:rsidP="00162EBE">
            <w:pPr>
              <w:pStyle w:val="DQITableBullet"/>
              <w:rPr>
                <w:u w:val="single"/>
              </w:rPr>
            </w:pPr>
            <w:r>
              <w:t>Fire incident events are where t</w:t>
            </w:r>
            <w:r>
              <w:rPr>
                <w:lang w:val="en-US"/>
              </w:rPr>
              <w:t xml:space="preserve">he Type of Incident is a </w:t>
            </w:r>
            <w:r>
              <w:rPr>
                <w:i/>
                <w:lang w:val="en-US"/>
              </w:rPr>
              <w:t>fire or explosion</w:t>
            </w:r>
            <w:r>
              <w:rPr>
                <w:lang w:val="en-US"/>
              </w:rPr>
              <w:t xml:space="preserve">: </w:t>
            </w:r>
          </w:p>
          <w:p w:rsidR="00B34120" w:rsidRDefault="00B34120" w:rsidP="004F74EE">
            <w:pPr>
              <w:pStyle w:val="DQITableBullet2"/>
              <w:numPr>
                <w:ilvl w:val="0"/>
                <w:numId w:val="0"/>
              </w:numPr>
              <w:ind w:left="510"/>
              <w:rPr>
                <w:u w:val="single"/>
              </w:rPr>
            </w:pPr>
            <w:proofErr w:type="spellStart"/>
            <w:r>
              <w:rPr>
                <w:lang w:val="en-US"/>
              </w:rPr>
              <w:t>A23</w:t>
            </w:r>
            <w:proofErr w:type="spellEnd"/>
            <w:r>
              <w:rPr>
                <w:lang w:val="en-US"/>
              </w:rPr>
              <w:t xml:space="preserve"> = </w:t>
            </w:r>
            <w:r w:rsidRPr="004F74EE">
              <w:t>Division</w:t>
            </w:r>
            <w:r>
              <w:rPr>
                <w:lang w:val="en-US"/>
              </w:rPr>
              <w:t xml:space="preserve"> 1 (Codes 100 to 199 inclusive)</w:t>
            </w:r>
            <w:r>
              <w:rPr>
                <w:u w:val="single"/>
                <w:lang w:val="en-US"/>
              </w:rPr>
              <w:t xml:space="preserve"> </w:t>
            </w:r>
          </w:p>
          <w:p w:rsidR="00B34120" w:rsidRDefault="00B34120" w:rsidP="004F74EE">
            <w:pPr>
              <w:pStyle w:val="DQITableBullet"/>
              <w:rPr>
                <w:lang w:val="en-US"/>
              </w:rPr>
            </w:pPr>
            <w:r>
              <w:t>Structure fires are where the</w:t>
            </w:r>
            <w:r>
              <w:rPr>
                <w:lang w:val="en-US"/>
              </w:rPr>
              <w:t xml:space="preserve"> Type of Incident is a </w:t>
            </w:r>
            <w:r>
              <w:rPr>
                <w:i/>
                <w:lang w:val="en-US"/>
              </w:rPr>
              <w:t>building fire</w:t>
            </w:r>
            <w:r>
              <w:rPr>
                <w:lang w:val="en-US"/>
              </w:rPr>
              <w:t>:</w:t>
            </w:r>
          </w:p>
          <w:p w:rsidR="00B34120" w:rsidRPr="004F74EE" w:rsidRDefault="00B34120" w:rsidP="004F74EE">
            <w:pPr>
              <w:pStyle w:val="DQITableBullet2"/>
              <w:numPr>
                <w:ilvl w:val="0"/>
                <w:numId w:val="0"/>
              </w:numPr>
              <w:ind w:left="510"/>
              <w:rPr>
                <w:lang w:val="en-US"/>
              </w:rPr>
            </w:pPr>
            <w:proofErr w:type="spellStart"/>
            <w:r>
              <w:rPr>
                <w:lang w:val="en-US"/>
              </w:rPr>
              <w:t>A23</w:t>
            </w:r>
            <w:proofErr w:type="spellEnd"/>
            <w:r>
              <w:rPr>
                <w:lang w:val="en-US"/>
              </w:rPr>
              <w:t xml:space="preserve"> = Division 1 (codes 110 to 129 inclusive)</w:t>
            </w:r>
            <w:r>
              <w:rPr>
                <w:u w:val="single"/>
                <w:lang w:val="en-US"/>
              </w:rPr>
              <w:t xml:space="preserve"> </w:t>
            </w:r>
          </w:p>
          <w:p w:rsidR="00B34120" w:rsidRPr="004F74EE" w:rsidRDefault="00B34120" w:rsidP="004F74EE">
            <w:pPr>
              <w:pStyle w:val="DQITableBullet"/>
            </w:pPr>
            <w:r w:rsidRPr="004F74EE">
              <w:t>Landscape</w:t>
            </w:r>
            <w:r>
              <w:t xml:space="preserve"> (bush and grass) fire incidents are where t</w:t>
            </w:r>
            <w:r>
              <w:rPr>
                <w:lang w:val="en-US"/>
              </w:rPr>
              <w:t xml:space="preserve">he Type of Incident is a </w:t>
            </w:r>
            <w:r>
              <w:rPr>
                <w:i/>
                <w:lang w:val="en-US"/>
              </w:rPr>
              <w:t>vegetation or other outside fire</w:t>
            </w:r>
            <w:r>
              <w:rPr>
                <w:lang w:val="en-US"/>
              </w:rPr>
              <w:t>:</w:t>
            </w:r>
          </w:p>
          <w:p w:rsidR="00B34120" w:rsidRDefault="00B34120" w:rsidP="004F74EE">
            <w:pPr>
              <w:pStyle w:val="DQITableBullet2"/>
              <w:numPr>
                <w:ilvl w:val="0"/>
                <w:numId w:val="0"/>
              </w:numPr>
              <w:ind w:left="510"/>
            </w:pPr>
            <w:proofErr w:type="spellStart"/>
            <w:r>
              <w:rPr>
                <w:lang w:val="en-US"/>
              </w:rPr>
              <w:t>A23</w:t>
            </w:r>
            <w:proofErr w:type="spellEnd"/>
            <w:r>
              <w:rPr>
                <w:lang w:val="en-US"/>
              </w:rPr>
              <w:t xml:space="preserve"> = Division 1 (Codes 160 to 179 inclusive).</w:t>
            </w:r>
            <w:r>
              <w:rPr>
                <w:u w:val="single"/>
                <w:lang w:val="en-US"/>
              </w:rPr>
              <w:t xml:space="preserve"> </w:t>
            </w:r>
          </w:p>
        </w:tc>
      </w:tr>
      <w:tr w:rsidR="00B34120" w:rsidTr="00B34120">
        <w:trPr>
          <w:cantSplit/>
          <w:jc w:val="center"/>
        </w:trPr>
        <w:tc>
          <w:tcPr>
            <w:tcW w:w="832" w:type="pct"/>
            <w:hideMark/>
          </w:tcPr>
          <w:p w:rsidR="00B34120" w:rsidRDefault="00B34120" w:rsidP="004F74EE">
            <w:pPr>
              <w:pStyle w:val="DQIRowHeadings"/>
            </w:pPr>
            <w:r>
              <w:lastRenderedPageBreak/>
              <w:t>Data source</w:t>
            </w:r>
          </w:p>
        </w:tc>
        <w:tc>
          <w:tcPr>
            <w:tcW w:w="4168" w:type="pct"/>
            <w:gridSpan w:val="4"/>
            <w:hideMark/>
          </w:tcPr>
          <w:p w:rsidR="00B34120" w:rsidRPr="004F74EE" w:rsidRDefault="00B34120" w:rsidP="004F74EE">
            <w:pPr>
              <w:pStyle w:val="DQITableText"/>
              <w:rPr>
                <w:u w:val="single"/>
              </w:rPr>
            </w:pPr>
            <w:r w:rsidRPr="004F74EE">
              <w:rPr>
                <w:u w:val="single"/>
              </w:rPr>
              <w:t>Numerator</w:t>
            </w:r>
          </w:p>
          <w:p w:rsidR="00B34120" w:rsidRDefault="00B34120" w:rsidP="004F74EE">
            <w:pPr>
              <w:pStyle w:val="DQITableText"/>
            </w:pPr>
            <w:r>
              <w:t xml:space="preserve">State and Territory governments. The Secretariat collects data directly from all jurisdictions. Within each jurisdiction, fire service and emergency services organisations collect and compile data. </w:t>
            </w:r>
          </w:p>
          <w:p w:rsidR="00B34120" w:rsidRPr="004F74EE" w:rsidRDefault="00B34120" w:rsidP="004F74EE">
            <w:pPr>
              <w:pStyle w:val="DQITableText"/>
              <w:rPr>
                <w:u w:val="single"/>
              </w:rPr>
            </w:pPr>
            <w:r w:rsidRPr="004F74EE">
              <w:rPr>
                <w:u w:val="single"/>
              </w:rPr>
              <w:t>Denominator</w:t>
            </w:r>
          </w:p>
          <w:p w:rsidR="00B34120" w:rsidRDefault="00B34120" w:rsidP="00EE788F">
            <w:pPr>
              <w:pStyle w:val="DQITableBullet"/>
            </w:pPr>
            <w:r>
              <w:t xml:space="preserve">Population: </w:t>
            </w:r>
            <w:r>
              <w:rPr>
                <w:i/>
              </w:rPr>
              <w:t>Australian Demographic Statistics</w:t>
            </w:r>
            <w:r>
              <w:t>, Cat. no. 3101.0 (table </w:t>
            </w:r>
            <w:proofErr w:type="spellStart"/>
            <w:r>
              <w:t>2A.2</w:t>
            </w:r>
            <w:proofErr w:type="spellEnd"/>
            <w:r>
              <w:t>)</w:t>
            </w:r>
          </w:p>
        </w:tc>
      </w:tr>
      <w:tr w:rsidR="00B34120" w:rsidTr="00B34120">
        <w:trPr>
          <w:cantSplit/>
          <w:jc w:val="center"/>
        </w:trPr>
        <w:tc>
          <w:tcPr>
            <w:tcW w:w="2261" w:type="pct"/>
            <w:gridSpan w:val="3"/>
            <w:hideMark/>
          </w:tcPr>
          <w:p w:rsidR="00B34120" w:rsidRPr="004F74EE" w:rsidRDefault="00B34120" w:rsidP="00EE788F">
            <w:pPr>
              <w:pStyle w:val="DQIMainRowHeadings"/>
              <w:rPr>
                <w:rFonts w:cs="Arial"/>
                <w:sz w:val="22"/>
                <w:szCs w:val="22"/>
              </w:rPr>
            </w:pPr>
            <w:r w:rsidRPr="004F74EE">
              <w:rPr>
                <w:sz w:val="24"/>
              </w:rPr>
              <w:br w:type="page"/>
            </w:r>
            <w:r w:rsidRPr="004F74EE">
              <w:rPr>
                <w:sz w:val="24"/>
              </w:rPr>
              <w:br w:type="page"/>
            </w:r>
            <w:r w:rsidRPr="004F74EE">
              <w:t>Data Quality Framework dimensions</w:t>
            </w:r>
          </w:p>
        </w:tc>
        <w:tc>
          <w:tcPr>
            <w:tcW w:w="2739" w:type="pct"/>
            <w:gridSpan w:val="2"/>
          </w:tcPr>
          <w:p w:rsidR="00B34120" w:rsidRPr="004F74EE" w:rsidRDefault="00B34120" w:rsidP="004F74EE">
            <w:pPr>
              <w:pStyle w:val="DQIRowHeadings"/>
              <w:rPr>
                <w:rFonts w:cs="Arial"/>
                <w:sz w:val="22"/>
                <w:szCs w:val="22"/>
                <w:u w:val="single"/>
              </w:rPr>
            </w:pPr>
          </w:p>
        </w:tc>
      </w:tr>
      <w:tr w:rsidR="00B34120" w:rsidTr="00B34120">
        <w:trPr>
          <w:jc w:val="center"/>
        </w:trPr>
        <w:tc>
          <w:tcPr>
            <w:tcW w:w="832" w:type="pct"/>
            <w:hideMark/>
          </w:tcPr>
          <w:p w:rsidR="00B34120" w:rsidRDefault="00B34120" w:rsidP="004F74EE">
            <w:pPr>
              <w:pStyle w:val="DQIRowHeadings"/>
            </w:pPr>
            <w:r>
              <w:t>Institutional environment</w:t>
            </w:r>
          </w:p>
        </w:tc>
        <w:tc>
          <w:tcPr>
            <w:tcW w:w="4168" w:type="pct"/>
            <w:gridSpan w:val="4"/>
            <w:hideMark/>
          </w:tcPr>
          <w:p w:rsidR="00B34120" w:rsidRDefault="00B34120" w:rsidP="00B34120">
            <w:pPr>
              <w:pStyle w:val="DQITableText"/>
            </w:pPr>
            <w:r>
              <w:t>Fire incident data are collected by fire and emergency service organisations in each State and Territory according to the AIRS.</w:t>
            </w:r>
          </w:p>
          <w:p w:rsidR="00B34120" w:rsidRDefault="00B34120" w:rsidP="00B34120">
            <w:pPr>
              <w:pStyle w:val="DQITableText"/>
            </w:pPr>
            <w:r>
              <w:t>The AIRS is a nationally agreed data standard. It takes a systematic approach to collecting, recording and reporting information about responses to incidents and emergencies attended primarily by fire services. It provides a standard for the structure, definitions and integrity of the data collected.</w:t>
            </w:r>
          </w:p>
          <w:p w:rsidR="00B34120" w:rsidRDefault="00B34120" w:rsidP="00B34120">
            <w:pPr>
              <w:pStyle w:val="DQITableText"/>
            </w:pPr>
            <w:r>
              <w:t xml:space="preserve">The </w:t>
            </w:r>
            <w:proofErr w:type="spellStart"/>
            <w:r w:rsidR="00123F82">
              <w:t>AFAC</w:t>
            </w:r>
            <w:proofErr w:type="spellEnd"/>
            <w:r w:rsidR="00123F82" w:rsidRPr="00123F82">
              <w:rPr>
                <w:rFonts w:ascii="Times New Roman" w:hAnsi="Times New Roman"/>
                <w:sz w:val="24"/>
                <w:szCs w:val="24"/>
              </w:rPr>
              <w:t xml:space="preserve"> </w:t>
            </w:r>
            <w:r w:rsidR="00123F82" w:rsidRPr="00123F82">
              <w:t>Australian Incident Reporting System</w:t>
            </w:r>
            <w:r w:rsidR="00123F82">
              <w:t xml:space="preserve"> (AIRS) User Network</w:t>
            </w:r>
            <w:r>
              <w:t xml:space="preserve"> is responsible for sustaining the production and currency of AIRS data and support the continued development of data requirements to ensure consistent and reliable methods of data collection, compilation and analysis can be applied throughout member agencies. For further information about the </w:t>
            </w:r>
            <w:proofErr w:type="spellStart"/>
            <w:r>
              <w:t>AFAC</w:t>
            </w:r>
            <w:proofErr w:type="spellEnd"/>
            <w:r>
              <w:t xml:space="preserve"> knowledge data base see the </w:t>
            </w:r>
            <w:proofErr w:type="spellStart"/>
            <w:r>
              <w:t>AFAC</w:t>
            </w:r>
            <w:proofErr w:type="spellEnd"/>
            <w:r>
              <w:t xml:space="preserve"> </w:t>
            </w:r>
            <w:r w:rsidRPr="004A1422">
              <w:t>National Data and Glossary</w:t>
            </w:r>
            <w:r>
              <w:t>.</w:t>
            </w:r>
          </w:p>
          <w:p w:rsidR="00B34120" w:rsidRDefault="00B34120" w:rsidP="00B34120">
            <w:pPr>
              <w:pStyle w:val="DQITableText"/>
            </w:pPr>
            <w:r>
              <w:t>Not all of the contributing fire and emergency services collect all of the data because each fire service has different legislated roles and responsibilities, environments and history of reporting and therefore have developed processes relevant to their business. In addition, m</w:t>
            </w:r>
            <w:r w:rsidRPr="003A69D4">
              <w:t>any land management agencies do not record their response to fires according to the AIRS</w:t>
            </w:r>
            <w:r>
              <w:t>.</w:t>
            </w:r>
          </w:p>
          <w:p w:rsidR="00B34120" w:rsidRDefault="00B34120" w:rsidP="00B34120">
            <w:pPr>
              <w:pStyle w:val="DQITableText"/>
            </w:pPr>
            <w:r>
              <w:t>The data are requested and submitted to the Secretariat in accordance with the authority of the terms of reference of the Review of Government Service Provision.</w:t>
            </w:r>
          </w:p>
        </w:tc>
      </w:tr>
      <w:tr w:rsidR="00B34120" w:rsidTr="00B34120">
        <w:trPr>
          <w:cantSplit/>
          <w:jc w:val="center"/>
        </w:trPr>
        <w:tc>
          <w:tcPr>
            <w:tcW w:w="832" w:type="pct"/>
            <w:hideMark/>
          </w:tcPr>
          <w:p w:rsidR="00B34120" w:rsidRDefault="00B34120" w:rsidP="004F74EE">
            <w:pPr>
              <w:pStyle w:val="DQIRowHeadings"/>
            </w:pPr>
            <w:r>
              <w:t>Relevance</w:t>
            </w:r>
          </w:p>
        </w:tc>
        <w:tc>
          <w:tcPr>
            <w:tcW w:w="4168" w:type="pct"/>
            <w:gridSpan w:val="4"/>
            <w:hideMark/>
          </w:tcPr>
          <w:p w:rsidR="00B34120" w:rsidRDefault="00B34120" w:rsidP="00B34120">
            <w:pPr>
              <w:pStyle w:val="DQITableText"/>
            </w:pPr>
            <w:r>
              <w:t xml:space="preserve">‘Fire incidents’ is an indicator of governments’ objective to manage the risk of fires by preventing/reducing the number of structure, landscape and other fires. </w:t>
            </w:r>
          </w:p>
          <w:p w:rsidR="00B34120" w:rsidRPr="00741F17" w:rsidRDefault="00B34120" w:rsidP="00B34120">
            <w:pPr>
              <w:pStyle w:val="DQITableText"/>
            </w:pPr>
            <w:r w:rsidRPr="00741F17">
              <w:t>Fire service organisations respond to all reported fires within emergency response areas.</w:t>
            </w:r>
            <w:r>
              <w:t xml:space="preserve"> </w:t>
            </w:r>
            <w:r w:rsidRPr="003A69D4">
              <w:t>Fire agencies may choose to manage some landscape fires (rather than fight the fire), particularly in remote areas</w:t>
            </w:r>
          </w:p>
          <w:p w:rsidR="00B34120" w:rsidRDefault="00B34120" w:rsidP="00B34120">
            <w:pPr>
              <w:pStyle w:val="DQITableText"/>
            </w:pPr>
            <w:r>
              <w:t>A lower or decreasing number of fire incidents, adjusted for population/households, indicates a better community outcome. Higher or increasing proportions of fire incidents indicate higher emergency response workloads.</w:t>
            </w:r>
          </w:p>
        </w:tc>
      </w:tr>
      <w:tr w:rsidR="00B34120" w:rsidTr="00B34120">
        <w:trPr>
          <w:cantSplit/>
          <w:jc w:val="center"/>
        </w:trPr>
        <w:tc>
          <w:tcPr>
            <w:tcW w:w="832" w:type="pct"/>
            <w:hideMark/>
          </w:tcPr>
          <w:p w:rsidR="00B34120" w:rsidRDefault="00B34120" w:rsidP="004F74EE">
            <w:pPr>
              <w:pStyle w:val="DQIRowHeadings"/>
            </w:pPr>
            <w:r>
              <w:t>Timeliness</w:t>
            </w:r>
          </w:p>
        </w:tc>
        <w:tc>
          <w:tcPr>
            <w:tcW w:w="4168" w:type="pct"/>
            <w:gridSpan w:val="4"/>
            <w:hideMark/>
          </w:tcPr>
          <w:p w:rsidR="00B34120" w:rsidRDefault="00B34120" w:rsidP="007F6100">
            <w:pPr>
              <w:pStyle w:val="DQITableText"/>
            </w:pPr>
            <w:r>
              <w:t xml:space="preserve">Fire incident are published annually for the latest financial year preceding the January release of each </w:t>
            </w:r>
            <w:proofErr w:type="spellStart"/>
            <w:r w:rsidR="007F6100">
              <w:t>RoGS</w:t>
            </w:r>
            <w:proofErr w:type="spellEnd"/>
            <w:r>
              <w:t>.</w:t>
            </w:r>
          </w:p>
        </w:tc>
      </w:tr>
      <w:tr w:rsidR="00B34120" w:rsidTr="00B34120">
        <w:trPr>
          <w:jc w:val="center"/>
        </w:trPr>
        <w:tc>
          <w:tcPr>
            <w:tcW w:w="832" w:type="pct"/>
            <w:hideMark/>
          </w:tcPr>
          <w:p w:rsidR="00B34120" w:rsidRDefault="00B34120" w:rsidP="004F74EE">
            <w:pPr>
              <w:pStyle w:val="DQIRowHeadings"/>
            </w:pPr>
            <w:r>
              <w:t>Accuracy</w:t>
            </w:r>
          </w:p>
        </w:tc>
        <w:tc>
          <w:tcPr>
            <w:tcW w:w="4168" w:type="pct"/>
            <w:gridSpan w:val="4"/>
            <w:shd w:val="clear" w:color="auto" w:fill="FFFFFF" w:themeFill="background1"/>
            <w:hideMark/>
          </w:tcPr>
          <w:p w:rsidR="00B34120" w:rsidRDefault="00B34120" w:rsidP="00B34120">
            <w:pPr>
              <w:pStyle w:val="DQITableText"/>
            </w:pPr>
            <w:r>
              <w:t xml:space="preserve">Text caveats in the </w:t>
            </w:r>
            <w:proofErr w:type="spellStart"/>
            <w:r>
              <w:t>RoGS</w:t>
            </w:r>
            <w:proofErr w:type="spellEnd"/>
            <w:r>
              <w:t xml:space="preserve"> provide generalised </w:t>
            </w:r>
            <w:r w:rsidR="001B410C">
              <w:t xml:space="preserve">advice </w:t>
            </w:r>
            <w:r>
              <w:t>that data are not strictly comparable and cite a number of physical, operational and data collection system factors that influence fire incident data.</w:t>
            </w:r>
          </w:p>
          <w:p w:rsidR="00B34120" w:rsidRDefault="00B34120" w:rsidP="00B34120">
            <w:pPr>
              <w:pStyle w:val="DQITableText"/>
            </w:pPr>
            <w:r>
              <w:t xml:space="preserve">Jurisdictions predominately follow the data definitions. </w:t>
            </w:r>
            <w:r w:rsidRPr="00741F17">
              <w:t>Substantive differences to the counting procedures are summarised in table</w:t>
            </w:r>
            <w:r>
              <w:t> </w:t>
            </w:r>
            <w:r w:rsidRPr="00741F17">
              <w:t>1 and include:</w:t>
            </w:r>
          </w:p>
          <w:p w:rsidR="00B34120" w:rsidRDefault="00B34120" w:rsidP="00B34120">
            <w:pPr>
              <w:pStyle w:val="DQITableBullet"/>
            </w:pPr>
            <w:r>
              <w:rPr>
                <w:i/>
              </w:rPr>
              <w:t>land management agencies</w:t>
            </w:r>
            <w:r>
              <w:t xml:space="preserve"> — not all jurisdictions report the number of fire incidents attended to by land management agencies that have a fire response role </w:t>
            </w:r>
          </w:p>
          <w:p w:rsidR="00B34120" w:rsidRDefault="00B34120" w:rsidP="00B34120">
            <w:pPr>
              <w:pStyle w:val="DQITableBullet"/>
            </w:pPr>
            <w:r>
              <w:rPr>
                <w:i/>
              </w:rPr>
              <w:t>incomplete voluntary reporting procedures —</w:t>
            </w:r>
            <w:r>
              <w:t xml:space="preserve"> accurate identification of incidents attended by volunteer fire brigades is sometimes not possible</w:t>
            </w:r>
          </w:p>
          <w:p w:rsidR="00B34120" w:rsidRDefault="00B34120" w:rsidP="00521B8E">
            <w:pPr>
              <w:pStyle w:val="DQITableBullet"/>
            </w:pPr>
            <w:r>
              <w:rPr>
                <w:i/>
              </w:rPr>
              <w:t xml:space="preserve">merging of landscape fires </w:t>
            </w:r>
            <w:r>
              <w:t xml:space="preserve">— </w:t>
            </w:r>
            <w:r w:rsidR="00521B8E">
              <w:t>j</w:t>
            </w:r>
            <w:r>
              <w:t>urisdictions have noted that it is common practice to merge landscape fire data (i.e. one fire incident that with another is then treated as a single event). The AIRS incident type coding requires assessment of the ‘most serious situation arising from a landscape fire’, which usually occurs after fires have merged and may result in some merged fires being counted as a single incident.</w:t>
            </w:r>
          </w:p>
        </w:tc>
      </w:tr>
      <w:tr w:rsidR="00B34120" w:rsidTr="00B34120">
        <w:trPr>
          <w:cantSplit/>
          <w:jc w:val="center"/>
        </w:trPr>
        <w:tc>
          <w:tcPr>
            <w:tcW w:w="832" w:type="pct"/>
            <w:hideMark/>
          </w:tcPr>
          <w:p w:rsidR="00B34120" w:rsidRDefault="00B34120" w:rsidP="00B34120">
            <w:pPr>
              <w:pStyle w:val="DQIRowHeadings"/>
            </w:pPr>
            <w:r>
              <w:lastRenderedPageBreak/>
              <w:t>Coherence</w:t>
            </w:r>
          </w:p>
        </w:tc>
        <w:tc>
          <w:tcPr>
            <w:tcW w:w="4168" w:type="pct"/>
            <w:gridSpan w:val="4"/>
            <w:hideMark/>
          </w:tcPr>
          <w:p w:rsidR="00B34120" w:rsidRDefault="00B34120" w:rsidP="00B34120">
            <w:pPr>
              <w:pStyle w:val="DQITableText"/>
            </w:pPr>
            <w:r>
              <w:t>Each State and Territory government maintain</w:t>
            </w:r>
            <w:r w:rsidR="00521B8E">
              <w:t>s</w:t>
            </w:r>
            <w:r>
              <w:t xml:space="preserve"> their own systems, processes, and training for estimation. </w:t>
            </w:r>
          </w:p>
          <w:p w:rsidR="00B34120" w:rsidRDefault="00B34120" w:rsidP="00B34120">
            <w:pPr>
              <w:pStyle w:val="DQITableText"/>
            </w:pPr>
            <w:r>
              <w:t>Any time series changes are identified with relevant footnotes.</w:t>
            </w:r>
          </w:p>
        </w:tc>
      </w:tr>
      <w:tr w:rsidR="00B34120" w:rsidTr="00B34120">
        <w:trPr>
          <w:cantSplit/>
          <w:jc w:val="center"/>
        </w:trPr>
        <w:tc>
          <w:tcPr>
            <w:tcW w:w="832" w:type="pct"/>
            <w:hideMark/>
          </w:tcPr>
          <w:p w:rsidR="00B34120" w:rsidRDefault="00B34120" w:rsidP="00B34120">
            <w:pPr>
              <w:pStyle w:val="DQIRowHeadings"/>
            </w:pPr>
            <w:r>
              <w:t>Accessibility</w:t>
            </w:r>
          </w:p>
        </w:tc>
        <w:tc>
          <w:tcPr>
            <w:tcW w:w="4168" w:type="pct"/>
            <w:gridSpan w:val="4"/>
            <w:hideMark/>
          </w:tcPr>
          <w:p w:rsidR="00B34120" w:rsidRDefault="00B34120" w:rsidP="00B34120">
            <w:pPr>
              <w:pStyle w:val="DQITableText"/>
            </w:pPr>
            <w:r>
              <w:t xml:space="preserve">Fire incident data are publicly available on the Productivity Commission’s website from the time of </w:t>
            </w:r>
            <w:proofErr w:type="spellStart"/>
            <w:r>
              <w:t>RoGS</w:t>
            </w:r>
            <w:proofErr w:type="spellEnd"/>
            <w:r>
              <w:t xml:space="preserve"> publication. </w:t>
            </w:r>
          </w:p>
          <w:p w:rsidR="00B34120" w:rsidRDefault="00B34120" w:rsidP="00B34120">
            <w:pPr>
              <w:pStyle w:val="DQITableText"/>
            </w:pPr>
            <w:r>
              <w:t xml:space="preserve">Additional data may be available upon request through </w:t>
            </w:r>
            <w:proofErr w:type="spellStart"/>
            <w:r>
              <w:t>AFAC</w:t>
            </w:r>
            <w:proofErr w:type="spellEnd"/>
            <w:r>
              <w:t>.</w:t>
            </w:r>
          </w:p>
        </w:tc>
      </w:tr>
      <w:tr w:rsidR="00B34120" w:rsidTr="00B34120">
        <w:trPr>
          <w:cantSplit/>
          <w:jc w:val="center"/>
        </w:trPr>
        <w:tc>
          <w:tcPr>
            <w:tcW w:w="832" w:type="pct"/>
            <w:hideMark/>
          </w:tcPr>
          <w:p w:rsidR="00B34120" w:rsidRDefault="00B34120" w:rsidP="004D4FF5">
            <w:pPr>
              <w:pStyle w:val="DQIRowHeadings"/>
            </w:pPr>
            <w:r>
              <w:t>Interpretability</w:t>
            </w:r>
          </w:p>
        </w:tc>
        <w:tc>
          <w:tcPr>
            <w:tcW w:w="4168" w:type="pct"/>
            <w:gridSpan w:val="4"/>
            <w:hideMark/>
          </w:tcPr>
          <w:p w:rsidR="00B34120" w:rsidRDefault="00B34120" w:rsidP="00B34120">
            <w:pPr>
              <w:pStyle w:val="DQITableText"/>
            </w:pPr>
            <w:r>
              <w:t xml:space="preserve">Copies of the complete </w:t>
            </w:r>
            <w:proofErr w:type="spellStart"/>
            <w:r>
              <w:t>AFAC</w:t>
            </w:r>
            <w:proofErr w:type="spellEnd"/>
            <w:r>
              <w:t xml:space="preserve"> AIRS data standard are available upon request through </w:t>
            </w:r>
            <w:proofErr w:type="spellStart"/>
            <w:r>
              <w:t>AFAC</w:t>
            </w:r>
            <w:proofErr w:type="spellEnd"/>
            <w:r>
              <w:t xml:space="preserve">. </w:t>
            </w:r>
          </w:p>
          <w:p w:rsidR="00B34120" w:rsidRDefault="00B34120" w:rsidP="00B34120">
            <w:pPr>
              <w:pStyle w:val="DQITableText"/>
            </w:pPr>
            <w:r>
              <w:t>Text caveats and chapter footnotes provide additional commentary on data quality, as do the footnotes in the relevant attachment tables.</w:t>
            </w:r>
          </w:p>
        </w:tc>
      </w:tr>
      <w:tr w:rsidR="00B34120" w:rsidTr="00B34120">
        <w:trPr>
          <w:gridAfter w:val="1"/>
          <w:wAfter w:w="2580" w:type="pct"/>
          <w:cantSplit/>
          <w:jc w:val="center"/>
        </w:trPr>
        <w:tc>
          <w:tcPr>
            <w:tcW w:w="2420" w:type="pct"/>
            <w:gridSpan w:val="4"/>
            <w:hideMark/>
          </w:tcPr>
          <w:p w:rsidR="00B34120" w:rsidRDefault="00B34120" w:rsidP="00EE788F">
            <w:pPr>
              <w:pStyle w:val="DQIMainRowHeadings"/>
            </w:pPr>
            <w:r>
              <w:t>Data Gaps/Issues Analysis</w:t>
            </w:r>
          </w:p>
        </w:tc>
      </w:tr>
      <w:tr w:rsidR="00B34120" w:rsidTr="00B34120">
        <w:trPr>
          <w:cantSplit/>
          <w:jc w:val="center"/>
        </w:trPr>
        <w:tc>
          <w:tcPr>
            <w:tcW w:w="832" w:type="pct"/>
            <w:tcBorders>
              <w:top w:val="nil"/>
              <w:left w:val="nil"/>
              <w:right w:val="nil"/>
            </w:tcBorders>
            <w:hideMark/>
          </w:tcPr>
          <w:p w:rsidR="00B34120" w:rsidRDefault="00B34120" w:rsidP="00B34120">
            <w:pPr>
              <w:pStyle w:val="DQIRowHeadings"/>
            </w:pPr>
            <w:r>
              <w:t>Key data gaps/issues</w:t>
            </w:r>
          </w:p>
        </w:tc>
        <w:tc>
          <w:tcPr>
            <w:tcW w:w="4168" w:type="pct"/>
            <w:gridSpan w:val="4"/>
            <w:tcBorders>
              <w:top w:val="nil"/>
              <w:left w:val="nil"/>
              <w:right w:val="nil"/>
            </w:tcBorders>
            <w:hideMark/>
          </w:tcPr>
          <w:p w:rsidR="00B34120" w:rsidRDefault="00B34120" w:rsidP="00B34120">
            <w:pPr>
              <w:pStyle w:val="DQITableText"/>
            </w:pPr>
            <w:r>
              <w:t xml:space="preserve">The Steering Committee notes the following key data gaps/issues: </w:t>
            </w:r>
          </w:p>
          <w:p w:rsidR="00B34120" w:rsidRDefault="00B34120" w:rsidP="00B34120">
            <w:pPr>
              <w:pStyle w:val="DQITableBullet"/>
            </w:pPr>
            <w:r>
              <w:t>Text caveats note the need for fire incident data to be ‘interpreted with caution because the data are not strictly comparable across jurisdictions.’</w:t>
            </w:r>
          </w:p>
          <w:p w:rsidR="00B34120" w:rsidRDefault="00B34120" w:rsidP="00B34120">
            <w:pPr>
              <w:pStyle w:val="DQITableText"/>
            </w:pPr>
            <w:r>
              <w:t>A number of factors are identified as contributing to this lack of comparability, but without detailed analysis of such factors.</w:t>
            </w:r>
          </w:p>
        </w:tc>
      </w:tr>
    </w:tbl>
    <w:p w:rsidR="004B13A1" w:rsidRDefault="004B13A1" w:rsidP="004B13A1">
      <w:pPr>
        <w:rPr>
          <w:rFonts w:ascii="Arial" w:hAnsi="Arial"/>
          <w:i/>
        </w:rPr>
      </w:pPr>
      <w:r>
        <w:br w:type="page"/>
      </w:r>
    </w:p>
    <w:p w:rsidR="00447F6F" w:rsidRDefault="00447F6F" w:rsidP="007511E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654"/>
      </w:tblGrid>
      <w:tr w:rsidR="00447F6F" w:rsidTr="007511E6">
        <w:tc>
          <w:tcPr>
            <w:tcW w:w="8771" w:type="dxa"/>
            <w:tcBorders>
              <w:top w:val="single" w:sz="6" w:space="0" w:color="78A22F"/>
              <w:left w:val="nil"/>
              <w:bottom w:val="nil"/>
              <w:right w:val="nil"/>
            </w:tcBorders>
            <w:shd w:val="clear" w:color="auto" w:fill="auto"/>
          </w:tcPr>
          <w:p w:rsidR="00447F6F" w:rsidRPr="00784A05" w:rsidRDefault="00447F6F" w:rsidP="001263E0">
            <w:pPr>
              <w:pStyle w:val="TableTitle"/>
            </w:pPr>
            <w:r>
              <w:rPr>
                <w:b w:val="0"/>
              </w:rPr>
              <w:t xml:space="preserve">Table </w:t>
            </w:r>
            <w:bookmarkStart w:id="34" w:name="OLE_LINK1"/>
            <w:r w:rsidR="00B560A0">
              <w:rPr>
                <w:b w:val="0"/>
                <w:noProof/>
              </w:rPr>
              <w:t>1</w:t>
            </w:r>
            <w:bookmarkEnd w:id="34"/>
            <w:r>
              <w:tab/>
              <w:t>Jurisdictional practices in counting fire incidents</w:t>
            </w:r>
          </w:p>
        </w:tc>
      </w:tr>
      <w:tr w:rsidR="00447F6F" w:rsidTr="00447F6F">
        <w:tc>
          <w:tcPr>
            <w:tcW w:w="8771" w:type="dxa"/>
            <w:tcBorders>
              <w:top w:val="nil"/>
              <w:left w:val="nil"/>
              <w:bottom w:val="nil"/>
              <w:right w:val="nil"/>
            </w:tcBorders>
            <w:shd w:val="clear" w:color="auto" w:fill="auto"/>
          </w:tcPr>
          <w:tbl>
            <w:tblPr>
              <w:tblW w:w="5000" w:type="pct"/>
              <w:tblCellMar>
                <w:top w:w="28" w:type="dxa"/>
                <w:left w:w="28" w:type="dxa"/>
                <w:bottom w:w="28" w:type="dxa"/>
                <w:right w:w="28" w:type="dxa"/>
              </w:tblCellMar>
              <w:tblLook w:val="04A0" w:firstRow="1" w:lastRow="0" w:firstColumn="1" w:lastColumn="0" w:noHBand="0" w:noVBand="1"/>
            </w:tblPr>
            <w:tblGrid>
              <w:gridCol w:w="680"/>
              <w:gridCol w:w="7690"/>
            </w:tblGrid>
            <w:tr w:rsidR="00486E16" w:rsidTr="00486E16">
              <w:trPr>
                <w:cantSplit/>
                <w:tblHeader/>
              </w:trPr>
              <w:tc>
                <w:tcPr>
                  <w:tcW w:w="5000" w:type="pct"/>
                  <w:gridSpan w:val="2"/>
                  <w:tcBorders>
                    <w:top w:val="single" w:sz="6" w:space="0" w:color="BFBFBF" w:themeColor="background2"/>
                    <w:left w:val="nil"/>
                    <w:bottom w:val="single" w:sz="6" w:space="0" w:color="BFBFBF" w:themeColor="background2"/>
                    <w:right w:val="nil"/>
                  </w:tcBorders>
                </w:tcPr>
                <w:p w:rsidR="00486E16" w:rsidRPr="004A0494" w:rsidRDefault="00486E16" w:rsidP="00486E16">
                  <w:pPr>
                    <w:pStyle w:val="DQIMainRowHeadings"/>
                    <w:spacing w:before="80" w:after="80"/>
                    <w:rPr>
                      <w:b w:val="0"/>
                      <w:i/>
                      <w:u w:val="none"/>
                    </w:rPr>
                  </w:pPr>
                  <w:r w:rsidRPr="004A0494">
                    <w:rPr>
                      <w:b w:val="0"/>
                      <w:i/>
                      <w:u w:val="none"/>
                    </w:rPr>
                    <w:t xml:space="preserve">Jurisdiction comments </w:t>
                  </w:r>
                </w:p>
              </w:tc>
            </w:tr>
            <w:tr w:rsidR="00447F6F" w:rsidTr="00447F6F">
              <w:trPr>
                <w:cantSplit/>
              </w:trPr>
              <w:tc>
                <w:tcPr>
                  <w:tcW w:w="406" w:type="pct"/>
                  <w:tcBorders>
                    <w:top w:val="single" w:sz="6" w:space="0" w:color="BFBFBF" w:themeColor="background2"/>
                  </w:tcBorders>
                  <w:hideMark/>
                </w:tcPr>
                <w:p w:rsidR="00447F6F" w:rsidRDefault="00447F6F" w:rsidP="00EF3552">
                  <w:pPr>
                    <w:pStyle w:val="DQIRowHeadings"/>
                  </w:pPr>
                  <w:r>
                    <w:t>NSW</w:t>
                  </w:r>
                </w:p>
              </w:tc>
              <w:tc>
                <w:tcPr>
                  <w:tcW w:w="4594" w:type="pct"/>
                  <w:tcBorders>
                    <w:top w:val="single" w:sz="6" w:space="0" w:color="BFBFBF" w:themeColor="background2"/>
                  </w:tcBorders>
                  <w:shd w:val="clear" w:color="auto" w:fill="auto"/>
                  <w:hideMark/>
                </w:tcPr>
                <w:p w:rsidR="00447F6F" w:rsidRDefault="00447F6F" w:rsidP="00EF3552">
                  <w:pPr>
                    <w:pStyle w:val="DQITableText"/>
                  </w:pPr>
                  <w:r>
                    <w:t xml:space="preserve">Included in fire incidents </w:t>
                  </w:r>
                  <w:r w:rsidRPr="00EF3552">
                    <w:t>data</w:t>
                  </w:r>
                  <w:r>
                    <w:t xml:space="preserve"> are incidents recorded by:</w:t>
                  </w:r>
                </w:p>
                <w:p w:rsidR="00447F6F" w:rsidRDefault="00447F6F" w:rsidP="00EF3552">
                  <w:pPr>
                    <w:pStyle w:val="DQITableBullet"/>
                  </w:pPr>
                  <w:r>
                    <w:t>Fire &amp; Rescue NSW</w:t>
                  </w:r>
                </w:p>
                <w:p w:rsidR="00447F6F" w:rsidRDefault="00447F6F" w:rsidP="00EF3552">
                  <w:pPr>
                    <w:pStyle w:val="DQITableBullet"/>
                  </w:pPr>
                  <w:r>
                    <w:t>NSW Rural Fire Service</w:t>
                  </w:r>
                </w:p>
                <w:p w:rsidR="00447F6F" w:rsidRDefault="00447F6F" w:rsidP="00EF3552">
                  <w:pPr>
                    <w:pStyle w:val="DQITableBullet"/>
                  </w:pPr>
                  <w:r>
                    <w:t xml:space="preserve">The Fire Management Unit, Parks and Wildlife Group of the </w:t>
                  </w:r>
                  <w:r w:rsidRPr="00C227A5">
                    <w:t>Office of Environment and Heritage</w:t>
                  </w:r>
                  <w:r>
                    <w:t xml:space="preserve"> currently report to </w:t>
                  </w:r>
                  <w:proofErr w:type="spellStart"/>
                  <w:r>
                    <w:t>RoGS</w:t>
                  </w:r>
                  <w:proofErr w:type="spellEnd"/>
                  <w:r>
                    <w:t xml:space="preserve"> the number of landscape fires.</w:t>
                  </w:r>
                </w:p>
                <w:p w:rsidR="00447F6F" w:rsidRPr="00EF3552" w:rsidRDefault="00447F6F" w:rsidP="00EF3552">
                  <w:pPr>
                    <w:pStyle w:val="DQIMainRowHeadings"/>
                    <w:rPr>
                      <w:b w:val="0"/>
                    </w:rPr>
                  </w:pPr>
                  <w:r w:rsidRPr="00EF3552">
                    <w:rPr>
                      <w:b w:val="0"/>
                    </w:rPr>
                    <w:t>Land Management Agencies</w:t>
                  </w:r>
                </w:p>
                <w:p w:rsidR="00447F6F" w:rsidRDefault="00447F6F" w:rsidP="00EF3552">
                  <w:pPr>
                    <w:pStyle w:val="DQITableText"/>
                  </w:pPr>
                  <w:r>
                    <w:t>NSW includes landscape incident data.</w:t>
                  </w:r>
                </w:p>
                <w:p w:rsidR="00447F6F" w:rsidRPr="00EF3552" w:rsidRDefault="00447F6F" w:rsidP="00EF3552">
                  <w:pPr>
                    <w:pStyle w:val="DQIMainRowHeadings"/>
                    <w:rPr>
                      <w:b w:val="0"/>
                    </w:rPr>
                  </w:pPr>
                  <w:r w:rsidRPr="00EF3552">
                    <w:rPr>
                      <w:b w:val="0"/>
                    </w:rPr>
                    <w:t>Merging of fires</w:t>
                  </w:r>
                </w:p>
                <w:p w:rsidR="00447F6F" w:rsidRPr="006F4CF7" w:rsidRDefault="00447F6F" w:rsidP="00EF3552">
                  <w:pPr>
                    <w:pStyle w:val="DQITableText"/>
                  </w:pPr>
                  <w:proofErr w:type="spellStart"/>
                  <w:r w:rsidRPr="006F4CF7">
                    <w:t>na</w:t>
                  </w:r>
                  <w:proofErr w:type="spellEnd"/>
                </w:p>
                <w:p w:rsidR="00447F6F" w:rsidRPr="00EF3552" w:rsidRDefault="00447F6F" w:rsidP="00EF3552">
                  <w:pPr>
                    <w:pStyle w:val="DQIMainRowHeadings"/>
                    <w:rPr>
                      <w:b w:val="0"/>
                    </w:rPr>
                  </w:pPr>
                  <w:r w:rsidRPr="00EF3552">
                    <w:rPr>
                      <w:b w:val="0"/>
                    </w:rPr>
                    <w:t xml:space="preserve">Other significant counting practices </w:t>
                  </w:r>
                </w:p>
                <w:p w:rsidR="00447F6F" w:rsidRDefault="00447F6F" w:rsidP="00EF3552">
                  <w:pPr>
                    <w:pStyle w:val="DQITableText"/>
                  </w:pPr>
                  <w:r>
                    <w:t>None</w:t>
                  </w:r>
                </w:p>
              </w:tc>
            </w:tr>
            <w:tr w:rsidR="00447F6F" w:rsidTr="00447F6F">
              <w:trPr>
                <w:cantSplit/>
              </w:trPr>
              <w:tc>
                <w:tcPr>
                  <w:tcW w:w="406" w:type="pct"/>
                  <w:hideMark/>
                </w:tcPr>
                <w:p w:rsidR="00447F6F" w:rsidRDefault="00447F6F" w:rsidP="00EF3552">
                  <w:pPr>
                    <w:pStyle w:val="DQIRowHeadings"/>
                  </w:pPr>
                  <w:r>
                    <w:t>Vic</w:t>
                  </w:r>
                </w:p>
              </w:tc>
              <w:tc>
                <w:tcPr>
                  <w:tcW w:w="4594" w:type="pct"/>
                  <w:shd w:val="clear" w:color="auto" w:fill="auto"/>
                  <w:hideMark/>
                </w:tcPr>
                <w:p w:rsidR="00447F6F" w:rsidRDefault="00447F6F" w:rsidP="00EF3552">
                  <w:pPr>
                    <w:pStyle w:val="DQITableText"/>
                  </w:pPr>
                  <w:r>
                    <w:t>Included in fire incidents data are incidents recorded by:</w:t>
                  </w:r>
                </w:p>
                <w:p w:rsidR="00447F6F" w:rsidRDefault="00447F6F" w:rsidP="00EF3552">
                  <w:pPr>
                    <w:pStyle w:val="DQITableBullet"/>
                  </w:pPr>
                  <w:r w:rsidRPr="00C227A5">
                    <w:t>Metropolitan Fire and Emergency Services Board</w:t>
                  </w:r>
                </w:p>
                <w:p w:rsidR="00447F6F" w:rsidRDefault="00447F6F" w:rsidP="00EF3552">
                  <w:pPr>
                    <w:pStyle w:val="DQITableBullet"/>
                  </w:pPr>
                  <w:r w:rsidRPr="00610F68">
                    <w:t>Country Fire Authority</w:t>
                  </w:r>
                </w:p>
                <w:p w:rsidR="00447F6F" w:rsidRDefault="000377CF" w:rsidP="00EF3552">
                  <w:pPr>
                    <w:pStyle w:val="DQITableBullet"/>
                  </w:pPr>
                  <w:r>
                    <w:t>Department of Environment</w:t>
                  </w:r>
                  <w:r w:rsidR="00596EE7">
                    <w:t xml:space="preserve"> Land Water and Planning</w:t>
                  </w:r>
                </w:p>
                <w:p w:rsidR="00447F6F" w:rsidRDefault="00447F6F" w:rsidP="00EF3552">
                  <w:pPr>
                    <w:pStyle w:val="DQIMainRowHeadings"/>
                  </w:pPr>
                  <w:r w:rsidRPr="00EF3552">
                    <w:rPr>
                      <w:b w:val="0"/>
                    </w:rPr>
                    <w:t>Land Management Agencies</w:t>
                  </w:r>
                </w:p>
                <w:p w:rsidR="00447F6F" w:rsidRDefault="00447F6F" w:rsidP="00EF3552">
                  <w:pPr>
                    <w:pStyle w:val="DQITableText"/>
                  </w:pPr>
                  <w:r>
                    <w:t>Landscape fires data include incidents from the</w:t>
                  </w:r>
                  <w:r w:rsidR="000377CF">
                    <w:t xml:space="preserve"> </w:t>
                  </w:r>
                  <w:r w:rsidR="000377CF" w:rsidRPr="000377CF">
                    <w:t>Department of Environment and Primary Industries</w:t>
                  </w:r>
                  <w:r w:rsidR="000377CF">
                    <w:t xml:space="preserve"> (formerly</w:t>
                  </w:r>
                  <w:r>
                    <w:t xml:space="preserve"> Department of Sustainability and Environment</w:t>
                  </w:r>
                  <w:r w:rsidR="000377CF">
                    <w:t>)</w:t>
                  </w:r>
                  <w:r>
                    <w:t xml:space="preserve"> from 2004</w:t>
                  </w:r>
                  <w:r>
                    <w:noBreakHyphen/>
                    <w:t>05 onwards.</w:t>
                  </w:r>
                </w:p>
                <w:p w:rsidR="00447F6F" w:rsidRPr="00EF3552" w:rsidRDefault="00447F6F" w:rsidP="00EF3552">
                  <w:pPr>
                    <w:pStyle w:val="DQIMainRowHeadings"/>
                    <w:rPr>
                      <w:b w:val="0"/>
                    </w:rPr>
                  </w:pPr>
                  <w:r w:rsidRPr="00EF3552">
                    <w:rPr>
                      <w:b w:val="0"/>
                    </w:rPr>
                    <w:t>Merging of fires</w:t>
                  </w:r>
                </w:p>
                <w:p w:rsidR="00447F6F" w:rsidRDefault="00447F6F" w:rsidP="00EF3552">
                  <w:pPr>
                    <w:pStyle w:val="DQITableText"/>
                  </w:pPr>
                  <w:proofErr w:type="spellStart"/>
                  <w:r w:rsidRPr="006F4CF7">
                    <w:t>na</w:t>
                  </w:r>
                  <w:proofErr w:type="spellEnd"/>
                </w:p>
              </w:tc>
            </w:tr>
            <w:tr w:rsidR="00447F6F" w:rsidTr="00FC73D8">
              <w:trPr>
                <w:cantSplit/>
              </w:trPr>
              <w:tc>
                <w:tcPr>
                  <w:tcW w:w="406" w:type="pct"/>
                  <w:hideMark/>
                </w:tcPr>
                <w:p w:rsidR="00447F6F" w:rsidRDefault="00447F6F" w:rsidP="00EF3552">
                  <w:pPr>
                    <w:pStyle w:val="DQIRowHeadings"/>
                  </w:pPr>
                  <w:r>
                    <w:t>Qld</w:t>
                  </w:r>
                </w:p>
              </w:tc>
              <w:tc>
                <w:tcPr>
                  <w:tcW w:w="4594" w:type="pct"/>
                  <w:hideMark/>
                </w:tcPr>
                <w:p w:rsidR="00447F6F" w:rsidRDefault="00447F6F" w:rsidP="00EF3552">
                  <w:pPr>
                    <w:pStyle w:val="DQITableText"/>
                  </w:pPr>
                  <w:r>
                    <w:t>Included in fire incidents data are incidents recorded by:</w:t>
                  </w:r>
                </w:p>
                <w:p w:rsidR="00447F6F" w:rsidRDefault="00B113A4" w:rsidP="00EF3552">
                  <w:pPr>
                    <w:pStyle w:val="DQITableBullet"/>
                  </w:pPr>
                  <w:r>
                    <w:t>Queensland Fire and Emergency Services (</w:t>
                  </w:r>
                  <w:proofErr w:type="spellStart"/>
                  <w:r>
                    <w:t>QFES</w:t>
                  </w:r>
                  <w:proofErr w:type="spellEnd"/>
                  <w:r>
                    <w:t>)</w:t>
                  </w:r>
                  <w:r w:rsidR="00447F6F">
                    <w:t xml:space="preserve"> Urban stations. </w:t>
                  </w:r>
                  <w:proofErr w:type="spellStart"/>
                  <w:r>
                    <w:t>QFES</w:t>
                  </w:r>
                  <w:proofErr w:type="spellEnd"/>
                  <w:r w:rsidR="00447F6F">
                    <w:t xml:space="preserve"> Urban stations are estimated to serve 87.6 per cent of Queensland’s population.</w:t>
                  </w:r>
                </w:p>
                <w:p w:rsidR="00447F6F" w:rsidRDefault="00B113A4" w:rsidP="00EF3552">
                  <w:pPr>
                    <w:pStyle w:val="DQITableBullet"/>
                  </w:pPr>
                  <w:proofErr w:type="spellStart"/>
                  <w:r>
                    <w:t>QFES</w:t>
                  </w:r>
                  <w:proofErr w:type="spellEnd"/>
                  <w:r w:rsidR="00447F6F">
                    <w:t xml:space="preserve"> Rural brigades. Rural Fire Brigades respond to the majority of landscape fires in Queensland. In fact, they cover approximately 93 per cent of the geographical area of the State.</w:t>
                  </w:r>
                </w:p>
                <w:p w:rsidR="00447F6F" w:rsidRDefault="00447F6F" w:rsidP="00EF3552">
                  <w:pPr>
                    <w:pStyle w:val="DQITableText"/>
                    <w:rPr>
                      <w:u w:val="single"/>
                    </w:rPr>
                  </w:pPr>
                  <w:r>
                    <w:t>Prior to 2012</w:t>
                  </w:r>
                  <w:r>
                    <w:noBreakHyphen/>
                    <w:t xml:space="preserve">13, accurate identification of incidents attended by the </w:t>
                  </w:r>
                  <w:proofErr w:type="spellStart"/>
                  <w:r w:rsidR="00B113A4">
                    <w:t>QFES</w:t>
                  </w:r>
                  <w:proofErr w:type="spellEnd"/>
                  <w:r>
                    <w:t xml:space="preserve"> was not possible. A trial of new procedures has seen reporting completion rates rise to over 95 per cent for Rural Fire Brigade attendances logged through </w:t>
                  </w:r>
                  <w:proofErr w:type="spellStart"/>
                  <w:r>
                    <w:t>FireCom</w:t>
                  </w:r>
                  <w:proofErr w:type="spellEnd"/>
                  <w:r>
                    <w:t xml:space="preserve"> during 2012</w:t>
                  </w:r>
                  <w:r>
                    <w:noBreakHyphen/>
                    <w:t xml:space="preserve">13. New procedures </w:t>
                  </w:r>
                  <w:r w:rsidR="00521B8E">
                    <w:t xml:space="preserve">were </w:t>
                  </w:r>
                  <w:r>
                    <w:t xml:space="preserve">fully implemented from 1 July 2013 and </w:t>
                  </w:r>
                  <w:r w:rsidR="00521B8E">
                    <w:t xml:space="preserve">have resulted in </w:t>
                  </w:r>
                  <w:r>
                    <w:t xml:space="preserve">improvement to the rate of reporting for volunteer attendances. </w:t>
                  </w:r>
                </w:p>
                <w:p w:rsidR="00447F6F" w:rsidRPr="00EF3552" w:rsidRDefault="00447F6F" w:rsidP="00EF3552">
                  <w:pPr>
                    <w:pStyle w:val="DQIMainRowHeadings"/>
                    <w:rPr>
                      <w:b w:val="0"/>
                    </w:rPr>
                  </w:pPr>
                  <w:r w:rsidRPr="00EF3552">
                    <w:rPr>
                      <w:b w:val="0"/>
                    </w:rPr>
                    <w:t>Land Management Agencies</w:t>
                  </w:r>
                </w:p>
                <w:p w:rsidR="00447F6F" w:rsidRDefault="00447F6F" w:rsidP="00EF3552">
                  <w:pPr>
                    <w:pStyle w:val="DQITableText"/>
                  </w:pPr>
                  <w:r>
                    <w:t>Q</w:t>
                  </w:r>
                  <w:r w:rsidR="00521B8E">
                    <w:t>ueensland incident data exclude</w:t>
                  </w:r>
                  <w:r>
                    <w:t xml:space="preserve"> responses by land management agencies.</w:t>
                  </w:r>
                </w:p>
                <w:p w:rsidR="00447F6F" w:rsidRPr="00EF3552" w:rsidRDefault="00447F6F" w:rsidP="00EF3552">
                  <w:pPr>
                    <w:pStyle w:val="DQIMainRowHeadings"/>
                    <w:rPr>
                      <w:b w:val="0"/>
                    </w:rPr>
                  </w:pPr>
                  <w:r w:rsidRPr="00EF3552">
                    <w:rPr>
                      <w:b w:val="0"/>
                    </w:rPr>
                    <w:t>Merging of fires</w:t>
                  </w:r>
                </w:p>
                <w:p w:rsidR="00447F6F" w:rsidRDefault="00447F6F" w:rsidP="00EF3552">
                  <w:pPr>
                    <w:pStyle w:val="DQITableText"/>
                  </w:pPr>
                  <w:r>
                    <w:t>Each fire is counted as a separate incident, whether the fires burn into each other or not.</w:t>
                  </w:r>
                </w:p>
                <w:p w:rsidR="00447F6F" w:rsidRPr="00EF3552" w:rsidRDefault="00447F6F" w:rsidP="00EF3552">
                  <w:pPr>
                    <w:pStyle w:val="DQIMainRowHeadings"/>
                    <w:rPr>
                      <w:b w:val="0"/>
                    </w:rPr>
                  </w:pPr>
                  <w:r w:rsidRPr="00EF3552">
                    <w:rPr>
                      <w:b w:val="0"/>
                    </w:rPr>
                    <w:t>Other significant counting practices</w:t>
                  </w:r>
                </w:p>
                <w:p w:rsidR="00447F6F" w:rsidRDefault="00447F6F" w:rsidP="00EF3552">
                  <w:pPr>
                    <w:pStyle w:val="DQITableText"/>
                  </w:pPr>
                  <w:r w:rsidRPr="00741F17">
                    <w:t>Data are likely to be under</w:t>
                  </w:r>
                  <w:r>
                    <w:noBreakHyphen/>
                  </w:r>
                  <w:r w:rsidRPr="00741F17">
                    <w:t>reported due to non</w:t>
                  </w:r>
                  <w:r>
                    <w:noBreakHyphen/>
                  </w:r>
                  <w:r w:rsidRPr="00741F17">
                    <w:t xml:space="preserve">completion of fire reports by </w:t>
                  </w:r>
                  <w:proofErr w:type="spellStart"/>
                  <w:r w:rsidR="00B113A4">
                    <w:t>QFES</w:t>
                  </w:r>
                  <w:proofErr w:type="spellEnd"/>
                  <w:r w:rsidRPr="00741F17">
                    <w:t xml:space="preserve"> volunteer staff.</w:t>
                  </w:r>
                </w:p>
              </w:tc>
            </w:tr>
            <w:tr w:rsidR="00FC73D8" w:rsidTr="00447F6F">
              <w:trPr>
                <w:cantSplit/>
              </w:trPr>
              <w:tc>
                <w:tcPr>
                  <w:tcW w:w="406" w:type="pct"/>
                  <w:tcBorders>
                    <w:bottom w:val="single" w:sz="6" w:space="0" w:color="BFBFBF" w:themeColor="background2"/>
                  </w:tcBorders>
                </w:tcPr>
                <w:p w:rsidR="00FC73D8" w:rsidRDefault="00FC73D8" w:rsidP="00EF3552">
                  <w:pPr>
                    <w:pStyle w:val="DQIRowHeadings"/>
                  </w:pPr>
                </w:p>
              </w:tc>
              <w:tc>
                <w:tcPr>
                  <w:tcW w:w="4594" w:type="pct"/>
                  <w:tcBorders>
                    <w:bottom w:val="single" w:sz="6" w:space="0" w:color="BFBFBF" w:themeColor="background2"/>
                  </w:tcBorders>
                </w:tcPr>
                <w:p w:rsidR="00FC73D8" w:rsidRDefault="00FC73D8" w:rsidP="00FC73D8">
                  <w:pPr>
                    <w:pStyle w:val="DQITableText"/>
                    <w:jc w:val="right"/>
                  </w:pPr>
                  <w:r>
                    <w:t>(c</w:t>
                  </w:r>
                  <w:r w:rsidRPr="00447F6F">
                    <w:t>ontinued next page</w:t>
                  </w:r>
                  <w:r>
                    <w:t>)</w:t>
                  </w:r>
                </w:p>
              </w:tc>
            </w:tr>
          </w:tbl>
          <w:p w:rsidR="00447F6F" w:rsidRDefault="00447F6F" w:rsidP="007511E6">
            <w:pPr>
              <w:pStyle w:val="Box"/>
            </w:pPr>
          </w:p>
        </w:tc>
      </w:tr>
      <w:tr w:rsidR="00447F6F" w:rsidTr="007511E6">
        <w:trPr>
          <w:cantSplit/>
        </w:trPr>
        <w:tc>
          <w:tcPr>
            <w:tcW w:w="8771" w:type="dxa"/>
            <w:tcBorders>
              <w:top w:val="nil"/>
              <w:left w:val="nil"/>
              <w:bottom w:val="single" w:sz="6" w:space="0" w:color="78A22F"/>
              <w:right w:val="nil"/>
            </w:tcBorders>
            <w:shd w:val="clear" w:color="auto" w:fill="auto"/>
          </w:tcPr>
          <w:p w:rsidR="00447F6F" w:rsidRDefault="00447F6F" w:rsidP="007511E6">
            <w:pPr>
              <w:pStyle w:val="Box"/>
              <w:spacing w:before="0" w:line="120" w:lineRule="exact"/>
            </w:pPr>
          </w:p>
        </w:tc>
      </w:tr>
      <w:tr w:rsidR="00447F6F" w:rsidRPr="000863A5" w:rsidTr="007511E6">
        <w:tc>
          <w:tcPr>
            <w:tcW w:w="8771" w:type="dxa"/>
            <w:tcBorders>
              <w:top w:val="single" w:sz="6" w:space="0" w:color="78A22F"/>
              <w:left w:val="nil"/>
              <w:bottom w:val="nil"/>
              <w:right w:val="nil"/>
            </w:tcBorders>
          </w:tcPr>
          <w:p w:rsidR="00447F6F" w:rsidRPr="00626D32" w:rsidRDefault="00447F6F" w:rsidP="007511E6">
            <w:pPr>
              <w:pStyle w:val="BoxSpaceBelow"/>
            </w:pPr>
          </w:p>
        </w:tc>
      </w:tr>
    </w:tbl>
    <w:p w:rsidR="00447F6F" w:rsidRDefault="00447F6F" w:rsidP="00447F6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654"/>
      </w:tblGrid>
      <w:tr w:rsidR="00447F6F" w:rsidTr="007511E6">
        <w:tc>
          <w:tcPr>
            <w:tcW w:w="8771" w:type="dxa"/>
            <w:tcBorders>
              <w:top w:val="single" w:sz="6" w:space="0" w:color="78A22F"/>
              <w:left w:val="nil"/>
              <w:bottom w:val="nil"/>
              <w:right w:val="nil"/>
            </w:tcBorders>
            <w:shd w:val="clear" w:color="auto" w:fill="auto"/>
          </w:tcPr>
          <w:p w:rsidR="00447F6F" w:rsidRPr="00784A05" w:rsidRDefault="00447F6F" w:rsidP="00314F98">
            <w:pPr>
              <w:pStyle w:val="TableTitle"/>
            </w:pPr>
            <w:r>
              <w:rPr>
                <w:b w:val="0"/>
              </w:rPr>
              <w:t xml:space="preserve">Table </w:t>
            </w:r>
            <w:r w:rsidR="001263E0" w:rsidRPr="001263E0">
              <w:rPr>
                <w:b w:val="0"/>
              </w:rPr>
              <w:t>1</w:t>
            </w:r>
            <w:r>
              <w:tab/>
            </w:r>
            <w:r w:rsidR="00314F98">
              <w:rPr>
                <w:b w:val="0"/>
                <w:sz w:val="18"/>
                <w:szCs w:val="18"/>
              </w:rPr>
              <w:t>(c</w:t>
            </w:r>
            <w:r w:rsidRPr="00314F98">
              <w:rPr>
                <w:b w:val="0"/>
                <w:sz w:val="18"/>
                <w:szCs w:val="18"/>
              </w:rPr>
              <w:t>ontinued</w:t>
            </w:r>
            <w:r w:rsidR="00314F98">
              <w:rPr>
                <w:b w:val="0"/>
                <w:sz w:val="18"/>
                <w:szCs w:val="18"/>
              </w:rPr>
              <w:t>)</w:t>
            </w:r>
          </w:p>
        </w:tc>
      </w:tr>
      <w:tr w:rsidR="00447F6F" w:rsidTr="007511E6">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678"/>
              <w:gridCol w:w="7692"/>
            </w:tblGrid>
            <w:tr w:rsidR="00486E16" w:rsidTr="00486E16">
              <w:tc>
                <w:tcPr>
                  <w:tcW w:w="5000" w:type="pct"/>
                  <w:gridSpan w:val="2"/>
                  <w:tcBorders>
                    <w:top w:val="single" w:sz="6" w:space="0" w:color="BFBFBF"/>
                    <w:bottom w:val="single" w:sz="6" w:space="0" w:color="BFBFBF"/>
                  </w:tcBorders>
                  <w:shd w:val="clear" w:color="auto" w:fill="auto"/>
                  <w:tcMar>
                    <w:top w:w="28" w:type="dxa"/>
                  </w:tcMar>
                </w:tcPr>
                <w:p w:rsidR="00486E16" w:rsidRPr="004A0494" w:rsidRDefault="00486E16" w:rsidP="00486E16">
                  <w:pPr>
                    <w:pStyle w:val="DQIMainRowHeadings"/>
                    <w:spacing w:before="80" w:after="80"/>
                    <w:rPr>
                      <w:b w:val="0"/>
                      <w:i/>
                      <w:u w:val="none"/>
                    </w:rPr>
                  </w:pPr>
                  <w:r w:rsidRPr="004A0494">
                    <w:rPr>
                      <w:b w:val="0"/>
                      <w:i/>
                      <w:u w:val="none"/>
                    </w:rPr>
                    <w:t xml:space="preserve">Jurisdiction comments </w:t>
                  </w:r>
                </w:p>
              </w:tc>
            </w:tr>
            <w:tr w:rsidR="00447F6F" w:rsidTr="00853622">
              <w:tc>
                <w:tcPr>
                  <w:tcW w:w="405" w:type="pct"/>
                  <w:tcBorders>
                    <w:top w:val="single" w:sz="6" w:space="0" w:color="BFBFBF"/>
                  </w:tcBorders>
                </w:tcPr>
                <w:p w:rsidR="00447F6F" w:rsidRDefault="00447F6F" w:rsidP="00EF3552">
                  <w:pPr>
                    <w:pStyle w:val="DQIRowHeadings"/>
                  </w:pPr>
                  <w:r>
                    <w:t>WA</w:t>
                  </w:r>
                </w:p>
              </w:tc>
              <w:tc>
                <w:tcPr>
                  <w:tcW w:w="4595" w:type="pct"/>
                  <w:tcBorders>
                    <w:top w:val="single" w:sz="6" w:space="0" w:color="BFBFBF"/>
                  </w:tcBorders>
                  <w:shd w:val="clear" w:color="auto" w:fill="auto"/>
                </w:tcPr>
                <w:p w:rsidR="00447F6F" w:rsidRDefault="00447F6F" w:rsidP="00EF3552">
                  <w:pPr>
                    <w:pStyle w:val="DQITableText"/>
                  </w:pPr>
                  <w:r>
                    <w:t>Included in fire incidents data are incidents recorded by:</w:t>
                  </w:r>
                </w:p>
                <w:p w:rsidR="00447F6F" w:rsidRDefault="00447F6F" w:rsidP="00EF3552">
                  <w:pPr>
                    <w:pStyle w:val="DQITableBullet"/>
                  </w:pPr>
                  <w:r>
                    <w:rPr>
                      <w:lang w:val="en-US"/>
                    </w:rPr>
                    <w:t xml:space="preserve">Department of Fire and Emergency Services (DFES) </w:t>
                  </w:r>
                </w:p>
                <w:p w:rsidR="00447F6F" w:rsidRDefault="00447F6F" w:rsidP="00EF3552">
                  <w:pPr>
                    <w:pStyle w:val="DQITableBullet"/>
                  </w:pPr>
                  <w:r>
                    <w:t xml:space="preserve">The </w:t>
                  </w:r>
                  <w:r w:rsidR="0062342A">
                    <w:t>Department of Parks and Wildlife</w:t>
                  </w:r>
                  <w:r>
                    <w:t xml:space="preserve"> (</w:t>
                  </w:r>
                  <w:proofErr w:type="spellStart"/>
                  <w:r w:rsidR="0062342A">
                    <w:t>P&amp;W</w:t>
                  </w:r>
                  <w:proofErr w:type="spellEnd"/>
                  <w:r>
                    <w:t xml:space="preserve">). </w:t>
                  </w:r>
                </w:p>
                <w:p w:rsidR="00447F6F" w:rsidRPr="00EF3552" w:rsidRDefault="00447F6F" w:rsidP="00EF3552">
                  <w:pPr>
                    <w:pStyle w:val="DQIMainRowHeadings"/>
                    <w:rPr>
                      <w:b w:val="0"/>
                    </w:rPr>
                  </w:pPr>
                  <w:r w:rsidRPr="00EF3552">
                    <w:rPr>
                      <w:b w:val="0"/>
                    </w:rPr>
                    <w:t>Land Management Agencies</w:t>
                  </w:r>
                </w:p>
                <w:p w:rsidR="00447F6F" w:rsidRDefault="00447F6F" w:rsidP="00EF3552">
                  <w:pPr>
                    <w:pStyle w:val="DQITableText"/>
                  </w:pPr>
                  <w:r>
                    <w:t xml:space="preserve">Data for </w:t>
                  </w:r>
                  <w:r>
                    <w:rPr>
                      <w:i/>
                    </w:rPr>
                    <w:t>total fire incidents</w:t>
                  </w:r>
                  <w:r>
                    <w:t xml:space="preserve"> includes </w:t>
                  </w:r>
                  <w:proofErr w:type="spellStart"/>
                  <w:r w:rsidR="0062342A">
                    <w:t>P&amp;W</w:t>
                  </w:r>
                  <w:proofErr w:type="spellEnd"/>
                  <w:r>
                    <w:t xml:space="preserve"> fires.</w:t>
                  </w:r>
                </w:p>
                <w:p w:rsidR="00447F6F" w:rsidRDefault="00447F6F" w:rsidP="00EF3552">
                  <w:pPr>
                    <w:pStyle w:val="DQITableText"/>
                  </w:pPr>
                  <w:r>
                    <w:t xml:space="preserve">Data for </w:t>
                  </w:r>
                  <w:r>
                    <w:rPr>
                      <w:i/>
                    </w:rPr>
                    <w:t>total landscape fire incidents</w:t>
                  </w:r>
                  <w:r>
                    <w:t xml:space="preserve"> includes responses by land management agencies (see above). Data are reviewed and cleansed on an annual basis to remove duplications resulting from fires managed by different agencies.</w:t>
                  </w:r>
                </w:p>
                <w:p w:rsidR="00447F6F" w:rsidRPr="00EF3552" w:rsidRDefault="00447F6F" w:rsidP="00EF3552">
                  <w:pPr>
                    <w:pStyle w:val="DQIMainRowHeadings"/>
                    <w:rPr>
                      <w:b w:val="0"/>
                    </w:rPr>
                  </w:pPr>
                  <w:r w:rsidRPr="00EF3552">
                    <w:rPr>
                      <w:b w:val="0"/>
                    </w:rPr>
                    <w:t>Merging of fires</w:t>
                  </w:r>
                </w:p>
                <w:p w:rsidR="00447F6F" w:rsidRDefault="00447F6F" w:rsidP="00EF3552">
                  <w:pPr>
                    <w:pStyle w:val="DQITableText"/>
                  </w:pPr>
                  <w:r>
                    <w:t xml:space="preserve">WA agencies currently record all landscape fires separately, according to the number of ignitions. </w:t>
                  </w:r>
                </w:p>
                <w:p w:rsidR="00447F6F" w:rsidRPr="00EF3552" w:rsidRDefault="00447F6F" w:rsidP="00EF3552">
                  <w:pPr>
                    <w:pStyle w:val="DQIMainRowHeadings"/>
                    <w:rPr>
                      <w:b w:val="0"/>
                    </w:rPr>
                  </w:pPr>
                  <w:r w:rsidRPr="00EF3552">
                    <w:rPr>
                      <w:b w:val="0"/>
                    </w:rPr>
                    <w:t>Other significant counting practices</w:t>
                  </w:r>
                </w:p>
                <w:p w:rsidR="00447F6F" w:rsidRDefault="00447F6F" w:rsidP="00EF3552">
                  <w:pPr>
                    <w:pStyle w:val="DQITableText"/>
                  </w:pPr>
                  <w:r>
                    <w:t>Data are likely to be under</w:t>
                  </w:r>
                  <w:r>
                    <w:noBreakHyphen/>
                    <w:t>reported for two reasons:</w:t>
                  </w:r>
                </w:p>
                <w:p w:rsidR="00447F6F" w:rsidRDefault="00447F6F" w:rsidP="00EF3552">
                  <w:pPr>
                    <w:pStyle w:val="DQITableBullet"/>
                  </w:pPr>
                  <w:r>
                    <w:t xml:space="preserve">1) Some fires are only monitored and no suppression activity takes place. </w:t>
                  </w:r>
                  <w:proofErr w:type="spellStart"/>
                  <w:r w:rsidR="0062342A">
                    <w:t>P&amp;W</w:t>
                  </w:r>
                  <w:proofErr w:type="spellEnd"/>
                  <w:r>
                    <w:t xml:space="preserve"> does not record these incidents – DFES records them as monitored fires.</w:t>
                  </w:r>
                </w:p>
                <w:p w:rsidR="00447F6F" w:rsidRDefault="00447F6F" w:rsidP="00EF3552">
                  <w:pPr>
                    <w:pStyle w:val="DQITableBullet"/>
                  </w:pPr>
                  <w:r>
                    <w:t>2) Local Government Bushfire Brigades may self</w:t>
                  </w:r>
                  <w:r>
                    <w:noBreakHyphen/>
                    <w:t>mobilise to small localised incidents. Often these are not reported and are therefore not recorded.</w:t>
                  </w:r>
                </w:p>
              </w:tc>
            </w:tr>
            <w:tr w:rsidR="00447F6F" w:rsidTr="00447F6F">
              <w:tc>
                <w:tcPr>
                  <w:tcW w:w="405" w:type="pct"/>
                </w:tcPr>
                <w:p w:rsidR="00447F6F" w:rsidRDefault="00447F6F" w:rsidP="00EF3552">
                  <w:pPr>
                    <w:pStyle w:val="DQIRowHeadings"/>
                  </w:pPr>
                  <w:r>
                    <w:t>SA</w:t>
                  </w:r>
                </w:p>
              </w:tc>
              <w:tc>
                <w:tcPr>
                  <w:tcW w:w="4595" w:type="pct"/>
                </w:tcPr>
                <w:p w:rsidR="00447F6F" w:rsidRDefault="00447F6F" w:rsidP="00EF3552">
                  <w:pPr>
                    <w:pStyle w:val="DQITableText"/>
                  </w:pPr>
                  <w:r>
                    <w:t>Included in fire incidents data are incidents recorded by:</w:t>
                  </w:r>
                </w:p>
                <w:p w:rsidR="00447F6F" w:rsidRDefault="00447F6F" w:rsidP="00EF3552">
                  <w:pPr>
                    <w:pStyle w:val="DQITableBullet"/>
                  </w:pPr>
                  <w:r>
                    <w:rPr>
                      <w:lang w:val="en-US"/>
                    </w:rPr>
                    <w:t>SA Metropolitan Fire Service (</w:t>
                  </w:r>
                  <w:proofErr w:type="spellStart"/>
                  <w:r>
                    <w:rPr>
                      <w:lang w:val="en-US"/>
                    </w:rPr>
                    <w:t>MFS</w:t>
                  </w:r>
                  <w:proofErr w:type="spellEnd"/>
                  <w:r>
                    <w:rPr>
                      <w:lang w:val="en-US"/>
                    </w:rPr>
                    <w:t>)</w:t>
                  </w:r>
                </w:p>
                <w:p w:rsidR="00447F6F" w:rsidRDefault="00447F6F" w:rsidP="00EF3552">
                  <w:pPr>
                    <w:pStyle w:val="DQITableBullet"/>
                  </w:pPr>
                  <w:r>
                    <w:t>SA Country Fire Service (</w:t>
                  </w:r>
                  <w:proofErr w:type="spellStart"/>
                  <w:r>
                    <w:t>CFS</w:t>
                  </w:r>
                  <w:proofErr w:type="spellEnd"/>
                  <w:r>
                    <w:t xml:space="preserve">) </w:t>
                  </w:r>
                </w:p>
                <w:p w:rsidR="00447F6F" w:rsidRDefault="00447F6F" w:rsidP="00EF3552">
                  <w:pPr>
                    <w:pStyle w:val="DQITableBullet"/>
                  </w:pPr>
                  <w:r>
                    <w:t xml:space="preserve">Parks SA </w:t>
                  </w:r>
                </w:p>
                <w:p w:rsidR="00447F6F" w:rsidRDefault="00447F6F" w:rsidP="00EF3552">
                  <w:pPr>
                    <w:pStyle w:val="DQITableBullet"/>
                  </w:pPr>
                  <w:r>
                    <w:t>Forestry SA.</w:t>
                  </w:r>
                </w:p>
                <w:p w:rsidR="00447F6F" w:rsidRPr="00EF3552" w:rsidRDefault="00447F6F" w:rsidP="00EF3552">
                  <w:pPr>
                    <w:pStyle w:val="DQIMainRowHeadings"/>
                    <w:rPr>
                      <w:b w:val="0"/>
                    </w:rPr>
                  </w:pPr>
                  <w:r w:rsidRPr="00EF3552">
                    <w:rPr>
                      <w:b w:val="0"/>
                    </w:rPr>
                    <w:t>Land Management Agencies</w:t>
                  </w:r>
                </w:p>
                <w:p w:rsidR="00447F6F" w:rsidRDefault="00447F6F" w:rsidP="00EF3552">
                  <w:pPr>
                    <w:pStyle w:val="DQITableText"/>
                  </w:pPr>
                  <w:proofErr w:type="spellStart"/>
                  <w:r>
                    <w:t>SA’s</w:t>
                  </w:r>
                  <w:proofErr w:type="spellEnd"/>
                  <w:r>
                    <w:t xml:space="preserve"> landscape fire incident reporting has included land management agencies such as Parks SA and Forestry SA, since these agencies have brigades registered as </w:t>
                  </w:r>
                  <w:proofErr w:type="spellStart"/>
                  <w:r>
                    <w:t>CFS</w:t>
                  </w:r>
                  <w:proofErr w:type="spellEnd"/>
                  <w:r>
                    <w:t xml:space="preserve"> brigades and work with </w:t>
                  </w:r>
                  <w:proofErr w:type="spellStart"/>
                  <w:r>
                    <w:t>CFS’s</w:t>
                  </w:r>
                  <w:proofErr w:type="spellEnd"/>
                  <w:r>
                    <w:t xml:space="preserve"> Group System.</w:t>
                  </w:r>
                </w:p>
                <w:p w:rsidR="00447F6F" w:rsidRPr="00EF3552" w:rsidRDefault="00447F6F" w:rsidP="00EF3552">
                  <w:pPr>
                    <w:pStyle w:val="DQIMainRowHeadings"/>
                    <w:rPr>
                      <w:b w:val="0"/>
                    </w:rPr>
                  </w:pPr>
                  <w:r w:rsidRPr="00EF3552">
                    <w:rPr>
                      <w:b w:val="0"/>
                    </w:rPr>
                    <w:t>Merging of fires</w:t>
                  </w:r>
                </w:p>
                <w:p w:rsidR="00447F6F" w:rsidRDefault="00447F6F" w:rsidP="00EF3552">
                  <w:pPr>
                    <w:pStyle w:val="DQITableText"/>
                  </w:pPr>
                  <w:r>
                    <w:t>SA agencies generally record merged landscape fires as a single fire. As per AIRS manual, incidents are recorded as the ‘most serious’ situation. In SA landscape fires are generally the highest fire intensity when fires merge and often the greatest area is burnt</w:t>
                  </w:r>
                  <w:r w:rsidR="00521B8E">
                    <w:t xml:space="preserve"> </w:t>
                  </w:r>
                  <w:r>
                    <w:t>after merging. Therefore, the ‘most serious’ situation that occurred is most likely at/after</w:t>
                  </w:r>
                  <w:r w:rsidR="00521B8E">
                    <w:t xml:space="preserve"> </w:t>
                  </w:r>
                  <w:r>
                    <w:t>merger. Further, most forest fires, due to spotting, are usually an amalgam of many</w:t>
                  </w:r>
                  <w:r w:rsidR="00521B8E">
                    <w:t xml:space="preserve"> </w:t>
                  </w:r>
                  <w:r>
                    <w:t xml:space="preserve">thousands of ignitions. </w:t>
                  </w:r>
                </w:p>
                <w:p w:rsidR="00447F6F" w:rsidRPr="00EF3552" w:rsidRDefault="00447F6F" w:rsidP="00EF3552">
                  <w:pPr>
                    <w:pStyle w:val="DQIMainRowHeadings"/>
                    <w:rPr>
                      <w:b w:val="0"/>
                    </w:rPr>
                  </w:pPr>
                  <w:r w:rsidRPr="00EF3552">
                    <w:rPr>
                      <w:b w:val="0"/>
                    </w:rPr>
                    <w:t>Other significant counting practices</w:t>
                  </w:r>
                </w:p>
                <w:p w:rsidR="00447F6F" w:rsidRDefault="00447F6F" w:rsidP="00EF3552">
                  <w:pPr>
                    <w:pStyle w:val="DQITableText"/>
                  </w:pPr>
                  <w:r>
                    <w:t xml:space="preserve">Rural Prescribe Burns </w:t>
                  </w:r>
                  <w:r w:rsidR="00521B8E">
                    <w:t xml:space="preserve">may be included </w:t>
                  </w:r>
                  <w:r>
                    <w:t>in the AIRS database, but are later removed as a part of data quality procedures, however a small number may not get picked up.</w:t>
                  </w:r>
                </w:p>
              </w:tc>
            </w:tr>
            <w:tr w:rsidR="00447F6F" w:rsidTr="000B722F">
              <w:tc>
                <w:tcPr>
                  <w:tcW w:w="405" w:type="pct"/>
                </w:tcPr>
                <w:p w:rsidR="00447F6F" w:rsidRDefault="00447F6F" w:rsidP="00EF3552">
                  <w:pPr>
                    <w:pStyle w:val="DQIRowHeadings"/>
                  </w:pPr>
                  <w:proofErr w:type="spellStart"/>
                  <w:r>
                    <w:t>Tas</w:t>
                  </w:r>
                  <w:proofErr w:type="spellEnd"/>
                </w:p>
              </w:tc>
              <w:tc>
                <w:tcPr>
                  <w:tcW w:w="4595" w:type="pct"/>
                </w:tcPr>
                <w:p w:rsidR="00447F6F" w:rsidRDefault="00447F6F" w:rsidP="00EF3552">
                  <w:pPr>
                    <w:pStyle w:val="DQITableText"/>
                  </w:pPr>
                  <w:r>
                    <w:t>Included in fire incidents data are incidents recorded by</w:t>
                  </w:r>
                  <w:r w:rsidR="00EF3552">
                    <w:t xml:space="preserve"> </w:t>
                  </w:r>
                  <w:r>
                    <w:rPr>
                      <w:lang w:val="en-US"/>
                    </w:rPr>
                    <w:t>Tasmania Fire Service (</w:t>
                  </w:r>
                  <w:proofErr w:type="spellStart"/>
                  <w:r>
                    <w:rPr>
                      <w:lang w:val="en-US"/>
                    </w:rPr>
                    <w:t>TFS</w:t>
                  </w:r>
                  <w:proofErr w:type="spellEnd"/>
                  <w:r>
                    <w:rPr>
                      <w:lang w:val="en-US"/>
                    </w:rPr>
                    <w:t>)</w:t>
                  </w:r>
                  <w:r>
                    <w:t>.</w:t>
                  </w:r>
                </w:p>
                <w:p w:rsidR="00447F6F" w:rsidRPr="00EF3552" w:rsidRDefault="00447F6F" w:rsidP="00EF3552">
                  <w:pPr>
                    <w:pStyle w:val="DQIMainRowHeadings"/>
                    <w:rPr>
                      <w:b w:val="0"/>
                    </w:rPr>
                  </w:pPr>
                  <w:r w:rsidRPr="00EF3552">
                    <w:rPr>
                      <w:b w:val="0"/>
                    </w:rPr>
                    <w:t>Land Management Agencies</w:t>
                  </w:r>
                </w:p>
                <w:p w:rsidR="00447F6F" w:rsidRDefault="00447F6F" w:rsidP="00EF3552">
                  <w:pPr>
                    <w:pStyle w:val="DQITableText"/>
                  </w:pPr>
                  <w:r>
                    <w:t xml:space="preserve">Data include all vegetation fires, regardless of size, from all fire brigades (full time and volunteer) and land management agencies. </w:t>
                  </w:r>
                </w:p>
                <w:p w:rsidR="00447F6F" w:rsidRPr="00EF3552" w:rsidRDefault="00447F6F" w:rsidP="00EF3552">
                  <w:pPr>
                    <w:pStyle w:val="DQIMainRowHeadings"/>
                    <w:rPr>
                      <w:b w:val="0"/>
                    </w:rPr>
                  </w:pPr>
                  <w:r w:rsidRPr="00EF3552">
                    <w:rPr>
                      <w:b w:val="0"/>
                    </w:rPr>
                    <w:t>Merging of fires</w:t>
                  </w:r>
                </w:p>
                <w:p w:rsidR="00447F6F" w:rsidRPr="006F4CF7" w:rsidRDefault="00447F6F" w:rsidP="00EF3552">
                  <w:pPr>
                    <w:pStyle w:val="DQITableText"/>
                  </w:pPr>
                  <w:proofErr w:type="spellStart"/>
                  <w:r w:rsidRPr="006F4CF7">
                    <w:t>na</w:t>
                  </w:r>
                  <w:proofErr w:type="spellEnd"/>
                </w:p>
                <w:p w:rsidR="00447F6F" w:rsidRPr="00EF3552" w:rsidRDefault="00447F6F" w:rsidP="00EF3552">
                  <w:pPr>
                    <w:pStyle w:val="DQIMainRowHeadings"/>
                    <w:rPr>
                      <w:b w:val="0"/>
                    </w:rPr>
                  </w:pPr>
                  <w:r w:rsidRPr="00EF3552">
                    <w:rPr>
                      <w:b w:val="0"/>
                    </w:rPr>
                    <w:t>Other significant counting practices</w:t>
                  </w:r>
                </w:p>
                <w:p w:rsidR="00447F6F" w:rsidRDefault="00447F6F" w:rsidP="00EF3552">
                  <w:pPr>
                    <w:pStyle w:val="DQITableText"/>
                    <w:rPr>
                      <w:u w:val="single"/>
                    </w:rPr>
                  </w:pPr>
                  <w:r>
                    <w:t>None</w:t>
                  </w:r>
                </w:p>
              </w:tc>
            </w:tr>
            <w:tr w:rsidR="000B722F" w:rsidTr="007511E6">
              <w:tc>
                <w:tcPr>
                  <w:tcW w:w="405" w:type="pct"/>
                  <w:tcBorders>
                    <w:bottom w:val="single" w:sz="6" w:space="0" w:color="BFBFBF" w:themeColor="background2"/>
                  </w:tcBorders>
                </w:tcPr>
                <w:p w:rsidR="000B722F" w:rsidRDefault="000B722F" w:rsidP="00EF3552">
                  <w:pPr>
                    <w:pStyle w:val="DQIRowHeadings"/>
                  </w:pPr>
                </w:p>
              </w:tc>
              <w:tc>
                <w:tcPr>
                  <w:tcW w:w="4595" w:type="pct"/>
                  <w:tcBorders>
                    <w:bottom w:val="single" w:sz="6" w:space="0" w:color="BFBFBF" w:themeColor="background2"/>
                  </w:tcBorders>
                </w:tcPr>
                <w:p w:rsidR="000B722F" w:rsidRDefault="000B722F" w:rsidP="000B722F">
                  <w:pPr>
                    <w:pStyle w:val="DQITableText"/>
                    <w:jc w:val="right"/>
                  </w:pPr>
                  <w:r>
                    <w:t>(continued next page)</w:t>
                  </w:r>
                </w:p>
              </w:tc>
            </w:tr>
          </w:tbl>
          <w:p w:rsidR="00447F6F" w:rsidRDefault="00447F6F" w:rsidP="007511E6">
            <w:pPr>
              <w:pStyle w:val="Box"/>
            </w:pPr>
          </w:p>
        </w:tc>
      </w:tr>
      <w:tr w:rsidR="00447F6F" w:rsidTr="007511E6">
        <w:trPr>
          <w:cantSplit/>
        </w:trPr>
        <w:tc>
          <w:tcPr>
            <w:tcW w:w="8771" w:type="dxa"/>
            <w:tcBorders>
              <w:top w:val="nil"/>
              <w:left w:val="nil"/>
              <w:bottom w:val="single" w:sz="6" w:space="0" w:color="78A22F"/>
              <w:right w:val="nil"/>
            </w:tcBorders>
            <w:shd w:val="clear" w:color="auto" w:fill="auto"/>
          </w:tcPr>
          <w:p w:rsidR="00447F6F" w:rsidRDefault="00447F6F" w:rsidP="007511E6">
            <w:pPr>
              <w:pStyle w:val="Box"/>
              <w:spacing w:before="0" w:line="120" w:lineRule="exact"/>
            </w:pPr>
          </w:p>
        </w:tc>
      </w:tr>
      <w:tr w:rsidR="00447F6F" w:rsidRPr="000863A5" w:rsidTr="007511E6">
        <w:tc>
          <w:tcPr>
            <w:tcW w:w="8771" w:type="dxa"/>
            <w:tcBorders>
              <w:top w:val="single" w:sz="6" w:space="0" w:color="78A22F"/>
              <w:left w:val="nil"/>
              <w:bottom w:val="nil"/>
              <w:right w:val="nil"/>
            </w:tcBorders>
          </w:tcPr>
          <w:p w:rsidR="00447F6F" w:rsidRPr="00626D32" w:rsidRDefault="00447F6F" w:rsidP="007511E6">
            <w:pPr>
              <w:pStyle w:val="BoxSpaceBelow"/>
            </w:pPr>
          </w:p>
        </w:tc>
      </w:tr>
    </w:tbl>
    <w:p w:rsidR="00447F6F" w:rsidRDefault="00447F6F" w:rsidP="007511E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654"/>
      </w:tblGrid>
      <w:tr w:rsidR="00447F6F" w:rsidTr="007511E6">
        <w:tc>
          <w:tcPr>
            <w:tcW w:w="8771" w:type="dxa"/>
            <w:tcBorders>
              <w:top w:val="single" w:sz="6" w:space="0" w:color="78A22F"/>
              <w:left w:val="nil"/>
              <w:bottom w:val="nil"/>
              <w:right w:val="nil"/>
            </w:tcBorders>
            <w:shd w:val="clear" w:color="auto" w:fill="auto"/>
          </w:tcPr>
          <w:p w:rsidR="00447F6F" w:rsidRPr="00784A05" w:rsidRDefault="00447F6F" w:rsidP="00447F6F">
            <w:pPr>
              <w:pStyle w:val="TableTitle"/>
            </w:pPr>
            <w:r>
              <w:rPr>
                <w:b w:val="0"/>
              </w:rPr>
              <w:t xml:space="preserve">Table </w:t>
            </w:r>
            <w:r w:rsidR="003A3266" w:rsidRPr="001263E0">
              <w:rPr>
                <w:b w:val="0"/>
              </w:rPr>
              <w:t>1</w:t>
            </w:r>
            <w:r>
              <w:tab/>
            </w:r>
            <w:r w:rsidR="000B722F" w:rsidRPr="000B722F">
              <w:rPr>
                <w:b w:val="0"/>
                <w:sz w:val="18"/>
                <w:szCs w:val="18"/>
              </w:rPr>
              <w:t>(c</w:t>
            </w:r>
            <w:r w:rsidRPr="000B722F">
              <w:rPr>
                <w:b w:val="0"/>
                <w:sz w:val="18"/>
                <w:szCs w:val="18"/>
              </w:rPr>
              <w:t>ontinued</w:t>
            </w:r>
            <w:r w:rsidR="000B722F" w:rsidRPr="000B722F">
              <w:rPr>
                <w:b w:val="0"/>
                <w:sz w:val="18"/>
                <w:szCs w:val="18"/>
              </w:rPr>
              <w:t>)</w:t>
            </w:r>
          </w:p>
        </w:tc>
      </w:tr>
      <w:tr w:rsidR="00447F6F" w:rsidTr="007511E6">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678"/>
              <w:gridCol w:w="7692"/>
            </w:tblGrid>
            <w:tr w:rsidR="000B722F" w:rsidTr="000B722F">
              <w:tc>
                <w:tcPr>
                  <w:tcW w:w="5000" w:type="pct"/>
                  <w:gridSpan w:val="2"/>
                  <w:tcBorders>
                    <w:top w:val="single" w:sz="6" w:space="0" w:color="BFBFBF"/>
                    <w:bottom w:val="single" w:sz="6" w:space="0" w:color="BFBFBF"/>
                  </w:tcBorders>
                  <w:shd w:val="clear" w:color="auto" w:fill="auto"/>
                  <w:tcMar>
                    <w:top w:w="28" w:type="dxa"/>
                  </w:tcMar>
                </w:tcPr>
                <w:p w:rsidR="000B722F" w:rsidRPr="004A0494" w:rsidRDefault="000B722F" w:rsidP="000B722F">
                  <w:pPr>
                    <w:pStyle w:val="DQIMainRowHeadings"/>
                    <w:spacing w:before="80" w:after="80"/>
                    <w:rPr>
                      <w:b w:val="0"/>
                      <w:i/>
                      <w:u w:val="none"/>
                    </w:rPr>
                  </w:pPr>
                  <w:r w:rsidRPr="004A0494">
                    <w:rPr>
                      <w:b w:val="0"/>
                      <w:i/>
                      <w:u w:val="none"/>
                    </w:rPr>
                    <w:t xml:space="preserve">Jurisdiction comments </w:t>
                  </w:r>
                </w:p>
              </w:tc>
            </w:tr>
            <w:tr w:rsidR="00447F6F" w:rsidTr="00447F6F">
              <w:tc>
                <w:tcPr>
                  <w:tcW w:w="405" w:type="pct"/>
                  <w:tcBorders>
                    <w:top w:val="single" w:sz="6" w:space="0" w:color="BFBFBF"/>
                  </w:tcBorders>
                </w:tcPr>
                <w:p w:rsidR="00447F6F" w:rsidRDefault="00447F6F" w:rsidP="00EF3552">
                  <w:pPr>
                    <w:pStyle w:val="DQIRowHeadings"/>
                  </w:pPr>
                  <w:r>
                    <w:t>ACT</w:t>
                  </w:r>
                </w:p>
              </w:tc>
              <w:tc>
                <w:tcPr>
                  <w:tcW w:w="4595" w:type="pct"/>
                  <w:tcBorders>
                    <w:top w:val="single" w:sz="6" w:space="0" w:color="BFBFBF"/>
                  </w:tcBorders>
                </w:tcPr>
                <w:p w:rsidR="00447F6F" w:rsidRDefault="00447F6F" w:rsidP="00EF3552">
                  <w:pPr>
                    <w:pStyle w:val="DQITableText"/>
                  </w:pPr>
                  <w:r>
                    <w:t>Included in fire incidents data are incidents recorded by:</w:t>
                  </w:r>
                </w:p>
                <w:p w:rsidR="00447F6F" w:rsidRDefault="00447F6F" w:rsidP="00EF3552">
                  <w:pPr>
                    <w:pStyle w:val="DQITableBullet"/>
                  </w:pPr>
                  <w:r>
                    <w:rPr>
                      <w:lang w:val="en-US"/>
                    </w:rPr>
                    <w:t>ACT Fire and Rescue</w:t>
                  </w:r>
                </w:p>
                <w:p w:rsidR="00447F6F" w:rsidRDefault="00447F6F" w:rsidP="00EF3552">
                  <w:pPr>
                    <w:pStyle w:val="DQITableBullet"/>
                  </w:pPr>
                  <w:r>
                    <w:rPr>
                      <w:lang w:val="en-US"/>
                    </w:rPr>
                    <w:t>ACT Rural Fire Service</w:t>
                  </w:r>
                  <w:r>
                    <w:t>.</w:t>
                  </w:r>
                </w:p>
                <w:p w:rsidR="00447F6F" w:rsidRPr="00EF3552" w:rsidRDefault="00447F6F" w:rsidP="00EF3552">
                  <w:pPr>
                    <w:pStyle w:val="DQIMainRowHeadings"/>
                    <w:rPr>
                      <w:b w:val="0"/>
                    </w:rPr>
                  </w:pPr>
                  <w:r w:rsidRPr="00EF3552">
                    <w:rPr>
                      <w:b w:val="0"/>
                    </w:rPr>
                    <w:t>Land Management Agencies</w:t>
                  </w:r>
                </w:p>
                <w:p w:rsidR="00447F6F" w:rsidRPr="006F4CF7" w:rsidRDefault="00447F6F" w:rsidP="00EF3552">
                  <w:pPr>
                    <w:pStyle w:val="DQITableText"/>
                  </w:pPr>
                  <w:proofErr w:type="spellStart"/>
                  <w:r w:rsidRPr="006F4CF7">
                    <w:t>na</w:t>
                  </w:r>
                  <w:proofErr w:type="spellEnd"/>
                </w:p>
                <w:p w:rsidR="00447F6F" w:rsidRPr="00EF3552" w:rsidRDefault="00447F6F" w:rsidP="00EF3552">
                  <w:pPr>
                    <w:pStyle w:val="DQIMainRowHeadings"/>
                    <w:rPr>
                      <w:b w:val="0"/>
                    </w:rPr>
                  </w:pPr>
                  <w:r w:rsidRPr="00EF3552">
                    <w:rPr>
                      <w:b w:val="0"/>
                    </w:rPr>
                    <w:t>Merging of fires</w:t>
                  </w:r>
                </w:p>
                <w:p w:rsidR="00447F6F" w:rsidRPr="006F4CF7" w:rsidRDefault="00447F6F" w:rsidP="00EF3552">
                  <w:pPr>
                    <w:pStyle w:val="DQITableText"/>
                  </w:pPr>
                  <w:proofErr w:type="spellStart"/>
                  <w:r w:rsidRPr="006F4CF7">
                    <w:t>na</w:t>
                  </w:r>
                  <w:proofErr w:type="spellEnd"/>
                </w:p>
                <w:p w:rsidR="00447F6F" w:rsidRPr="00EF3552" w:rsidRDefault="00447F6F" w:rsidP="00EF3552">
                  <w:pPr>
                    <w:pStyle w:val="DQIMainRowHeadings"/>
                    <w:rPr>
                      <w:b w:val="0"/>
                    </w:rPr>
                  </w:pPr>
                  <w:r w:rsidRPr="00EF3552">
                    <w:rPr>
                      <w:b w:val="0"/>
                    </w:rPr>
                    <w:t xml:space="preserve">Other significant counting practices </w:t>
                  </w:r>
                </w:p>
                <w:p w:rsidR="00447F6F" w:rsidRDefault="00447F6F" w:rsidP="00EF3552">
                  <w:pPr>
                    <w:pStyle w:val="DQITableText"/>
                    <w:rPr>
                      <w:u w:val="single"/>
                    </w:rPr>
                  </w:pPr>
                  <w:r>
                    <w:t>None</w:t>
                  </w:r>
                </w:p>
              </w:tc>
            </w:tr>
            <w:tr w:rsidR="00447F6F" w:rsidTr="00447F6F">
              <w:tc>
                <w:tcPr>
                  <w:tcW w:w="405" w:type="pct"/>
                  <w:tcBorders>
                    <w:bottom w:val="single" w:sz="6" w:space="0" w:color="BFBFBF" w:themeColor="background2"/>
                  </w:tcBorders>
                </w:tcPr>
                <w:p w:rsidR="00447F6F" w:rsidRDefault="00447F6F" w:rsidP="00EF3552">
                  <w:pPr>
                    <w:pStyle w:val="DQIRowHeadings"/>
                  </w:pPr>
                  <w:r>
                    <w:t>NT</w:t>
                  </w:r>
                </w:p>
              </w:tc>
              <w:tc>
                <w:tcPr>
                  <w:tcW w:w="4595" w:type="pct"/>
                  <w:tcBorders>
                    <w:bottom w:val="single" w:sz="6" w:space="0" w:color="BFBFBF" w:themeColor="background2"/>
                  </w:tcBorders>
                </w:tcPr>
                <w:p w:rsidR="00447F6F" w:rsidRDefault="00447F6F" w:rsidP="00EF3552">
                  <w:pPr>
                    <w:pStyle w:val="DQITableText"/>
                  </w:pPr>
                  <w:r>
                    <w:t>Included in fire incidents data are incidents recorded by:</w:t>
                  </w:r>
                </w:p>
                <w:p w:rsidR="00447F6F" w:rsidRDefault="00447F6F" w:rsidP="00EF3552">
                  <w:pPr>
                    <w:pStyle w:val="DQITableBullet"/>
                  </w:pPr>
                  <w:r>
                    <w:rPr>
                      <w:lang w:val="en-US"/>
                    </w:rPr>
                    <w:t>NT Fire and Rescue Service</w:t>
                  </w:r>
                </w:p>
                <w:p w:rsidR="00447F6F" w:rsidRDefault="00447F6F" w:rsidP="00EF3552">
                  <w:pPr>
                    <w:pStyle w:val="DQITableBullet"/>
                  </w:pPr>
                  <w:r>
                    <w:rPr>
                      <w:lang w:val="en-US"/>
                    </w:rPr>
                    <w:t>Bushfires NT</w:t>
                  </w:r>
                  <w:r>
                    <w:t>.</w:t>
                  </w:r>
                </w:p>
                <w:p w:rsidR="00447F6F" w:rsidRPr="00EF3552" w:rsidRDefault="00447F6F" w:rsidP="00EF3552">
                  <w:pPr>
                    <w:pStyle w:val="DQIMainRowHeadings"/>
                    <w:rPr>
                      <w:b w:val="0"/>
                    </w:rPr>
                  </w:pPr>
                  <w:r w:rsidRPr="00EF3552">
                    <w:rPr>
                      <w:b w:val="0"/>
                    </w:rPr>
                    <w:t>Land Management Agencies</w:t>
                  </w:r>
                </w:p>
                <w:p w:rsidR="00447F6F" w:rsidRDefault="00447F6F" w:rsidP="00EF3552">
                  <w:pPr>
                    <w:pStyle w:val="DQITableText"/>
                  </w:pPr>
                  <w:proofErr w:type="spellStart"/>
                  <w:r>
                    <w:t>NTFRS</w:t>
                  </w:r>
                  <w:proofErr w:type="spellEnd"/>
                  <w:r>
                    <w:t xml:space="preserve"> includes data provided by Bushfires NT.</w:t>
                  </w:r>
                </w:p>
                <w:p w:rsidR="00447F6F" w:rsidRPr="00EF3552" w:rsidRDefault="00447F6F" w:rsidP="00EF3552">
                  <w:pPr>
                    <w:pStyle w:val="DQIMainRowHeadings"/>
                    <w:rPr>
                      <w:b w:val="0"/>
                    </w:rPr>
                  </w:pPr>
                  <w:r w:rsidRPr="00EF3552">
                    <w:rPr>
                      <w:b w:val="0"/>
                    </w:rPr>
                    <w:t>Merging of fires</w:t>
                  </w:r>
                </w:p>
                <w:p w:rsidR="00447F6F" w:rsidRDefault="00447F6F" w:rsidP="00EF3552">
                  <w:pPr>
                    <w:pStyle w:val="DQITableText"/>
                  </w:pPr>
                  <w:r>
                    <w:t>Each fire is counted as a separate incident, whether the fires burn into each other or not.</w:t>
                  </w:r>
                </w:p>
                <w:p w:rsidR="00447F6F" w:rsidRPr="00EF3552" w:rsidRDefault="00447F6F" w:rsidP="00EF3552">
                  <w:pPr>
                    <w:pStyle w:val="DQIMainRowHeadings"/>
                    <w:rPr>
                      <w:b w:val="0"/>
                    </w:rPr>
                  </w:pPr>
                  <w:r w:rsidRPr="00EF3552">
                    <w:rPr>
                      <w:b w:val="0"/>
                    </w:rPr>
                    <w:t>Other significant counting practices</w:t>
                  </w:r>
                </w:p>
                <w:p w:rsidR="00447F6F" w:rsidRDefault="00447F6F" w:rsidP="00EF3552">
                  <w:pPr>
                    <w:pStyle w:val="DQITableText"/>
                    <w:rPr>
                      <w:u w:val="single"/>
                    </w:rPr>
                  </w:pPr>
                  <w:r>
                    <w:t xml:space="preserve">Some duplicate counting may exist due to the amalgamation of data between </w:t>
                  </w:r>
                  <w:proofErr w:type="spellStart"/>
                  <w:r>
                    <w:t>NTFRS</w:t>
                  </w:r>
                  <w:proofErr w:type="spellEnd"/>
                  <w:r>
                    <w:t xml:space="preserve"> and Bushfires NT. </w:t>
                  </w:r>
                  <w:proofErr w:type="spellStart"/>
                  <w:r>
                    <w:t>NTFRS</w:t>
                  </w:r>
                  <w:proofErr w:type="spellEnd"/>
                  <w:r>
                    <w:t xml:space="preserve"> and Bushfires NT are currently reviewing data collection policies.</w:t>
                  </w:r>
                </w:p>
              </w:tc>
            </w:tr>
          </w:tbl>
          <w:p w:rsidR="00447F6F" w:rsidRDefault="00447F6F" w:rsidP="007511E6">
            <w:pPr>
              <w:pStyle w:val="Box"/>
            </w:pPr>
          </w:p>
        </w:tc>
      </w:tr>
      <w:tr w:rsidR="00521B8E" w:rsidTr="00EF3552">
        <w:trPr>
          <w:cantSplit/>
        </w:trPr>
        <w:tc>
          <w:tcPr>
            <w:tcW w:w="8771" w:type="dxa"/>
            <w:tcBorders>
              <w:top w:val="nil"/>
              <w:left w:val="nil"/>
              <w:bottom w:val="nil"/>
              <w:right w:val="nil"/>
            </w:tcBorders>
            <w:shd w:val="clear" w:color="auto" w:fill="auto"/>
          </w:tcPr>
          <w:p w:rsidR="00521B8E" w:rsidRPr="00521B8E" w:rsidRDefault="00521B8E" w:rsidP="00EF3552">
            <w:pPr>
              <w:pStyle w:val="Note"/>
              <w:rPr>
                <w:b/>
              </w:rPr>
            </w:pPr>
            <w:proofErr w:type="spellStart"/>
            <w:r w:rsidRPr="00521B8E">
              <w:rPr>
                <w:b/>
              </w:rPr>
              <w:t>na</w:t>
            </w:r>
            <w:proofErr w:type="spellEnd"/>
            <w:r w:rsidRPr="00521B8E">
              <w:rPr>
                <w:b/>
              </w:rPr>
              <w:t xml:space="preserve"> </w:t>
            </w:r>
            <w:r w:rsidRPr="00521B8E">
              <w:t>Not available.</w:t>
            </w:r>
          </w:p>
        </w:tc>
      </w:tr>
      <w:tr w:rsidR="00447F6F" w:rsidTr="007511E6">
        <w:trPr>
          <w:cantSplit/>
        </w:trPr>
        <w:tc>
          <w:tcPr>
            <w:tcW w:w="8771" w:type="dxa"/>
            <w:tcBorders>
              <w:top w:val="nil"/>
              <w:left w:val="nil"/>
              <w:bottom w:val="nil"/>
              <w:right w:val="nil"/>
            </w:tcBorders>
            <w:shd w:val="clear" w:color="auto" w:fill="auto"/>
          </w:tcPr>
          <w:p w:rsidR="00447F6F" w:rsidRDefault="00447F6F" w:rsidP="007511E6">
            <w:pPr>
              <w:pStyle w:val="Source"/>
            </w:pPr>
            <w:r>
              <w:rPr>
                <w:i/>
              </w:rPr>
              <w:t>Source</w:t>
            </w:r>
            <w:r>
              <w:t>: State and Territory governments.</w:t>
            </w:r>
          </w:p>
        </w:tc>
      </w:tr>
      <w:tr w:rsidR="00447F6F" w:rsidTr="007511E6">
        <w:trPr>
          <w:cantSplit/>
        </w:trPr>
        <w:tc>
          <w:tcPr>
            <w:tcW w:w="8771" w:type="dxa"/>
            <w:tcBorders>
              <w:top w:val="nil"/>
              <w:left w:val="nil"/>
              <w:bottom w:val="single" w:sz="6" w:space="0" w:color="78A22F"/>
              <w:right w:val="nil"/>
            </w:tcBorders>
            <w:shd w:val="clear" w:color="auto" w:fill="auto"/>
          </w:tcPr>
          <w:p w:rsidR="00447F6F" w:rsidRDefault="00447F6F" w:rsidP="007511E6">
            <w:pPr>
              <w:pStyle w:val="Box"/>
              <w:spacing w:before="0" w:line="120" w:lineRule="exact"/>
            </w:pPr>
          </w:p>
        </w:tc>
      </w:tr>
      <w:tr w:rsidR="00447F6F" w:rsidRPr="000863A5" w:rsidTr="007511E6">
        <w:tc>
          <w:tcPr>
            <w:tcW w:w="8771" w:type="dxa"/>
            <w:tcBorders>
              <w:top w:val="single" w:sz="6" w:space="0" w:color="78A22F"/>
              <w:left w:val="nil"/>
              <w:bottom w:val="nil"/>
              <w:right w:val="nil"/>
            </w:tcBorders>
          </w:tcPr>
          <w:p w:rsidR="00447F6F" w:rsidRPr="00626D32" w:rsidRDefault="00447F6F" w:rsidP="007511E6">
            <w:pPr>
              <w:pStyle w:val="BoxSpaceBelow"/>
            </w:pPr>
          </w:p>
        </w:tc>
      </w:tr>
    </w:tbl>
    <w:p w:rsidR="00B1734C" w:rsidRDefault="00B1734C" w:rsidP="00B1734C">
      <w:pPr>
        <w:rPr>
          <w:rFonts w:ascii="Arial" w:hAnsi="Arial"/>
          <w:i/>
        </w:rPr>
      </w:pPr>
      <w:r>
        <w:br w:type="page"/>
      </w:r>
    </w:p>
    <w:p w:rsidR="00B1734C" w:rsidRDefault="004D4FF5" w:rsidP="004D4FF5">
      <w:pPr>
        <w:pStyle w:val="Heading4"/>
      </w:pPr>
      <w:bookmarkStart w:id="35" w:name="_Toc398732472"/>
      <w:bookmarkStart w:id="36" w:name="_Toc405885734"/>
      <w:r>
        <w:lastRenderedPageBreak/>
        <w:t>Non</w:t>
      </w:r>
      <w:r>
        <w:noBreakHyphen/>
        <w:t xml:space="preserve">fire incidents: </w:t>
      </w:r>
      <w:r w:rsidR="00B1734C">
        <w:t>Reported road crash rescue incidents</w:t>
      </w:r>
      <w:bookmarkEnd w:id="35"/>
      <w:bookmarkEnd w:id="36"/>
      <w:r w:rsidR="00B1734C" w:rsidRPr="00706570">
        <w:t xml:space="preserve"> </w:t>
      </w:r>
    </w:p>
    <w:p w:rsidR="004D4FF5" w:rsidRDefault="00B1734C" w:rsidP="00B1734C">
      <w:pPr>
        <w:pStyle w:val="Box"/>
      </w:pPr>
      <w:r w:rsidRPr="0001794F">
        <w:t xml:space="preserve">Data quality information for this indicator has been drafted by the </w:t>
      </w:r>
      <w:r>
        <w:t>Emergency Management</w:t>
      </w:r>
      <w:r w:rsidRPr="0001794F">
        <w:t xml:space="preserve"> </w:t>
      </w:r>
      <w:r>
        <w:t xml:space="preserve">Working Group </w:t>
      </w:r>
      <w:r w:rsidRPr="0001794F">
        <w:t xml:space="preserve">in consultation with </w:t>
      </w:r>
      <w:r w:rsidRPr="007E3FDC">
        <w:t>the Australasian Fire and Emergency Service Authorities Council (</w:t>
      </w:r>
      <w:proofErr w:type="spellStart"/>
      <w:r w:rsidRPr="007E3FDC">
        <w:t>AFAC</w:t>
      </w:r>
      <w:proofErr w:type="spellEnd"/>
      <w:r w:rsidRPr="007E3FDC">
        <w:t>)</w:t>
      </w:r>
      <w:r>
        <w:t xml:space="preserve"> and the </w:t>
      </w:r>
      <w:r w:rsidRPr="0024018B">
        <w:t>Australian Council of State Emergency Services (</w:t>
      </w:r>
      <w:proofErr w:type="spellStart"/>
      <w:r w:rsidRPr="0024018B">
        <w:t>ACSES</w:t>
      </w:r>
      <w:proofErr w:type="spellEnd"/>
      <w:r w:rsidRPr="0024018B">
        <w:t>)</w:t>
      </w:r>
      <w:r w:rsidRPr="0001794F">
        <w:t>, with additional Steering Committee comments.</w:t>
      </w:r>
    </w:p>
    <w:tbl>
      <w:tblPr>
        <w:tblW w:w="4976" w:type="pct"/>
        <w:jc w:val="center"/>
        <w:tblLayout w:type="fixed"/>
        <w:tblCellMar>
          <w:top w:w="28" w:type="dxa"/>
          <w:left w:w="28" w:type="dxa"/>
          <w:bottom w:w="28" w:type="dxa"/>
          <w:right w:w="28" w:type="dxa"/>
        </w:tblCellMar>
        <w:tblLook w:val="01E0" w:firstRow="1" w:lastRow="1" w:firstColumn="1" w:lastColumn="1" w:noHBand="0" w:noVBand="0"/>
      </w:tblPr>
      <w:tblGrid>
        <w:gridCol w:w="1520"/>
        <w:gridCol w:w="3050"/>
        <w:gridCol w:w="3979"/>
      </w:tblGrid>
      <w:tr w:rsidR="00EE788F" w:rsidRPr="001F3F80" w:rsidTr="00213A62">
        <w:trPr>
          <w:jc w:val="center"/>
        </w:trPr>
        <w:tc>
          <w:tcPr>
            <w:tcW w:w="4706" w:type="dxa"/>
            <w:gridSpan w:val="2"/>
          </w:tcPr>
          <w:p w:rsidR="00EE788F" w:rsidRPr="003211C6" w:rsidRDefault="00EE788F" w:rsidP="00EE788F">
            <w:pPr>
              <w:pStyle w:val="DQIMainRowHeadings"/>
              <w:rPr>
                <w:rFonts w:cs="Arial"/>
                <w:sz w:val="22"/>
                <w:szCs w:val="22"/>
              </w:rPr>
            </w:pPr>
            <w:r w:rsidRPr="003211C6">
              <w:t>Indicator definition and description</w:t>
            </w:r>
          </w:p>
        </w:tc>
        <w:tc>
          <w:tcPr>
            <w:tcW w:w="4097" w:type="dxa"/>
          </w:tcPr>
          <w:p w:rsidR="00EE788F" w:rsidRPr="003211C6" w:rsidRDefault="00EE788F" w:rsidP="00EE788F">
            <w:pPr>
              <w:pStyle w:val="DQIMainRowHeadings"/>
              <w:rPr>
                <w:rFonts w:cs="Arial"/>
                <w:sz w:val="22"/>
                <w:szCs w:val="22"/>
              </w:rPr>
            </w:pPr>
          </w:p>
        </w:tc>
      </w:tr>
      <w:tr w:rsidR="00B1734C" w:rsidRPr="001F3F80" w:rsidTr="00213A62">
        <w:trPr>
          <w:jc w:val="center"/>
        </w:trPr>
        <w:tc>
          <w:tcPr>
            <w:tcW w:w="1564" w:type="dxa"/>
          </w:tcPr>
          <w:p w:rsidR="00B1734C" w:rsidRPr="00A05229" w:rsidRDefault="00B1734C" w:rsidP="00EE788F">
            <w:pPr>
              <w:pStyle w:val="DQIRowHeadings"/>
            </w:pPr>
            <w:r w:rsidRPr="00A05229">
              <w:t>Element</w:t>
            </w:r>
          </w:p>
        </w:tc>
        <w:tc>
          <w:tcPr>
            <w:tcW w:w="7239" w:type="dxa"/>
            <w:gridSpan w:val="2"/>
          </w:tcPr>
          <w:p w:rsidR="00B1734C" w:rsidRPr="00BD6B0B" w:rsidRDefault="00521B8E" w:rsidP="00EE788F">
            <w:pPr>
              <w:pStyle w:val="DQITableText"/>
            </w:pPr>
            <w:r>
              <w:t>Equity/effectiveness — Prevention/mitigation</w:t>
            </w:r>
          </w:p>
        </w:tc>
      </w:tr>
      <w:tr w:rsidR="00B1734C" w:rsidRPr="001F3F80" w:rsidTr="00213A62">
        <w:trPr>
          <w:jc w:val="center"/>
        </w:trPr>
        <w:tc>
          <w:tcPr>
            <w:tcW w:w="1564" w:type="dxa"/>
          </w:tcPr>
          <w:p w:rsidR="00B1734C" w:rsidRPr="00A05229" w:rsidRDefault="00B1734C" w:rsidP="00EE788F">
            <w:pPr>
              <w:pStyle w:val="DQIRowHeadings"/>
            </w:pPr>
            <w:r w:rsidRPr="00A05229">
              <w:t>Indicator</w:t>
            </w:r>
          </w:p>
        </w:tc>
        <w:tc>
          <w:tcPr>
            <w:tcW w:w="7239" w:type="dxa"/>
            <w:gridSpan w:val="2"/>
          </w:tcPr>
          <w:p w:rsidR="00B1734C" w:rsidRPr="00BD6B0B" w:rsidRDefault="00521B8E" w:rsidP="001263E0">
            <w:pPr>
              <w:pStyle w:val="DQITableText"/>
            </w:pPr>
            <w:r>
              <w:t xml:space="preserve">Fire incidents (provided as contextual </w:t>
            </w:r>
            <w:r w:rsidR="001263E0">
              <w:t>information to the fire incidents indicator)</w:t>
            </w:r>
          </w:p>
        </w:tc>
      </w:tr>
      <w:tr w:rsidR="00B1734C" w:rsidRPr="001F3F80" w:rsidTr="00213A62">
        <w:trPr>
          <w:jc w:val="center"/>
        </w:trPr>
        <w:tc>
          <w:tcPr>
            <w:tcW w:w="1564" w:type="dxa"/>
          </w:tcPr>
          <w:p w:rsidR="00B1734C" w:rsidRPr="00A05229" w:rsidRDefault="00B1734C" w:rsidP="00EE788F">
            <w:pPr>
              <w:pStyle w:val="DQIRowHeadings"/>
            </w:pPr>
            <w:r w:rsidRPr="00A05229">
              <w:t xml:space="preserve">Measure </w:t>
            </w:r>
            <w:r w:rsidRPr="00DB700D">
              <w:t xml:space="preserve">incidents </w:t>
            </w:r>
            <w:r w:rsidRPr="00A05229">
              <w:t>(computation)</w:t>
            </w:r>
          </w:p>
        </w:tc>
        <w:tc>
          <w:tcPr>
            <w:tcW w:w="7239" w:type="dxa"/>
            <w:gridSpan w:val="2"/>
          </w:tcPr>
          <w:p w:rsidR="00B1734C" w:rsidRDefault="00B1734C" w:rsidP="00EE788F">
            <w:pPr>
              <w:pStyle w:val="DQITableText"/>
            </w:pPr>
            <w:r>
              <w:t xml:space="preserve">‘Reported road crash rescue incidents’ is defined as the number of reported incidents involving a motor vehicle and the presumption that assistance is required from emergency services organisations. </w:t>
            </w:r>
          </w:p>
          <w:p w:rsidR="00B1734C" w:rsidRDefault="00B1734C" w:rsidP="00882B64">
            <w:pPr>
              <w:pStyle w:val="DQITableText"/>
              <w:spacing w:after="120"/>
            </w:pPr>
            <w:r>
              <w:t>It is measured by the rate of reported road crash rescue incidents per 100 000 people. It is calculated as:</w:t>
            </w:r>
          </w:p>
          <w:tbl>
            <w:tblPr>
              <w:tblStyle w:val="TableGrid"/>
              <w:tblW w:w="4677" w:type="pct"/>
              <w:tblInd w:w="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28" w:type="dxa"/>
                <w:bottom w:w="28" w:type="dxa"/>
                <w:right w:w="28" w:type="dxa"/>
              </w:tblCellMar>
              <w:tblLook w:val="01E0" w:firstRow="1" w:lastRow="1" w:firstColumn="1" w:lastColumn="1" w:noHBand="0" w:noVBand="0"/>
              <w:tblDescription w:val="More details can be found within the text surrounding this image."/>
            </w:tblPr>
            <w:tblGrid>
              <w:gridCol w:w="1444"/>
              <w:gridCol w:w="5079"/>
            </w:tblGrid>
            <w:tr w:rsidR="00B1734C" w:rsidTr="00B1734C">
              <w:tc>
                <w:tcPr>
                  <w:tcW w:w="1107" w:type="pct"/>
                  <w:vAlign w:val="center"/>
                </w:tcPr>
                <w:p w:rsidR="00B1734C" w:rsidRPr="0098142B" w:rsidRDefault="00B1734C" w:rsidP="00B1734C">
                  <w:pPr>
                    <w:pStyle w:val="TableBodyText"/>
                    <w:jc w:val="left"/>
                    <w:rPr>
                      <w:b/>
                    </w:rPr>
                  </w:pPr>
                  <w:r w:rsidRPr="0098142B">
                    <w:rPr>
                      <w:b/>
                    </w:rPr>
                    <w:t>Numerator:</w:t>
                  </w:r>
                </w:p>
              </w:tc>
              <w:tc>
                <w:tcPr>
                  <w:tcW w:w="3893" w:type="pct"/>
                  <w:vAlign w:val="bottom"/>
                </w:tcPr>
                <w:p w:rsidR="00B1734C" w:rsidRPr="0098142B" w:rsidRDefault="00B1734C" w:rsidP="00B1734C">
                  <w:pPr>
                    <w:pStyle w:val="TableBodyText"/>
                    <w:jc w:val="center"/>
                    <w:rPr>
                      <w:b/>
                    </w:rPr>
                  </w:pPr>
                  <w:r w:rsidRPr="0098142B">
                    <w:rPr>
                      <w:b/>
                    </w:rPr>
                    <w:t xml:space="preserve">the number of </w:t>
                  </w:r>
                  <w:r>
                    <w:rPr>
                      <w:b/>
                    </w:rPr>
                    <w:t>road rescue incidents</w:t>
                  </w:r>
                </w:p>
              </w:tc>
            </w:tr>
            <w:tr w:rsidR="00B1734C" w:rsidTr="00B1734C">
              <w:trPr>
                <w:trHeight w:hRule="exact" w:val="170"/>
              </w:trPr>
              <w:tc>
                <w:tcPr>
                  <w:tcW w:w="1107" w:type="pct"/>
                  <w:vAlign w:val="center"/>
                </w:tcPr>
                <w:p w:rsidR="00B1734C" w:rsidRPr="0098142B" w:rsidRDefault="00B1734C" w:rsidP="00B1734C">
                  <w:pPr>
                    <w:pStyle w:val="TableBodyText"/>
                    <w:jc w:val="center"/>
                    <w:rPr>
                      <w:b/>
                    </w:rPr>
                  </w:pPr>
                </w:p>
              </w:tc>
              <w:tc>
                <w:tcPr>
                  <w:tcW w:w="3893" w:type="pct"/>
                </w:tcPr>
                <w:p w:rsidR="00B1734C" w:rsidRPr="0098142B" w:rsidRDefault="00B1734C" w:rsidP="00B1734C">
                  <w:pPr>
                    <w:pStyle w:val="TableBodyText"/>
                    <w:jc w:val="center"/>
                    <w:rPr>
                      <w:b/>
                    </w:rPr>
                  </w:pPr>
                  <w:r w:rsidRPr="0098142B">
                    <w:rPr>
                      <w:b/>
                    </w:rPr>
                    <w:t>——————————————————————————</w:t>
                  </w:r>
                </w:p>
              </w:tc>
            </w:tr>
            <w:tr w:rsidR="00B1734C" w:rsidTr="00B1734C">
              <w:tc>
                <w:tcPr>
                  <w:tcW w:w="1107" w:type="pct"/>
                  <w:vAlign w:val="center"/>
                </w:tcPr>
                <w:p w:rsidR="00B1734C" w:rsidRPr="0098142B" w:rsidRDefault="00B1734C" w:rsidP="00B1734C">
                  <w:pPr>
                    <w:pStyle w:val="TableBodyText"/>
                    <w:ind w:right="-24"/>
                    <w:jc w:val="left"/>
                    <w:rPr>
                      <w:b/>
                    </w:rPr>
                  </w:pPr>
                  <w:r w:rsidRPr="0098142B">
                    <w:rPr>
                      <w:b/>
                    </w:rPr>
                    <w:t>Denominator:</w:t>
                  </w:r>
                </w:p>
              </w:tc>
              <w:tc>
                <w:tcPr>
                  <w:tcW w:w="3893" w:type="pct"/>
                </w:tcPr>
                <w:p w:rsidR="00B1734C" w:rsidRPr="0098142B" w:rsidRDefault="00B1734C" w:rsidP="00B1734C">
                  <w:pPr>
                    <w:pStyle w:val="TableBodyText"/>
                    <w:jc w:val="center"/>
                    <w:rPr>
                      <w:b/>
                    </w:rPr>
                  </w:pPr>
                  <w:r>
                    <w:rPr>
                      <w:b/>
                    </w:rPr>
                    <w:t>estimated resident population</w:t>
                  </w:r>
                </w:p>
              </w:tc>
            </w:tr>
          </w:tbl>
          <w:p w:rsidR="00B1734C" w:rsidRDefault="00B1734C" w:rsidP="00EE788F">
            <w:pPr>
              <w:pStyle w:val="DQITableText"/>
            </w:pPr>
            <w:r>
              <w:t xml:space="preserve">According to the </w:t>
            </w:r>
            <w:r w:rsidRPr="00153801">
              <w:t>Austra</w:t>
            </w:r>
            <w:r>
              <w:t>lian Incident Reporting System</w:t>
            </w:r>
            <w:r w:rsidRPr="00153801">
              <w:t xml:space="preserve"> </w:t>
            </w:r>
            <w:r>
              <w:t>(AIRS) classification road crash rescue incidents are where:</w:t>
            </w:r>
          </w:p>
          <w:p w:rsidR="00B1734C" w:rsidRPr="006A2E72" w:rsidRDefault="00B1734C" w:rsidP="00EE788F">
            <w:pPr>
              <w:pStyle w:val="DQITableBullet2"/>
              <w:numPr>
                <w:ilvl w:val="0"/>
                <w:numId w:val="0"/>
              </w:numPr>
              <w:ind w:left="510"/>
              <w:rPr>
                <w:lang w:val="en-US"/>
              </w:rPr>
            </w:pPr>
            <w:r>
              <w:rPr>
                <w:lang w:val="en-US"/>
              </w:rPr>
              <w:t xml:space="preserve">The </w:t>
            </w:r>
            <w:r w:rsidRPr="006A2E72">
              <w:rPr>
                <w:lang w:val="en-US"/>
              </w:rPr>
              <w:t xml:space="preserve">Type of Incident </w:t>
            </w:r>
            <w:r>
              <w:rPr>
                <w:lang w:val="en-US"/>
              </w:rPr>
              <w:t xml:space="preserve">is </w:t>
            </w:r>
            <w:proofErr w:type="spellStart"/>
            <w:r>
              <w:rPr>
                <w:lang w:val="en-US"/>
              </w:rPr>
              <w:t>A23</w:t>
            </w:r>
            <w:proofErr w:type="spellEnd"/>
            <w:r>
              <w:rPr>
                <w:lang w:val="en-US"/>
              </w:rPr>
              <w:t xml:space="preserve"> </w:t>
            </w:r>
            <w:r w:rsidRPr="006A2E72">
              <w:rPr>
                <w:lang w:val="en-US"/>
              </w:rPr>
              <w:t xml:space="preserve">= Division 3: 351 and 352 </w:t>
            </w:r>
          </w:p>
          <w:p w:rsidR="00B1734C" w:rsidRPr="006A2E72" w:rsidRDefault="00B1734C" w:rsidP="00EE788F">
            <w:pPr>
              <w:pStyle w:val="DQITableText"/>
              <w:rPr>
                <w:lang w:val="en-US"/>
              </w:rPr>
            </w:pPr>
            <w:r>
              <w:rPr>
                <w:lang w:val="en-US"/>
              </w:rPr>
              <w:t>AND</w:t>
            </w:r>
            <w:r w:rsidRPr="006A2E72">
              <w:rPr>
                <w:lang w:val="en-US"/>
              </w:rPr>
              <w:tab/>
            </w:r>
            <w:r>
              <w:rPr>
                <w:lang w:val="en-US"/>
              </w:rPr>
              <w:t xml:space="preserve">the Type of Action Taken is </w:t>
            </w:r>
            <w:proofErr w:type="spellStart"/>
            <w:r>
              <w:rPr>
                <w:lang w:val="en-US"/>
              </w:rPr>
              <w:t>A24</w:t>
            </w:r>
            <w:proofErr w:type="spellEnd"/>
            <w:r>
              <w:rPr>
                <w:lang w:val="en-US"/>
              </w:rPr>
              <w:t>= 20–</w:t>
            </w:r>
            <w:r w:rsidRPr="006A2E72">
              <w:rPr>
                <w:lang w:val="en-US"/>
              </w:rPr>
              <w:t>23</w:t>
            </w:r>
            <w:r>
              <w:rPr>
                <w:lang w:val="en-US"/>
              </w:rPr>
              <w:t>,</w:t>
            </w:r>
            <w:r w:rsidRPr="006A2E72">
              <w:rPr>
                <w:lang w:val="en-US"/>
              </w:rPr>
              <w:t xml:space="preserve"> 29</w:t>
            </w:r>
            <w:r w:rsidR="009D2362">
              <w:rPr>
                <w:lang w:val="en-US"/>
              </w:rPr>
              <w:t xml:space="preserve"> </w:t>
            </w:r>
          </w:p>
          <w:p w:rsidR="00B1734C" w:rsidRPr="006A2E72" w:rsidRDefault="00B1734C" w:rsidP="00EE788F">
            <w:pPr>
              <w:pStyle w:val="DQITableBullet2"/>
              <w:numPr>
                <w:ilvl w:val="0"/>
                <w:numId w:val="0"/>
              </w:numPr>
              <w:ind w:left="510"/>
              <w:rPr>
                <w:lang w:val="en-US"/>
              </w:rPr>
            </w:pPr>
            <w:r>
              <w:rPr>
                <w:lang w:val="en-US"/>
              </w:rPr>
              <w:tab/>
            </w:r>
            <w:r w:rsidRPr="00A14675">
              <w:rPr>
                <w:b/>
                <w:lang w:val="en-US"/>
              </w:rPr>
              <w:t>OR</w:t>
            </w:r>
            <w:r w:rsidRPr="006A2E72">
              <w:rPr>
                <w:lang w:val="en-US"/>
              </w:rPr>
              <w:t>:</w:t>
            </w:r>
            <w:r>
              <w:rPr>
                <w:lang w:val="en-US"/>
              </w:rPr>
              <w:t xml:space="preserve"> the</w:t>
            </w:r>
            <w:r w:rsidRPr="006A2E72">
              <w:rPr>
                <w:lang w:val="en-US"/>
              </w:rPr>
              <w:t xml:space="preserve"> No</w:t>
            </w:r>
            <w:r>
              <w:rPr>
                <w:lang w:val="en-US"/>
              </w:rPr>
              <w:t>.</w:t>
            </w:r>
            <w:r w:rsidRPr="006A2E72">
              <w:rPr>
                <w:lang w:val="en-US"/>
              </w:rPr>
              <w:t xml:space="preserve"> of Injuries </w:t>
            </w:r>
            <w:r>
              <w:rPr>
                <w:lang w:val="en-US"/>
              </w:rPr>
              <w:t xml:space="preserve">is </w:t>
            </w:r>
            <w:proofErr w:type="spellStart"/>
            <w:r w:rsidRPr="006A2E72">
              <w:rPr>
                <w:lang w:val="en-US"/>
              </w:rPr>
              <w:t>D2</w:t>
            </w:r>
            <w:proofErr w:type="spellEnd"/>
            <w:r w:rsidRPr="006A2E72">
              <w:rPr>
                <w:lang w:val="en-US"/>
              </w:rPr>
              <w:t>&gt;=1, Fatalities</w:t>
            </w:r>
            <w:r>
              <w:rPr>
                <w:lang w:val="en-US"/>
              </w:rPr>
              <w:t xml:space="preserve"> is</w:t>
            </w:r>
            <w:r w:rsidRPr="006A2E72">
              <w:rPr>
                <w:lang w:val="en-US"/>
              </w:rPr>
              <w:t xml:space="preserve"> </w:t>
            </w:r>
            <w:proofErr w:type="spellStart"/>
            <w:r w:rsidRPr="006A2E72">
              <w:rPr>
                <w:lang w:val="en-US"/>
              </w:rPr>
              <w:t>D4</w:t>
            </w:r>
            <w:proofErr w:type="spellEnd"/>
            <w:r w:rsidRPr="006A2E72">
              <w:rPr>
                <w:lang w:val="en-US"/>
              </w:rPr>
              <w:t xml:space="preserve">&gt;=1, Rescued </w:t>
            </w:r>
            <w:r>
              <w:rPr>
                <w:lang w:val="en-US"/>
              </w:rPr>
              <w:t xml:space="preserve">is </w:t>
            </w:r>
            <w:proofErr w:type="spellStart"/>
            <w:r w:rsidRPr="006A2E72">
              <w:rPr>
                <w:lang w:val="en-US"/>
              </w:rPr>
              <w:t>D5</w:t>
            </w:r>
            <w:proofErr w:type="spellEnd"/>
            <w:r w:rsidRPr="006A2E72">
              <w:rPr>
                <w:lang w:val="en-US"/>
              </w:rPr>
              <w:t xml:space="preserve">&gt;=1 </w:t>
            </w:r>
          </w:p>
          <w:p w:rsidR="00B1734C" w:rsidRPr="00A05229" w:rsidRDefault="00B1734C" w:rsidP="00EE788F">
            <w:pPr>
              <w:pStyle w:val="DQITableText"/>
            </w:pPr>
            <w:r>
              <w:rPr>
                <w:lang w:val="en-US"/>
              </w:rPr>
              <w:t>AND</w:t>
            </w:r>
            <w:r w:rsidRPr="006A2E72">
              <w:rPr>
                <w:lang w:val="en-US"/>
              </w:rPr>
              <w:tab/>
            </w:r>
            <w:r>
              <w:rPr>
                <w:lang w:val="en-US"/>
              </w:rPr>
              <w:t>the</w:t>
            </w:r>
            <w:r>
              <w:t xml:space="preserve"> Mobile Property Type</w:t>
            </w:r>
            <w:r w:rsidRPr="006A2E72">
              <w:t xml:space="preserve"> </w:t>
            </w:r>
            <w:r>
              <w:t xml:space="preserve">is </w:t>
            </w:r>
            <w:proofErr w:type="spellStart"/>
            <w:r w:rsidRPr="006A2E72">
              <w:t>J1</w:t>
            </w:r>
            <w:proofErr w:type="spellEnd"/>
            <w:r>
              <w:t xml:space="preserve"> = </w:t>
            </w:r>
            <w:r w:rsidRPr="006A2E72">
              <w:t>10</w:t>
            </w:r>
            <w:r>
              <w:t xml:space="preserve">–29, </w:t>
            </w:r>
            <w:r w:rsidRPr="006A2E72">
              <w:t>61</w:t>
            </w:r>
            <w:r>
              <w:t>–</w:t>
            </w:r>
            <w:r w:rsidRPr="006A2E72">
              <w:t>65, 67</w:t>
            </w:r>
            <w:r w:rsidRPr="006A2E72">
              <w:rPr>
                <w:u w:val="single"/>
              </w:rPr>
              <w:t xml:space="preserve"> </w:t>
            </w:r>
          </w:p>
        </w:tc>
      </w:tr>
      <w:tr w:rsidR="00B1734C" w:rsidRPr="001F3F80" w:rsidTr="00213A62">
        <w:trPr>
          <w:jc w:val="center"/>
        </w:trPr>
        <w:tc>
          <w:tcPr>
            <w:tcW w:w="1564" w:type="dxa"/>
          </w:tcPr>
          <w:p w:rsidR="00B1734C" w:rsidRPr="00A05229" w:rsidRDefault="00B1734C" w:rsidP="00EE788F">
            <w:pPr>
              <w:pStyle w:val="DQIRowHeadings"/>
            </w:pPr>
            <w:r w:rsidRPr="00A05229">
              <w:t xml:space="preserve">Measure </w:t>
            </w:r>
            <w:r>
              <w:t xml:space="preserve">extractions </w:t>
            </w:r>
            <w:r w:rsidRPr="00A05229">
              <w:t>(computation)</w:t>
            </w:r>
          </w:p>
        </w:tc>
        <w:tc>
          <w:tcPr>
            <w:tcW w:w="7239" w:type="dxa"/>
            <w:gridSpan w:val="2"/>
          </w:tcPr>
          <w:p w:rsidR="00B1734C" w:rsidRDefault="00B1734C" w:rsidP="00882B64">
            <w:pPr>
              <w:pStyle w:val="DQITableText"/>
              <w:spacing w:after="120"/>
            </w:pPr>
            <w:r>
              <w:t>‘Reported road crash rescue extrications’ is defined as an assisted release and removal of trapped people (usually casualties) from motor vehicles by specially equipped and trained emergency service crews, arising from incidents reported. It is measured by the rate of reported extrications per 100 000 people; per 100 000 registered vehicles; and per million vehicle kilometres travelled. It is calculated as:</w:t>
            </w:r>
          </w:p>
          <w:tbl>
            <w:tblPr>
              <w:tblStyle w:val="TableGrid"/>
              <w:tblW w:w="6958" w:type="dxa"/>
              <w:tblInd w:w="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28" w:type="dxa"/>
                <w:bottom w:w="28" w:type="dxa"/>
                <w:right w:w="28" w:type="dxa"/>
              </w:tblCellMar>
              <w:tblLook w:val="01E0" w:firstRow="1" w:lastRow="1" w:firstColumn="1" w:lastColumn="1" w:noHBand="0" w:noVBand="0"/>
              <w:tblDescription w:val="More details can be found within the text surrounding this image."/>
            </w:tblPr>
            <w:tblGrid>
              <w:gridCol w:w="1541"/>
              <w:gridCol w:w="5417"/>
            </w:tblGrid>
            <w:tr w:rsidR="00B1734C" w:rsidTr="00B1734C">
              <w:tc>
                <w:tcPr>
                  <w:tcW w:w="1107" w:type="pct"/>
                  <w:vAlign w:val="center"/>
                </w:tcPr>
                <w:p w:rsidR="00B1734C" w:rsidRPr="0098142B" w:rsidRDefault="00B1734C" w:rsidP="00B1734C">
                  <w:pPr>
                    <w:pStyle w:val="TableBodyText"/>
                    <w:ind w:right="0"/>
                    <w:jc w:val="left"/>
                    <w:rPr>
                      <w:b/>
                    </w:rPr>
                  </w:pPr>
                  <w:r w:rsidRPr="0098142B">
                    <w:rPr>
                      <w:b/>
                    </w:rPr>
                    <w:t>Numerator:</w:t>
                  </w:r>
                </w:p>
              </w:tc>
              <w:tc>
                <w:tcPr>
                  <w:tcW w:w="3893" w:type="pct"/>
                  <w:vAlign w:val="bottom"/>
                </w:tcPr>
                <w:p w:rsidR="00B1734C" w:rsidRPr="0098142B" w:rsidRDefault="00B1734C" w:rsidP="00B1734C">
                  <w:pPr>
                    <w:pStyle w:val="TableBodyText"/>
                    <w:jc w:val="center"/>
                    <w:rPr>
                      <w:b/>
                    </w:rPr>
                  </w:pPr>
                  <w:r w:rsidRPr="0098142B">
                    <w:rPr>
                      <w:b/>
                    </w:rPr>
                    <w:t xml:space="preserve">the number of </w:t>
                  </w:r>
                  <w:r>
                    <w:rPr>
                      <w:b/>
                    </w:rPr>
                    <w:t>road rescue extractions</w:t>
                  </w:r>
                </w:p>
              </w:tc>
            </w:tr>
            <w:tr w:rsidR="00B1734C" w:rsidTr="00B1734C">
              <w:trPr>
                <w:trHeight w:hRule="exact" w:val="170"/>
              </w:trPr>
              <w:tc>
                <w:tcPr>
                  <w:tcW w:w="1107" w:type="pct"/>
                  <w:vAlign w:val="center"/>
                </w:tcPr>
                <w:p w:rsidR="00B1734C" w:rsidRPr="0098142B" w:rsidRDefault="00B1734C" w:rsidP="00B1734C">
                  <w:pPr>
                    <w:pStyle w:val="TableBodyText"/>
                    <w:jc w:val="left"/>
                    <w:rPr>
                      <w:b/>
                    </w:rPr>
                  </w:pPr>
                </w:p>
              </w:tc>
              <w:tc>
                <w:tcPr>
                  <w:tcW w:w="3893" w:type="pct"/>
                </w:tcPr>
                <w:p w:rsidR="00B1734C" w:rsidRPr="0098142B" w:rsidRDefault="00B1734C" w:rsidP="00B1734C">
                  <w:pPr>
                    <w:pStyle w:val="TableBodyText"/>
                    <w:jc w:val="center"/>
                    <w:rPr>
                      <w:b/>
                    </w:rPr>
                  </w:pPr>
                  <w:r w:rsidRPr="0098142B">
                    <w:rPr>
                      <w:b/>
                    </w:rPr>
                    <w:t>——————————————————————————</w:t>
                  </w:r>
                </w:p>
              </w:tc>
            </w:tr>
            <w:tr w:rsidR="00B1734C" w:rsidTr="00B1734C">
              <w:tc>
                <w:tcPr>
                  <w:tcW w:w="1107" w:type="pct"/>
                  <w:vAlign w:val="center"/>
                </w:tcPr>
                <w:p w:rsidR="00B1734C" w:rsidRPr="0098142B" w:rsidRDefault="00B1734C" w:rsidP="00B1734C">
                  <w:pPr>
                    <w:pStyle w:val="TableBodyText"/>
                    <w:ind w:right="-24"/>
                    <w:jc w:val="left"/>
                    <w:rPr>
                      <w:b/>
                    </w:rPr>
                  </w:pPr>
                  <w:r w:rsidRPr="0098142B">
                    <w:rPr>
                      <w:b/>
                    </w:rPr>
                    <w:t>Denominator:</w:t>
                  </w:r>
                </w:p>
              </w:tc>
              <w:tc>
                <w:tcPr>
                  <w:tcW w:w="3893" w:type="pct"/>
                </w:tcPr>
                <w:p w:rsidR="00B1734C" w:rsidRDefault="00B1734C" w:rsidP="00B1734C">
                  <w:pPr>
                    <w:pStyle w:val="TableBodyText"/>
                    <w:jc w:val="center"/>
                    <w:rPr>
                      <w:b/>
                    </w:rPr>
                  </w:pPr>
                  <w:r>
                    <w:rPr>
                      <w:b/>
                    </w:rPr>
                    <w:t>(estimated resident population)</w:t>
                  </w:r>
                </w:p>
                <w:p w:rsidR="00B1734C" w:rsidRDefault="00B1734C" w:rsidP="00B1734C">
                  <w:pPr>
                    <w:pStyle w:val="TableBodyText"/>
                    <w:jc w:val="center"/>
                    <w:rPr>
                      <w:b/>
                    </w:rPr>
                  </w:pPr>
                  <w:r>
                    <w:rPr>
                      <w:b/>
                    </w:rPr>
                    <w:t>(number of registered vehicles)</w:t>
                  </w:r>
                </w:p>
                <w:p w:rsidR="00B1734C" w:rsidRPr="0098142B" w:rsidRDefault="00B1734C" w:rsidP="00B1734C">
                  <w:pPr>
                    <w:pStyle w:val="TableBodyText"/>
                    <w:jc w:val="center"/>
                    <w:rPr>
                      <w:b/>
                    </w:rPr>
                  </w:pPr>
                  <w:r>
                    <w:rPr>
                      <w:b/>
                    </w:rPr>
                    <w:t>(number of vehicle kilometres travelled)</w:t>
                  </w:r>
                </w:p>
              </w:tc>
            </w:tr>
          </w:tbl>
          <w:p w:rsidR="00B1734C" w:rsidRDefault="00B1734C" w:rsidP="00EE788F">
            <w:pPr>
              <w:pStyle w:val="DQITableText"/>
            </w:pPr>
            <w:r>
              <w:t>According to the AIRS classification road crash rescue extractions are:</w:t>
            </w:r>
          </w:p>
          <w:p w:rsidR="00B1734C" w:rsidRPr="006A2E72" w:rsidRDefault="00B1734C" w:rsidP="00EE788F">
            <w:pPr>
              <w:pStyle w:val="DQITableBullet2"/>
              <w:numPr>
                <w:ilvl w:val="0"/>
                <w:numId w:val="0"/>
              </w:numPr>
              <w:ind w:left="510"/>
              <w:rPr>
                <w:lang w:val="en-US"/>
              </w:rPr>
            </w:pPr>
            <w:r>
              <w:rPr>
                <w:lang w:val="en-US"/>
              </w:rPr>
              <w:t>The ‘</w:t>
            </w:r>
            <w:r w:rsidRPr="006A2E72">
              <w:rPr>
                <w:lang w:val="en-US"/>
              </w:rPr>
              <w:t>Type of Incident</w:t>
            </w:r>
            <w:r>
              <w:rPr>
                <w:lang w:val="en-US"/>
              </w:rPr>
              <w:t>’</w:t>
            </w:r>
            <w:r w:rsidRPr="006A2E72">
              <w:rPr>
                <w:lang w:val="en-US"/>
              </w:rPr>
              <w:t xml:space="preserve"> </w:t>
            </w:r>
            <w:r>
              <w:rPr>
                <w:lang w:val="en-US"/>
              </w:rPr>
              <w:t xml:space="preserve">is </w:t>
            </w:r>
            <w:proofErr w:type="spellStart"/>
            <w:r>
              <w:rPr>
                <w:lang w:val="en-US"/>
              </w:rPr>
              <w:t>A23</w:t>
            </w:r>
            <w:proofErr w:type="spellEnd"/>
            <w:r>
              <w:rPr>
                <w:lang w:val="en-US"/>
              </w:rPr>
              <w:t xml:space="preserve"> </w:t>
            </w:r>
            <w:r w:rsidRPr="006A2E72">
              <w:rPr>
                <w:lang w:val="en-US"/>
              </w:rPr>
              <w:t xml:space="preserve">= Division 3: 351 and 352 </w:t>
            </w:r>
          </w:p>
          <w:p w:rsidR="00B1734C" w:rsidRPr="006A2E72" w:rsidRDefault="00B1734C" w:rsidP="00EE788F">
            <w:pPr>
              <w:pStyle w:val="DQITableBullet"/>
              <w:numPr>
                <w:ilvl w:val="0"/>
                <w:numId w:val="0"/>
              </w:numPr>
              <w:ind w:left="170"/>
              <w:rPr>
                <w:lang w:val="en-US"/>
              </w:rPr>
            </w:pPr>
            <w:r>
              <w:rPr>
                <w:lang w:val="en-US"/>
              </w:rPr>
              <w:t>AND</w:t>
            </w:r>
            <w:r w:rsidRPr="006A2E72">
              <w:rPr>
                <w:lang w:val="en-US"/>
              </w:rPr>
              <w:tab/>
            </w:r>
            <w:r>
              <w:rPr>
                <w:lang w:val="en-US"/>
              </w:rPr>
              <w:t xml:space="preserve">the: ‘Type of Action Taken’ is </w:t>
            </w:r>
            <w:proofErr w:type="spellStart"/>
            <w:r>
              <w:rPr>
                <w:lang w:val="en-US"/>
              </w:rPr>
              <w:t>A24</w:t>
            </w:r>
            <w:proofErr w:type="spellEnd"/>
            <w:r>
              <w:rPr>
                <w:lang w:val="en-US"/>
              </w:rPr>
              <w:t>= 21–</w:t>
            </w:r>
            <w:r w:rsidRPr="006A2E72">
              <w:rPr>
                <w:lang w:val="en-US"/>
              </w:rPr>
              <w:t>23</w:t>
            </w:r>
            <w:r w:rsidR="009D2362">
              <w:rPr>
                <w:lang w:val="en-US"/>
              </w:rPr>
              <w:t xml:space="preserve"> </w:t>
            </w:r>
          </w:p>
          <w:p w:rsidR="00B1734C" w:rsidRPr="006A2E72" w:rsidRDefault="00B1734C" w:rsidP="00EE788F">
            <w:pPr>
              <w:pStyle w:val="DQITableBullet2"/>
              <w:numPr>
                <w:ilvl w:val="0"/>
                <w:numId w:val="0"/>
              </w:numPr>
              <w:ind w:left="510"/>
              <w:rPr>
                <w:lang w:val="en-US"/>
              </w:rPr>
            </w:pPr>
            <w:r>
              <w:rPr>
                <w:lang w:val="en-US"/>
              </w:rPr>
              <w:tab/>
            </w:r>
            <w:r w:rsidRPr="00A14675">
              <w:rPr>
                <w:b/>
                <w:lang w:val="en-US"/>
              </w:rPr>
              <w:t>AND</w:t>
            </w:r>
            <w:r w:rsidRPr="006A2E72">
              <w:rPr>
                <w:lang w:val="en-US"/>
              </w:rPr>
              <w:t xml:space="preserve"> No</w:t>
            </w:r>
            <w:r>
              <w:rPr>
                <w:lang w:val="en-US"/>
              </w:rPr>
              <w:t>.</w:t>
            </w:r>
            <w:r w:rsidRPr="006A2E72">
              <w:rPr>
                <w:lang w:val="en-US"/>
              </w:rPr>
              <w:t xml:space="preserve"> of Injuries </w:t>
            </w:r>
            <w:r>
              <w:rPr>
                <w:lang w:val="en-US"/>
              </w:rPr>
              <w:t xml:space="preserve">is </w:t>
            </w:r>
            <w:proofErr w:type="spellStart"/>
            <w:r w:rsidRPr="006A2E72">
              <w:rPr>
                <w:lang w:val="en-US"/>
              </w:rPr>
              <w:t>D2</w:t>
            </w:r>
            <w:proofErr w:type="spellEnd"/>
            <w:r>
              <w:rPr>
                <w:lang w:val="en-US"/>
              </w:rPr>
              <w:t xml:space="preserve"> </w:t>
            </w:r>
            <w:r w:rsidRPr="006A2E72">
              <w:rPr>
                <w:lang w:val="en-US"/>
              </w:rPr>
              <w:t xml:space="preserve">&gt;=1, Fatalities </w:t>
            </w:r>
            <w:r>
              <w:rPr>
                <w:lang w:val="en-US"/>
              </w:rPr>
              <w:t xml:space="preserve">is </w:t>
            </w:r>
            <w:proofErr w:type="spellStart"/>
            <w:r w:rsidRPr="006A2E72">
              <w:rPr>
                <w:lang w:val="en-US"/>
              </w:rPr>
              <w:t>D4</w:t>
            </w:r>
            <w:proofErr w:type="spellEnd"/>
            <w:r>
              <w:rPr>
                <w:lang w:val="en-US"/>
              </w:rPr>
              <w:t xml:space="preserve"> </w:t>
            </w:r>
            <w:r w:rsidRPr="006A2E72">
              <w:rPr>
                <w:lang w:val="en-US"/>
              </w:rPr>
              <w:t xml:space="preserve">&gt;=1, Rescued </w:t>
            </w:r>
            <w:r>
              <w:rPr>
                <w:lang w:val="en-US"/>
              </w:rPr>
              <w:t xml:space="preserve">is </w:t>
            </w:r>
            <w:proofErr w:type="spellStart"/>
            <w:r w:rsidRPr="006A2E72">
              <w:rPr>
                <w:lang w:val="en-US"/>
              </w:rPr>
              <w:t>D5</w:t>
            </w:r>
            <w:proofErr w:type="spellEnd"/>
            <w:r>
              <w:rPr>
                <w:lang w:val="en-US"/>
              </w:rPr>
              <w:t xml:space="preserve"> </w:t>
            </w:r>
            <w:r w:rsidRPr="006A2E72">
              <w:rPr>
                <w:lang w:val="en-US"/>
              </w:rPr>
              <w:t xml:space="preserve">&gt;=1 </w:t>
            </w:r>
          </w:p>
          <w:p w:rsidR="00B1734C" w:rsidRPr="00A05229" w:rsidRDefault="00B1734C" w:rsidP="00EE788F">
            <w:pPr>
              <w:pStyle w:val="DQITableBullet"/>
              <w:numPr>
                <w:ilvl w:val="0"/>
                <w:numId w:val="0"/>
              </w:numPr>
              <w:ind w:left="170"/>
            </w:pPr>
            <w:r>
              <w:rPr>
                <w:lang w:val="en-US"/>
              </w:rPr>
              <w:t>AND</w:t>
            </w:r>
            <w:r w:rsidRPr="006A2E72">
              <w:rPr>
                <w:lang w:val="en-US"/>
              </w:rPr>
              <w:tab/>
            </w:r>
            <w:r>
              <w:rPr>
                <w:lang w:val="en-US"/>
              </w:rPr>
              <w:t xml:space="preserve">the </w:t>
            </w:r>
            <w:r>
              <w:t>Mobile Property Type</w:t>
            </w:r>
            <w:r w:rsidRPr="006A2E72">
              <w:t xml:space="preserve"> </w:t>
            </w:r>
            <w:r>
              <w:t xml:space="preserve">is </w:t>
            </w:r>
            <w:proofErr w:type="spellStart"/>
            <w:r w:rsidRPr="006A2E72">
              <w:t>J1</w:t>
            </w:r>
            <w:proofErr w:type="spellEnd"/>
            <w:r>
              <w:t xml:space="preserve"> =</w:t>
            </w:r>
            <w:r w:rsidRPr="006A2E72">
              <w:t xml:space="preserve"> 10</w:t>
            </w:r>
            <w:r>
              <w:t xml:space="preserve">–29, </w:t>
            </w:r>
            <w:r w:rsidRPr="006A2E72">
              <w:t>61</w:t>
            </w:r>
            <w:r>
              <w:t>–</w:t>
            </w:r>
            <w:r w:rsidRPr="006A2E72">
              <w:t>65, 67</w:t>
            </w:r>
            <w:r w:rsidRPr="006A2E72">
              <w:rPr>
                <w:u w:val="single"/>
              </w:rPr>
              <w:t xml:space="preserve"> </w:t>
            </w:r>
          </w:p>
        </w:tc>
      </w:tr>
      <w:tr w:rsidR="00B1734C" w:rsidRPr="001F3F80" w:rsidTr="00213A62">
        <w:trPr>
          <w:cantSplit/>
          <w:jc w:val="center"/>
        </w:trPr>
        <w:tc>
          <w:tcPr>
            <w:tcW w:w="1564" w:type="dxa"/>
          </w:tcPr>
          <w:p w:rsidR="00B1734C" w:rsidRPr="00A05229" w:rsidRDefault="00B1734C" w:rsidP="00EE788F">
            <w:pPr>
              <w:pStyle w:val="DQIRowHeadings"/>
              <w:keepNext w:val="0"/>
            </w:pPr>
            <w:r w:rsidRPr="00A05229">
              <w:t>Data source</w:t>
            </w:r>
          </w:p>
        </w:tc>
        <w:tc>
          <w:tcPr>
            <w:tcW w:w="7239" w:type="dxa"/>
            <w:gridSpan w:val="2"/>
          </w:tcPr>
          <w:p w:rsidR="00B1734C" w:rsidRPr="00EE788F" w:rsidRDefault="00B1734C" w:rsidP="00EE788F">
            <w:pPr>
              <w:pStyle w:val="DQITableText"/>
              <w:rPr>
                <w:u w:val="single"/>
              </w:rPr>
            </w:pPr>
            <w:r w:rsidRPr="00EE788F">
              <w:rPr>
                <w:u w:val="single"/>
              </w:rPr>
              <w:t>Numerator</w:t>
            </w:r>
          </w:p>
          <w:p w:rsidR="00B1734C" w:rsidRDefault="00B1734C" w:rsidP="00EE788F">
            <w:pPr>
              <w:pStyle w:val="DQITableText"/>
            </w:pPr>
            <w:r>
              <w:t>State and Territory governments. T</w:t>
            </w:r>
            <w:r w:rsidRPr="00270F18">
              <w:t xml:space="preserve">he Secretariat </w:t>
            </w:r>
            <w:r>
              <w:t xml:space="preserve">collects </w:t>
            </w:r>
            <w:r w:rsidRPr="00270F18">
              <w:t xml:space="preserve">data </w:t>
            </w:r>
            <w:r>
              <w:t xml:space="preserve">directly from </w:t>
            </w:r>
            <w:r w:rsidRPr="00270F18">
              <w:t>all jurisdictions</w:t>
            </w:r>
            <w:r>
              <w:t xml:space="preserve">. Within each jurisdiction, fire service </w:t>
            </w:r>
            <w:r w:rsidRPr="001847BB">
              <w:t xml:space="preserve">and emergency services </w:t>
            </w:r>
            <w:r>
              <w:t xml:space="preserve">organisations collect and compile data. </w:t>
            </w:r>
          </w:p>
          <w:p w:rsidR="00B1734C" w:rsidRPr="00A14675" w:rsidRDefault="00B1734C" w:rsidP="00EE788F">
            <w:pPr>
              <w:pStyle w:val="DQITableText"/>
              <w:rPr>
                <w:u w:val="single"/>
              </w:rPr>
            </w:pPr>
            <w:r w:rsidRPr="00A14675">
              <w:rPr>
                <w:u w:val="single"/>
              </w:rPr>
              <w:t>Denominator</w:t>
            </w:r>
          </w:p>
          <w:p w:rsidR="00B1734C" w:rsidRDefault="00B1734C" w:rsidP="00EE788F">
            <w:pPr>
              <w:pStyle w:val="DQITableBullet"/>
            </w:pPr>
            <w:r>
              <w:t>Population:</w:t>
            </w:r>
            <w:r w:rsidRPr="00A14675">
              <w:t xml:space="preserve"> </w:t>
            </w:r>
            <w:r w:rsidRPr="00A14675">
              <w:rPr>
                <w:i/>
              </w:rPr>
              <w:t>Australian Demographic Statistics</w:t>
            </w:r>
            <w:r w:rsidRPr="00A14675">
              <w:t>, Cat. no. 3101.0 (table</w:t>
            </w:r>
            <w:r w:rsidR="009D2362">
              <w:t> </w:t>
            </w:r>
            <w:proofErr w:type="spellStart"/>
            <w:r w:rsidR="009D2362">
              <w:t>2A.2</w:t>
            </w:r>
            <w:proofErr w:type="spellEnd"/>
            <w:r w:rsidRPr="00A14675">
              <w:t>)</w:t>
            </w:r>
          </w:p>
          <w:p w:rsidR="00B1734C" w:rsidRDefault="00B1734C" w:rsidP="00EE788F">
            <w:pPr>
              <w:pStyle w:val="DQITableBullet"/>
            </w:pPr>
            <w:r>
              <w:t xml:space="preserve">Registered Vehicles: </w:t>
            </w:r>
            <w:r w:rsidRPr="00A14675">
              <w:rPr>
                <w:i/>
              </w:rPr>
              <w:t>Motor Vehicle Census</w:t>
            </w:r>
            <w:r>
              <w:t>, Cat. no. 9309.0</w:t>
            </w:r>
          </w:p>
          <w:p w:rsidR="00B1734C" w:rsidRPr="00A05229" w:rsidRDefault="00B1734C" w:rsidP="00EE788F">
            <w:pPr>
              <w:pStyle w:val="DQITableBullet"/>
            </w:pPr>
            <w:r>
              <w:t xml:space="preserve">Vehicle kilometres travelled: </w:t>
            </w:r>
            <w:r w:rsidRPr="00A14675">
              <w:rPr>
                <w:i/>
              </w:rPr>
              <w:t>Survey of Motor Vehicle Use</w:t>
            </w:r>
            <w:r w:rsidRPr="00A14675">
              <w:t>, Cat. No. 9208.0</w:t>
            </w:r>
            <w:r>
              <w:t>.</w:t>
            </w:r>
          </w:p>
        </w:tc>
      </w:tr>
      <w:tr w:rsidR="00B1734C" w:rsidRPr="000D7225" w:rsidTr="00213A62">
        <w:trPr>
          <w:cantSplit/>
          <w:jc w:val="center"/>
        </w:trPr>
        <w:tc>
          <w:tcPr>
            <w:tcW w:w="8803" w:type="dxa"/>
            <w:gridSpan w:val="3"/>
          </w:tcPr>
          <w:p w:rsidR="00B1734C" w:rsidRPr="00CE3D86" w:rsidRDefault="00B1734C" w:rsidP="00EE788F">
            <w:pPr>
              <w:pStyle w:val="DQIMainRowHeadings"/>
              <w:rPr>
                <w:rFonts w:cs="Arial"/>
                <w:sz w:val="22"/>
                <w:szCs w:val="22"/>
              </w:rPr>
            </w:pPr>
            <w:r>
              <w:rPr>
                <w:rFonts w:ascii="Times New Roman" w:hAnsi="Times New Roman"/>
                <w:sz w:val="24"/>
              </w:rPr>
              <w:lastRenderedPageBreak/>
              <w:br w:type="page"/>
            </w:r>
            <w:r>
              <w:rPr>
                <w:rFonts w:ascii="Times New Roman" w:hAnsi="Times New Roman"/>
                <w:sz w:val="24"/>
              </w:rPr>
              <w:br w:type="page"/>
            </w:r>
            <w:r w:rsidRPr="003211C6">
              <w:t>Data Quality Framework dimensions</w:t>
            </w:r>
          </w:p>
        </w:tc>
      </w:tr>
      <w:tr w:rsidR="00B1734C" w:rsidRPr="00254F46" w:rsidTr="00213A62">
        <w:trPr>
          <w:jc w:val="center"/>
        </w:trPr>
        <w:tc>
          <w:tcPr>
            <w:tcW w:w="1564" w:type="dxa"/>
          </w:tcPr>
          <w:p w:rsidR="00B1734C" w:rsidRPr="00A05229" w:rsidRDefault="00B1734C" w:rsidP="00EE788F">
            <w:pPr>
              <w:pStyle w:val="DQIRowHeadings"/>
            </w:pPr>
            <w:r w:rsidRPr="00A05229">
              <w:t>Institutional environment</w:t>
            </w:r>
          </w:p>
        </w:tc>
        <w:tc>
          <w:tcPr>
            <w:tcW w:w="7239" w:type="dxa"/>
            <w:gridSpan w:val="2"/>
          </w:tcPr>
          <w:p w:rsidR="00B1734C" w:rsidRDefault="00B1734C" w:rsidP="00EE788F">
            <w:pPr>
              <w:pStyle w:val="DQITableText"/>
            </w:pPr>
            <w:r>
              <w:t>Road crash rescue data are collected by fire and emergency service organisations in each State and Territory according to the reporting requirements of their jurisdiction.</w:t>
            </w:r>
          </w:p>
          <w:p w:rsidR="00B1734C" w:rsidRPr="001847BB" w:rsidRDefault="00B1734C" w:rsidP="00EE788F">
            <w:pPr>
              <w:pStyle w:val="DQITableText"/>
            </w:pPr>
            <w:r w:rsidRPr="001847BB">
              <w:t xml:space="preserve">Not all of the contributing fire and emergency services collect all of the data because each fire </w:t>
            </w:r>
            <w:r>
              <w:t xml:space="preserve">and emergency </w:t>
            </w:r>
            <w:r w:rsidRPr="001847BB">
              <w:t xml:space="preserve">service has different legislated roles and responsibilities, environments and history of reporting and therefore have developed processes relevant to their </w:t>
            </w:r>
            <w:r>
              <w:t>business</w:t>
            </w:r>
            <w:r w:rsidRPr="001847BB">
              <w:t>.</w:t>
            </w:r>
          </w:p>
          <w:p w:rsidR="00B1734C" w:rsidRDefault="00B1734C" w:rsidP="00EE788F">
            <w:pPr>
              <w:pStyle w:val="DQITableText"/>
            </w:pPr>
            <w:r>
              <w:t>Jurisdictions that code their road crash rescue data according to the AIRS are:</w:t>
            </w:r>
          </w:p>
          <w:tbl>
            <w:tblPr>
              <w:tblStyle w:val="TableGrid"/>
              <w:tblW w:w="0" w:type="auto"/>
              <w:tblInd w:w="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More details can be found within the text surrounding this image."/>
            </w:tblPr>
            <w:tblGrid>
              <w:gridCol w:w="3712"/>
              <w:gridCol w:w="3712"/>
            </w:tblGrid>
            <w:tr w:rsidR="00B1734C" w:rsidTr="00B1734C">
              <w:tc>
                <w:tcPr>
                  <w:tcW w:w="3712" w:type="dxa"/>
                </w:tcPr>
                <w:p w:rsidR="00B1734C" w:rsidRDefault="00B1734C" w:rsidP="00EE788F">
                  <w:pPr>
                    <w:pStyle w:val="DQITableBullet"/>
                  </w:pPr>
                  <w:r>
                    <w:t>Victoria (fire agencies only)</w:t>
                  </w:r>
                </w:p>
              </w:tc>
              <w:tc>
                <w:tcPr>
                  <w:tcW w:w="3712" w:type="dxa"/>
                </w:tcPr>
                <w:p w:rsidR="00B1734C" w:rsidRDefault="00B1734C" w:rsidP="00EE788F">
                  <w:pPr>
                    <w:pStyle w:val="DQITableBullet"/>
                  </w:pPr>
                  <w:r>
                    <w:t>Tasmania</w:t>
                  </w:r>
                </w:p>
              </w:tc>
            </w:tr>
            <w:tr w:rsidR="00B1734C" w:rsidTr="00B1734C">
              <w:tc>
                <w:tcPr>
                  <w:tcW w:w="3712" w:type="dxa"/>
                </w:tcPr>
                <w:p w:rsidR="00B1734C" w:rsidRDefault="00B1734C" w:rsidP="00EE788F">
                  <w:pPr>
                    <w:pStyle w:val="DQITableBullet"/>
                  </w:pPr>
                  <w:r>
                    <w:t>Queensland</w:t>
                  </w:r>
                </w:p>
              </w:tc>
              <w:tc>
                <w:tcPr>
                  <w:tcW w:w="3712" w:type="dxa"/>
                </w:tcPr>
                <w:p w:rsidR="00B1734C" w:rsidRDefault="00B1734C" w:rsidP="00EE788F">
                  <w:pPr>
                    <w:pStyle w:val="DQITableBullet"/>
                  </w:pPr>
                  <w:r>
                    <w:t>Australian Capital Territory</w:t>
                  </w:r>
                </w:p>
              </w:tc>
            </w:tr>
            <w:tr w:rsidR="00B1734C" w:rsidTr="00B1734C">
              <w:tc>
                <w:tcPr>
                  <w:tcW w:w="3712" w:type="dxa"/>
                </w:tcPr>
                <w:p w:rsidR="00B1734C" w:rsidRDefault="00B1734C" w:rsidP="00EE788F">
                  <w:pPr>
                    <w:pStyle w:val="DQITableBullet"/>
                  </w:pPr>
                  <w:r>
                    <w:t>Western Australia</w:t>
                  </w:r>
                </w:p>
              </w:tc>
              <w:tc>
                <w:tcPr>
                  <w:tcW w:w="3712" w:type="dxa"/>
                </w:tcPr>
                <w:p w:rsidR="00B1734C" w:rsidRDefault="00B1734C" w:rsidP="00EE788F">
                  <w:pPr>
                    <w:pStyle w:val="DQITableBullet"/>
                  </w:pPr>
                  <w:r>
                    <w:t xml:space="preserve">Northern Territory </w:t>
                  </w:r>
                </w:p>
              </w:tc>
            </w:tr>
            <w:tr w:rsidR="00B1734C" w:rsidTr="00B1734C">
              <w:tc>
                <w:tcPr>
                  <w:tcW w:w="3712" w:type="dxa"/>
                </w:tcPr>
                <w:p w:rsidR="00B1734C" w:rsidRDefault="00B1734C" w:rsidP="00EE788F">
                  <w:pPr>
                    <w:pStyle w:val="DQITableBullet"/>
                  </w:pPr>
                  <w:r>
                    <w:t>South Australia</w:t>
                  </w:r>
                </w:p>
              </w:tc>
              <w:tc>
                <w:tcPr>
                  <w:tcW w:w="3712" w:type="dxa"/>
                </w:tcPr>
                <w:p w:rsidR="00B1734C" w:rsidRDefault="00B1734C" w:rsidP="001263E0">
                  <w:pPr>
                    <w:pStyle w:val="DQITableBullet"/>
                    <w:numPr>
                      <w:ilvl w:val="0"/>
                      <w:numId w:val="0"/>
                    </w:numPr>
                    <w:ind w:left="340"/>
                  </w:pPr>
                </w:p>
              </w:tc>
            </w:tr>
          </w:tbl>
          <w:p w:rsidR="00B1734C" w:rsidRDefault="00B1734C" w:rsidP="00EE788F">
            <w:pPr>
              <w:pStyle w:val="DQITableText"/>
            </w:pPr>
            <w:r>
              <w:t>The AIRS</w:t>
            </w:r>
            <w:r w:rsidRPr="00A06320">
              <w:t xml:space="preserve"> is a nationally agreed data standard</w:t>
            </w:r>
            <w:r>
              <w:t>.</w:t>
            </w:r>
            <w:r w:rsidRPr="00A06320">
              <w:t xml:space="preserve"> </w:t>
            </w:r>
            <w:r>
              <w:t xml:space="preserve">It </w:t>
            </w:r>
            <w:r w:rsidRPr="00A06320">
              <w:t>takes a systematic approach to collecting, recording and reporting information about responses to incidents and emergencies attended primarily by fire services. It provides a standard for the structure, definitions and integrity of the data collected.</w:t>
            </w:r>
          </w:p>
          <w:p w:rsidR="00B1734C" w:rsidRDefault="00B1734C" w:rsidP="00EE788F">
            <w:pPr>
              <w:pStyle w:val="DQITableText"/>
            </w:pPr>
            <w:r w:rsidRPr="008760DC">
              <w:t xml:space="preserve">The </w:t>
            </w:r>
            <w:proofErr w:type="spellStart"/>
            <w:r w:rsidR="00123F82">
              <w:t>AFAC</w:t>
            </w:r>
            <w:proofErr w:type="spellEnd"/>
            <w:r w:rsidR="00123F82">
              <w:t xml:space="preserve"> </w:t>
            </w:r>
            <w:r w:rsidR="007A6173" w:rsidRPr="007A6173">
              <w:t xml:space="preserve">Australian Incident Reporting System </w:t>
            </w:r>
            <w:r w:rsidR="007A6173">
              <w:t>(</w:t>
            </w:r>
            <w:r w:rsidR="00123F82">
              <w:t>AIRS</w:t>
            </w:r>
            <w:r w:rsidR="007A6173">
              <w:t xml:space="preserve">) </w:t>
            </w:r>
            <w:r w:rsidR="00123F82">
              <w:t>User Network</w:t>
            </w:r>
            <w:r w:rsidRPr="008760DC">
              <w:t xml:space="preserve"> is responsible for </w:t>
            </w:r>
            <w:r>
              <w:t xml:space="preserve">managing and reviewing the AIRS data standard. </w:t>
            </w:r>
            <w:r w:rsidRPr="008760DC">
              <w:t xml:space="preserve">For further information about the </w:t>
            </w:r>
            <w:proofErr w:type="spellStart"/>
            <w:r w:rsidRPr="008760DC">
              <w:t>AFAC</w:t>
            </w:r>
            <w:proofErr w:type="spellEnd"/>
            <w:r w:rsidRPr="008760DC">
              <w:t xml:space="preserve"> knowledge data base see the </w:t>
            </w:r>
            <w:proofErr w:type="spellStart"/>
            <w:r w:rsidRPr="008760DC">
              <w:t>AFAC</w:t>
            </w:r>
            <w:proofErr w:type="spellEnd"/>
            <w:r w:rsidRPr="008760DC">
              <w:t xml:space="preserve"> </w:t>
            </w:r>
            <w:r w:rsidRPr="004A1422">
              <w:t>National Data and Glossary</w:t>
            </w:r>
            <w:r w:rsidRPr="008760DC">
              <w:t>.</w:t>
            </w:r>
          </w:p>
          <w:p w:rsidR="00B1734C" w:rsidRPr="00A05229" w:rsidRDefault="00B1734C" w:rsidP="00EE788F">
            <w:pPr>
              <w:pStyle w:val="DQITableText"/>
            </w:pPr>
            <w:r>
              <w:t>The data are requested and submitted to the Secretariat in accordance with the authority of the terms of reference of the Review of Government Service Provision.</w:t>
            </w:r>
          </w:p>
        </w:tc>
      </w:tr>
      <w:tr w:rsidR="00B1734C" w:rsidRPr="00254F46" w:rsidTr="00213A62">
        <w:trPr>
          <w:cantSplit/>
          <w:jc w:val="center"/>
        </w:trPr>
        <w:tc>
          <w:tcPr>
            <w:tcW w:w="1564" w:type="dxa"/>
          </w:tcPr>
          <w:p w:rsidR="00B1734C" w:rsidRPr="00A05229" w:rsidRDefault="00B1734C" w:rsidP="00EE788F">
            <w:pPr>
              <w:pStyle w:val="DQIRowHeadings"/>
            </w:pPr>
            <w:r w:rsidRPr="00A05229">
              <w:t>Relevance</w:t>
            </w:r>
          </w:p>
        </w:tc>
        <w:tc>
          <w:tcPr>
            <w:tcW w:w="7239" w:type="dxa"/>
            <w:gridSpan w:val="2"/>
          </w:tcPr>
          <w:p w:rsidR="00B1734C" w:rsidRDefault="00B1734C" w:rsidP="00EE788F">
            <w:pPr>
              <w:pStyle w:val="DQITableText"/>
            </w:pPr>
            <w:r w:rsidRPr="00A05A09">
              <w:t xml:space="preserve">‘Reported </w:t>
            </w:r>
            <w:r>
              <w:t>road crash rescue</w:t>
            </w:r>
            <w:r w:rsidRPr="00A05A09">
              <w:t xml:space="preserve"> incidents’</w:t>
            </w:r>
            <w:r>
              <w:t xml:space="preserve"> and ‘Reported road crash rescue extractions’ are</w:t>
            </w:r>
            <w:r w:rsidRPr="00A05A09">
              <w:t xml:space="preserve"> an indicator of governments’ objective to reduce the adverse effects of road incidents on the community through appropriate response activities</w:t>
            </w:r>
            <w:r>
              <w:t xml:space="preserve">. </w:t>
            </w:r>
            <w:r w:rsidRPr="00D5004A">
              <w:t>A lower or decreasing number of reported road crash rescue incidents and extrications, adjusted for population, indicates a better community outcome. Higher or increasing proportions of reported road crash rescue incidents and extrications indicate higher emergency response workloads.</w:t>
            </w:r>
          </w:p>
          <w:p w:rsidR="00B1734C" w:rsidRPr="00A05229" w:rsidRDefault="00B1734C" w:rsidP="00887AA8">
            <w:pPr>
              <w:pStyle w:val="DQITableText"/>
            </w:pPr>
            <w:r>
              <w:t>Each State and Territory ha</w:t>
            </w:r>
            <w:r w:rsidR="001263E0">
              <w:t>s</w:t>
            </w:r>
            <w:r>
              <w:t xml:space="preserve"> different road crash rescue attendance policies (table </w:t>
            </w:r>
            <w:r w:rsidR="00887AA8">
              <w:t>2</w:t>
            </w:r>
            <w:r>
              <w:t>). As a result, road crash rescue incident data may vary according to the jurisdiction’s attendance policy, rather than the underlying number of road crash rescue incidents.</w:t>
            </w:r>
          </w:p>
        </w:tc>
      </w:tr>
      <w:tr w:rsidR="00B1734C" w:rsidRPr="00254F46" w:rsidTr="00213A62">
        <w:trPr>
          <w:cantSplit/>
          <w:jc w:val="center"/>
        </w:trPr>
        <w:tc>
          <w:tcPr>
            <w:tcW w:w="1564" w:type="dxa"/>
          </w:tcPr>
          <w:p w:rsidR="00B1734C" w:rsidRPr="00A05229" w:rsidRDefault="00B1734C" w:rsidP="00EE788F">
            <w:pPr>
              <w:pStyle w:val="DQIRowHeadings"/>
            </w:pPr>
            <w:r w:rsidRPr="00A05229">
              <w:t>Timeliness</w:t>
            </w:r>
          </w:p>
        </w:tc>
        <w:tc>
          <w:tcPr>
            <w:tcW w:w="7239" w:type="dxa"/>
            <w:gridSpan w:val="2"/>
          </w:tcPr>
          <w:p w:rsidR="00B1734C" w:rsidRPr="00A05229" w:rsidRDefault="00B1734C" w:rsidP="007F6100">
            <w:pPr>
              <w:pStyle w:val="DQITableText"/>
            </w:pPr>
            <w:r w:rsidRPr="00A05A09">
              <w:t xml:space="preserve">Reported </w:t>
            </w:r>
            <w:r>
              <w:t>road crash rescues</w:t>
            </w:r>
            <w:r w:rsidRPr="00270F18">
              <w:t xml:space="preserve"> are published annually for the latest financial year preceding the January release of each </w:t>
            </w:r>
            <w:proofErr w:type="spellStart"/>
            <w:r w:rsidRPr="00270F18">
              <w:t>R</w:t>
            </w:r>
            <w:r w:rsidR="007F6100">
              <w:t>o</w:t>
            </w:r>
            <w:r w:rsidRPr="00270F18">
              <w:t>GS</w:t>
            </w:r>
            <w:proofErr w:type="spellEnd"/>
            <w:r w:rsidRPr="00270F18">
              <w:t>.</w:t>
            </w:r>
          </w:p>
        </w:tc>
      </w:tr>
      <w:tr w:rsidR="00B1734C" w:rsidRPr="00254F46" w:rsidTr="00213A62">
        <w:trPr>
          <w:jc w:val="center"/>
        </w:trPr>
        <w:tc>
          <w:tcPr>
            <w:tcW w:w="1564" w:type="dxa"/>
          </w:tcPr>
          <w:p w:rsidR="00B1734C" w:rsidRPr="00A05229" w:rsidRDefault="00B1734C" w:rsidP="00EE788F">
            <w:pPr>
              <w:pStyle w:val="DQIRowHeadings"/>
            </w:pPr>
            <w:r w:rsidRPr="00A05229">
              <w:t>Accuracy</w:t>
            </w:r>
          </w:p>
        </w:tc>
        <w:tc>
          <w:tcPr>
            <w:tcW w:w="7239" w:type="dxa"/>
            <w:gridSpan w:val="2"/>
          </w:tcPr>
          <w:p w:rsidR="00B1734C" w:rsidRDefault="00B1734C" w:rsidP="00EE788F">
            <w:pPr>
              <w:pStyle w:val="DQITableText"/>
            </w:pPr>
            <w:r w:rsidRPr="00270F18">
              <w:t xml:space="preserve">Text caveats in the </w:t>
            </w:r>
            <w:proofErr w:type="spellStart"/>
            <w:r w:rsidRPr="00270F18">
              <w:t>R</w:t>
            </w:r>
            <w:r>
              <w:t>o</w:t>
            </w:r>
            <w:r w:rsidRPr="00270F18">
              <w:t>GS</w:t>
            </w:r>
            <w:proofErr w:type="spellEnd"/>
            <w:r w:rsidRPr="00270F18">
              <w:t xml:space="preserve"> provide generalised </w:t>
            </w:r>
            <w:r w:rsidR="001263E0">
              <w:t xml:space="preserve">advice </w:t>
            </w:r>
            <w:r w:rsidRPr="00270F18">
              <w:t xml:space="preserve">that data are not strictly comparable and cite a number of physical, operational and data collection system factors that influence </w:t>
            </w:r>
            <w:r>
              <w:t>road rescue data.</w:t>
            </w:r>
          </w:p>
          <w:p w:rsidR="00B1734C" w:rsidRPr="002A1A97" w:rsidRDefault="00B1734C" w:rsidP="00EE788F">
            <w:pPr>
              <w:pStyle w:val="DQITableText"/>
            </w:pPr>
            <w:r>
              <w:t>J</w:t>
            </w:r>
            <w:r w:rsidRPr="002A1A97">
              <w:t>urisdictions predominately follow the data definitions, although jurisdictions have indicated probable over</w:t>
            </w:r>
            <w:r w:rsidRPr="002A1A97">
              <w:noBreakHyphen/>
              <w:t>counting in the data collection due to:</w:t>
            </w:r>
          </w:p>
          <w:p w:rsidR="00B1734C" w:rsidRPr="002A1A97" w:rsidRDefault="00B1734C" w:rsidP="00EE788F">
            <w:pPr>
              <w:pStyle w:val="DQITableBullet"/>
            </w:pPr>
            <w:r w:rsidRPr="002A1A97">
              <w:rPr>
                <w:i/>
              </w:rPr>
              <w:t xml:space="preserve">multiple agency response — </w:t>
            </w:r>
            <w:r w:rsidRPr="002A1A97">
              <w:t>where both fire and SES services attend the same road crash event, due to data collection deficiencies several jurisdiction count this as multiple incidents</w:t>
            </w:r>
          </w:p>
          <w:p w:rsidR="00B1734C" w:rsidRPr="002A1A97" w:rsidRDefault="00B1734C" w:rsidP="00EE788F">
            <w:pPr>
              <w:pStyle w:val="DQITableBullet"/>
            </w:pPr>
            <w:r w:rsidRPr="002A1A97">
              <w:rPr>
                <w:i/>
              </w:rPr>
              <w:t>multiple SES response —</w:t>
            </w:r>
            <w:r w:rsidRPr="002A1A97">
              <w:t xml:space="preserve"> where multiple SES services attend the same incident</w:t>
            </w:r>
          </w:p>
          <w:p w:rsidR="00B1734C" w:rsidRDefault="00B1734C" w:rsidP="00EE788F">
            <w:pPr>
              <w:pStyle w:val="DQITableBullet"/>
            </w:pPr>
            <w:r w:rsidRPr="002A1A97">
              <w:rPr>
                <w:i/>
              </w:rPr>
              <w:t>counting of ‘call</w:t>
            </w:r>
            <w:r w:rsidR="009D2362">
              <w:rPr>
                <w:i/>
              </w:rPr>
              <w:noBreakHyphen/>
            </w:r>
            <w:r w:rsidRPr="002A1A97">
              <w:rPr>
                <w:i/>
              </w:rPr>
              <w:t xml:space="preserve">backs’ as incidents — </w:t>
            </w:r>
            <w:r w:rsidRPr="002A1A97">
              <w:t xml:space="preserve">in some </w:t>
            </w:r>
            <w:r>
              <w:t>cases</w:t>
            </w:r>
            <w:r w:rsidRPr="002A1A97">
              <w:t xml:space="preserve"> SES </w:t>
            </w:r>
            <w:r>
              <w:t xml:space="preserve">may </w:t>
            </w:r>
            <w:r w:rsidRPr="002A1A97">
              <w:t>count events as road crash rescue ‘incidents’, which are outside the scope provided in the data definition (such as counting ‘call</w:t>
            </w:r>
            <w:r w:rsidRPr="002A1A97">
              <w:noBreakHyphen/>
              <w:t>back’ incidents or traffic management incidents).</w:t>
            </w:r>
          </w:p>
          <w:p w:rsidR="00B1734C" w:rsidRPr="00F5464E" w:rsidRDefault="00B1734C" w:rsidP="00887AA8">
            <w:pPr>
              <w:pStyle w:val="DQITableText"/>
            </w:pPr>
            <w:r>
              <w:t>In practice there are d</w:t>
            </w:r>
            <w:r w:rsidRPr="009A5121">
              <w:t xml:space="preserve">ifferences in the </w:t>
            </w:r>
            <w:r>
              <w:t xml:space="preserve">method between (and within) jurisdictions to estimate road rescue data. Each jurisdiction’s approach is </w:t>
            </w:r>
            <w:r w:rsidRPr="009A5121">
              <w:t xml:space="preserve">summarised </w:t>
            </w:r>
            <w:r>
              <w:t>in the Road crash rescue data quality appendix (</w:t>
            </w:r>
            <w:r w:rsidRPr="00F648B6">
              <w:t>table</w:t>
            </w:r>
            <w:r w:rsidR="009D2362">
              <w:t> </w:t>
            </w:r>
            <w:r w:rsidR="00887AA8">
              <w:t>3-4</w:t>
            </w:r>
            <w:r>
              <w:t>).</w:t>
            </w:r>
          </w:p>
        </w:tc>
      </w:tr>
      <w:tr w:rsidR="00B1734C" w:rsidRPr="00E57110" w:rsidTr="00213A62">
        <w:trPr>
          <w:cantSplit/>
          <w:jc w:val="center"/>
        </w:trPr>
        <w:tc>
          <w:tcPr>
            <w:tcW w:w="1564" w:type="dxa"/>
          </w:tcPr>
          <w:p w:rsidR="00B1734C" w:rsidRPr="00A05229" w:rsidRDefault="00B1734C" w:rsidP="00EE788F">
            <w:pPr>
              <w:pStyle w:val="DQIRowHeadings"/>
              <w:keepNext w:val="0"/>
            </w:pPr>
            <w:r w:rsidRPr="00A05229">
              <w:t>Coherence</w:t>
            </w:r>
          </w:p>
        </w:tc>
        <w:tc>
          <w:tcPr>
            <w:tcW w:w="7239" w:type="dxa"/>
            <w:gridSpan w:val="2"/>
          </w:tcPr>
          <w:p w:rsidR="00B1734C" w:rsidRDefault="00B1734C" w:rsidP="00EE788F">
            <w:pPr>
              <w:pStyle w:val="DQITableText"/>
              <w:keepNext w:val="0"/>
            </w:pPr>
            <w:r>
              <w:t>Each State and Territory government maintain</w:t>
            </w:r>
            <w:r w:rsidR="001263E0">
              <w:t>s</w:t>
            </w:r>
            <w:r>
              <w:t xml:space="preserve"> their own systems, processes, and training for estimation. </w:t>
            </w:r>
          </w:p>
          <w:p w:rsidR="00B1734C" w:rsidRPr="00A05229" w:rsidRDefault="00B1734C" w:rsidP="00EE788F">
            <w:pPr>
              <w:pStyle w:val="DQITableText"/>
              <w:keepNext w:val="0"/>
            </w:pPr>
            <w:r w:rsidRPr="0077499F">
              <w:t>Any time series changes are identified with relevant footnotes.</w:t>
            </w:r>
          </w:p>
        </w:tc>
      </w:tr>
      <w:tr w:rsidR="00B1734C" w:rsidRPr="00E57110" w:rsidTr="00213A62">
        <w:trPr>
          <w:cantSplit/>
          <w:jc w:val="center"/>
        </w:trPr>
        <w:tc>
          <w:tcPr>
            <w:tcW w:w="1564" w:type="dxa"/>
          </w:tcPr>
          <w:p w:rsidR="00B1734C" w:rsidRPr="00A05229" w:rsidRDefault="00B1734C" w:rsidP="00EE788F">
            <w:pPr>
              <w:pStyle w:val="DQIRowHeadings"/>
            </w:pPr>
            <w:r w:rsidRPr="00A05229">
              <w:lastRenderedPageBreak/>
              <w:t>Accessibility</w:t>
            </w:r>
          </w:p>
        </w:tc>
        <w:tc>
          <w:tcPr>
            <w:tcW w:w="7239" w:type="dxa"/>
            <w:gridSpan w:val="2"/>
          </w:tcPr>
          <w:p w:rsidR="00B1734C" w:rsidRPr="00A05229" w:rsidRDefault="00B1734C" w:rsidP="00EE788F">
            <w:pPr>
              <w:pStyle w:val="DQITableText"/>
            </w:pPr>
            <w:r>
              <w:t xml:space="preserve">Road crash rescue </w:t>
            </w:r>
            <w:r w:rsidRPr="0077499F">
              <w:t xml:space="preserve">data are publicly available on the Productivity Commission’s website from the time of </w:t>
            </w:r>
            <w:proofErr w:type="spellStart"/>
            <w:r>
              <w:t>RoGS</w:t>
            </w:r>
            <w:proofErr w:type="spellEnd"/>
            <w:r>
              <w:t xml:space="preserve"> </w:t>
            </w:r>
            <w:r w:rsidRPr="0077499F">
              <w:t>publication.</w:t>
            </w:r>
            <w:r w:rsidR="009D2362">
              <w:t xml:space="preserve"> </w:t>
            </w:r>
          </w:p>
        </w:tc>
      </w:tr>
      <w:tr w:rsidR="00B1734C" w:rsidRPr="00254F46" w:rsidTr="00213A62">
        <w:trPr>
          <w:cantSplit/>
          <w:jc w:val="center"/>
        </w:trPr>
        <w:tc>
          <w:tcPr>
            <w:tcW w:w="1564" w:type="dxa"/>
          </w:tcPr>
          <w:p w:rsidR="00B1734C" w:rsidRPr="00A05229" w:rsidRDefault="00B1734C" w:rsidP="00EE788F">
            <w:pPr>
              <w:pStyle w:val="DQIRowHeadings"/>
            </w:pPr>
            <w:r w:rsidRPr="00A05229">
              <w:t>Interpret</w:t>
            </w:r>
            <w:r w:rsidR="000C06D3">
              <w:softHyphen/>
            </w:r>
            <w:r w:rsidRPr="00A05229">
              <w:t>ability</w:t>
            </w:r>
          </w:p>
        </w:tc>
        <w:tc>
          <w:tcPr>
            <w:tcW w:w="7239" w:type="dxa"/>
            <w:gridSpan w:val="2"/>
          </w:tcPr>
          <w:p w:rsidR="00B1734C" w:rsidRDefault="00B1734C" w:rsidP="00EE788F">
            <w:pPr>
              <w:pStyle w:val="DQITableText"/>
            </w:pPr>
            <w:r>
              <w:t xml:space="preserve">Copies of the complete </w:t>
            </w:r>
            <w:proofErr w:type="spellStart"/>
            <w:r>
              <w:t>AFAC</w:t>
            </w:r>
            <w:proofErr w:type="spellEnd"/>
            <w:r>
              <w:t xml:space="preserve"> AIRS data standard are available upon request through </w:t>
            </w:r>
            <w:proofErr w:type="spellStart"/>
            <w:r>
              <w:t>AFAC</w:t>
            </w:r>
            <w:proofErr w:type="spellEnd"/>
            <w:r>
              <w:t xml:space="preserve">. </w:t>
            </w:r>
          </w:p>
          <w:p w:rsidR="00B1734C" w:rsidRPr="006C2C6E" w:rsidRDefault="00B1734C" w:rsidP="00EE788F">
            <w:pPr>
              <w:pStyle w:val="DQITableText"/>
            </w:pPr>
            <w:r w:rsidRPr="0077499F">
              <w:t>Text caveats and chapter footnotes provide additional commentary on data quality, as do the footnotes in the relevant attachment tables.</w:t>
            </w:r>
          </w:p>
        </w:tc>
      </w:tr>
      <w:tr w:rsidR="00B1734C" w:rsidRPr="00254F46" w:rsidTr="00213A62">
        <w:trPr>
          <w:cantSplit/>
          <w:jc w:val="center"/>
        </w:trPr>
        <w:tc>
          <w:tcPr>
            <w:tcW w:w="8803" w:type="dxa"/>
            <w:gridSpan w:val="3"/>
          </w:tcPr>
          <w:p w:rsidR="00B1734C" w:rsidRPr="00CE3D86" w:rsidRDefault="00B1734C" w:rsidP="00EE788F">
            <w:pPr>
              <w:pStyle w:val="DQIMainRowHeadings"/>
            </w:pPr>
            <w:r w:rsidRPr="00C744E0">
              <w:t>Data Gaps/Issues Analysis</w:t>
            </w:r>
          </w:p>
        </w:tc>
      </w:tr>
      <w:tr w:rsidR="00B1734C" w:rsidRPr="004F3342" w:rsidTr="00213A62">
        <w:trPr>
          <w:cantSplit/>
          <w:jc w:val="center"/>
        </w:trPr>
        <w:tc>
          <w:tcPr>
            <w:tcW w:w="1564" w:type="dxa"/>
          </w:tcPr>
          <w:p w:rsidR="00B1734C" w:rsidRPr="00A05229" w:rsidRDefault="00B1734C" w:rsidP="00EE788F">
            <w:pPr>
              <w:pStyle w:val="DQIRowHeadings"/>
            </w:pPr>
            <w:r w:rsidRPr="00A05229">
              <w:t>Key data gaps/issues</w:t>
            </w:r>
          </w:p>
        </w:tc>
        <w:tc>
          <w:tcPr>
            <w:tcW w:w="7239" w:type="dxa"/>
            <w:gridSpan w:val="2"/>
          </w:tcPr>
          <w:p w:rsidR="00B1734C" w:rsidRPr="0077499F" w:rsidRDefault="00B1734C" w:rsidP="00EE788F">
            <w:pPr>
              <w:pStyle w:val="DQITableText"/>
            </w:pPr>
            <w:r w:rsidRPr="0077499F">
              <w:t xml:space="preserve">The Steering Committee notes the following key data gaps/issues: </w:t>
            </w:r>
          </w:p>
          <w:p w:rsidR="00B1734C" w:rsidRDefault="00B1734C" w:rsidP="00EE788F">
            <w:pPr>
              <w:pStyle w:val="DQITableBullet"/>
            </w:pPr>
            <w:r w:rsidRPr="0077499F">
              <w:t>Text caveats note the need for r</w:t>
            </w:r>
            <w:r>
              <w:t xml:space="preserve">oad crash rescue data </w:t>
            </w:r>
            <w:r w:rsidRPr="0077499F">
              <w:t>to be ‘interpreted with caution because the data are not strictly co</w:t>
            </w:r>
            <w:r>
              <w:t>mparable across jurisdictions.’</w:t>
            </w:r>
          </w:p>
          <w:p w:rsidR="00B1734C" w:rsidRPr="004F3342" w:rsidRDefault="00B1734C" w:rsidP="00EE788F">
            <w:pPr>
              <w:pStyle w:val="DQITableText"/>
            </w:pPr>
            <w:r w:rsidRPr="0077499F">
              <w:t>A number of factors are identified as contributing to this lack of comparability, but without detailed analysis of such factors.</w:t>
            </w:r>
          </w:p>
        </w:tc>
      </w:tr>
    </w:tbl>
    <w:p w:rsidR="00B1734C" w:rsidRDefault="00B1734C" w:rsidP="00B1734C">
      <w:pPr>
        <w:rPr>
          <w:rFonts w:ascii="Arial" w:hAnsi="Arial"/>
          <w:i/>
        </w:rPr>
      </w:pPr>
      <w:r>
        <w:br w:type="page"/>
      </w:r>
    </w:p>
    <w:p w:rsidR="00AB6309" w:rsidRDefault="00AB6309" w:rsidP="00AB630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654"/>
      </w:tblGrid>
      <w:tr w:rsidR="00AB6309" w:rsidTr="00AB6309">
        <w:tc>
          <w:tcPr>
            <w:tcW w:w="8771" w:type="dxa"/>
            <w:tcBorders>
              <w:top w:val="single" w:sz="6" w:space="0" w:color="78A22F"/>
              <w:left w:val="nil"/>
              <w:bottom w:val="nil"/>
              <w:right w:val="nil"/>
            </w:tcBorders>
            <w:shd w:val="clear" w:color="auto" w:fill="auto"/>
          </w:tcPr>
          <w:p w:rsidR="00AB6309" w:rsidRDefault="00AB6309" w:rsidP="00EF3552">
            <w:pPr>
              <w:pStyle w:val="TableTitle"/>
              <w:spacing w:after="40"/>
            </w:pPr>
            <w:r w:rsidRPr="003424A1">
              <w:rPr>
                <w:b w:val="0"/>
              </w:rPr>
              <w:t xml:space="preserve">Table </w:t>
            </w:r>
            <w:bookmarkStart w:id="37" w:name="OLE_LINK3"/>
            <w:r w:rsidR="00B560A0">
              <w:rPr>
                <w:b w:val="0"/>
                <w:noProof/>
              </w:rPr>
              <w:t>2</w:t>
            </w:r>
            <w:bookmarkEnd w:id="37"/>
            <w:r>
              <w:tab/>
            </w:r>
            <w:r w:rsidRPr="00397F7C">
              <w:t>Road crash resc</w:t>
            </w:r>
            <w:r>
              <w:t>ue policies</w:t>
            </w:r>
          </w:p>
          <w:p w:rsidR="00AB6309" w:rsidRPr="00784A05" w:rsidRDefault="00AB6309" w:rsidP="00EF3552">
            <w:pPr>
              <w:pStyle w:val="Subtitle"/>
              <w:spacing w:after="40"/>
            </w:pPr>
            <w:r>
              <w:t>Attendance policies that influence the number of road crash rescue incidents attended to and recorded by emergency service organisations.</w:t>
            </w:r>
          </w:p>
        </w:tc>
      </w:tr>
      <w:tr w:rsidR="00AB6309" w:rsidTr="00AB6309">
        <w:trPr>
          <w:cantSplit/>
        </w:trPr>
        <w:tc>
          <w:tcPr>
            <w:tcW w:w="8771" w:type="dxa"/>
            <w:tcBorders>
              <w:top w:val="nil"/>
              <w:left w:val="nil"/>
              <w:bottom w:val="nil"/>
              <w:right w:val="nil"/>
            </w:tcBorders>
            <w:shd w:val="clear" w:color="auto" w:fill="auto"/>
          </w:tcPr>
          <w:tbl>
            <w:tblPr>
              <w:tblW w:w="5000" w:type="pct"/>
              <w:tblCellMar>
                <w:top w:w="28" w:type="dxa"/>
                <w:left w:w="28" w:type="dxa"/>
                <w:bottom w:w="28" w:type="dxa"/>
                <w:right w:w="28" w:type="dxa"/>
              </w:tblCellMar>
              <w:tblLook w:val="0000" w:firstRow="0" w:lastRow="0" w:firstColumn="0" w:lastColumn="0" w:noHBand="0" w:noVBand="0"/>
            </w:tblPr>
            <w:tblGrid>
              <w:gridCol w:w="680"/>
              <w:gridCol w:w="7690"/>
            </w:tblGrid>
            <w:tr w:rsidR="005474A6" w:rsidTr="005474A6">
              <w:tc>
                <w:tcPr>
                  <w:tcW w:w="5000" w:type="pct"/>
                  <w:gridSpan w:val="2"/>
                  <w:tcBorders>
                    <w:top w:val="single" w:sz="6" w:space="0" w:color="BFBFBF" w:themeColor="background2"/>
                    <w:bottom w:val="single" w:sz="6" w:space="0" w:color="BFBFBF" w:themeColor="background2"/>
                  </w:tcBorders>
                  <w:shd w:val="clear" w:color="auto" w:fill="auto"/>
                </w:tcPr>
                <w:p w:rsidR="005474A6" w:rsidRPr="004A0494" w:rsidRDefault="005474A6" w:rsidP="005474A6">
                  <w:pPr>
                    <w:pStyle w:val="DQIMainRowHeadings"/>
                    <w:spacing w:before="80" w:after="80"/>
                    <w:rPr>
                      <w:rStyle w:val="DraftingNote"/>
                      <w:b/>
                      <w:i/>
                      <w:color w:val="auto"/>
                      <w:u w:val="none"/>
                    </w:rPr>
                  </w:pPr>
                  <w:r w:rsidRPr="004A0494">
                    <w:rPr>
                      <w:b w:val="0"/>
                      <w:i/>
                      <w:u w:val="none"/>
                    </w:rPr>
                    <w:t>Jurisdiction’s emergency service road crash rescue attendance policies</w:t>
                  </w:r>
                </w:p>
              </w:tc>
            </w:tr>
            <w:tr w:rsidR="00AB6309" w:rsidTr="00AB6309">
              <w:tc>
                <w:tcPr>
                  <w:tcW w:w="406" w:type="pct"/>
                  <w:tcBorders>
                    <w:top w:val="single" w:sz="6" w:space="0" w:color="BFBFBF" w:themeColor="background2"/>
                  </w:tcBorders>
                </w:tcPr>
                <w:p w:rsidR="00AB6309" w:rsidRDefault="00AB6309" w:rsidP="00EF3552">
                  <w:pPr>
                    <w:pStyle w:val="DQIRowHeadings"/>
                  </w:pPr>
                  <w:r>
                    <w:t>NSW</w:t>
                  </w:r>
                </w:p>
              </w:tc>
              <w:tc>
                <w:tcPr>
                  <w:tcW w:w="4594" w:type="pct"/>
                  <w:tcBorders>
                    <w:top w:val="single" w:sz="6" w:space="0" w:color="BFBFBF" w:themeColor="background2"/>
                  </w:tcBorders>
                </w:tcPr>
                <w:p w:rsidR="00AB6309" w:rsidRDefault="00AB6309" w:rsidP="00EF3552">
                  <w:pPr>
                    <w:pStyle w:val="DQITableText"/>
                  </w:pPr>
                  <w:r>
                    <w:t>Rescue units in NSW are predominantly provided by the NSW Police, Ambulance Service of NSW, Fire and Rescue NSW, State Emergency Service, NSW Volunteer Rescue Association Incorporated,</w:t>
                  </w:r>
                  <w:r w:rsidRPr="00C227A5">
                    <w:t xml:space="preserve"> Marine Rescue NSW</w:t>
                  </w:r>
                  <w:r>
                    <w:t xml:space="preserve">, and Australian Volunteer Coast Guard Association Incorporated. </w:t>
                  </w:r>
                </w:p>
                <w:p w:rsidR="00AB6309" w:rsidRDefault="00AB6309" w:rsidP="00EF3552">
                  <w:pPr>
                    <w:pStyle w:val="DQITableText"/>
                  </w:pPr>
                  <w:r>
                    <w:t>Under the State Emergency and Rescue Management Act 1989 and the State Rescue Policy, the NSW Police Force has a central role in coordinating rescue. Rescue services in NSW are based on a network of ‘accredited' rescue units located throughout the State, managed by the Board through an accreditation process. A Primary Rescue Unit is a unit with trained crew, rescue vehicle and rescue equipment which has been accredited to respond first to rescue situations, on a 24 hour, seven day a week basis.</w:t>
                  </w:r>
                </w:p>
              </w:tc>
            </w:tr>
            <w:tr w:rsidR="00AB6309" w:rsidTr="00AB6309">
              <w:tc>
                <w:tcPr>
                  <w:tcW w:w="406" w:type="pct"/>
                </w:tcPr>
                <w:p w:rsidR="00AB6309" w:rsidRDefault="00AB6309" w:rsidP="00EF3552">
                  <w:pPr>
                    <w:pStyle w:val="DQIRowHeadings"/>
                  </w:pPr>
                  <w:r>
                    <w:t>Vic</w:t>
                  </w:r>
                </w:p>
              </w:tc>
              <w:tc>
                <w:tcPr>
                  <w:tcW w:w="4594" w:type="pct"/>
                </w:tcPr>
                <w:p w:rsidR="00AB6309" w:rsidRDefault="00AB6309" w:rsidP="00EF3552">
                  <w:pPr>
                    <w:pStyle w:val="DQITableText"/>
                  </w:pPr>
                  <w:r>
                    <w:t>Road rescue services are provided by 145 Road Rescue approved crews in Victoria. These crews are derived from the Country Fire Authority (</w:t>
                  </w:r>
                  <w:proofErr w:type="spellStart"/>
                  <w:r>
                    <w:t>CFA</w:t>
                  </w:r>
                  <w:proofErr w:type="spellEnd"/>
                  <w:r>
                    <w:t>), Metropolitan Fire and Emergency Services Board (</w:t>
                  </w:r>
                  <w:proofErr w:type="spellStart"/>
                  <w:r>
                    <w:t>MFESB</w:t>
                  </w:r>
                  <w:proofErr w:type="spellEnd"/>
                  <w:r>
                    <w:t>), Victoria State Emergency Service (</w:t>
                  </w:r>
                  <w:proofErr w:type="spellStart"/>
                  <w:r>
                    <w:t>VICSES</w:t>
                  </w:r>
                  <w:proofErr w:type="spellEnd"/>
                  <w:r>
                    <w:t>), and two independent units (the Echuca</w:t>
                  </w:r>
                  <w:r>
                    <w:noBreakHyphen/>
                    <w:t>Moama and Shepparton Search and Rescue Squads.</w:t>
                  </w:r>
                </w:p>
                <w:p w:rsidR="00AB6309" w:rsidRDefault="00AB6309" w:rsidP="00EF3552">
                  <w:pPr>
                    <w:pStyle w:val="DQITableText"/>
                  </w:pPr>
                  <w:r>
                    <w:t>Road Rescue crews must be called out concurrently with ambulance to all road rescue events by communications centres unless it is known that no persons are trapped.</w:t>
                  </w:r>
                </w:p>
                <w:p w:rsidR="00AB6309" w:rsidRDefault="00AB6309" w:rsidP="00EF3552">
                  <w:pPr>
                    <w:pStyle w:val="DQITableText"/>
                  </w:pPr>
                  <w:r>
                    <w:t xml:space="preserve">In addition, fire service and police will also </w:t>
                  </w:r>
                  <w:r w:rsidR="009B76BC">
                    <w:t>respond</w:t>
                  </w:r>
                  <w:r>
                    <w:t xml:space="preserve"> concurrently. </w:t>
                  </w:r>
                </w:p>
                <w:p w:rsidR="00AB6309" w:rsidRDefault="00AB6309" w:rsidP="00EF3552">
                  <w:pPr>
                    <w:pStyle w:val="DQITableText"/>
                  </w:pPr>
                  <w:r>
                    <w:t>Once verified that no persons are trapped, responding crews are immediately advised.</w:t>
                  </w:r>
                </w:p>
              </w:tc>
            </w:tr>
            <w:tr w:rsidR="00AB6309" w:rsidTr="00AB6309">
              <w:tc>
                <w:tcPr>
                  <w:tcW w:w="406" w:type="pct"/>
                </w:tcPr>
                <w:p w:rsidR="00AB6309" w:rsidRDefault="00AB6309" w:rsidP="00EF3552">
                  <w:pPr>
                    <w:pStyle w:val="DQIRowHeadings"/>
                  </w:pPr>
                  <w:r>
                    <w:t>Qld</w:t>
                  </w:r>
                </w:p>
              </w:tc>
              <w:tc>
                <w:tcPr>
                  <w:tcW w:w="4594" w:type="pct"/>
                </w:tcPr>
                <w:p w:rsidR="00AB6309" w:rsidRDefault="00AB6309" w:rsidP="00EF3552">
                  <w:pPr>
                    <w:pStyle w:val="DQITableText"/>
                  </w:pPr>
                  <w:r w:rsidRPr="001E3387">
                    <w:t xml:space="preserve">Revised road crash rescue protocols were implemented in September 2009 to reduce unnecessary attendance by the </w:t>
                  </w:r>
                  <w:proofErr w:type="spellStart"/>
                  <w:r w:rsidR="00B113A4">
                    <w:t>QFES</w:t>
                  </w:r>
                  <w:proofErr w:type="spellEnd"/>
                  <w:r w:rsidRPr="001E3387">
                    <w:t xml:space="preserve"> at mobile property crashes. Revised road crash rescue response protocols were again implemented on 18</w:t>
                  </w:r>
                  <w:r>
                    <w:t> </w:t>
                  </w:r>
                  <w:r w:rsidRPr="001E3387">
                    <w:t xml:space="preserve">October 2011, as part of ongoing service delivery review for </w:t>
                  </w:r>
                  <w:proofErr w:type="spellStart"/>
                  <w:r w:rsidR="00B113A4">
                    <w:t>QFES</w:t>
                  </w:r>
                  <w:proofErr w:type="spellEnd"/>
                  <w:r w:rsidRPr="001E3387">
                    <w:t xml:space="preserve"> attendance at mobile property crashes.</w:t>
                  </w:r>
                </w:p>
              </w:tc>
            </w:tr>
            <w:tr w:rsidR="00AB6309" w:rsidTr="00AB6309">
              <w:tc>
                <w:tcPr>
                  <w:tcW w:w="406" w:type="pct"/>
                </w:tcPr>
                <w:p w:rsidR="00AB6309" w:rsidRDefault="00AB6309" w:rsidP="00EF3552">
                  <w:pPr>
                    <w:pStyle w:val="DQIRowHeadings"/>
                  </w:pPr>
                  <w:r>
                    <w:t>WA</w:t>
                  </w:r>
                </w:p>
              </w:tc>
              <w:tc>
                <w:tcPr>
                  <w:tcW w:w="4594" w:type="pct"/>
                </w:tcPr>
                <w:p w:rsidR="00AB6309" w:rsidRDefault="00AB6309" w:rsidP="00EF3552">
                  <w:pPr>
                    <w:pStyle w:val="DQITableText"/>
                  </w:pPr>
                  <w:r w:rsidRPr="00671F00">
                    <w:t>In Western Australia the Hazard Management Agency is the Western Australia Police Service.</w:t>
                  </w:r>
                  <w:r>
                    <w:t xml:space="preserve"> </w:t>
                  </w:r>
                  <w:r w:rsidRPr="00671F00">
                    <w:t>Response services are provided by career and volunteer firefighters, the State Emergency Service and St John Ambulance</w:t>
                  </w:r>
                  <w:r>
                    <w:t>.</w:t>
                  </w:r>
                </w:p>
              </w:tc>
            </w:tr>
            <w:tr w:rsidR="00AB6309" w:rsidTr="00AB6309">
              <w:tc>
                <w:tcPr>
                  <w:tcW w:w="406" w:type="pct"/>
                </w:tcPr>
                <w:p w:rsidR="00AB6309" w:rsidRDefault="00AB6309" w:rsidP="00EF3552">
                  <w:pPr>
                    <w:pStyle w:val="DQIRowHeadings"/>
                  </w:pPr>
                  <w:r>
                    <w:t>SA</w:t>
                  </w:r>
                </w:p>
              </w:tc>
              <w:tc>
                <w:tcPr>
                  <w:tcW w:w="4594" w:type="pct"/>
                </w:tcPr>
                <w:p w:rsidR="00AB6309" w:rsidRDefault="00AB6309" w:rsidP="00EF3552">
                  <w:pPr>
                    <w:pStyle w:val="DQITableText"/>
                  </w:pPr>
                  <w:r>
                    <w:t xml:space="preserve">The SA emergency services work to a dispatch policy that requires a fire service response as well as a rescue response for any reported vehicle accident outside the Metro Area. </w:t>
                  </w:r>
                </w:p>
              </w:tc>
            </w:tr>
            <w:tr w:rsidR="00AB6309" w:rsidTr="00AB6309">
              <w:tc>
                <w:tcPr>
                  <w:tcW w:w="406" w:type="pct"/>
                </w:tcPr>
                <w:p w:rsidR="00AB6309" w:rsidRDefault="00AB6309" w:rsidP="00EF3552">
                  <w:pPr>
                    <w:pStyle w:val="DQIRowHeadings"/>
                  </w:pPr>
                  <w:proofErr w:type="spellStart"/>
                  <w:r>
                    <w:t>Tas</w:t>
                  </w:r>
                  <w:proofErr w:type="spellEnd"/>
                </w:p>
              </w:tc>
              <w:tc>
                <w:tcPr>
                  <w:tcW w:w="4594" w:type="pct"/>
                </w:tcPr>
                <w:p w:rsidR="00AB6309" w:rsidRDefault="00AB6309" w:rsidP="00EF3552">
                  <w:pPr>
                    <w:pStyle w:val="DQITableText"/>
                  </w:pPr>
                  <w:r w:rsidRPr="006F5835">
                    <w:t xml:space="preserve">The main agencies responding to </w:t>
                  </w:r>
                  <w:r w:rsidR="00425A8B">
                    <w:t xml:space="preserve">road crash rescue </w:t>
                  </w:r>
                  <w:r w:rsidRPr="006F5835">
                    <w:t>incidents are the Tasmania Police</w:t>
                  </w:r>
                  <w:r>
                    <w:t xml:space="preserve"> (</w:t>
                  </w:r>
                  <w:proofErr w:type="spellStart"/>
                  <w:r>
                    <w:t>TasPol</w:t>
                  </w:r>
                  <w:proofErr w:type="spellEnd"/>
                  <w:r>
                    <w:t>)</w:t>
                  </w:r>
                  <w:r w:rsidRPr="006F5835">
                    <w:t xml:space="preserve">, </w:t>
                  </w:r>
                  <w:r w:rsidR="003163BE">
                    <w:t>Ambulance Tasmania</w:t>
                  </w:r>
                  <w:r w:rsidRPr="006F5835">
                    <w:t xml:space="preserve">, Tasmania Fire Service </w:t>
                  </w:r>
                  <w:r>
                    <w:t>(</w:t>
                  </w:r>
                  <w:proofErr w:type="spellStart"/>
                  <w:r>
                    <w:t>TFS</w:t>
                  </w:r>
                  <w:proofErr w:type="spellEnd"/>
                  <w:r>
                    <w:t xml:space="preserve">) </w:t>
                  </w:r>
                  <w:r w:rsidRPr="006F5835">
                    <w:t>and State Emergency Service</w:t>
                  </w:r>
                  <w:r>
                    <w:t xml:space="preserve"> (SES)</w:t>
                  </w:r>
                  <w:r w:rsidRPr="006F5835">
                    <w:t>.</w:t>
                  </w:r>
                </w:p>
                <w:p w:rsidR="00AB6309" w:rsidRDefault="00AB6309" w:rsidP="00EF3552">
                  <w:pPr>
                    <w:pStyle w:val="DQITableText"/>
                  </w:pPr>
                  <w:r>
                    <w:t>The agency receiving the emergency cal</w:t>
                  </w:r>
                  <w:r w:rsidR="00BD0CB5">
                    <w:t xml:space="preserve">l Triple Zero (000) </w:t>
                  </w:r>
                  <w:r>
                    <w:t>for a road accident must ascertain whether any persons are trapped. Information on</w:t>
                  </w:r>
                  <w:r w:rsidR="001C7247">
                    <w:t xml:space="preserve"> road crashes </w:t>
                  </w:r>
                  <w:r>
                    <w:t xml:space="preserve">must be passed to the TAS, </w:t>
                  </w:r>
                  <w:proofErr w:type="spellStart"/>
                  <w:r>
                    <w:t>TasPol</w:t>
                  </w:r>
                  <w:proofErr w:type="spellEnd"/>
                  <w:r>
                    <w:t xml:space="preserve">, and </w:t>
                  </w:r>
                  <w:proofErr w:type="spellStart"/>
                  <w:r>
                    <w:t>TFS</w:t>
                  </w:r>
                  <w:proofErr w:type="spellEnd"/>
                  <w:r>
                    <w:t xml:space="preserve"> (</w:t>
                  </w:r>
                  <w:proofErr w:type="spellStart"/>
                  <w:r>
                    <w:t>FireComm</w:t>
                  </w:r>
                  <w:proofErr w:type="spellEnd"/>
                  <w:r>
                    <w:t xml:space="preserve">) control rooms. </w:t>
                  </w:r>
                  <w:proofErr w:type="spellStart"/>
                  <w:r>
                    <w:t>TFS</w:t>
                  </w:r>
                  <w:proofErr w:type="spellEnd"/>
                  <w:r>
                    <w:t xml:space="preserve"> (</w:t>
                  </w:r>
                  <w:proofErr w:type="spellStart"/>
                  <w:r>
                    <w:t>FireComm</w:t>
                  </w:r>
                  <w:proofErr w:type="spellEnd"/>
                  <w:r>
                    <w:t xml:space="preserve">) will dispatch </w:t>
                  </w:r>
                  <w:proofErr w:type="spellStart"/>
                  <w:r>
                    <w:t>TFS</w:t>
                  </w:r>
                  <w:proofErr w:type="spellEnd"/>
                  <w:r>
                    <w:t xml:space="preserve"> and SES </w:t>
                  </w:r>
                  <w:r w:rsidR="00CD22AD">
                    <w:t xml:space="preserve">road crash rescue units </w:t>
                  </w:r>
                  <w:r>
                    <w:t xml:space="preserve">when it is determined necessary. </w:t>
                  </w:r>
                </w:p>
                <w:p w:rsidR="00AB6309" w:rsidRDefault="00AB6309" w:rsidP="00CD22AD">
                  <w:pPr>
                    <w:pStyle w:val="DQITableText"/>
                  </w:pPr>
                  <w:r>
                    <w:t>Requests for multiple unit dispatches (</w:t>
                  </w:r>
                  <w:proofErr w:type="spellStart"/>
                  <w:r>
                    <w:t>TFS</w:t>
                  </w:r>
                  <w:proofErr w:type="spellEnd"/>
                  <w:r>
                    <w:t xml:space="preserve"> and/or SES) can be made if extra rescue or other services are required. There are also some dual response areas where both SES and </w:t>
                  </w:r>
                  <w:proofErr w:type="spellStart"/>
                  <w:r>
                    <w:t>TFS</w:t>
                  </w:r>
                  <w:proofErr w:type="spellEnd"/>
                  <w:r>
                    <w:t xml:space="preserve"> </w:t>
                  </w:r>
                  <w:r w:rsidR="00CD22AD">
                    <w:t>road crash rescue u</w:t>
                  </w:r>
                  <w:r>
                    <w:t>nits are dispatched at the same time.</w:t>
                  </w:r>
                </w:p>
              </w:tc>
            </w:tr>
            <w:tr w:rsidR="00AB6309" w:rsidTr="00AB6309">
              <w:tc>
                <w:tcPr>
                  <w:tcW w:w="406" w:type="pct"/>
                </w:tcPr>
                <w:p w:rsidR="00AB6309" w:rsidRDefault="00AB6309" w:rsidP="00EF3552">
                  <w:pPr>
                    <w:pStyle w:val="DQIRowHeadings"/>
                  </w:pPr>
                  <w:r>
                    <w:t>ACT</w:t>
                  </w:r>
                </w:p>
              </w:tc>
              <w:tc>
                <w:tcPr>
                  <w:tcW w:w="4594" w:type="pct"/>
                  <w:vAlign w:val="center"/>
                </w:tcPr>
                <w:p w:rsidR="00AB6309" w:rsidRDefault="00AB6309" w:rsidP="00EF3552">
                  <w:pPr>
                    <w:pStyle w:val="DQITableText"/>
                  </w:pPr>
                  <w:r>
                    <w:t xml:space="preserve">The </w:t>
                  </w:r>
                  <w:r w:rsidRPr="00FE1BFD">
                    <w:t xml:space="preserve">ACT Fire </w:t>
                  </w:r>
                  <w:r>
                    <w:t>and</w:t>
                  </w:r>
                  <w:r w:rsidRPr="00FE1BFD">
                    <w:t xml:space="preserve"> Rescue ha</w:t>
                  </w:r>
                  <w:r w:rsidR="009B76BC">
                    <w:t>s</w:t>
                  </w:r>
                  <w:r w:rsidRPr="00FE1BFD">
                    <w:t xml:space="preserve"> the sole responsibility for road rescue in the ACT.</w:t>
                  </w:r>
                </w:p>
                <w:p w:rsidR="00AB6309" w:rsidRDefault="00AB6309" w:rsidP="00EF3552">
                  <w:pPr>
                    <w:pStyle w:val="DQITableText"/>
                  </w:pPr>
                  <w:r>
                    <w:t>ACT Fire and Rescue are dispatched whenever notified of an incident. In most cases, when the ACT Ambulance Service receive</w:t>
                  </w:r>
                  <w:r w:rsidR="009B76BC">
                    <w:t>s</w:t>
                  </w:r>
                  <w:r>
                    <w:t xml:space="preserve"> a call from the general public or from ACT Policing, the ACT CAD system creates a road rescue job for both the ACT Ambulance Service and ACT Fire and Rescue.</w:t>
                  </w:r>
                </w:p>
              </w:tc>
            </w:tr>
            <w:tr w:rsidR="00AB6309" w:rsidTr="00AB6309">
              <w:tc>
                <w:tcPr>
                  <w:tcW w:w="406" w:type="pct"/>
                  <w:tcBorders>
                    <w:bottom w:val="single" w:sz="4" w:space="0" w:color="BFBFBF" w:themeColor="background2"/>
                  </w:tcBorders>
                  <w:vAlign w:val="center"/>
                </w:tcPr>
                <w:p w:rsidR="00AB6309" w:rsidRDefault="00AB6309" w:rsidP="00EF3552">
                  <w:pPr>
                    <w:pStyle w:val="DQIRowHeadings"/>
                  </w:pPr>
                  <w:r>
                    <w:t>NT</w:t>
                  </w:r>
                </w:p>
              </w:tc>
              <w:tc>
                <w:tcPr>
                  <w:tcW w:w="4594" w:type="pct"/>
                  <w:tcBorders>
                    <w:bottom w:val="single" w:sz="4" w:space="0" w:color="BFBFBF" w:themeColor="background2"/>
                  </w:tcBorders>
                  <w:vAlign w:val="center"/>
                </w:tcPr>
                <w:p w:rsidR="00AB6309" w:rsidRDefault="00AB6309" w:rsidP="00EF3552">
                  <w:pPr>
                    <w:pStyle w:val="DQITableText"/>
                  </w:pPr>
                  <w:proofErr w:type="spellStart"/>
                  <w:r>
                    <w:t>na</w:t>
                  </w:r>
                  <w:proofErr w:type="spellEnd"/>
                </w:p>
              </w:tc>
            </w:tr>
          </w:tbl>
          <w:p w:rsidR="00AB6309" w:rsidRDefault="00AB6309" w:rsidP="00AB6309">
            <w:pPr>
              <w:pStyle w:val="Box"/>
            </w:pPr>
          </w:p>
        </w:tc>
      </w:tr>
      <w:tr w:rsidR="009B76BC" w:rsidTr="00EF3552">
        <w:trPr>
          <w:cantSplit/>
        </w:trPr>
        <w:tc>
          <w:tcPr>
            <w:tcW w:w="8771" w:type="dxa"/>
            <w:tcBorders>
              <w:top w:val="nil"/>
              <w:left w:val="nil"/>
              <w:bottom w:val="nil"/>
              <w:right w:val="nil"/>
            </w:tcBorders>
            <w:shd w:val="clear" w:color="auto" w:fill="auto"/>
          </w:tcPr>
          <w:p w:rsidR="009B76BC" w:rsidRPr="00521B8E" w:rsidRDefault="009B76BC" w:rsidP="007C23EF">
            <w:pPr>
              <w:pStyle w:val="Note"/>
              <w:spacing w:before="0"/>
              <w:rPr>
                <w:b/>
              </w:rPr>
            </w:pPr>
            <w:proofErr w:type="spellStart"/>
            <w:r w:rsidRPr="00521B8E">
              <w:rPr>
                <w:b/>
              </w:rPr>
              <w:t>na</w:t>
            </w:r>
            <w:proofErr w:type="spellEnd"/>
            <w:r w:rsidRPr="00521B8E">
              <w:rPr>
                <w:b/>
              </w:rPr>
              <w:t xml:space="preserve"> </w:t>
            </w:r>
            <w:r w:rsidRPr="00521B8E">
              <w:t>Not available.</w:t>
            </w:r>
          </w:p>
        </w:tc>
      </w:tr>
      <w:tr w:rsidR="00AB6309" w:rsidTr="00AB6309">
        <w:trPr>
          <w:cantSplit/>
        </w:trPr>
        <w:tc>
          <w:tcPr>
            <w:tcW w:w="8771" w:type="dxa"/>
            <w:tcBorders>
              <w:top w:val="nil"/>
              <w:left w:val="nil"/>
              <w:bottom w:val="nil"/>
              <w:right w:val="nil"/>
            </w:tcBorders>
            <w:shd w:val="clear" w:color="auto" w:fill="auto"/>
          </w:tcPr>
          <w:p w:rsidR="00AB6309" w:rsidRDefault="00AB6309" w:rsidP="007C23EF">
            <w:pPr>
              <w:pStyle w:val="Source"/>
              <w:spacing w:before="0"/>
            </w:pPr>
            <w:r>
              <w:rPr>
                <w:i/>
              </w:rPr>
              <w:t>Source</w:t>
            </w:r>
            <w:r>
              <w:t>: State and Territory governments.</w:t>
            </w:r>
          </w:p>
        </w:tc>
      </w:tr>
      <w:tr w:rsidR="00AB6309" w:rsidTr="00AB6309">
        <w:trPr>
          <w:cantSplit/>
        </w:trPr>
        <w:tc>
          <w:tcPr>
            <w:tcW w:w="8771" w:type="dxa"/>
            <w:tcBorders>
              <w:top w:val="nil"/>
              <w:left w:val="nil"/>
              <w:bottom w:val="single" w:sz="6" w:space="0" w:color="78A22F"/>
              <w:right w:val="nil"/>
            </w:tcBorders>
            <w:shd w:val="clear" w:color="auto" w:fill="auto"/>
          </w:tcPr>
          <w:p w:rsidR="00AB6309" w:rsidRDefault="00AB6309" w:rsidP="00AB6309">
            <w:pPr>
              <w:pStyle w:val="Box"/>
              <w:spacing w:before="0" w:line="120" w:lineRule="exact"/>
            </w:pPr>
          </w:p>
        </w:tc>
      </w:tr>
      <w:tr w:rsidR="00AB6309" w:rsidRPr="000863A5" w:rsidTr="00AB6309">
        <w:tc>
          <w:tcPr>
            <w:tcW w:w="8771" w:type="dxa"/>
            <w:tcBorders>
              <w:top w:val="single" w:sz="6" w:space="0" w:color="78A22F"/>
              <w:left w:val="nil"/>
              <w:bottom w:val="nil"/>
              <w:right w:val="nil"/>
            </w:tcBorders>
          </w:tcPr>
          <w:p w:rsidR="00AB6309" w:rsidRPr="00626D32" w:rsidRDefault="00AB6309" w:rsidP="00AB6309">
            <w:pPr>
              <w:pStyle w:val="BoxSpaceBelow"/>
            </w:pPr>
          </w:p>
        </w:tc>
      </w:tr>
    </w:tbl>
    <w:p w:rsidR="00AB6309" w:rsidRDefault="00AB6309" w:rsidP="00AB6309">
      <w:pPr>
        <w:pStyle w:val="BoxSpaceAbove"/>
      </w:pPr>
      <w:bookmarkStart w:id="38" w:name="TableTitle"/>
      <w:bookmarkEnd w:id="38"/>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654"/>
      </w:tblGrid>
      <w:tr w:rsidR="00AB6309" w:rsidTr="00AB6309">
        <w:tc>
          <w:tcPr>
            <w:tcW w:w="8771" w:type="dxa"/>
            <w:tcBorders>
              <w:top w:val="single" w:sz="6" w:space="0" w:color="78A22F"/>
              <w:left w:val="nil"/>
              <w:bottom w:val="nil"/>
              <w:right w:val="nil"/>
            </w:tcBorders>
            <w:shd w:val="clear" w:color="auto" w:fill="auto"/>
          </w:tcPr>
          <w:p w:rsidR="00AB6309" w:rsidRDefault="00AB6309" w:rsidP="00EF3552">
            <w:pPr>
              <w:pStyle w:val="TableTitle"/>
              <w:spacing w:after="40"/>
            </w:pPr>
            <w:r w:rsidRPr="003424A1">
              <w:rPr>
                <w:b w:val="0"/>
              </w:rPr>
              <w:t xml:space="preserve">Table </w:t>
            </w:r>
            <w:bookmarkStart w:id="39" w:name="OLE_LINK2"/>
            <w:r w:rsidR="00B560A0">
              <w:rPr>
                <w:b w:val="0"/>
                <w:noProof/>
              </w:rPr>
              <w:t>3</w:t>
            </w:r>
            <w:bookmarkEnd w:id="39"/>
            <w:r>
              <w:tab/>
              <w:t xml:space="preserve">Calculation of </w:t>
            </w:r>
            <w:r w:rsidRPr="00397F7C">
              <w:t>road crash resc</w:t>
            </w:r>
            <w:r>
              <w:t xml:space="preserve">ue incidents </w:t>
            </w:r>
          </w:p>
          <w:p w:rsidR="00AB6309" w:rsidRPr="00784A05" w:rsidRDefault="00AB6309" w:rsidP="00EF3552">
            <w:pPr>
              <w:pStyle w:val="Subtitle"/>
              <w:spacing w:after="40"/>
            </w:pPr>
            <w:r>
              <w:t>A</w:t>
            </w:r>
            <w:r w:rsidRPr="00D166B4">
              <w:t xml:space="preserve"> summary of each jurisdiction’s </w:t>
            </w:r>
            <w:r>
              <w:t xml:space="preserve">approach </w:t>
            </w:r>
            <w:r w:rsidRPr="00D166B4">
              <w:t xml:space="preserve">calculating </w:t>
            </w:r>
            <w:r>
              <w:t>road crash rescue data and differences to the data collection manual</w:t>
            </w:r>
            <w:r w:rsidRPr="00D166B4">
              <w:t>.</w:t>
            </w:r>
          </w:p>
        </w:tc>
      </w:tr>
      <w:tr w:rsidR="00AB6309" w:rsidTr="00B571E7">
        <w:tc>
          <w:tcPr>
            <w:tcW w:w="8771" w:type="dxa"/>
            <w:tcBorders>
              <w:top w:val="nil"/>
              <w:left w:val="nil"/>
              <w:bottom w:val="nil"/>
              <w:right w:val="nil"/>
            </w:tcBorders>
            <w:shd w:val="clear" w:color="auto" w:fill="auto"/>
          </w:tcPr>
          <w:tbl>
            <w:tblPr>
              <w:tblW w:w="5000" w:type="pct"/>
              <w:tblCellMar>
                <w:top w:w="28" w:type="dxa"/>
                <w:left w:w="28" w:type="dxa"/>
                <w:bottom w:w="28" w:type="dxa"/>
                <w:right w:w="28" w:type="dxa"/>
              </w:tblCellMar>
              <w:tblLook w:val="0000" w:firstRow="0" w:lastRow="0" w:firstColumn="0" w:lastColumn="0" w:noHBand="0" w:noVBand="0"/>
            </w:tblPr>
            <w:tblGrid>
              <w:gridCol w:w="678"/>
              <w:gridCol w:w="7692"/>
            </w:tblGrid>
            <w:tr w:rsidR="005474A6" w:rsidTr="005474A6">
              <w:tc>
                <w:tcPr>
                  <w:tcW w:w="5000" w:type="pct"/>
                  <w:gridSpan w:val="2"/>
                  <w:tcBorders>
                    <w:top w:val="single" w:sz="6" w:space="0" w:color="BFBFBF" w:themeColor="background2"/>
                    <w:bottom w:val="single" w:sz="6" w:space="0" w:color="BFBFBF" w:themeColor="background2"/>
                  </w:tcBorders>
                  <w:shd w:val="clear" w:color="auto" w:fill="auto"/>
                </w:tcPr>
                <w:p w:rsidR="005474A6" w:rsidRPr="004A0494" w:rsidRDefault="005474A6" w:rsidP="005474A6">
                  <w:pPr>
                    <w:pStyle w:val="DQIMainRowHeadings"/>
                    <w:spacing w:before="80" w:after="80"/>
                    <w:rPr>
                      <w:b w:val="0"/>
                      <w:i/>
                      <w:u w:val="none"/>
                    </w:rPr>
                  </w:pPr>
                  <w:r w:rsidRPr="004A0494">
                    <w:rPr>
                      <w:b w:val="0"/>
                      <w:i/>
                      <w:u w:val="none"/>
                    </w:rPr>
                    <w:t>Jurisdiction’s calculating road crash rescue data</w:t>
                  </w:r>
                </w:p>
              </w:tc>
            </w:tr>
            <w:tr w:rsidR="00AB6309" w:rsidTr="00B571E7">
              <w:tc>
                <w:tcPr>
                  <w:tcW w:w="405" w:type="pct"/>
                  <w:tcBorders>
                    <w:top w:val="single" w:sz="6" w:space="0" w:color="BFBFBF" w:themeColor="background2"/>
                  </w:tcBorders>
                </w:tcPr>
                <w:p w:rsidR="00AB6309" w:rsidRDefault="00AB6309" w:rsidP="00EF3552">
                  <w:pPr>
                    <w:pStyle w:val="DQIRowHeadings"/>
                  </w:pPr>
                  <w:r>
                    <w:t>NSW</w:t>
                  </w:r>
                </w:p>
              </w:tc>
              <w:tc>
                <w:tcPr>
                  <w:tcW w:w="4595" w:type="pct"/>
                  <w:tcBorders>
                    <w:top w:val="single" w:sz="6" w:space="0" w:color="BFBFBF" w:themeColor="background2"/>
                  </w:tcBorders>
                </w:tcPr>
                <w:p w:rsidR="00AB6309" w:rsidRDefault="00AB6309" w:rsidP="00EF3552">
                  <w:pPr>
                    <w:pStyle w:val="DQITableText"/>
                  </w:pPr>
                  <w:r>
                    <w:t xml:space="preserve">Rescue data reported in the </w:t>
                  </w:r>
                  <w:proofErr w:type="spellStart"/>
                  <w:r>
                    <w:t>RoGS</w:t>
                  </w:r>
                  <w:proofErr w:type="spellEnd"/>
                  <w:r>
                    <w:t xml:space="preserve"> are sourced from the </w:t>
                  </w:r>
                  <w:r w:rsidR="004309AA">
                    <w:t>NSW Police Force CAD. The NSW Police Fo</w:t>
                  </w:r>
                  <w:r w:rsidR="00F40C05">
                    <w:t>r</w:t>
                  </w:r>
                  <w:r w:rsidR="004309AA">
                    <w:t xml:space="preserve">ce CAD has been </w:t>
                  </w:r>
                  <w:r>
                    <w:t>established as the definitive list of all rescue incidents</w:t>
                  </w:r>
                  <w:r w:rsidR="004309AA">
                    <w:t xml:space="preserve"> that occur in New South Wales. </w:t>
                  </w:r>
                  <w:r>
                    <w:t>The State Rescue Policy defines a Rescue Incident is an event requiring the dispatch of an accredited rescue unit to effect the safe removal of persons or domestic animals from actual or threatened danger or physical harm.</w:t>
                  </w:r>
                </w:p>
              </w:tc>
            </w:tr>
            <w:tr w:rsidR="00AB6309" w:rsidTr="00B571E7">
              <w:tc>
                <w:tcPr>
                  <w:tcW w:w="405" w:type="pct"/>
                </w:tcPr>
                <w:p w:rsidR="00AB6309" w:rsidRDefault="00AB6309" w:rsidP="00EF3552">
                  <w:pPr>
                    <w:pStyle w:val="DQIRowHeadings"/>
                  </w:pPr>
                  <w:r>
                    <w:t>Vic</w:t>
                  </w:r>
                </w:p>
              </w:tc>
              <w:tc>
                <w:tcPr>
                  <w:tcW w:w="4595" w:type="pct"/>
                </w:tcPr>
                <w:p w:rsidR="00AB6309" w:rsidRDefault="00AB6309" w:rsidP="00EF3552">
                  <w:pPr>
                    <w:pStyle w:val="DQITableText"/>
                  </w:pPr>
                  <w:r>
                    <w:t>Fire agencies use the AIRS codes as provided in data dictionary to calculate the incident count.</w:t>
                  </w:r>
                  <w:r w:rsidRPr="006E2C53">
                    <w:t xml:space="preserve"> </w:t>
                  </w:r>
                  <w:proofErr w:type="spellStart"/>
                  <w:r w:rsidRPr="006E2C53">
                    <w:t>VICSES</w:t>
                  </w:r>
                  <w:proofErr w:type="spellEnd"/>
                  <w:r w:rsidRPr="006E2C53">
                    <w:t xml:space="preserve"> road rescue definitions are taken from the Road Rescue Arrangements Victoria document (</w:t>
                  </w:r>
                  <w:proofErr w:type="spellStart"/>
                  <w:r w:rsidRPr="006E2C53">
                    <w:t>RRAV</w:t>
                  </w:r>
                  <w:proofErr w:type="spellEnd"/>
                  <w:r w:rsidRPr="006E2C53">
                    <w:t>)</w:t>
                  </w:r>
                  <w:r w:rsidR="00B6444B">
                    <w:t>.</w:t>
                  </w:r>
                </w:p>
                <w:p w:rsidR="00AB6309" w:rsidRDefault="00AB6309" w:rsidP="00EF3552">
                  <w:pPr>
                    <w:pStyle w:val="DQITableText"/>
                  </w:pPr>
                  <w:r>
                    <w:t xml:space="preserve">Where the call out has been cancelled prior to arrival on scene, the incident is not counted towards rescue. </w:t>
                  </w:r>
                </w:p>
                <w:p w:rsidR="00AB6309" w:rsidRDefault="00AB6309" w:rsidP="00EF3552">
                  <w:pPr>
                    <w:pStyle w:val="DQITableBullet"/>
                  </w:pPr>
                  <w:r>
                    <w:t xml:space="preserve">Where the SES attends the incident after cancellation, the incident is counted as what the incident is found to be. (This might occur when the Unit was cancelled in error or the type of incident has changed, usually to Assist Agency). </w:t>
                  </w:r>
                </w:p>
              </w:tc>
            </w:tr>
            <w:tr w:rsidR="00AB6309" w:rsidTr="00B571E7">
              <w:tc>
                <w:tcPr>
                  <w:tcW w:w="405" w:type="pct"/>
                </w:tcPr>
                <w:p w:rsidR="00AB6309" w:rsidRDefault="00AB6309" w:rsidP="00EF3552">
                  <w:pPr>
                    <w:pStyle w:val="DQIRowHeadings"/>
                  </w:pPr>
                  <w:r>
                    <w:t>Qld</w:t>
                  </w:r>
                </w:p>
              </w:tc>
              <w:tc>
                <w:tcPr>
                  <w:tcW w:w="4595" w:type="pct"/>
                </w:tcPr>
                <w:p w:rsidR="00AB6309" w:rsidRDefault="00AB6309" w:rsidP="00EF3552">
                  <w:pPr>
                    <w:pStyle w:val="DQITableText"/>
                  </w:pPr>
                  <w:r>
                    <w:t xml:space="preserve">Queensland agencies use the AIRS codes as provided in data dictionary. </w:t>
                  </w:r>
                </w:p>
              </w:tc>
            </w:tr>
            <w:tr w:rsidR="00AB6309" w:rsidTr="00B571E7">
              <w:tc>
                <w:tcPr>
                  <w:tcW w:w="405" w:type="pct"/>
                </w:tcPr>
                <w:p w:rsidR="00AB6309" w:rsidRDefault="00AB6309" w:rsidP="00EF3552">
                  <w:pPr>
                    <w:pStyle w:val="DQIRowHeadings"/>
                  </w:pPr>
                  <w:r>
                    <w:t>WA</w:t>
                  </w:r>
                </w:p>
              </w:tc>
              <w:tc>
                <w:tcPr>
                  <w:tcW w:w="4595" w:type="pct"/>
                </w:tcPr>
                <w:p w:rsidR="00AB6309" w:rsidRDefault="00AB6309" w:rsidP="00EF3552">
                  <w:pPr>
                    <w:pStyle w:val="DQITableBullet"/>
                  </w:pPr>
                  <w:r>
                    <w:t>Incidents where Fire and SES both attend are counted as one.</w:t>
                  </w:r>
                </w:p>
                <w:p w:rsidR="00AB6309" w:rsidRDefault="00AB6309" w:rsidP="00EF3552">
                  <w:pPr>
                    <w:pStyle w:val="DQITableBullet"/>
                  </w:pPr>
                  <w:r>
                    <w:t>Only incidents involving a rescue are counted (as per the dictionary), therefore if a service is called back prior to arrival that incident would not be counted.</w:t>
                  </w:r>
                </w:p>
                <w:p w:rsidR="00AB6309" w:rsidRDefault="00AB6309" w:rsidP="00EF3552">
                  <w:pPr>
                    <w:pStyle w:val="DQITableBullet"/>
                  </w:pPr>
                  <w:r>
                    <w:t>Road crash incidents only requiring clean</w:t>
                  </w:r>
                  <w:r>
                    <w:noBreakHyphen/>
                    <w:t>up of fuel spills are not counted.</w:t>
                  </w:r>
                </w:p>
              </w:tc>
            </w:tr>
            <w:tr w:rsidR="00AB6309" w:rsidTr="00B571E7">
              <w:tc>
                <w:tcPr>
                  <w:tcW w:w="405" w:type="pct"/>
                </w:tcPr>
                <w:p w:rsidR="00AB6309" w:rsidRDefault="00AB6309" w:rsidP="00EF3552">
                  <w:pPr>
                    <w:pStyle w:val="DQIRowHeadings"/>
                  </w:pPr>
                  <w:r>
                    <w:t>SA</w:t>
                  </w:r>
                </w:p>
              </w:tc>
              <w:tc>
                <w:tcPr>
                  <w:tcW w:w="4595" w:type="pct"/>
                </w:tcPr>
                <w:p w:rsidR="00AB6309" w:rsidRDefault="00AB6309" w:rsidP="00EF3552">
                  <w:pPr>
                    <w:pStyle w:val="DQITableText"/>
                  </w:pPr>
                  <w:r>
                    <w:t>In SA, AIRS codes are used calculate the incident count. The incident types used are: (All over fields are correct)</w:t>
                  </w:r>
                </w:p>
                <w:p w:rsidR="00AB6309" w:rsidRDefault="00AB6309" w:rsidP="00EF3552">
                  <w:pPr>
                    <w:pStyle w:val="DQITableBullet"/>
                  </w:pPr>
                  <w:r>
                    <w:t>322 – Vehicle Accident with Injuries</w:t>
                  </w:r>
                </w:p>
                <w:p w:rsidR="00AB6309" w:rsidRDefault="00AB6309" w:rsidP="00EF3552">
                  <w:pPr>
                    <w:pStyle w:val="DQITableBullet"/>
                  </w:pPr>
                  <w:r>
                    <w:t>352 – Vehicle Accident no injury</w:t>
                  </w:r>
                </w:p>
                <w:p w:rsidR="00AB6309" w:rsidRDefault="00AB6309" w:rsidP="00EF3552">
                  <w:pPr>
                    <w:pStyle w:val="DQITableBullet"/>
                  </w:pPr>
                  <w:r>
                    <w:t xml:space="preserve">351 – Vehicle Accident Rescue </w:t>
                  </w:r>
                </w:p>
                <w:p w:rsidR="00AB6309" w:rsidRDefault="00AB6309" w:rsidP="00EF3552">
                  <w:pPr>
                    <w:pStyle w:val="DQITableText"/>
                  </w:pPr>
                  <w:r>
                    <w:t xml:space="preserve">At the time of the year data are extracted for </w:t>
                  </w:r>
                  <w:proofErr w:type="spellStart"/>
                  <w:r>
                    <w:t>RoGS</w:t>
                  </w:r>
                  <w:proofErr w:type="spellEnd"/>
                  <w:r>
                    <w:t xml:space="preserve">, SA has not finished data cleaning. As a result some records counted in the </w:t>
                  </w:r>
                  <w:proofErr w:type="spellStart"/>
                  <w:r>
                    <w:t>RoGS</w:t>
                  </w:r>
                  <w:proofErr w:type="spellEnd"/>
                  <w:r>
                    <w:t xml:space="preserve"> may been inaccurately coded.</w:t>
                  </w:r>
                </w:p>
                <w:p w:rsidR="00AB6309" w:rsidRDefault="00AB6309" w:rsidP="00EF3552">
                  <w:pPr>
                    <w:pStyle w:val="DQITableText"/>
                  </w:pPr>
                  <w:r>
                    <w:t xml:space="preserve">If SES get a stop call before getting out the station gate they do not record an </w:t>
                  </w:r>
                  <w:proofErr w:type="spellStart"/>
                  <w:r>
                    <w:t>RCR</w:t>
                  </w:r>
                  <w:proofErr w:type="spellEnd"/>
                  <w:r>
                    <w:t xml:space="preserve"> incident attendance. If they get a stop call after getting out the station gate they record and </w:t>
                  </w:r>
                  <w:proofErr w:type="spellStart"/>
                  <w:r>
                    <w:t>RCR</w:t>
                  </w:r>
                  <w:proofErr w:type="spellEnd"/>
                  <w:r>
                    <w:t xml:space="preserve"> incident attendance.</w:t>
                  </w:r>
                </w:p>
              </w:tc>
            </w:tr>
            <w:tr w:rsidR="00AB6309" w:rsidTr="005474A6">
              <w:tc>
                <w:tcPr>
                  <w:tcW w:w="405" w:type="pct"/>
                </w:tcPr>
                <w:p w:rsidR="00AB6309" w:rsidRDefault="00AB6309" w:rsidP="00EF3552">
                  <w:pPr>
                    <w:pStyle w:val="DQIRowHeadings"/>
                  </w:pPr>
                  <w:proofErr w:type="spellStart"/>
                  <w:r>
                    <w:t>Tas</w:t>
                  </w:r>
                  <w:proofErr w:type="spellEnd"/>
                </w:p>
              </w:tc>
              <w:tc>
                <w:tcPr>
                  <w:tcW w:w="4595" w:type="pct"/>
                </w:tcPr>
                <w:p w:rsidR="00AB6309" w:rsidRDefault="00AB6309" w:rsidP="00EF3552">
                  <w:pPr>
                    <w:pStyle w:val="DQITableBullet"/>
                  </w:pPr>
                  <w:r>
                    <w:t>Over</w:t>
                  </w:r>
                  <w:r>
                    <w:noBreakHyphen/>
                    <w:t>counting may occur where:</w:t>
                  </w:r>
                </w:p>
                <w:p w:rsidR="00AB6309" w:rsidRDefault="00AB6309" w:rsidP="00EF3552">
                  <w:pPr>
                    <w:pStyle w:val="DQITableBullet2"/>
                  </w:pPr>
                  <w:r>
                    <w:t xml:space="preserve">As reporting is completed by both </w:t>
                  </w:r>
                  <w:proofErr w:type="spellStart"/>
                  <w:r>
                    <w:t>TFS</w:t>
                  </w:r>
                  <w:proofErr w:type="spellEnd"/>
                  <w:r>
                    <w:t xml:space="preserve"> </w:t>
                  </w:r>
                  <w:r w:rsidR="009B76BC">
                    <w:t>and</w:t>
                  </w:r>
                  <w:r>
                    <w:t xml:space="preserve"> SES on separate databases</w:t>
                  </w:r>
                  <w:r w:rsidR="009B76BC">
                    <w:t>.</w:t>
                  </w:r>
                  <w:r>
                    <w:t xml:space="preserve"> </w:t>
                  </w:r>
                  <w:r w:rsidR="009B76BC">
                    <w:t>T</w:t>
                  </w:r>
                  <w:r>
                    <w:t>here may be duplication of incidents (although this would be minimal).</w:t>
                  </w:r>
                </w:p>
                <w:p w:rsidR="00AB6309" w:rsidRDefault="00AB6309" w:rsidP="009B76BC">
                  <w:pPr>
                    <w:pStyle w:val="DQITableBullet2"/>
                  </w:pPr>
                  <w:r>
                    <w:t>It is also possible within the SES figures where multiple SES Units attend a single incident, that each SES Unit will submit a report for the same incident. i</w:t>
                  </w:r>
                  <w:r w:rsidR="009B76BC">
                    <w:t>.</w:t>
                  </w:r>
                  <w:r>
                    <w:t>e</w:t>
                  </w:r>
                  <w:r w:rsidR="009B76BC">
                    <w:t>.</w:t>
                  </w:r>
                  <w:r>
                    <w:t xml:space="preserve"> 1 report per Unit, not one report per incident.</w:t>
                  </w:r>
                </w:p>
                <w:p w:rsidR="00AB6309" w:rsidRDefault="00AB6309" w:rsidP="009B76BC">
                  <w:pPr>
                    <w:pStyle w:val="DQITableBullet"/>
                  </w:pPr>
                  <w:r>
                    <w:t xml:space="preserve">For </w:t>
                  </w:r>
                  <w:proofErr w:type="spellStart"/>
                  <w:r>
                    <w:t>Tas</w:t>
                  </w:r>
                  <w:proofErr w:type="spellEnd"/>
                  <w:r>
                    <w:t xml:space="preserve"> SES, all events attended to by a Unit is counted as an incident, irrespective of action taken (</w:t>
                  </w:r>
                  <w:proofErr w:type="spellStart"/>
                  <w:r>
                    <w:t>eg</w:t>
                  </w:r>
                  <w:proofErr w:type="spellEnd"/>
                  <w:r>
                    <w:t xml:space="preserve"> extrication, traffic management, called off en</w:t>
                  </w:r>
                  <w:r>
                    <w:noBreakHyphen/>
                    <w:t>route).</w:t>
                  </w:r>
                </w:p>
                <w:p w:rsidR="00AB6309" w:rsidRDefault="00AB6309" w:rsidP="009B76BC">
                  <w:pPr>
                    <w:pStyle w:val="DQITableBullet"/>
                  </w:pPr>
                  <w:r>
                    <w:t xml:space="preserve">For </w:t>
                  </w:r>
                  <w:proofErr w:type="spellStart"/>
                  <w:r>
                    <w:t>TFS</w:t>
                  </w:r>
                  <w:proofErr w:type="spellEnd"/>
                  <w:r>
                    <w:t xml:space="preserve"> the following events are not included:</w:t>
                  </w:r>
                </w:p>
                <w:p w:rsidR="00AB6309" w:rsidRDefault="00AB6309" w:rsidP="009B76BC">
                  <w:pPr>
                    <w:pStyle w:val="DQITableBullet2"/>
                  </w:pPr>
                  <w:r>
                    <w:t xml:space="preserve">‘Cancelled prior to arrival on scene’ events </w:t>
                  </w:r>
                </w:p>
                <w:p w:rsidR="00AB6309" w:rsidRDefault="00AB6309" w:rsidP="009B76BC">
                  <w:pPr>
                    <w:pStyle w:val="DQITableBullet2"/>
                  </w:pPr>
                  <w:r>
                    <w:t xml:space="preserve">‘No rescue service was required’ events </w:t>
                  </w:r>
                </w:p>
                <w:p w:rsidR="00AB6309" w:rsidRDefault="00AB6309" w:rsidP="009B76BC">
                  <w:pPr>
                    <w:pStyle w:val="DQITableBullet2"/>
                  </w:pPr>
                  <w:r>
                    <w:t>‘Washaways events’.</w:t>
                  </w:r>
                </w:p>
              </w:tc>
            </w:tr>
            <w:tr w:rsidR="005474A6" w:rsidTr="00B571E7">
              <w:tc>
                <w:tcPr>
                  <w:tcW w:w="405" w:type="pct"/>
                  <w:tcBorders>
                    <w:bottom w:val="single" w:sz="6" w:space="0" w:color="BFBFBF" w:themeColor="background2"/>
                  </w:tcBorders>
                </w:tcPr>
                <w:p w:rsidR="005474A6" w:rsidRDefault="005474A6" w:rsidP="00EF3552">
                  <w:pPr>
                    <w:pStyle w:val="DQIRowHeadings"/>
                  </w:pPr>
                </w:p>
              </w:tc>
              <w:tc>
                <w:tcPr>
                  <w:tcW w:w="4595" w:type="pct"/>
                  <w:tcBorders>
                    <w:bottom w:val="single" w:sz="6" w:space="0" w:color="BFBFBF" w:themeColor="background2"/>
                  </w:tcBorders>
                </w:tcPr>
                <w:p w:rsidR="005474A6" w:rsidRDefault="005474A6" w:rsidP="005474A6">
                  <w:pPr>
                    <w:pStyle w:val="DQITableBullet"/>
                    <w:numPr>
                      <w:ilvl w:val="0"/>
                      <w:numId w:val="0"/>
                    </w:numPr>
                    <w:spacing w:after="80"/>
                    <w:ind w:left="340"/>
                    <w:jc w:val="right"/>
                  </w:pPr>
                  <w:r>
                    <w:t>(continued next page)</w:t>
                  </w:r>
                </w:p>
              </w:tc>
            </w:tr>
          </w:tbl>
          <w:p w:rsidR="00AB6309" w:rsidRDefault="00AB6309" w:rsidP="00AB6309">
            <w:pPr>
              <w:pStyle w:val="Box"/>
            </w:pPr>
          </w:p>
        </w:tc>
      </w:tr>
      <w:tr w:rsidR="00AB6309" w:rsidTr="00AB6309">
        <w:trPr>
          <w:cantSplit/>
        </w:trPr>
        <w:tc>
          <w:tcPr>
            <w:tcW w:w="8771" w:type="dxa"/>
            <w:tcBorders>
              <w:top w:val="nil"/>
              <w:left w:val="nil"/>
              <w:bottom w:val="single" w:sz="6" w:space="0" w:color="78A22F"/>
              <w:right w:val="nil"/>
            </w:tcBorders>
            <w:shd w:val="clear" w:color="auto" w:fill="auto"/>
          </w:tcPr>
          <w:p w:rsidR="00AB6309" w:rsidRDefault="00AB6309" w:rsidP="00B47113">
            <w:pPr>
              <w:pStyle w:val="Box"/>
              <w:keepNext w:val="0"/>
              <w:spacing w:before="0" w:line="120" w:lineRule="exact"/>
            </w:pPr>
          </w:p>
        </w:tc>
      </w:tr>
    </w:tbl>
    <w:p w:rsidR="00B571E7" w:rsidRDefault="00B571E7" w:rsidP="007511E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654"/>
      </w:tblGrid>
      <w:tr w:rsidR="00B571E7" w:rsidTr="007511E6">
        <w:tc>
          <w:tcPr>
            <w:tcW w:w="8771" w:type="dxa"/>
            <w:tcBorders>
              <w:top w:val="single" w:sz="6" w:space="0" w:color="78A22F"/>
              <w:left w:val="nil"/>
              <w:bottom w:val="nil"/>
              <w:right w:val="nil"/>
            </w:tcBorders>
            <w:shd w:val="clear" w:color="auto" w:fill="auto"/>
          </w:tcPr>
          <w:p w:rsidR="00B571E7" w:rsidRPr="00784A05" w:rsidRDefault="00B571E7" w:rsidP="001263E0">
            <w:pPr>
              <w:pStyle w:val="TableTitle"/>
            </w:pPr>
            <w:r>
              <w:rPr>
                <w:b w:val="0"/>
              </w:rPr>
              <w:t xml:space="preserve">Table </w:t>
            </w:r>
            <w:r w:rsidR="001263E0" w:rsidRPr="001263E0">
              <w:rPr>
                <w:b w:val="0"/>
              </w:rPr>
              <w:t>3</w:t>
            </w:r>
            <w:r>
              <w:tab/>
            </w:r>
            <w:r w:rsidR="001826C4" w:rsidRPr="001826C4">
              <w:rPr>
                <w:b w:val="0"/>
                <w:sz w:val="18"/>
              </w:rPr>
              <w:t>(c</w:t>
            </w:r>
            <w:r w:rsidRPr="001826C4">
              <w:rPr>
                <w:b w:val="0"/>
                <w:sz w:val="18"/>
              </w:rPr>
              <w:t>ontinued</w:t>
            </w:r>
            <w:r w:rsidR="001826C4" w:rsidRPr="001826C4">
              <w:rPr>
                <w:b w:val="0"/>
                <w:sz w:val="18"/>
              </w:rPr>
              <w:t>)</w:t>
            </w:r>
          </w:p>
        </w:tc>
      </w:tr>
      <w:tr w:rsidR="00B571E7" w:rsidTr="007511E6">
        <w:trPr>
          <w:cantSplit/>
        </w:trPr>
        <w:tc>
          <w:tcPr>
            <w:tcW w:w="8771" w:type="dxa"/>
            <w:tcBorders>
              <w:top w:val="nil"/>
              <w:left w:val="nil"/>
              <w:bottom w:val="nil"/>
              <w:right w:val="nil"/>
            </w:tcBorders>
            <w:shd w:val="clear" w:color="auto" w:fill="auto"/>
          </w:tcPr>
          <w:tbl>
            <w:tblPr>
              <w:tblW w:w="5000" w:type="pct"/>
              <w:tblCellMar>
                <w:top w:w="28" w:type="dxa"/>
                <w:left w:w="28" w:type="dxa"/>
                <w:bottom w:w="28" w:type="dxa"/>
                <w:right w:w="28" w:type="dxa"/>
              </w:tblCellMar>
              <w:tblLook w:val="0000" w:firstRow="0" w:lastRow="0" w:firstColumn="0" w:lastColumn="0" w:noHBand="0" w:noVBand="0"/>
            </w:tblPr>
            <w:tblGrid>
              <w:gridCol w:w="678"/>
              <w:gridCol w:w="7692"/>
            </w:tblGrid>
            <w:tr w:rsidR="00B571E7" w:rsidTr="00B571E7">
              <w:tc>
                <w:tcPr>
                  <w:tcW w:w="405" w:type="pct"/>
                </w:tcPr>
                <w:p w:rsidR="00B571E7" w:rsidRDefault="00B571E7" w:rsidP="00B47113">
                  <w:pPr>
                    <w:pStyle w:val="DQIRowHeadings"/>
                  </w:pPr>
                  <w:r>
                    <w:t>ACT</w:t>
                  </w:r>
                </w:p>
              </w:tc>
              <w:tc>
                <w:tcPr>
                  <w:tcW w:w="4595" w:type="pct"/>
                </w:tcPr>
                <w:p w:rsidR="00B571E7" w:rsidRDefault="00B571E7" w:rsidP="00B47113">
                  <w:pPr>
                    <w:pStyle w:val="DQITableText"/>
                  </w:pPr>
                  <w:r>
                    <w:t xml:space="preserve">In ACT, AIRS codes are used calculate the incident count. The incident types used are: </w:t>
                  </w:r>
                </w:p>
                <w:p w:rsidR="00B571E7" w:rsidRDefault="00B571E7" w:rsidP="00B47113">
                  <w:pPr>
                    <w:pStyle w:val="DQITableBullet"/>
                  </w:pPr>
                  <w:r w:rsidRPr="00883E19">
                    <w:t>Type of incident</w:t>
                  </w:r>
                  <w:r>
                    <w:t xml:space="preserve"> (</w:t>
                  </w:r>
                  <w:proofErr w:type="spellStart"/>
                  <w:r>
                    <w:t>A23</w:t>
                  </w:r>
                  <w:proofErr w:type="spellEnd"/>
                  <w:r>
                    <w:t>):</w:t>
                  </w:r>
                </w:p>
                <w:p w:rsidR="00B571E7" w:rsidRDefault="00B571E7" w:rsidP="00B47113">
                  <w:pPr>
                    <w:pStyle w:val="DQITableBullet2"/>
                  </w:pPr>
                  <w:r>
                    <w:t>322 – vehicle accident with injuries</w:t>
                  </w:r>
                </w:p>
                <w:p w:rsidR="00B571E7" w:rsidRDefault="00B571E7" w:rsidP="00B47113">
                  <w:pPr>
                    <w:pStyle w:val="DQITableBullet2"/>
                  </w:pPr>
                  <w:r>
                    <w:t>351 – vehicle accident rescue</w:t>
                  </w:r>
                </w:p>
                <w:p w:rsidR="00B571E7" w:rsidRDefault="00B571E7" w:rsidP="00B47113">
                  <w:pPr>
                    <w:pStyle w:val="DQITableBullet2"/>
                  </w:pPr>
                  <w:r>
                    <w:t>352 – vehicle accident no injury</w:t>
                  </w:r>
                </w:p>
                <w:p w:rsidR="00B571E7" w:rsidRDefault="00B571E7" w:rsidP="00B47113">
                  <w:pPr>
                    <w:pStyle w:val="DQITableBullet"/>
                  </w:pPr>
                  <w:r>
                    <w:t xml:space="preserve">AND </w:t>
                  </w:r>
                  <w:r w:rsidRPr="00BB2A7E">
                    <w:t>Type of action taken</w:t>
                  </w:r>
                  <w:r>
                    <w:t xml:space="preserve"> (</w:t>
                  </w:r>
                  <w:proofErr w:type="spellStart"/>
                  <w:r>
                    <w:t>A24</w:t>
                  </w:r>
                  <w:proofErr w:type="spellEnd"/>
                  <w:r>
                    <w:t>): 20</w:t>
                  </w:r>
                  <w:r>
                    <w:noBreakHyphen/>
                    <w:t>23, 29</w:t>
                  </w:r>
                </w:p>
                <w:p w:rsidR="00B571E7" w:rsidRDefault="00B571E7" w:rsidP="00B47113">
                  <w:pPr>
                    <w:pStyle w:val="DQITableText"/>
                  </w:pPr>
                  <w:r>
                    <w:t xml:space="preserve">OR </w:t>
                  </w:r>
                  <w:r w:rsidRPr="00BB2A7E">
                    <w:t>N</w:t>
                  </w:r>
                  <w:r>
                    <w:t>o.</w:t>
                  </w:r>
                  <w:r w:rsidRPr="00BB2A7E">
                    <w:t xml:space="preserve"> of other persons injured</w:t>
                  </w:r>
                  <w:r>
                    <w:t xml:space="preserve"> (</w:t>
                  </w:r>
                  <w:proofErr w:type="spellStart"/>
                  <w:r>
                    <w:t>D2</w:t>
                  </w:r>
                  <w:proofErr w:type="spellEnd"/>
                  <w:r>
                    <w:t>)&gt;=1, Fatalities (</w:t>
                  </w:r>
                  <w:proofErr w:type="spellStart"/>
                  <w:r>
                    <w:t>D4</w:t>
                  </w:r>
                  <w:proofErr w:type="spellEnd"/>
                  <w:r>
                    <w:t>) &gt;=1, Rescued is (</w:t>
                  </w:r>
                  <w:proofErr w:type="spellStart"/>
                  <w:r>
                    <w:t>D5</w:t>
                  </w:r>
                  <w:proofErr w:type="spellEnd"/>
                  <w:r>
                    <w:t>) &gt;=1</w:t>
                  </w:r>
                </w:p>
              </w:tc>
            </w:tr>
            <w:tr w:rsidR="00B571E7" w:rsidTr="00B571E7">
              <w:tc>
                <w:tcPr>
                  <w:tcW w:w="405" w:type="pct"/>
                  <w:tcBorders>
                    <w:bottom w:val="single" w:sz="6" w:space="0" w:color="BFBFBF" w:themeColor="background2"/>
                  </w:tcBorders>
                  <w:vAlign w:val="center"/>
                </w:tcPr>
                <w:p w:rsidR="00B571E7" w:rsidRDefault="00B571E7" w:rsidP="00B47113">
                  <w:pPr>
                    <w:pStyle w:val="DQIRowHeadings"/>
                  </w:pPr>
                  <w:r>
                    <w:t>NT</w:t>
                  </w:r>
                </w:p>
              </w:tc>
              <w:tc>
                <w:tcPr>
                  <w:tcW w:w="4595" w:type="pct"/>
                  <w:tcBorders>
                    <w:bottom w:val="single" w:sz="6" w:space="0" w:color="BFBFBF" w:themeColor="background2"/>
                  </w:tcBorders>
                  <w:vAlign w:val="center"/>
                </w:tcPr>
                <w:p w:rsidR="00B571E7" w:rsidRDefault="00B571E7" w:rsidP="00B47113">
                  <w:pPr>
                    <w:pStyle w:val="DQITableText"/>
                  </w:pPr>
                  <w:proofErr w:type="spellStart"/>
                  <w:r>
                    <w:t>na</w:t>
                  </w:r>
                  <w:proofErr w:type="spellEnd"/>
                </w:p>
              </w:tc>
            </w:tr>
          </w:tbl>
          <w:p w:rsidR="00B571E7" w:rsidRDefault="00B571E7" w:rsidP="007511E6">
            <w:pPr>
              <w:pStyle w:val="Box"/>
            </w:pPr>
          </w:p>
        </w:tc>
      </w:tr>
      <w:tr w:rsidR="009B76BC" w:rsidTr="00EF3552">
        <w:trPr>
          <w:cantSplit/>
        </w:trPr>
        <w:tc>
          <w:tcPr>
            <w:tcW w:w="8771" w:type="dxa"/>
            <w:tcBorders>
              <w:top w:val="nil"/>
              <w:left w:val="nil"/>
              <w:bottom w:val="nil"/>
              <w:right w:val="nil"/>
            </w:tcBorders>
            <w:shd w:val="clear" w:color="auto" w:fill="auto"/>
          </w:tcPr>
          <w:p w:rsidR="009B76BC" w:rsidRPr="00521B8E" w:rsidRDefault="009B76BC" w:rsidP="00EF3552">
            <w:pPr>
              <w:pStyle w:val="Note"/>
              <w:rPr>
                <w:b/>
              </w:rPr>
            </w:pPr>
            <w:proofErr w:type="spellStart"/>
            <w:r w:rsidRPr="00521B8E">
              <w:rPr>
                <w:b/>
              </w:rPr>
              <w:t>na</w:t>
            </w:r>
            <w:proofErr w:type="spellEnd"/>
            <w:r w:rsidRPr="00521B8E">
              <w:rPr>
                <w:b/>
              </w:rPr>
              <w:t xml:space="preserve"> </w:t>
            </w:r>
            <w:r w:rsidRPr="00521B8E">
              <w:t>Not available.</w:t>
            </w:r>
          </w:p>
        </w:tc>
      </w:tr>
      <w:tr w:rsidR="00B571E7" w:rsidTr="007511E6">
        <w:trPr>
          <w:cantSplit/>
        </w:trPr>
        <w:tc>
          <w:tcPr>
            <w:tcW w:w="8771" w:type="dxa"/>
            <w:tcBorders>
              <w:top w:val="nil"/>
              <w:left w:val="nil"/>
              <w:bottom w:val="nil"/>
              <w:right w:val="nil"/>
            </w:tcBorders>
            <w:shd w:val="clear" w:color="auto" w:fill="auto"/>
          </w:tcPr>
          <w:p w:rsidR="00B571E7" w:rsidRDefault="00B571E7" w:rsidP="007511E6">
            <w:pPr>
              <w:pStyle w:val="Source"/>
            </w:pPr>
            <w:r>
              <w:rPr>
                <w:i/>
              </w:rPr>
              <w:t>Source</w:t>
            </w:r>
            <w:r>
              <w:t>: State and Territory governments.</w:t>
            </w:r>
          </w:p>
        </w:tc>
      </w:tr>
      <w:tr w:rsidR="00B571E7" w:rsidTr="007511E6">
        <w:trPr>
          <w:cantSplit/>
        </w:trPr>
        <w:tc>
          <w:tcPr>
            <w:tcW w:w="8771" w:type="dxa"/>
            <w:tcBorders>
              <w:top w:val="nil"/>
              <w:left w:val="nil"/>
              <w:bottom w:val="single" w:sz="6" w:space="0" w:color="78A22F"/>
              <w:right w:val="nil"/>
            </w:tcBorders>
            <w:shd w:val="clear" w:color="auto" w:fill="auto"/>
          </w:tcPr>
          <w:p w:rsidR="00B571E7" w:rsidRDefault="00B571E7" w:rsidP="007511E6">
            <w:pPr>
              <w:pStyle w:val="Box"/>
              <w:spacing w:before="0" w:line="120" w:lineRule="exact"/>
            </w:pPr>
          </w:p>
        </w:tc>
      </w:tr>
      <w:tr w:rsidR="00B571E7" w:rsidRPr="000863A5" w:rsidTr="007511E6">
        <w:tc>
          <w:tcPr>
            <w:tcW w:w="8771" w:type="dxa"/>
            <w:tcBorders>
              <w:top w:val="single" w:sz="6" w:space="0" w:color="78A22F"/>
              <w:left w:val="nil"/>
              <w:bottom w:val="nil"/>
              <w:right w:val="nil"/>
            </w:tcBorders>
          </w:tcPr>
          <w:p w:rsidR="00B571E7" w:rsidRPr="00626D32" w:rsidRDefault="00B571E7" w:rsidP="007511E6">
            <w:pPr>
              <w:pStyle w:val="BoxSpaceBelow"/>
            </w:pPr>
          </w:p>
        </w:tc>
      </w:tr>
    </w:tbl>
    <w:p w:rsidR="00B1734C" w:rsidRDefault="00B1734C" w:rsidP="00B1734C">
      <w:pPr>
        <w:rPr>
          <w:rFonts w:ascii="Arial" w:hAnsi="Arial"/>
          <w:sz w:val="20"/>
        </w:rPr>
      </w:pPr>
      <w:r>
        <w:rPr>
          <w:b/>
          <w:sz w:val="20"/>
        </w:rPr>
        <w:br w:type="page"/>
      </w:r>
    </w:p>
    <w:p w:rsidR="00B571E7" w:rsidRDefault="00B571E7" w:rsidP="00B571E7">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654"/>
      </w:tblGrid>
      <w:tr w:rsidR="00B571E7" w:rsidTr="007511E6">
        <w:tc>
          <w:tcPr>
            <w:tcW w:w="8771" w:type="dxa"/>
            <w:tcBorders>
              <w:top w:val="single" w:sz="6" w:space="0" w:color="78A22F"/>
              <w:left w:val="nil"/>
              <w:bottom w:val="nil"/>
              <w:right w:val="nil"/>
            </w:tcBorders>
            <w:shd w:val="clear" w:color="auto" w:fill="auto"/>
          </w:tcPr>
          <w:p w:rsidR="00B571E7" w:rsidRPr="00784A05" w:rsidRDefault="00B571E7" w:rsidP="00D452F6">
            <w:pPr>
              <w:pStyle w:val="TableTitle"/>
            </w:pPr>
            <w:r>
              <w:rPr>
                <w:b w:val="0"/>
              </w:rPr>
              <w:t xml:space="preserve">Table </w:t>
            </w:r>
            <w:bookmarkStart w:id="40" w:name="OLE_LINK4"/>
            <w:r w:rsidR="00B560A0">
              <w:rPr>
                <w:b w:val="0"/>
                <w:noProof/>
              </w:rPr>
              <w:t>4</w:t>
            </w:r>
            <w:bookmarkEnd w:id="40"/>
            <w:r>
              <w:tab/>
            </w:r>
            <w:r w:rsidR="00D452F6">
              <w:t xml:space="preserve">Calculation of </w:t>
            </w:r>
            <w:r w:rsidR="00D452F6" w:rsidRPr="00397F7C">
              <w:t>road crash resc</w:t>
            </w:r>
            <w:r w:rsidR="00D452F6">
              <w:t>ue extractions</w:t>
            </w:r>
          </w:p>
        </w:tc>
      </w:tr>
      <w:tr w:rsidR="00B571E7" w:rsidTr="007511E6">
        <w:trPr>
          <w:cantSplit/>
        </w:trPr>
        <w:tc>
          <w:tcPr>
            <w:tcW w:w="8771" w:type="dxa"/>
            <w:tcBorders>
              <w:top w:val="nil"/>
              <w:left w:val="nil"/>
              <w:bottom w:val="nil"/>
              <w:right w:val="nil"/>
            </w:tcBorders>
            <w:shd w:val="clear" w:color="auto" w:fill="auto"/>
          </w:tcPr>
          <w:tbl>
            <w:tblPr>
              <w:tblW w:w="5000" w:type="pct"/>
              <w:tblCellMar>
                <w:top w:w="28" w:type="dxa"/>
                <w:left w:w="28" w:type="dxa"/>
                <w:bottom w:w="28" w:type="dxa"/>
                <w:right w:w="28" w:type="dxa"/>
              </w:tblCellMar>
              <w:tblLook w:val="0000" w:firstRow="0" w:lastRow="0" w:firstColumn="0" w:lastColumn="0" w:noHBand="0" w:noVBand="0"/>
            </w:tblPr>
            <w:tblGrid>
              <w:gridCol w:w="678"/>
              <w:gridCol w:w="7692"/>
            </w:tblGrid>
            <w:tr w:rsidR="00EE3FE5" w:rsidTr="00EE3FE5">
              <w:tc>
                <w:tcPr>
                  <w:tcW w:w="5000" w:type="pct"/>
                  <w:gridSpan w:val="2"/>
                  <w:tcBorders>
                    <w:top w:val="single" w:sz="6" w:space="0" w:color="BFBFBF" w:themeColor="background2"/>
                    <w:bottom w:val="single" w:sz="6" w:space="0" w:color="BFBFBF" w:themeColor="background2"/>
                  </w:tcBorders>
                  <w:shd w:val="clear" w:color="auto" w:fill="auto"/>
                </w:tcPr>
                <w:p w:rsidR="00EE3FE5" w:rsidRPr="004A0494" w:rsidRDefault="00EE3FE5" w:rsidP="00EE3FE5">
                  <w:pPr>
                    <w:pStyle w:val="DQIMainRowHeadings"/>
                    <w:spacing w:before="80" w:after="80"/>
                    <w:rPr>
                      <w:b w:val="0"/>
                      <w:i/>
                      <w:u w:val="none"/>
                    </w:rPr>
                  </w:pPr>
                  <w:r w:rsidRPr="004A0494">
                    <w:rPr>
                      <w:b w:val="0"/>
                      <w:i/>
                      <w:u w:val="none"/>
                    </w:rPr>
                    <w:t>Jurisdiction comments</w:t>
                  </w:r>
                </w:p>
              </w:tc>
            </w:tr>
            <w:tr w:rsidR="00D452F6" w:rsidTr="007511E6">
              <w:tc>
                <w:tcPr>
                  <w:tcW w:w="405" w:type="pct"/>
                </w:tcPr>
                <w:p w:rsidR="00D452F6" w:rsidRDefault="00D452F6" w:rsidP="00B47113">
                  <w:pPr>
                    <w:pStyle w:val="DQIRowHeadings"/>
                  </w:pPr>
                  <w:r>
                    <w:t>NSW</w:t>
                  </w:r>
                </w:p>
              </w:tc>
              <w:tc>
                <w:tcPr>
                  <w:tcW w:w="4595" w:type="pct"/>
                </w:tcPr>
                <w:p w:rsidR="00D452F6" w:rsidRDefault="00F40C05" w:rsidP="00B47113">
                  <w:pPr>
                    <w:pStyle w:val="DQITableText"/>
                  </w:pPr>
                  <w:r w:rsidRPr="00F40C05">
                    <w:t xml:space="preserve">Rescue data reported in the </w:t>
                  </w:r>
                  <w:proofErr w:type="spellStart"/>
                  <w:r w:rsidRPr="00F40C05">
                    <w:t>RoGS</w:t>
                  </w:r>
                  <w:proofErr w:type="spellEnd"/>
                  <w:r w:rsidRPr="00F40C05">
                    <w:t xml:space="preserve"> are sourced from the NSW Police Force CAD. The NSW Police Force CAD has been established as the definitive list of all rescue incidents that occur in New South Wales</w:t>
                  </w:r>
                  <w:r>
                    <w:t>.</w:t>
                  </w:r>
                </w:p>
              </w:tc>
            </w:tr>
            <w:tr w:rsidR="00D452F6" w:rsidTr="00D452F6">
              <w:tc>
                <w:tcPr>
                  <w:tcW w:w="405" w:type="pct"/>
                </w:tcPr>
                <w:p w:rsidR="00D452F6" w:rsidRDefault="00D452F6" w:rsidP="00B47113">
                  <w:pPr>
                    <w:pStyle w:val="DQIRowHeadings"/>
                  </w:pPr>
                  <w:r>
                    <w:t>Vic</w:t>
                  </w:r>
                </w:p>
              </w:tc>
              <w:tc>
                <w:tcPr>
                  <w:tcW w:w="4595" w:type="pct"/>
                </w:tcPr>
                <w:p w:rsidR="00D452F6" w:rsidRDefault="00D452F6" w:rsidP="00B47113">
                  <w:pPr>
                    <w:pStyle w:val="DQITableText"/>
                  </w:pPr>
                  <w:r>
                    <w:t xml:space="preserve">For fire services </w:t>
                  </w:r>
                  <w:r w:rsidRPr="006E2C53">
                    <w:t>there should be no other interpretation issues associated with this data</w:t>
                  </w:r>
                  <w:r>
                    <w:t>, other than those noted for incidents</w:t>
                  </w:r>
                  <w:r w:rsidRPr="006E2C53">
                    <w:t>.</w:t>
                  </w:r>
                </w:p>
                <w:p w:rsidR="00D452F6" w:rsidRDefault="00D452F6" w:rsidP="00B47113">
                  <w:pPr>
                    <w:pStyle w:val="DQITableText"/>
                  </w:pPr>
                  <w:r>
                    <w:t xml:space="preserve">For </w:t>
                  </w:r>
                  <w:proofErr w:type="spellStart"/>
                  <w:r>
                    <w:t>VICSES</w:t>
                  </w:r>
                  <w:proofErr w:type="spellEnd"/>
                  <w:r>
                    <w:t xml:space="preserve"> Road Rescue Arrangements Victoria (</w:t>
                  </w:r>
                  <w:proofErr w:type="spellStart"/>
                  <w:r>
                    <w:t>RRAV</w:t>
                  </w:r>
                  <w:proofErr w:type="spellEnd"/>
                  <w:r>
                    <w:t xml:space="preserve">) defines a road rescue as ‘The release and extrication of trapped people from motor vehicles’, which is what </w:t>
                  </w:r>
                  <w:proofErr w:type="spellStart"/>
                  <w:r>
                    <w:t>VICSES</w:t>
                  </w:r>
                  <w:proofErr w:type="spellEnd"/>
                  <w:r>
                    <w:t xml:space="preserve"> conforms to. As such, </w:t>
                  </w:r>
                  <w:proofErr w:type="spellStart"/>
                  <w:r>
                    <w:t>VICSES</w:t>
                  </w:r>
                  <w:proofErr w:type="spellEnd"/>
                  <w:r>
                    <w:t xml:space="preserve"> conforms with the data dictionary, but note</w:t>
                  </w:r>
                  <w:r w:rsidR="009B76BC">
                    <w:t>s</w:t>
                  </w:r>
                  <w:r>
                    <w:t xml:space="preserve"> that:</w:t>
                  </w:r>
                </w:p>
                <w:p w:rsidR="00D452F6" w:rsidRDefault="00D452F6" w:rsidP="00B47113">
                  <w:pPr>
                    <w:pStyle w:val="DQITableBullet"/>
                  </w:pPr>
                  <w:r>
                    <w:t xml:space="preserve">a </w:t>
                  </w:r>
                  <w:r w:rsidRPr="009B76BC">
                    <w:t>person</w:t>
                  </w:r>
                  <w:r>
                    <w:t xml:space="preserve"> is trapped if they are unable to leave the vehicle by their own efforts, which could include a jammed door.</w:t>
                  </w:r>
                </w:p>
                <w:p w:rsidR="00D452F6" w:rsidRDefault="00D452F6" w:rsidP="00B47113">
                  <w:pPr>
                    <w:pStyle w:val="DQITableBullet"/>
                  </w:pPr>
                  <w:r>
                    <w:t>where Victoria Police have requested SES return to extricate a deceased after the coroner has completed his investigation a separate report is completed with an incident type of Assist Police (or assist crime scene as appropriate).</w:t>
                  </w:r>
                </w:p>
              </w:tc>
            </w:tr>
            <w:tr w:rsidR="00D452F6" w:rsidTr="007511E6">
              <w:tc>
                <w:tcPr>
                  <w:tcW w:w="405" w:type="pct"/>
                </w:tcPr>
                <w:p w:rsidR="00D452F6" w:rsidRDefault="00D452F6" w:rsidP="00B47113">
                  <w:pPr>
                    <w:pStyle w:val="DQIRowHeadings"/>
                  </w:pPr>
                  <w:r>
                    <w:t>Qld</w:t>
                  </w:r>
                </w:p>
              </w:tc>
              <w:tc>
                <w:tcPr>
                  <w:tcW w:w="4595" w:type="pct"/>
                  <w:vAlign w:val="center"/>
                </w:tcPr>
                <w:p w:rsidR="00D452F6" w:rsidRDefault="00D452F6" w:rsidP="00B47113">
                  <w:pPr>
                    <w:pStyle w:val="DQITableText"/>
                  </w:pPr>
                  <w:r>
                    <w:t>No further details</w:t>
                  </w:r>
                </w:p>
              </w:tc>
            </w:tr>
            <w:tr w:rsidR="00D452F6" w:rsidTr="00D452F6">
              <w:tc>
                <w:tcPr>
                  <w:tcW w:w="405" w:type="pct"/>
                </w:tcPr>
                <w:p w:rsidR="00D452F6" w:rsidRDefault="00D452F6" w:rsidP="00B47113">
                  <w:pPr>
                    <w:pStyle w:val="DQIRowHeadings"/>
                  </w:pPr>
                  <w:r>
                    <w:t>WA</w:t>
                  </w:r>
                </w:p>
              </w:tc>
              <w:tc>
                <w:tcPr>
                  <w:tcW w:w="4595" w:type="pct"/>
                </w:tcPr>
                <w:p w:rsidR="00D452F6" w:rsidRDefault="00D452F6" w:rsidP="00B47113">
                  <w:pPr>
                    <w:pStyle w:val="DQITableBullet"/>
                  </w:pPr>
                  <w:r>
                    <w:t>The data dictionary definition counts all rescues (extrications and releases). WA is now able to separate extrications and releases.</w:t>
                  </w:r>
                </w:p>
                <w:p w:rsidR="00D452F6" w:rsidRDefault="00D452F6" w:rsidP="00B47113">
                  <w:pPr>
                    <w:pStyle w:val="DQITableBullet"/>
                  </w:pPr>
                  <w:r>
                    <w:t>WA counts the number of incidents involving rescues not the number of persons rescued.</w:t>
                  </w:r>
                </w:p>
              </w:tc>
            </w:tr>
            <w:tr w:rsidR="00D452F6" w:rsidTr="00D452F6">
              <w:tc>
                <w:tcPr>
                  <w:tcW w:w="405" w:type="pct"/>
                </w:tcPr>
                <w:p w:rsidR="00D452F6" w:rsidRDefault="00D452F6" w:rsidP="00B47113">
                  <w:pPr>
                    <w:pStyle w:val="DQIRowHeadings"/>
                  </w:pPr>
                  <w:r>
                    <w:t>SA</w:t>
                  </w:r>
                </w:p>
              </w:tc>
              <w:tc>
                <w:tcPr>
                  <w:tcW w:w="4595" w:type="pct"/>
                </w:tcPr>
                <w:p w:rsidR="00D452F6" w:rsidRDefault="00D452F6" w:rsidP="00B47113">
                  <w:pPr>
                    <w:pStyle w:val="DQITableText"/>
                  </w:pPr>
                  <w:r>
                    <w:t>In SA the incident types used are: (All over fields are correct)</w:t>
                  </w:r>
                </w:p>
                <w:p w:rsidR="00D452F6" w:rsidRDefault="00D452F6" w:rsidP="00B47113">
                  <w:pPr>
                    <w:pStyle w:val="DQITableBullet"/>
                  </w:pPr>
                  <w:r w:rsidRPr="00883E19">
                    <w:t>Type of incident</w:t>
                  </w:r>
                  <w:r>
                    <w:t xml:space="preserve"> (</w:t>
                  </w:r>
                  <w:proofErr w:type="spellStart"/>
                  <w:r>
                    <w:t>A23</w:t>
                  </w:r>
                  <w:proofErr w:type="spellEnd"/>
                  <w:r>
                    <w:t>):</w:t>
                  </w:r>
                </w:p>
                <w:p w:rsidR="00D452F6" w:rsidRDefault="00D452F6" w:rsidP="00B47113">
                  <w:pPr>
                    <w:pStyle w:val="DQITableBullet2"/>
                  </w:pPr>
                  <w:r>
                    <w:t>322 – vehicle accident with injuries</w:t>
                  </w:r>
                </w:p>
                <w:p w:rsidR="00D452F6" w:rsidRDefault="00D452F6" w:rsidP="00B47113">
                  <w:pPr>
                    <w:pStyle w:val="DQITableBullet2"/>
                  </w:pPr>
                  <w:r>
                    <w:t>351 – vehicle accident rescue</w:t>
                  </w:r>
                </w:p>
                <w:p w:rsidR="00D452F6" w:rsidRDefault="00D452F6" w:rsidP="00B47113">
                  <w:pPr>
                    <w:pStyle w:val="DQITableBullet2"/>
                  </w:pPr>
                  <w:r>
                    <w:t>352 – vehicle accident no injury</w:t>
                  </w:r>
                </w:p>
                <w:p w:rsidR="00D452F6" w:rsidRDefault="00D452F6" w:rsidP="00B47113">
                  <w:pPr>
                    <w:pStyle w:val="DQITableText"/>
                  </w:pPr>
                  <w:r>
                    <w:t xml:space="preserve">At the time of the year data are extracted for </w:t>
                  </w:r>
                  <w:proofErr w:type="spellStart"/>
                  <w:r>
                    <w:t>RoGS</w:t>
                  </w:r>
                  <w:proofErr w:type="spellEnd"/>
                  <w:r>
                    <w:t xml:space="preserve">, SA has not finished data cleaning. As a result some records counted in the </w:t>
                  </w:r>
                  <w:proofErr w:type="spellStart"/>
                  <w:r>
                    <w:t>RoGS</w:t>
                  </w:r>
                  <w:proofErr w:type="spellEnd"/>
                  <w:r>
                    <w:t xml:space="preserve"> may been inaccurately coded.</w:t>
                  </w:r>
                </w:p>
              </w:tc>
            </w:tr>
            <w:tr w:rsidR="00D452F6" w:rsidTr="00D452F6">
              <w:tc>
                <w:tcPr>
                  <w:tcW w:w="405" w:type="pct"/>
                </w:tcPr>
                <w:p w:rsidR="00D452F6" w:rsidRDefault="00D452F6" w:rsidP="00B47113">
                  <w:pPr>
                    <w:pStyle w:val="DQIRowHeadings"/>
                  </w:pPr>
                  <w:proofErr w:type="spellStart"/>
                  <w:r>
                    <w:t>Tas</w:t>
                  </w:r>
                  <w:proofErr w:type="spellEnd"/>
                </w:p>
              </w:tc>
              <w:tc>
                <w:tcPr>
                  <w:tcW w:w="4595" w:type="pct"/>
                </w:tcPr>
                <w:p w:rsidR="00D452F6" w:rsidRDefault="00D452F6" w:rsidP="00B47113">
                  <w:pPr>
                    <w:pStyle w:val="DQITableBullet"/>
                  </w:pPr>
                  <w:r>
                    <w:t xml:space="preserve">For </w:t>
                  </w:r>
                  <w:proofErr w:type="spellStart"/>
                  <w:r>
                    <w:t>TFS</w:t>
                  </w:r>
                  <w:proofErr w:type="spellEnd"/>
                  <w:r>
                    <w:t xml:space="preserve">, the extraction count </w:t>
                  </w:r>
                  <w:r w:rsidRPr="00682B68">
                    <w:t xml:space="preserve">complies strictly with the </w:t>
                  </w:r>
                  <w:proofErr w:type="spellStart"/>
                  <w:r w:rsidR="007F6100">
                    <w:t>RoGS</w:t>
                  </w:r>
                  <w:proofErr w:type="spellEnd"/>
                  <w:r w:rsidRPr="00682B68">
                    <w:t xml:space="preserve"> definition.</w:t>
                  </w:r>
                </w:p>
                <w:p w:rsidR="00D452F6" w:rsidRDefault="00D452F6" w:rsidP="00B47113">
                  <w:pPr>
                    <w:pStyle w:val="DQITableBullet"/>
                  </w:pPr>
                  <w:r>
                    <w:t xml:space="preserve">For </w:t>
                  </w:r>
                  <w:proofErr w:type="spellStart"/>
                  <w:r>
                    <w:t>Tas</w:t>
                  </w:r>
                  <w:proofErr w:type="spellEnd"/>
                  <w:r>
                    <w:t xml:space="preserve"> SES:</w:t>
                  </w:r>
                </w:p>
                <w:p w:rsidR="00D452F6" w:rsidRDefault="00D452F6" w:rsidP="00B47113">
                  <w:pPr>
                    <w:pStyle w:val="DQITableBullet2"/>
                  </w:pPr>
                  <w:r>
                    <w:t>There is inconsistency in the reporting of injuries, fatalities and extrications.</w:t>
                  </w:r>
                </w:p>
                <w:p w:rsidR="00D452F6" w:rsidRDefault="00D452F6" w:rsidP="00B47113">
                  <w:pPr>
                    <w:pStyle w:val="DQITableBullet2"/>
                  </w:pPr>
                  <w:proofErr w:type="spellStart"/>
                  <w:r>
                    <w:t>D5</w:t>
                  </w:r>
                  <w:proofErr w:type="spellEnd"/>
                  <w:r>
                    <w:t xml:space="preserve"> Number of personnel rescued by authority definition ‘Persons non</w:t>
                  </w:r>
                  <w:r>
                    <w:noBreakHyphen/>
                    <w:t>injured, injured and deceased’ that were trapped, in difficulty that are subsequently released or rescued by the Reporting Authority.</w:t>
                  </w:r>
                </w:p>
                <w:p w:rsidR="00D452F6" w:rsidRDefault="00D452F6" w:rsidP="00B47113">
                  <w:pPr>
                    <w:pStyle w:val="DQITableBullet2"/>
                  </w:pPr>
                  <w:r>
                    <w:t>A deceased person requiring extrication is being recorded as a fatality only. An injured person requiring extrication is being recorded as extrication only, or as an extrication and injury.</w:t>
                  </w:r>
                </w:p>
              </w:tc>
            </w:tr>
            <w:tr w:rsidR="00D452F6" w:rsidTr="007511E6">
              <w:tc>
                <w:tcPr>
                  <w:tcW w:w="405" w:type="pct"/>
                  <w:vAlign w:val="center"/>
                </w:tcPr>
                <w:p w:rsidR="00D452F6" w:rsidRDefault="00D452F6" w:rsidP="00B47113">
                  <w:pPr>
                    <w:pStyle w:val="DQIRowHeadings"/>
                  </w:pPr>
                  <w:r>
                    <w:t>ACT</w:t>
                  </w:r>
                </w:p>
              </w:tc>
              <w:tc>
                <w:tcPr>
                  <w:tcW w:w="4595" w:type="pct"/>
                  <w:vAlign w:val="center"/>
                </w:tcPr>
                <w:p w:rsidR="00D452F6" w:rsidRDefault="00D452F6" w:rsidP="00B47113">
                  <w:pPr>
                    <w:pStyle w:val="DQITableText"/>
                  </w:pPr>
                  <w:r>
                    <w:t xml:space="preserve">In ACT the incident types used are </w:t>
                  </w:r>
                </w:p>
                <w:p w:rsidR="00D452F6" w:rsidRDefault="00D452F6" w:rsidP="00B47113">
                  <w:pPr>
                    <w:pStyle w:val="DQITableBullet"/>
                  </w:pPr>
                  <w:r w:rsidRPr="00883E19">
                    <w:t>Type of incident</w:t>
                  </w:r>
                  <w:r>
                    <w:t xml:space="preserve"> (</w:t>
                  </w:r>
                  <w:proofErr w:type="spellStart"/>
                  <w:r>
                    <w:t>A23</w:t>
                  </w:r>
                  <w:proofErr w:type="spellEnd"/>
                  <w:r>
                    <w:t>):</w:t>
                  </w:r>
                </w:p>
                <w:p w:rsidR="00D452F6" w:rsidRDefault="00D452F6" w:rsidP="00B47113">
                  <w:pPr>
                    <w:pStyle w:val="DQITableBullet2"/>
                  </w:pPr>
                  <w:r>
                    <w:t>322 – vehicle accident with injuries</w:t>
                  </w:r>
                </w:p>
                <w:p w:rsidR="00D452F6" w:rsidRDefault="00D452F6" w:rsidP="00B47113">
                  <w:pPr>
                    <w:pStyle w:val="DQITableBullet2"/>
                  </w:pPr>
                  <w:r>
                    <w:t>351 – vehicle accident rescue</w:t>
                  </w:r>
                </w:p>
                <w:p w:rsidR="00D452F6" w:rsidRDefault="00D452F6" w:rsidP="00B47113">
                  <w:pPr>
                    <w:pStyle w:val="DQITableBullet2"/>
                  </w:pPr>
                  <w:r>
                    <w:t>352 – vehicle accident no injury</w:t>
                  </w:r>
                </w:p>
                <w:p w:rsidR="00D452F6" w:rsidRDefault="00D452F6" w:rsidP="00B47113">
                  <w:pPr>
                    <w:pStyle w:val="DQITableBullet"/>
                  </w:pPr>
                  <w:r>
                    <w:t xml:space="preserve">AND </w:t>
                  </w:r>
                  <w:r w:rsidRPr="00BB2A7E">
                    <w:t>Type of action taken</w:t>
                  </w:r>
                  <w:r>
                    <w:t xml:space="preserve"> (</w:t>
                  </w:r>
                  <w:proofErr w:type="spellStart"/>
                  <w:r>
                    <w:t>A24</w:t>
                  </w:r>
                  <w:proofErr w:type="spellEnd"/>
                  <w:r>
                    <w:t>):21</w:t>
                  </w:r>
                  <w:r>
                    <w:noBreakHyphen/>
                    <w:t>23</w:t>
                  </w:r>
                </w:p>
                <w:p w:rsidR="00D452F6" w:rsidRDefault="00D452F6" w:rsidP="00B47113">
                  <w:pPr>
                    <w:pStyle w:val="DQITableText"/>
                  </w:pPr>
                  <w:r>
                    <w:t xml:space="preserve">AND </w:t>
                  </w:r>
                  <w:r w:rsidRPr="00BB2A7E">
                    <w:t>N</w:t>
                  </w:r>
                  <w:r>
                    <w:t>o.</w:t>
                  </w:r>
                  <w:r w:rsidRPr="00BB2A7E">
                    <w:t xml:space="preserve"> of other persons injured</w:t>
                  </w:r>
                  <w:r>
                    <w:t xml:space="preserve"> (</w:t>
                  </w:r>
                  <w:proofErr w:type="spellStart"/>
                  <w:r>
                    <w:t>D2</w:t>
                  </w:r>
                  <w:proofErr w:type="spellEnd"/>
                  <w:r>
                    <w:t>)&gt;=1, Fatalities (</w:t>
                  </w:r>
                  <w:proofErr w:type="spellStart"/>
                  <w:r>
                    <w:t>D4</w:t>
                  </w:r>
                  <w:proofErr w:type="spellEnd"/>
                  <w:r>
                    <w:t>) &gt;=1, Rescued is (</w:t>
                  </w:r>
                  <w:proofErr w:type="spellStart"/>
                  <w:r>
                    <w:t>D5</w:t>
                  </w:r>
                  <w:proofErr w:type="spellEnd"/>
                  <w:r>
                    <w:t>) &gt;=1</w:t>
                  </w:r>
                </w:p>
              </w:tc>
            </w:tr>
            <w:tr w:rsidR="00D452F6" w:rsidTr="007511E6">
              <w:tc>
                <w:tcPr>
                  <w:tcW w:w="405" w:type="pct"/>
                  <w:vAlign w:val="center"/>
                </w:tcPr>
                <w:p w:rsidR="00D452F6" w:rsidRDefault="00D452F6" w:rsidP="00B47113">
                  <w:pPr>
                    <w:pStyle w:val="DQIRowHeadings"/>
                  </w:pPr>
                  <w:r>
                    <w:t>NT</w:t>
                  </w:r>
                </w:p>
              </w:tc>
              <w:tc>
                <w:tcPr>
                  <w:tcW w:w="4595" w:type="pct"/>
                  <w:vAlign w:val="center"/>
                </w:tcPr>
                <w:p w:rsidR="00D452F6" w:rsidRDefault="00D452F6" w:rsidP="00B47113">
                  <w:pPr>
                    <w:pStyle w:val="DQITableText"/>
                  </w:pPr>
                  <w:r>
                    <w:t>No further details</w:t>
                  </w:r>
                </w:p>
              </w:tc>
            </w:tr>
          </w:tbl>
          <w:p w:rsidR="00B571E7" w:rsidRDefault="00B571E7" w:rsidP="007511E6">
            <w:pPr>
              <w:pStyle w:val="Box"/>
            </w:pPr>
          </w:p>
        </w:tc>
      </w:tr>
      <w:tr w:rsidR="00B571E7" w:rsidTr="007511E6">
        <w:trPr>
          <w:cantSplit/>
        </w:trPr>
        <w:tc>
          <w:tcPr>
            <w:tcW w:w="8771" w:type="dxa"/>
            <w:tcBorders>
              <w:top w:val="nil"/>
              <w:left w:val="nil"/>
              <w:bottom w:val="nil"/>
              <w:right w:val="nil"/>
            </w:tcBorders>
            <w:shd w:val="clear" w:color="auto" w:fill="auto"/>
          </w:tcPr>
          <w:p w:rsidR="00B571E7" w:rsidRDefault="00B571E7" w:rsidP="007511E6">
            <w:pPr>
              <w:pStyle w:val="Source"/>
            </w:pPr>
            <w:r>
              <w:rPr>
                <w:i/>
              </w:rPr>
              <w:t>Source</w:t>
            </w:r>
            <w:r>
              <w:t>: State and Territory governments.</w:t>
            </w:r>
          </w:p>
        </w:tc>
      </w:tr>
      <w:tr w:rsidR="00B571E7" w:rsidTr="007511E6">
        <w:trPr>
          <w:cantSplit/>
        </w:trPr>
        <w:tc>
          <w:tcPr>
            <w:tcW w:w="8771" w:type="dxa"/>
            <w:tcBorders>
              <w:top w:val="nil"/>
              <w:left w:val="nil"/>
              <w:bottom w:val="single" w:sz="6" w:space="0" w:color="78A22F"/>
              <w:right w:val="nil"/>
            </w:tcBorders>
            <w:shd w:val="clear" w:color="auto" w:fill="auto"/>
          </w:tcPr>
          <w:p w:rsidR="00B571E7" w:rsidRDefault="00B571E7" w:rsidP="00D452F6">
            <w:pPr>
              <w:pStyle w:val="Box"/>
              <w:keepNext w:val="0"/>
              <w:spacing w:before="0" w:line="120" w:lineRule="exact"/>
            </w:pPr>
          </w:p>
        </w:tc>
      </w:tr>
    </w:tbl>
    <w:p w:rsidR="004F74EE" w:rsidRPr="00F11620" w:rsidRDefault="00EE788F" w:rsidP="00F11620">
      <w:pPr>
        <w:pStyle w:val="Heading3"/>
      </w:pPr>
      <w:bookmarkStart w:id="41" w:name="_Toc405885735"/>
      <w:r w:rsidRPr="00F11620">
        <w:lastRenderedPageBreak/>
        <w:t>Fire risk prevention/mitigation activities</w:t>
      </w:r>
      <w:bookmarkEnd w:id="41"/>
    </w:p>
    <w:p w:rsidR="00EE788F" w:rsidRPr="00F11620" w:rsidRDefault="00EE788F" w:rsidP="00F11620">
      <w:pPr>
        <w:pStyle w:val="Heading4"/>
      </w:pPr>
      <w:bookmarkStart w:id="42" w:name="_Toc405885736"/>
      <w:r w:rsidRPr="00F11620">
        <w:t>Accidental residential structure fires per 100 000 households</w:t>
      </w:r>
      <w:bookmarkEnd w:id="42"/>
    </w:p>
    <w:p w:rsidR="004F74EE" w:rsidRDefault="004F74EE" w:rsidP="004F74EE">
      <w:pPr>
        <w:pStyle w:val="Box"/>
      </w:pPr>
      <w:r w:rsidRPr="0001794F">
        <w:t xml:space="preserve">Data quality information for this indicator has been drafted by the </w:t>
      </w:r>
      <w:r>
        <w:t>Emergency Management</w:t>
      </w:r>
      <w:r w:rsidRPr="0001794F">
        <w:t xml:space="preserve"> </w:t>
      </w:r>
      <w:r>
        <w:t xml:space="preserve">Working Group </w:t>
      </w:r>
      <w:r w:rsidRPr="0001794F">
        <w:t xml:space="preserve">in consultation with </w:t>
      </w:r>
      <w:r w:rsidRPr="007E3FDC">
        <w:t>the Australasian Fire and Emergency Se</w:t>
      </w:r>
      <w:r>
        <w:t>rvice Authorities Council (</w:t>
      </w:r>
      <w:proofErr w:type="spellStart"/>
      <w:r>
        <w:t>AFAC</w:t>
      </w:r>
      <w:proofErr w:type="spellEnd"/>
      <w:r w:rsidRPr="0024018B">
        <w:t>)</w:t>
      </w:r>
      <w:r w:rsidRPr="0001794F">
        <w:t>, with additional Steering Committee comments.</w:t>
      </w:r>
    </w:p>
    <w:tbl>
      <w:tblPr>
        <w:tblW w:w="4984" w:type="pct"/>
        <w:jc w:val="center"/>
        <w:tblLayout w:type="fixed"/>
        <w:tblCellMar>
          <w:top w:w="28" w:type="dxa"/>
          <w:left w:w="28" w:type="dxa"/>
          <w:bottom w:w="28" w:type="dxa"/>
          <w:right w:w="28" w:type="dxa"/>
        </w:tblCellMar>
        <w:tblLook w:val="01E0" w:firstRow="1" w:lastRow="1" w:firstColumn="1" w:lastColumn="1" w:noHBand="0" w:noVBand="0"/>
      </w:tblPr>
      <w:tblGrid>
        <w:gridCol w:w="1393"/>
        <w:gridCol w:w="10"/>
        <w:gridCol w:w="7160"/>
      </w:tblGrid>
      <w:tr w:rsidR="004F74EE" w:rsidTr="00213A62">
        <w:trPr>
          <w:jc w:val="center"/>
        </w:trPr>
        <w:tc>
          <w:tcPr>
            <w:tcW w:w="5000" w:type="pct"/>
            <w:gridSpan w:val="3"/>
            <w:tcBorders>
              <w:left w:val="nil"/>
              <w:bottom w:val="nil"/>
              <w:right w:val="nil"/>
            </w:tcBorders>
          </w:tcPr>
          <w:p w:rsidR="004F74EE" w:rsidRDefault="004F74EE" w:rsidP="00EE788F">
            <w:pPr>
              <w:pStyle w:val="DQIMainRowHeadings"/>
            </w:pPr>
            <w:r>
              <w:t xml:space="preserve">Indicator definition and description </w:t>
            </w:r>
          </w:p>
        </w:tc>
      </w:tr>
      <w:tr w:rsidR="004F74EE" w:rsidTr="00213A62">
        <w:trPr>
          <w:jc w:val="center"/>
        </w:trPr>
        <w:tc>
          <w:tcPr>
            <w:tcW w:w="813" w:type="pct"/>
            <w:tcBorders>
              <w:left w:val="nil"/>
              <w:bottom w:val="nil"/>
              <w:right w:val="nil"/>
            </w:tcBorders>
            <w:hideMark/>
          </w:tcPr>
          <w:p w:rsidR="004F74EE" w:rsidRDefault="004F74EE" w:rsidP="00AB6309">
            <w:pPr>
              <w:pStyle w:val="DQIRowHeadings"/>
              <w:rPr>
                <w:b w:val="0"/>
              </w:rPr>
            </w:pPr>
            <w:r w:rsidRPr="00162EBE">
              <w:t>Element</w:t>
            </w:r>
          </w:p>
        </w:tc>
        <w:tc>
          <w:tcPr>
            <w:tcW w:w="4187" w:type="pct"/>
            <w:gridSpan w:val="2"/>
            <w:tcBorders>
              <w:left w:val="nil"/>
              <w:bottom w:val="nil"/>
              <w:right w:val="nil"/>
            </w:tcBorders>
            <w:hideMark/>
          </w:tcPr>
          <w:p w:rsidR="004F74EE" w:rsidRDefault="00180ECD" w:rsidP="00AB6309">
            <w:pPr>
              <w:pStyle w:val="DQITableText"/>
            </w:pPr>
            <w:r>
              <w:t>Equity/effectiveness — Prevention/mitigation</w:t>
            </w:r>
          </w:p>
        </w:tc>
      </w:tr>
      <w:tr w:rsidR="004F74EE" w:rsidTr="00213A62">
        <w:trPr>
          <w:jc w:val="center"/>
        </w:trPr>
        <w:tc>
          <w:tcPr>
            <w:tcW w:w="813" w:type="pct"/>
            <w:hideMark/>
          </w:tcPr>
          <w:p w:rsidR="004F74EE" w:rsidRDefault="004F74EE" w:rsidP="00AB6309">
            <w:pPr>
              <w:pStyle w:val="DQIRowHeadings"/>
            </w:pPr>
            <w:r>
              <w:t>Indicator</w:t>
            </w:r>
          </w:p>
        </w:tc>
        <w:tc>
          <w:tcPr>
            <w:tcW w:w="4187" w:type="pct"/>
            <w:gridSpan w:val="2"/>
            <w:hideMark/>
          </w:tcPr>
          <w:p w:rsidR="004F74EE" w:rsidRDefault="00EE788F" w:rsidP="00AB6309">
            <w:pPr>
              <w:pStyle w:val="DQITableText"/>
            </w:pPr>
            <w:r w:rsidRPr="00EE788F">
              <w:t>Fire risk prevention/mitigation activities</w:t>
            </w:r>
          </w:p>
        </w:tc>
      </w:tr>
      <w:tr w:rsidR="004F74EE" w:rsidTr="00213A62">
        <w:trPr>
          <w:jc w:val="center"/>
        </w:trPr>
        <w:tc>
          <w:tcPr>
            <w:tcW w:w="813" w:type="pct"/>
          </w:tcPr>
          <w:p w:rsidR="004F74EE" w:rsidRDefault="004F74EE" w:rsidP="00AB6309">
            <w:pPr>
              <w:pStyle w:val="DQIRowHeadings"/>
              <w:rPr>
                <w:b w:val="0"/>
              </w:rPr>
            </w:pPr>
            <w:r>
              <w:t xml:space="preserve">Measures </w:t>
            </w:r>
          </w:p>
        </w:tc>
        <w:tc>
          <w:tcPr>
            <w:tcW w:w="4187" w:type="pct"/>
            <w:gridSpan w:val="2"/>
          </w:tcPr>
          <w:p w:rsidR="004F74EE" w:rsidRDefault="004F74EE" w:rsidP="00F13FEB">
            <w:pPr>
              <w:pStyle w:val="DQITableText"/>
            </w:pPr>
            <w:r>
              <w:t xml:space="preserve">Accidental </w:t>
            </w:r>
            <w:r w:rsidRPr="00162EBE">
              <w:t>residential</w:t>
            </w:r>
            <w:r>
              <w:t xml:space="preserve"> structure fires is defined as those fires that are not deliberately lit and with effective educational programs can be reduced and prevented from occurring in the first instance</w:t>
            </w:r>
            <w:r w:rsidR="00F13FEB">
              <w:t>.</w:t>
            </w:r>
          </w:p>
          <w:p w:rsidR="004F74EE" w:rsidRDefault="004F74EE" w:rsidP="00AB6309">
            <w:pPr>
              <w:pStyle w:val="DQITableText"/>
            </w:pPr>
            <w:r>
              <w:t xml:space="preserve">Measures of </w:t>
            </w:r>
            <w:r w:rsidR="00F13FEB" w:rsidRPr="00F13FEB">
              <w:t xml:space="preserve">ignition factors for </w:t>
            </w:r>
            <w:r w:rsidR="00F13FEB">
              <w:t>all structure fire</w:t>
            </w:r>
            <w:r>
              <w:t xml:space="preserve"> incidents attended to by fire service organisations is provided as contextual information.</w:t>
            </w:r>
          </w:p>
          <w:p w:rsidR="004F74EE" w:rsidRDefault="00F13FEB" w:rsidP="00F13FEB">
            <w:pPr>
              <w:pStyle w:val="DQITableText"/>
            </w:pPr>
            <w:r>
              <w:t xml:space="preserve">Accidental </w:t>
            </w:r>
            <w:r w:rsidRPr="00162EBE">
              <w:t>residential</w:t>
            </w:r>
            <w:r>
              <w:t xml:space="preserve"> structure fires per 100 000 households is </w:t>
            </w:r>
            <w:r w:rsidR="004F74EE">
              <w:t>calculated as:</w:t>
            </w:r>
          </w:p>
          <w:tbl>
            <w:tblPr>
              <w:tblStyle w:val="TableGrid"/>
              <w:tblW w:w="6960" w:type="dxa"/>
              <w:tblInd w:w="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28" w:type="dxa"/>
                <w:bottom w:w="28" w:type="dxa"/>
                <w:right w:w="28" w:type="dxa"/>
              </w:tblCellMar>
              <w:tblLook w:val="01E0" w:firstRow="1" w:lastRow="1" w:firstColumn="1" w:lastColumn="1" w:noHBand="0" w:noVBand="0"/>
              <w:tblDescription w:val="More details can be found within the text surrounding this image."/>
            </w:tblPr>
            <w:tblGrid>
              <w:gridCol w:w="1541"/>
              <w:gridCol w:w="5419"/>
            </w:tblGrid>
            <w:tr w:rsidR="004F74EE" w:rsidTr="00AB6309">
              <w:tc>
                <w:tcPr>
                  <w:tcW w:w="1107" w:type="pct"/>
                  <w:vAlign w:val="center"/>
                  <w:hideMark/>
                </w:tcPr>
                <w:p w:rsidR="004F74EE" w:rsidRDefault="004F74EE" w:rsidP="00AB6309">
                  <w:pPr>
                    <w:pStyle w:val="TableBodyText"/>
                    <w:spacing w:after="0"/>
                    <w:ind w:right="0"/>
                    <w:jc w:val="left"/>
                    <w:rPr>
                      <w:b/>
                    </w:rPr>
                  </w:pPr>
                  <w:r>
                    <w:rPr>
                      <w:b/>
                    </w:rPr>
                    <w:t>Numerator:</w:t>
                  </w:r>
                </w:p>
              </w:tc>
              <w:tc>
                <w:tcPr>
                  <w:tcW w:w="3893" w:type="pct"/>
                  <w:vAlign w:val="bottom"/>
                  <w:hideMark/>
                </w:tcPr>
                <w:p w:rsidR="004F74EE" w:rsidRDefault="004F74EE" w:rsidP="00F13FEB">
                  <w:pPr>
                    <w:pStyle w:val="TableBodyText"/>
                    <w:spacing w:after="0"/>
                    <w:jc w:val="center"/>
                    <w:rPr>
                      <w:b/>
                    </w:rPr>
                  </w:pPr>
                  <w:r>
                    <w:rPr>
                      <w:b/>
                    </w:rPr>
                    <w:t xml:space="preserve">the number of </w:t>
                  </w:r>
                  <w:r w:rsidR="00F13FEB">
                    <w:rPr>
                      <w:b/>
                    </w:rPr>
                    <w:t>accidental residential structure fire incidents</w:t>
                  </w:r>
                </w:p>
              </w:tc>
            </w:tr>
            <w:tr w:rsidR="004F74EE" w:rsidTr="00AB6309">
              <w:trPr>
                <w:trHeight w:hRule="exact" w:val="28"/>
              </w:trPr>
              <w:tc>
                <w:tcPr>
                  <w:tcW w:w="1107" w:type="pct"/>
                  <w:vAlign w:val="center"/>
                </w:tcPr>
                <w:p w:rsidR="004F74EE" w:rsidRDefault="004F74EE" w:rsidP="00AB6309">
                  <w:pPr>
                    <w:pStyle w:val="FooterEnd"/>
                    <w:jc w:val="center"/>
                  </w:pPr>
                </w:p>
              </w:tc>
              <w:tc>
                <w:tcPr>
                  <w:tcW w:w="3893" w:type="pct"/>
                  <w:tcBorders>
                    <w:top w:val="nil"/>
                    <w:left w:val="nil"/>
                    <w:bottom w:val="single" w:sz="4" w:space="0" w:color="auto"/>
                    <w:right w:val="nil"/>
                  </w:tcBorders>
                </w:tcPr>
                <w:p w:rsidR="004F74EE" w:rsidRDefault="004F74EE" w:rsidP="00AB6309">
                  <w:pPr>
                    <w:pStyle w:val="FooterEnd"/>
                    <w:jc w:val="center"/>
                  </w:pPr>
                </w:p>
              </w:tc>
            </w:tr>
            <w:tr w:rsidR="004F74EE" w:rsidTr="00AB6309">
              <w:trPr>
                <w:trHeight w:hRule="exact" w:val="28"/>
              </w:trPr>
              <w:tc>
                <w:tcPr>
                  <w:tcW w:w="1107" w:type="pct"/>
                  <w:vAlign w:val="center"/>
                </w:tcPr>
                <w:p w:rsidR="004F74EE" w:rsidRDefault="004F74EE" w:rsidP="00AB6309">
                  <w:pPr>
                    <w:pStyle w:val="FooterEnd"/>
                    <w:jc w:val="center"/>
                  </w:pPr>
                </w:p>
              </w:tc>
              <w:tc>
                <w:tcPr>
                  <w:tcW w:w="3893" w:type="pct"/>
                  <w:tcBorders>
                    <w:top w:val="single" w:sz="4" w:space="0" w:color="auto"/>
                    <w:left w:val="nil"/>
                    <w:bottom w:val="nil"/>
                    <w:right w:val="nil"/>
                  </w:tcBorders>
                </w:tcPr>
                <w:p w:rsidR="004F74EE" w:rsidRDefault="004F74EE" w:rsidP="00AB6309">
                  <w:pPr>
                    <w:pStyle w:val="FooterEnd"/>
                    <w:jc w:val="center"/>
                  </w:pPr>
                </w:p>
              </w:tc>
            </w:tr>
            <w:tr w:rsidR="004F74EE" w:rsidTr="00AB6309">
              <w:tc>
                <w:tcPr>
                  <w:tcW w:w="1107" w:type="pct"/>
                  <w:vAlign w:val="center"/>
                  <w:hideMark/>
                </w:tcPr>
                <w:p w:rsidR="004F74EE" w:rsidRDefault="004F74EE" w:rsidP="00AB6309">
                  <w:pPr>
                    <w:pStyle w:val="TableBodyText"/>
                    <w:ind w:right="-24"/>
                    <w:jc w:val="left"/>
                    <w:rPr>
                      <w:b/>
                    </w:rPr>
                  </w:pPr>
                  <w:r>
                    <w:rPr>
                      <w:b/>
                    </w:rPr>
                    <w:t>Denominator:</w:t>
                  </w:r>
                </w:p>
              </w:tc>
              <w:tc>
                <w:tcPr>
                  <w:tcW w:w="3893" w:type="pct"/>
                  <w:hideMark/>
                </w:tcPr>
                <w:p w:rsidR="004F74EE" w:rsidRDefault="00F13FEB" w:rsidP="00AB6309">
                  <w:pPr>
                    <w:pStyle w:val="TableBodyText"/>
                    <w:jc w:val="center"/>
                    <w:rPr>
                      <w:b/>
                    </w:rPr>
                  </w:pPr>
                  <w:r>
                    <w:rPr>
                      <w:b/>
                    </w:rPr>
                    <w:t xml:space="preserve"> </w:t>
                  </w:r>
                  <w:r w:rsidR="004F74EE">
                    <w:rPr>
                      <w:b/>
                    </w:rPr>
                    <w:t>(number of households)</w:t>
                  </w:r>
                </w:p>
              </w:tc>
            </w:tr>
          </w:tbl>
          <w:p w:rsidR="004F74EE" w:rsidRDefault="004F74EE" w:rsidP="00F13FEB">
            <w:pPr>
              <w:pStyle w:val="DQITableText"/>
              <w:rPr>
                <w:lang w:val="en-US"/>
              </w:rPr>
            </w:pPr>
            <w:r>
              <w:t>Accidental residential structure fires are where the</w:t>
            </w:r>
            <w:r>
              <w:rPr>
                <w:lang w:val="en-US"/>
              </w:rPr>
              <w:t xml:space="preserve"> Type of Incident is a </w:t>
            </w:r>
            <w:r>
              <w:rPr>
                <w:i/>
                <w:lang w:val="en-US"/>
              </w:rPr>
              <w:t>building fire</w:t>
            </w:r>
            <w:r>
              <w:rPr>
                <w:lang w:val="en-US"/>
              </w:rPr>
              <w:t>:</w:t>
            </w:r>
          </w:p>
          <w:p w:rsidR="004F74EE" w:rsidRDefault="004F74EE" w:rsidP="00AB6309">
            <w:pPr>
              <w:pStyle w:val="DQITableBullet2"/>
              <w:numPr>
                <w:ilvl w:val="0"/>
                <w:numId w:val="0"/>
              </w:numPr>
              <w:ind w:left="510"/>
              <w:rPr>
                <w:lang w:val="en-US"/>
              </w:rPr>
            </w:pPr>
            <w:r>
              <w:rPr>
                <w:lang w:val="en-US"/>
              </w:rPr>
              <w:t>[</w:t>
            </w:r>
            <w:proofErr w:type="spellStart"/>
            <w:r>
              <w:rPr>
                <w:lang w:val="en-US"/>
              </w:rPr>
              <w:t>A23</w:t>
            </w:r>
            <w:proofErr w:type="spellEnd"/>
            <w:r>
              <w:rPr>
                <w:lang w:val="en-US"/>
              </w:rPr>
              <w:t xml:space="preserve"> = Division 1 (codes 110 to 129 inclusive)]</w:t>
            </w:r>
          </w:p>
          <w:p w:rsidR="004F74EE" w:rsidRDefault="004F74EE" w:rsidP="00AB6309">
            <w:pPr>
              <w:pStyle w:val="DQITableBullet2"/>
              <w:numPr>
                <w:ilvl w:val="0"/>
                <w:numId w:val="0"/>
              </w:numPr>
              <w:ind w:left="510"/>
              <w:rPr>
                <w:lang w:val="en-US"/>
              </w:rPr>
            </w:pPr>
            <w:r>
              <w:rPr>
                <w:lang w:val="en-US"/>
              </w:rPr>
              <w:t>AND</w:t>
            </w:r>
            <w:r>
              <w:rPr>
                <w:lang w:val="en-US"/>
              </w:rPr>
              <w:tab/>
              <w:t xml:space="preserve">the Fixed property use is </w:t>
            </w:r>
            <w:r>
              <w:rPr>
                <w:i/>
                <w:lang w:val="en-US"/>
              </w:rPr>
              <w:t>residential</w:t>
            </w:r>
            <w:r>
              <w:rPr>
                <w:lang w:val="en-US"/>
              </w:rPr>
              <w:t>: [</w:t>
            </w:r>
            <w:proofErr w:type="spellStart"/>
            <w:r>
              <w:rPr>
                <w:lang w:val="en-US"/>
              </w:rPr>
              <w:t>A20</w:t>
            </w:r>
            <w:proofErr w:type="spellEnd"/>
            <w:r>
              <w:rPr>
                <w:lang w:val="en-US"/>
              </w:rPr>
              <w:t xml:space="preserve"> = 410 to 439 inclusive]</w:t>
            </w:r>
          </w:p>
          <w:p w:rsidR="004F74EE" w:rsidRDefault="004F74EE" w:rsidP="00AB6309">
            <w:pPr>
              <w:pStyle w:val="DQITableBullet2"/>
              <w:numPr>
                <w:ilvl w:val="0"/>
                <w:numId w:val="0"/>
              </w:numPr>
              <w:ind w:left="510"/>
              <w:rPr>
                <w:lang w:val="en-US"/>
              </w:rPr>
            </w:pPr>
            <w:r>
              <w:rPr>
                <w:lang w:val="en-US"/>
              </w:rPr>
              <w:t>AND</w:t>
            </w:r>
            <w:r>
              <w:rPr>
                <w:lang w:val="en-US"/>
              </w:rPr>
              <w:tab/>
              <w:t xml:space="preserve">Ignition factor is </w:t>
            </w:r>
            <w:r>
              <w:rPr>
                <w:i/>
                <w:lang w:val="en-US"/>
              </w:rPr>
              <w:t>accidental</w:t>
            </w:r>
            <w:r>
              <w:rPr>
                <w:lang w:val="en-US"/>
              </w:rPr>
              <w:t>: [</w:t>
            </w:r>
            <w:proofErr w:type="spellStart"/>
            <w:r>
              <w:rPr>
                <w:lang w:val="en-US"/>
              </w:rPr>
              <w:t>E05</w:t>
            </w:r>
            <w:proofErr w:type="spellEnd"/>
            <w:r>
              <w:rPr>
                <w:lang w:val="en-US"/>
              </w:rPr>
              <w:t xml:space="preserve"> = codes 300 to 790 inclusive]</w:t>
            </w:r>
          </w:p>
          <w:p w:rsidR="004F74EE" w:rsidRDefault="004F74EE" w:rsidP="00AB6309">
            <w:pPr>
              <w:pStyle w:val="DQITableBullet2"/>
              <w:numPr>
                <w:ilvl w:val="0"/>
                <w:numId w:val="0"/>
              </w:numPr>
              <w:ind w:left="510"/>
              <w:rPr>
                <w:u w:val="single"/>
              </w:rPr>
            </w:pPr>
            <w:r>
              <w:rPr>
                <w:lang w:val="en-US"/>
              </w:rPr>
              <w:t>AND</w:t>
            </w:r>
            <w:r>
              <w:rPr>
                <w:lang w:val="en-US"/>
              </w:rPr>
              <w:tab/>
              <w:t xml:space="preserve">Area of fire origin is within a </w:t>
            </w:r>
            <w:r>
              <w:rPr>
                <w:i/>
                <w:lang w:val="en-US"/>
              </w:rPr>
              <w:t>structure</w:t>
            </w:r>
            <w:r>
              <w:rPr>
                <w:lang w:val="en-US"/>
              </w:rPr>
              <w:t>: [</w:t>
            </w:r>
            <w:proofErr w:type="spellStart"/>
            <w:r>
              <w:rPr>
                <w:lang w:val="en-US"/>
              </w:rPr>
              <w:t>E01</w:t>
            </w:r>
            <w:proofErr w:type="spellEnd"/>
            <w:r>
              <w:rPr>
                <w:lang w:val="en-US"/>
              </w:rPr>
              <w:t xml:space="preserve"> = codes 01 to 79].</w:t>
            </w:r>
            <w:r>
              <w:rPr>
                <w:u w:val="single"/>
                <w:lang w:val="en-US"/>
              </w:rPr>
              <w:t xml:space="preserve"> </w:t>
            </w:r>
          </w:p>
          <w:p w:rsidR="004F74EE" w:rsidRDefault="004F74EE" w:rsidP="00F13FEB">
            <w:pPr>
              <w:pStyle w:val="DQITableText"/>
              <w:rPr>
                <w:lang w:val="en-US"/>
              </w:rPr>
            </w:pPr>
            <w:r>
              <w:t xml:space="preserve">Ignition factors for structure fires is </w:t>
            </w:r>
            <w:r>
              <w:rPr>
                <w:lang w:val="en-US"/>
              </w:rPr>
              <w:t xml:space="preserve">Type of Incident is a </w:t>
            </w:r>
            <w:r>
              <w:rPr>
                <w:i/>
                <w:lang w:val="en-US"/>
              </w:rPr>
              <w:t>building fire</w:t>
            </w:r>
            <w:r>
              <w:rPr>
                <w:lang w:val="en-US"/>
              </w:rPr>
              <w:t>:</w:t>
            </w:r>
          </w:p>
          <w:p w:rsidR="004F74EE" w:rsidRDefault="004F74EE" w:rsidP="00AB6309">
            <w:pPr>
              <w:pStyle w:val="DQITableBullet2"/>
              <w:numPr>
                <w:ilvl w:val="0"/>
                <w:numId w:val="0"/>
              </w:numPr>
              <w:ind w:left="510"/>
              <w:rPr>
                <w:lang w:val="en-US"/>
              </w:rPr>
            </w:pPr>
            <w:proofErr w:type="spellStart"/>
            <w:r>
              <w:rPr>
                <w:lang w:val="en-US"/>
              </w:rPr>
              <w:t>A23</w:t>
            </w:r>
            <w:proofErr w:type="spellEnd"/>
            <w:r>
              <w:rPr>
                <w:lang w:val="en-US"/>
              </w:rPr>
              <w:t xml:space="preserve"> = Division 1 (codes 110 to 129 inclusive)</w:t>
            </w:r>
          </w:p>
          <w:p w:rsidR="004F74EE" w:rsidRPr="00F13FEB" w:rsidRDefault="004F74EE" w:rsidP="00AB6309">
            <w:pPr>
              <w:pStyle w:val="DQITableBullet2"/>
              <w:numPr>
                <w:ilvl w:val="0"/>
                <w:numId w:val="0"/>
              </w:numPr>
              <w:ind w:left="510"/>
              <w:rPr>
                <w:lang w:val="en-US"/>
              </w:rPr>
            </w:pPr>
            <w:r>
              <w:rPr>
                <w:lang w:val="en-US"/>
              </w:rPr>
              <w:t>CODED by Ignition factor: [</w:t>
            </w:r>
            <w:proofErr w:type="spellStart"/>
            <w:r>
              <w:rPr>
                <w:lang w:val="en-US"/>
              </w:rPr>
              <w:t>E05</w:t>
            </w:r>
            <w:proofErr w:type="spellEnd"/>
            <w:r>
              <w:rPr>
                <w:lang w:val="en-US"/>
              </w:rPr>
              <w:t xml:space="preserve"> = all codes]</w:t>
            </w:r>
            <w:r w:rsidR="00F13FEB">
              <w:rPr>
                <w:lang w:val="en-US"/>
              </w:rPr>
              <w:t>.</w:t>
            </w:r>
            <w:r>
              <w:rPr>
                <w:u w:val="single"/>
                <w:lang w:val="en-US"/>
              </w:rPr>
              <w:t xml:space="preserve"> </w:t>
            </w:r>
          </w:p>
        </w:tc>
      </w:tr>
      <w:tr w:rsidR="004F74EE" w:rsidTr="00213A62">
        <w:trPr>
          <w:cantSplit/>
          <w:jc w:val="center"/>
        </w:trPr>
        <w:tc>
          <w:tcPr>
            <w:tcW w:w="813" w:type="pct"/>
            <w:hideMark/>
          </w:tcPr>
          <w:p w:rsidR="004F74EE" w:rsidRDefault="004F74EE" w:rsidP="00F13FEB">
            <w:pPr>
              <w:pStyle w:val="DQIRowHeadings"/>
            </w:pPr>
            <w:r>
              <w:t>Data source</w:t>
            </w:r>
          </w:p>
        </w:tc>
        <w:tc>
          <w:tcPr>
            <w:tcW w:w="4187" w:type="pct"/>
            <w:gridSpan w:val="2"/>
            <w:hideMark/>
          </w:tcPr>
          <w:p w:rsidR="004F74EE" w:rsidRPr="00F13FEB" w:rsidRDefault="004F74EE" w:rsidP="00F13FEB">
            <w:pPr>
              <w:pStyle w:val="DQITableText"/>
              <w:rPr>
                <w:u w:val="single"/>
              </w:rPr>
            </w:pPr>
            <w:r w:rsidRPr="00F13FEB">
              <w:rPr>
                <w:u w:val="single"/>
              </w:rPr>
              <w:t>Numerator</w:t>
            </w:r>
          </w:p>
          <w:p w:rsidR="004F74EE" w:rsidRDefault="004F74EE" w:rsidP="00F13FEB">
            <w:pPr>
              <w:pStyle w:val="DQITableText"/>
            </w:pPr>
            <w:r>
              <w:t xml:space="preserve">State and Territory governments. The Secretariat collects data directly from all jurisdictions. Within each jurisdiction, fire service and emergency services organisations collect and compile data. </w:t>
            </w:r>
          </w:p>
          <w:p w:rsidR="004F74EE" w:rsidRPr="00F13FEB" w:rsidRDefault="004F74EE" w:rsidP="00F13FEB">
            <w:pPr>
              <w:pStyle w:val="DQITableText"/>
              <w:rPr>
                <w:u w:val="single"/>
              </w:rPr>
            </w:pPr>
            <w:r w:rsidRPr="00F13FEB">
              <w:rPr>
                <w:u w:val="single"/>
              </w:rPr>
              <w:t>Denominator</w:t>
            </w:r>
          </w:p>
          <w:p w:rsidR="004F74EE" w:rsidRDefault="004F74EE" w:rsidP="00F13FEB">
            <w:pPr>
              <w:pStyle w:val="DQITableText"/>
            </w:pPr>
            <w:r>
              <w:t xml:space="preserve">Households: </w:t>
            </w:r>
            <w:r>
              <w:rPr>
                <w:i/>
              </w:rPr>
              <w:t>Australian Demographic Statistics</w:t>
            </w:r>
            <w:r>
              <w:t>, Cat. no. 3101.0</w:t>
            </w:r>
            <w:r w:rsidR="00F13FEB">
              <w:t xml:space="preserve"> (table </w:t>
            </w:r>
            <w:proofErr w:type="spellStart"/>
            <w:r w:rsidR="00F13FEB">
              <w:t>2A.10</w:t>
            </w:r>
            <w:proofErr w:type="spellEnd"/>
            <w:r w:rsidR="00F13FEB">
              <w:t>)</w:t>
            </w:r>
            <w:r>
              <w:t>.</w:t>
            </w:r>
          </w:p>
        </w:tc>
      </w:tr>
      <w:tr w:rsidR="004F74EE" w:rsidTr="00213A62">
        <w:trPr>
          <w:cantSplit/>
          <w:jc w:val="center"/>
        </w:trPr>
        <w:tc>
          <w:tcPr>
            <w:tcW w:w="5000" w:type="pct"/>
            <w:gridSpan w:val="3"/>
            <w:hideMark/>
          </w:tcPr>
          <w:p w:rsidR="004F74EE" w:rsidRDefault="004F74EE" w:rsidP="00F13FEB">
            <w:pPr>
              <w:pStyle w:val="DQIMainRowHeadings"/>
              <w:rPr>
                <w:rFonts w:cs="Arial"/>
                <w:sz w:val="22"/>
                <w:szCs w:val="22"/>
              </w:rPr>
            </w:pPr>
            <w:r>
              <w:rPr>
                <w:sz w:val="24"/>
              </w:rPr>
              <w:br w:type="page"/>
            </w:r>
            <w:r>
              <w:rPr>
                <w:sz w:val="24"/>
              </w:rPr>
              <w:br w:type="page"/>
            </w:r>
            <w:r>
              <w:t>Data Quality Framework dimensions</w:t>
            </w:r>
          </w:p>
        </w:tc>
      </w:tr>
      <w:tr w:rsidR="004F74EE" w:rsidTr="00213A62">
        <w:trPr>
          <w:jc w:val="center"/>
        </w:trPr>
        <w:tc>
          <w:tcPr>
            <w:tcW w:w="819" w:type="pct"/>
            <w:gridSpan w:val="2"/>
            <w:hideMark/>
          </w:tcPr>
          <w:p w:rsidR="004F74EE" w:rsidRDefault="004F74EE" w:rsidP="00F13FEB">
            <w:pPr>
              <w:pStyle w:val="DQIRowHeadings"/>
            </w:pPr>
            <w:r>
              <w:t>Institutional environment</w:t>
            </w:r>
          </w:p>
        </w:tc>
        <w:tc>
          <w:tcPr>
            <w:tcW w:w="4181" w:type="pct"/>
            <w:hideMark/>
          </w:tcPr>
          <w:p w:rsidR="004F74EE" w:rsidRDefault="004F74EE" w:rsidP="00F13FEB">
            <w:pPr>
              <w:pStyle w:val="DQITableText"/>
            </w:pPr>
            <w:r>
              <w:t>Fire incident data are collected by fire and emergency service organisations in each State and Territory according to the Australian Incident Reporting System (AIRS).</w:t>
            </w:r>
          </w:p>
          <w:p w:rsidR="004F74EE" w:rsidRDefault="004F74EE" w:rsidP="00F13FEB">
            <w:pPr>
              <w:pStyle w:val="DQITableText"/>
            </w:pPr>
            <w:r>
              <w:t>The AIRS is a nationally agreed data standard. It takes a systematic approach to collecting, recording and reporting information about responses to incidents and emergencies attended primarily by fire services. It provides a standard for the structure, definitions and integrity of the data collected.</w:t>
            </w:r>
          </w:p>
          <w:p w:rsidR="004F74EE" w:rsidRDefault="004F74EE" w:rsidP="00F13FEB">
            <w:pPr>
              <w:pStyle w:val="DQITableText"/>
            </w:pPr>
            <w:r>
              <w:t xml:space="preserve">The </w:t>
            </w:r>
            <w:proofErr w:type="spellStart"/>
            <w:r w:rsidR="00123F82">
              <w:t>AFAC</w:t>
            </w:r>
            <w:proofErr w:type="spellEnd"/>
            <w:r w:rsidR="00123F82">
              <w:t xml:space="preserve"> </w:t>
            </w:r>
            <w:r w:rsidR="003D0EC2" w:rsidRPr="003D0EC2">
              <w:t xml:space="preserve">Australian Incident Reporting System </w:t>
            </w:r>
            <w:r w:rsidR="003D0EC2">
              <w:t>(</w:t>
            </w:r>
            <w:r w:rsidR="00123F82">
              <w:t>AIRS</w:t>
            </w:r>
            <w:r w:rsidR="003D0EC2">
              <w:t xml:space="preserve">) </w:t>
            </w:r>
            <w:r w:rsidR="00123F82">
              <w:t>User Network</w:t>
            </w:r>
            <w:r>
              <w:t xml:space="preserve"> is responsible for sustaining the production and currency of AIRS data and support the continued development of data requirements to ensure consistent and reliable methods of data collection, compilation and analysis can be applied throughout member agencies. For further information about the </w:t>
            </w:r>
            <w:proofErr w:type="spellStart"/>
            <w:r>
              <w:t>AFAC</w:t>
            </w:r>
            <w:proofErr w:type="spellEnd"/>
            <w:r>
              <w:t xml:space="preserve"> knowledge data base see the </w:t>
            </w:r>
            <w:proofErr w:type="spellStart"/>
            <w:r>
              <w:t>AFAC</w:t>
            </w:r>
            <w:proofErr w:type="spellEnd"/>
            <w:r>
              <w:t xml:space="preserve"> </w:t>
            </w:r>
            <w:r w:rsidRPr="004A1422">
              <w:t>National Data and Glossary</w:t>
            </w:r>
            <w:r>
              <w:t>.</w:t>
            </w:r>
          </w:p>
          <w:p w:rsidR="004F74EE" w:rsidRDefault="004F74EE" w:rsidP="00F13FEB">
            <w:pPr>
              <w:pStyle w:val="DQITableText"/>
            </w:pPr>
            <w:r>
              <w:t xml:space="preserve">Not all of the contributing fire and emergency services collect all of the data because each fire service has different legislated roles and responsibilities, environments and history of reporting and therefore have developed processes relevant to their business. </w:t>
            </w:r>
            <w:r>
              <w:lastRenderedPageBreak/>
              <w:t>In addition, m</w:t>
            </w:r>
            <w:r w:rsidRPr="003A69D4">
              <w:t>any land management agencies do not record their response to fires according to the AIRS</w:t>
            </w:r>
            <w:r>
              <w:t>.</w:t>
            </w:r>
          </w:p>
          <w:p w:rsidR="004F74EE" w:rsidRDefault="004F74EE" w:rsidP="00F13FEB">
            <w:pPr>
              <w:pStyle w:val="DQITableText"/>
            </w:pPr>
            <w:r>
              <w:t>The data are requested and submitted to the Secretariat in accordance with the authority of the terms of reference of the Review of Government Service Provision.</w:t>
            </w:r>
          </w:p>
        </w:tc>
      </w:tr>
      <w:tr w:rsidR="004F74EE" w:rsidTr="00213A62">
        <w:trPr>
          <w:cantSplit/>
          <w:jc w:val="center"/>
        </w:trPr>
        <w:tc>
          <w:tcPr>
            <w:tcW w:w="819" w:type="pct"/>
            <w:gridSpan w:val="2"/>
            <w:hideMark/>
          </w:tcPr>
          <w:p w:rsidR="004F74EE" w:rsidRDefault="004F74EE" w:rsidP="00F13FEB">
            <w:pPr>
              <w:pStyle w:val="DQIRowHeadings"/>
              <w:rPr>
                <w:szCs w:val="22"/>
              </w:rPr>
            </w:pPr>
            <w:r>
              <w:rPr>
                <w:szCs w:val="22"/>
              </w:rPr>
              <w:lastRenderedPageBreak/>
              <w:t>Relevance</w:t>
            </w:r>
          </w:p>
        </w:tc>
        <w:tc>
          <w:tcPr>
            <w:tcW w:w="4181" w:type="pct"/>
            <w:hideMark/>
          </w:tcPr>
          <w:p w:rsidR="004F74EE" w:rsidRDefault="004F74EE" w:rsidP="00F13FEB">
            <w:pPr>
              <w:pStyle w:val="DQITableText"/>
            </w:pPr>
            <w:r>
              <w:t>‘</w:t>
            </w:r>
            <w:r w:rsidR="00F13FEB">
              <w:t xml:space="preserve">Accidental </w:t>
            </w:r>
            <w:r w:rsidR="00F13FEB" w:rsidRPr="00162EBE">
              <w:t>residential</w:t>
            </w:r>
            <w:r w:rsidR="00F13FEB">
              <w:t xml:space="preserve"> structure fires per 100 000 households</w:t>
            </w:r>
            <w:r>
              <w:t xml:space="preserve">’ is an indicator of governments’ objective to manage the risk of fires by preventing/reducing the number of structure, landscape and other fires. </w:t>
            </w:r>
          </w:p>
          <w:p w:rsidR="004F74EE" w:rsidRPr="00741F17" w:rsidRDefault="004F74EE" w:rsidP="00F13FEB">
            <w:pPr>
              <w:pStyle w:val="DQITableText"/>
            </w:pPr>
            <w:r w:rsidRPr="00741F17">
              <w:t>Fire service organisations respond to all reported fires within emergency response areas.</w:t>
            </w:r>
            <w:r>
              <w:t xml:space="preserve"> </w:t>
            </w:r>
            <w:r w:rsidRPr="003A69D4">
              <w:t>Fire agencies may choose to manage some landscape fires (rather than fight the fire), particularly in remote areas</w:t>
            </w:r>
          </w:p>
          <w:p w:rsidR="004F74EE" w:rsidRDefault="004F74EE" w:rsidP="00F13FEB">
            <w:pPr>
              <w:pStyle w:val="DQITableText"/>
            </w:pPr>
            <w:r>
              <w:t>A lower or decreasing number of fire incidents, adjusted for population/households, indicates a better community outcome. Higher or increasing proportions of fire incidents indicate higher emergency response workloads.</w:t>
            </w:r>
          </w:p>
        </w:tc>
      </w:tr>
      <w:tr w:rsidR="004F74EE" w:rsidTr="00213A62">
        <w:trPr>
          <w:cantSplit/>
          <w:jc w:val="center"/>
        </w:trPr>
        <w:tc>
          <w:tcPr>
            <w:tcW w:w="819" w:type="pct"/>
            <w:gridSpan w:val="2"/>
            <w:hideMark/>
          </w:tcPr>
          <w:p w:rsidR="004F74EE" w:rsidRDefault="004F74EE" w:rsidP="00F13FEB">
            <w:pPr>
              <w:pStyle w:val="DQIRowHeadings"/>
              <w:rPr>
                <w:szCs w:val="22"/>
              </w:rPr>
            </w:pPr>
            <w:r>
              <w:rPr>
                <w:szCs w:val="22"/>
              </w:rPr>
              <w:t>Timeliness</w:t>
            </w:r>
          </w:p>
        </w:tc>
        <w:tc>
          <w:tcPr>
            <w:tcW w:w="4181" w:type="pct"/>
            <w:hideMark/>
          </w:tcPr>
          <w:p w:rsidR="004F74EE" w:rsidRDefault="004F74EE" w:rsidP="007F6100">
            <w:pPr>
              <w:pStyle w:val="DQITableText"/>
            </w:pPr>
            <w:r>
              <w:t>Fire incident</w:t>
            </w:r>
            <w:r w:rsidR="00AD0494">
              <w:t>s</w:t>
            </w:r>
            <w:r>
              <w:t xml:space="preserve"> are published annually for the latest financial year preceding the January release of each </w:t>
            </w:r>
            <w:proofErr w:type="spellStart"/>
            <w:r>
              <w:t>R</w:t>
            </w:r>
            <w:r w:rsidR="007F6100">
              <w:t>o</w:t>
            </w:r>
            <w:r>
              <w:t>GS</w:t>
            </w:r>
            <w:proofErr w:type="spellEnd"/>
            <w:r>
              <w:t>.</w:t>
            </w:r>
          </w:p>
        </w:tc>
      </w:tr>
      <w:tr w:rsidR="004F74EE" w:rsidTr="00213A62">
        <w:trPr>
          <w:jc w:val="center"/>
        </w:trPr>
        <w:tc>
          <w:tcPr>
            <w:tcW w:w="819" w:type="pct"/>
            <w:gridSpan w:val="2"/>
            <w:hideMark/>
          </w:tcPr>
          <w:p w:rsidR="004F74EE" w:rsidRDefault="004F74EE" w:rsidP="00F13FEB">
            <w:pPr>
              <w:pStyle w:val="DQIRowHeadings"/>
              <w:rPr>
                <w:szCs w:val="22"/>
              </w:rPr>
            </w:pPr>
            <w:r>
              <w:rPr>
                <w:szCs w:val="22"/>
              </w:rPr>
              <w:t>Accuracy</w:t>
            </w:r>
          </w:p>
        </w:tc>
        <w:tc>
          <w:tcPr>
            <w:tcW w:w="4181" w:type="pct"/>
            <w:hideMark/>
          </w:tcPr>
          <w:p w:rsidR="004F74EE" w:rsidRDefault="00AD0494" w:rsidP="00F13FEB">
            <w:pPr>
              <w:pStyle w:val="DQITableText"/>
            </w:pPr>
            <w:r>
              <w:t xml:space="preserve">Text caveats in the </w:t>
            </w:r>
            <w:proofErr w:type="spellStart"/>
            <w:r>
              <w:t>RoGS</w:t>
            </w:r>
            <w:proofErr w:type="spellEnd"/>
            <w:r>
              <w:t xml:space="preserve"> provide generalised advice </w:t>
            </w:r>
            <w:r w:rsidR="004F74EE">
              <w:t>that data are not strictly comparable and cite a number of physical, operational and data collection system factors that influence fire incident data.</w:t>
            </w:r>
          </w:p>
          <w:p w:rsidR="004F74EE" w:rsidRDefault="004F74EE" w:rsidP="00F13FEB">
            <w:pPr>
              <w:pStyle w:val="DQITableText"/>
            </w:pPr>
            <w:r>
              <w:t xml:space="preserve">Jurisdictions predominately follow the data definitions. </w:t>
            </w:r>
            <w:r w:rsidRPr="00741F17">
              <w:t xml:space="preserve">Substantive differences to the counting procedures are summarised in </w:t>
            </w:r>
            <w:r w:rsidR="00887AA8">
              <w:t xml:space="preserve">the fire incidents </w:t>
            </w:r>
            <w:proofErr w:type="spellStart"/>
            <w:r w:rsidR="00887AA8">
              <w:t>DQI</w:t>
            </w:r>
            <w:proofErr w:type="spellEnd"/>
            <w:r w:rsidRPr="00741F17">
              <w:t xml:space="preserve"> and include:</w:t>
            </w:r>
          </w:p>
          <w:p w:rsidR="004F74EE" w:rsidRDefault="004F74EE" w:rsidP="00F13FEB">
            <w:pPr>
              <w:pStyle w:val="DQITableBullet"/>
            </w:pPr>
            <w:r>
              <w:rPr>
                <w:i/>
              </w:rPr>
              <w:t>incomplete voluntary reporting procedures —</w:t>
            </w:r>
            <w:r>
              <w:t xml:space="preserve"> accurate identification of incidents attended by volunteer fire brigades is sometimes not possible</w:t>
            </w:r>
            <w:r w:rsidR="00F13FEB">
              <w:t>.</w:t>
            </w:r>
          </w:p>
        </w:tc>
      </w:tr>
      <w:tr w:rsidR="004F74EE" w:rsidTr="00213A62">
        <w:trPr>
          <w:cantSplit/>
          <w:jc w:val="center"/>
        </w:trPr>
        <w:tc>
          <w:tcPr>
            <w:tcW w:w="819" w:type="pct"/>
            <w:gridSpan w:val="2"/>
            <w:hideMark/>
          </w:tcPr>
          <w:p w:rsidR="004F74EE" w:rsidRDefault="004F74EE" w:rsidP="00F13FEB">
            <w:pPr>
              <w:pStyle w:val="DQIRowHeadings"/>
              <w:rPr>
                <w:szCs w:val="22"/>
              </w:rPr>
            </w:pPr>
            <w:r>
              <w:rPr>
                <w:szCs w:val="22"/>
              </w:rPr>
              <w:t>Coherence</w:t>
            </w:r>
          </w:p>
        </w:tc>
        <w:tc>
          <w:tcPr>
            <w:tcW w:w="4181" w:type="pct"/>
            <w:hideMark/>
          </w:tcPr>
          <w:p w:rsidR="004F74EE" w:rsidRDefault="004F74EE" w:rsidP="00F13FEB">
            <w:pPr>
              <w:pStyle w:val="DQITableText"/>
            </w:pPr>
            <w:r>
              <w:t>Each State and Territory government maintain</w:t>
            </w:r>
            <w:r w:rsidR="00AD0494">
              <w:t>s</w:t>
            </w:r>
            <w:r>
              <w:t xml:space="preserve"> their own systems, processes, and training for estimation. </w:t>
            </w:r>
          </w:p>
          <w:p w:rsidR="004F74EE" w:rsidRDefault="004F74EE" w:rsidP="00F13FEB">
            <w:pPr>
              <w:pStyle w:val="DQITableText"/>
            </w:pPr>
            <w:r>
              <w:t>Any time series changes are identified with relevant footnotes.</w:t>
            </w:r>
          </w:p>
        </w:tc>
      </w:tr>
      <w:tr w:rsidR="004F74EE" w:rsidTr="00213A62">
        <w:trPr>
          <w:cantSplit/>
          <w:jc w:val="center"/>
        </w:trPr>
        <w:tc>
          <w:tcPr>
            <w:tcW w:w="819" w:type="pct"/>
            <w:gridSpan w:val="2"/>
            <w:hideMark/>
          </w:tcPr>
          <w:p w:rsidR="004F74EE" w:rsidRDefault="004F74EE" w:rsidP="00F13FEB">
            <w:pPr>
              <w:pStyle w:val="DQIRowHeadings"/>
              <w:rPr>
                <w:szCs w:val="22"/>
              </w:rPr>
            </w:pPr>
            <w:r>
              <w:rPr>
                <w:szCs w:val="22"/>
              </w:rPr>
              <w:t>Accessibility</w:t>
            </w:r>
          </w:p>
        </w:tc>
        <w:tc>
          <w:tcPr>
            <w:tcW w:w="4181" w:type="pct"/>
            <w:hideMark/>
          </w:tcPr>
          <w:p w:rsidR="004F74EE" w:rsidRDefault="004F74EE" w:rsidP="00F13FEB">
            <w:pPr>
              <w:pStyle w:val="DQITableText"/>
            </w:pPr>
            <w:r>
              <w:t xml:space="preserve">Fire incident data are publicly available on the Productivity Commission’s website from the time of </w:t>
            </w:r>
            <w:proofErr w:type="spellStart"/>
            <w:r>
              <w:t>RoGS</w:t>
            </w:r>
            <w:proofErr w:type="spellEnd"/>
            <w:r>
              <w:t xml:space="preserve"> publication. </w:t>
            </w:r>
          </w:p>
          <w:p w:rsidR="004F74EE" w:rsidRDefault="004F74EE" w:rsidP="00F13FEB">
            <w:pPr>
              <w:pStyle w:val="DQITableText"/>
            </w:pPr>
            <w:r>
              <w:t xml:space="preserve">Additional data may be available upon request through </w:t>
            </w:r>
            <w:proofErr w:type="spellStart"/>
            <w:r>
              <w:t>AFAC</w:t>
            </w:r>
            <w:proofErr w:type="spellEnd"/>
            <w:r>
              <w:t>.</w:t>
            </w:r>
          </w:p>
        </w:tc>
      </w:tr>
      <w:tr w:rsidR="004F74EE" w:rsidTr="00213A62">
        <w:trPr>
          <w:cantSplit/>
          <w:jc w:val="center"/>
        </w:trPr>
        <w:tc>
          <w:tcPr>
            <w:tcW w:w="819" w:type="pct"/>
            <w:gridSpan w:val="2"/>
            <w:hideMark/>
          </w:tcPr>
          <w:p w:rsidR="004F74EE" w:rsidRDefault="004F74EE" w:rsidP="00F13FEB">
            <w:pPr>
              <w:pStyle w:val="DQIRowHeadings"/>
              <w:rPr>
                <w:szCs w:val="22"/>
              </w:rPr>
            </w:pPr>
            <w:r>
              <w:rPr>
                <w:szCs w:val="22"/>
              </w:rPr>
              <w:t>Interpret</w:t>
            </w:r>
            <w:r>
              <w:rPr>
                <w:szCs w:val="22"/>
              </w:rPr>
              <w:softHyphen/>
              <w:t>ability</w:t>
            </w:r>
          </w:p>
        </w:tc>
        <w:tc>
          <w:tcPr>
            <w:tcW w:w="4181" w:type="pct"/>
            <w:hideMark/>
          </w:tcPr>
          <w:p w:rsidR="004F74EE" w:rsidRDefault="004F74EE" w:rsidP="00F13FEB">
            <w:pPr>
              <w:pStyle w:val="DQITableText"/>
            </w:pPr>
            <w:r>
              <w:t xml:space="preserve">Copies of the complete </w:t>
            </w:r>
            <w:proofErr w:type="spellStart"/>
            <w:r>
              <w:t>AFAC</w:t>
            </w:r>
            <w:proofErr w:type="spellEnd"/>
            <w:r>
              <w:t xml:space="preserve"> AIRS data standard are available upon request through </w:t>
            </w:r>
            <w:proofErr w:type="spellStart"/>
            <w:r>
              <w:t>AFAC</w:t>
            </w:r>
            <w:proofErr w:type="spellEnd"/>
            <w:r>
              <w:t xml:space="preserve">. </w:t>
            </w:r>
          </w:p>
          <w:p w:rsidR="004F74EE" w:rsidRDefault="004F74EE" w:rsidP="00F13FEB">
            <w:pPr>
              <w:pStyle w:val="DQITableText"/>
            </w:pPr>
            <w:r>
              <w:t>Text caveats and chapter footnotes provide additional commentary on data quality, as do the footnotes in the relevant attachment tables.</w:t>
            </w:r>
          </w:p>
        </w:tc>
      </w:tr>
      <w:tr w:rsidR="004F74EE" w:rsidTr="00213A62">
        <w:trPr>
          <w:cantSplit/>
          <w:jc w:val="center"/>
        </w:trPr>
        <w:tc>
          <w:tcPr>
            <w:tcW w:w="5000" w:type="pct"/>
            <w:gridSpan w:val="3"/>
            <w:hideMark/>
          </w:tcPr>
          <w:p w:rsidR="004F74EE" w:rsidRDefault="004F74EE" w:rsidP="00AB6309">
            <w:pPr>
              <w:pStyle w:val="TableBodyText"/>
              <w:keepNext w:val="0"/>
              <w:spacing w:before="180" w:after="60"/>
              <w:jc w:val="left"/>
            </w:pPr>
            <w:r>
              <w:rPr>
                <w:b/>
                <w:u w:val="single"/>
              </w:rPr>
              <w:t>Data Gaps/Issues Analysis</w:t>
            </w:r>
          </w:p>
        </w:tc>
      </w:tr>
      <w:tr w:rsidR="004F74EE" w:rsidTr="00213A62">
        <w:trPr>
          <w:cantSplit/>
          <w:jc w:val="center"/>
        </w:trPr>
        <w:tc>
          <w:tcPr>
            <w:tcW w:w="813" w:type="pct"/>
            <w:tcBorders>
              <w:top w:val="nil"/>
              <w:left w:val="nil"/>
              <w:right w:val="nil"/>
            </w:tcBorders>
            <w:hideMark/>
          </w:tcPr>
          <w:p w:rsidR="004F74EE" w:rsidRDefault="004F74EE" w:rsidP="00AB6309">
            <w:pPr>
              <w:pStyle w:val="TableBodyText"/>
              <w:keepNext w:val="0"/>
              <w:jc w:val="left"/>
              <w:rPr>
                <w:b/>
                <w:szCs w:val="22"/>
              </w:rPr>
            </w:pPr>
            <w:r>
              <w:rPr>
                <w:b/>
                <w:szCs w:val="22"/>
              </w:rPr>
              <w:t>Key data gaps/issues</w:t>
            </w:r>
          </w:p>
        </w:tc>
        <w:tc>
          <w:tcPr>
            <w:tcW w:w="4187" w:type="pct"/>
            <w:gridSpan w:val="2"/>
            <w:tcBorders>
              <w:top w:val="nil"/>
              <w:left w:val="nil"/>
              <w:right w:val="nil"/>
            </w:tcBorders>
            <w:hideMark/>
          </w:tcPr>
          <w:p w:rsidR="004F74EE" w:rsidRDefault="004F74EE" w:rsidP="00F13FEB">
            <w:pPr>
              <w:pStyle w:val="DQITableText"/>
            </w:pPr>
            <w:r>
              <w:t xml:space="preserve">The Steering Committee notes the following key data gaps/issues: </w:t>
            </w:r>
          </w:p>
          <w:p w:rsidR="004F74EE" w:rsidRDefault="004F74EE" w:rsidP="00F13FEB">
            <w:pPr>
              <w:pStyle w:val="DQITableBullet"/>
            </w:pPr>
            <w:r>
              <w:t>Text caveats note the need for fire incident data to be ‘interpreted with caution because the data are not strictly comparable across jurisdictions.’</w:t>
            </w:r>
          </w:p>
          <w:p w:rsidR="004F74EE" w:rsidRDefault="004F74EE" w:rsidP="00F13FEB">
            <w:pPr>
              <w:pStyle w:val="DQITableText"/>
            </w:pPr>
            <w:r>
              <w:t>A number of factors are identified as contributing to this lack of comparability, but without detailed analysis of such factors.</w:t>
            </w:r>
          </w:p>
        </w:tc>
      </w:tr>
    </w:tbl>
    <w:p w:rsidR="004A38B5" w:rsidRDefault="004A38B5" w:rsidP="00F13FEB">
      <w:pPr>
        <w:pStyle w:val="Heading4"/>
      </w:pPr>
      <w:bookmarkStart w:id="43" w:name="_Toc398732473"/>
      <w:bookmarkStart w:id="44" w:name="_Toc405885737"/>
      <w:r>
        <w:lastRenderedPageBreak/>
        <w:t>Residential structures with smoke alarms</w:t>
      </w:r>
      <w:bookmarkEnd w:id="43"/>
      <w:bookmarkEnd w:id="44"/>
    </w:p>
    <w:p w:rsidR="004A38B5" w:rsidRDefault="004A38B5" w:rsidP="004A38B5">
      <w:pPr>
        <w:pStyle w:val="Box"/>
      </w:pPr>
      <w:r w:rsidRPr="0001794F">
        <w:t xml:space="preserve">Data quality information for this indicator has been drafted by the </w:t>
      </w:r>
      <w:r>
        <w:t>Emergency Management Working Group</w:t>
      </w:r>
      <w:r w:rsidRPr="0001794F">
        <w:t xml:space="preserve"> in consultation with </w:t>
      </w:r>
      <w:r w:rsidRPr="007E3FDC">
        <w:t>the Australasian Fire and Emergency Service Authorities Council (</w:t>
      </w:r>
      <w:proofErr w:type="spellStart"/>
      <w:r w:rsidRPr="007E3FDC">
        <w:t>AFAC</w:t>
      </w:r>
      <w:proofErr w:type="spellEnd"/>
      <w:r w:rsidRPr="007E3FDC">
        <w:t>)</w:t>
      </w:r>
      <w:r w:rsidRPr="0001794F">
        <w:t>, with additional Steering Committee comments.</w:t>
      </w:r>
    </w:p>
    <w:tbl>
      <w:tblPr>
        <w:tblW w:w="5000" w:type="pct"/>
        <w:jc w:val="center"/>
        <w:tblLayout w:type="fixed"/>
        <w:tblCellMar>
          <w:top w:w="28" w:type="dxa"/>
          <w:left w:w="28" w:type="dxa"/>
          <w:bottom w:w="28" w:type="dxa"/>
          <w:right w:w="28" w:type="dxa"/>
        </w:tblCellMar>
        <w:tblLook w:val="01E0" w:firstRow="1" w:lastRow="1" w:firstColumn="1" w:lastColumn="1" w:noHBand="0" w:noVBand="0"/>
      </w:tblPr>
      <w:tblGrid>
        <w:gridCol w:w="1521"/>
        <w:gridCol w:w="23"/>
        <w:gridCol w:w="1102"/>
        <w:gridCol w:w="552"/>
        <w:gridCol w:w="1237"/>
        <w:gridCol w:w="4155"/>
      </w:tblGrid>
      <w:tr w:rsidR="00F13FEB" w:rsidRPr="001F3F80" w:rsidTr="00E36D6E">
        <w:trPr>
          <w:jc w:val="center"/>
        </w:trPr>
        <w:tc>
          <w:tcPr>
            <w:tcW w:w="4564" w:type="dxa"/>
            <w:gridSpan w:val="5"/>
          </w:tcPr>
          <w:p w:rsidR="00F13FEB" w:rsidRPr="003211C6" w:rsidRDefault="00F13FEB" w:rsidP="00F13FEB">
            <w:pPr>
              <w:pStyle w:val="DQIMainRowHeadings"/>
              <w:rPr>
                <w:rFonts w:cs="Arial"/>
                <w:sz w:val="22"/>
                <w:szCs w:val="22"/>
              </w:rPr>
            </w:pPr>
            <w:r w:rsidRPr="00F13FEB">
              <w:t>Fire risk prevention/mitigation activities</w:t>
            </w:r>
          </w:p>
        </w:tc>
        <w:tc>
          <w:tcPr>
            <w:tcW w:w="4281" w:type="dxa"/>
          </w:tcPr>
          <w:p w:rsidR="00F13FEB" w:rsidRPr="003211C6" w:rsidRDefault="00F13FEB" w:rsidP="00F13FEB">
            <w:pPr>
              <w:pStyle w:val="DQIMainRowHeadings"/>
              <w:rPr>
                <w:rFonts w:cs="Arial"/>
                <w:sz w:val="22"/>
                <w:szCs w:val="22"/>
              </w:rPr>
            </w:pPr>
          </w:p>
        </w:tc>
      </w:tr>
      <w:tr w:rsidR="004A38B5" w:rsidRPr="001F3F80" w:rsidTr="008B3909">
        <w:trPr>
          <w:jc w:val="center"/>
        </w:trPr>
        <w:tc>
          <w:tcPr>
            <w:tcW w:w="1588" w:type="dxa"/>
            <w:gridSpan w:val="2"/>
          </w:tcPr>
          <w:p w:rsidR="004A38B5" w:rsidRPr="00A05229" w:rsidRDefault="004A38B5" w:rsidP="00F13FEB">
            <w:pPr>
              <w:pStyle w:val="DQIRowHeadings"/>
            </w:pPr>
            <w:r w:rsidRPr="00A05229">
              <w:t>Element</w:t>
            </w:r>
          </w:p>
        </w:tc>
        <w:tc>
          <w:tcPr>
            <w:tcW w:w="7257" w:type="dxa"/>
            <w:gridSpan w:val="4"/>
          </w:tcPr>
          <w:p w:rsidR="004A38B5" w:rsidRPr="00BD6B0B" w:rsidRDefault="00887AA8" w:rsidP="00F13FEB">
            <w:pPr>
              <w:pStyle w:val="DQITableText"/>
            </w:pPr>
            <w:r>
              <w:t>Equity/effectiveness — Prevention/mitigation</w:t>
            </w:r>
          </w:p>
        </w:tc>
      </w:tr>
      <w:tr w:rsidR="004A38B5" w:rsidRPr="001F3F80" w:rsidTr="008B3909">
        <w:trPr>
          <w:jc w:val="center"/>
        </w:trPr>
        <w:tc>
          <w:tcPr>
            <w:tcW w:w="1588" w:type="dxa"/>
            <w:gridSpan w:val="2"/>
          </w:tcPr>
          <w:p w:rsidR="004A38B5" w:rsidRPr="00A05229" w:rsidRDefault="004A38B5" w:rsidP="00F13FEB">
            <w:pPr>
              <w:pStyle w:val="DQIRowHeadings"/>
            </w:pPr>
            <w:r w:rsidRPr="00A05229">
              <w:t>Indicator</w:t>
            </w:r>
          </w:p>
        </w:tc>
        <w:tc>
          <w:tcPr>
            <w:tcW w:w="7257" w:type="dxa"/>
            <w:gridSpan w:val="4"/>
          </w:tcPr>
          <w:p w:rsidR="004A38B5" w:rsidRPr="00BD6B0B" w:rsidRDefault="004A38B5" w:rsidP="00F13FEB">
            <w:pPr>
              <w:pStyle w:val="DQITableText"/>
            </w:pPr>
            <w:r w:rsidRPr="00A96FD3">
              <w:t>Residential structures with smoke alarms</w:t>
            </w:r>
          </w:p>
        </w:tc>
      </w:tr>
      <w:tr w:rsidR="004A38B5" w:rsidRPr="001F3F80" w:rsidTr="008B3909">
        <w:trPr>
          <w:jc w:val="center"/>
        </w:trPr>
        <w:tc>
          <w:tcPr>
            <w:tcW w:w="1588" w:type="dxa"/>
            <w:gridSpan w:val="2"/>
          </w:tcPr>
          <w:p w:rsidR="004A38B5" w:rsidRPr="00A05229" w:rsidRDefault="004A38B5" w:rsidP="00F13FEB">
            <w:pPr>
              <w:pStyle w:val="DQIRowHeadings"/>
            </w:pPr>
            <w:r w:rsidRPr="00A05229">
              <w:t>Measure (computation)</w:t>
            </w:r>
          </w:p>
        </w:tc>
        <w:tc>
          <w:tcPr>
            <w:tcW w:w="7257" w:type="dxa"/>
            <w:gridSpan w:val="4"/>
          </w:tcPr>
          <w:p w:rsidR="004A38B5" w:rsidRPr="00A05229" w:rsidRDefault="004A38B5" w:rsidP="00F13FEB">
            <w:pPr>
              <w:pStyle w:val="DQITableText"/>
            </w:pPr>
            <w:r>
              <w:t xml:space="preserve">‘Proportion of residential structures with smoke alarms’ is defined as the number of households with </w:t>
            </w:r>
            <w:r w:rsidRPr="00831B4C">
              <w:t xml:space="preserve">an </w:t>
            </w:r>
            <w:r>
              <w:t>smoke alarm installed, divided by the total number of households.</w:t>
            </w:r>
          </w:p>
        </w:tc>
      </w:tr>
      <w:tr w:rsidR="004A38B5" w:rsidRPr="001F3F80" w:rsidTr="00E31CC0">
        <w:trPr>
          <w:cantSplit/>
          <w:jc w:val="center"/>
        </w:trPr>
        <w:tc>
          <w:tcPr>
            <w:tcW w:w="1588" w:type="dxa"/>
            <w:gridSpan w:val="2"/>
          </w:tcPr>
          <w:p w:rsidR="004A38B5" w:rsidRPr="00A05229" w:rsidRDefault="004A38B5" w:rsidP="00F13FEB">
            <w:pPr>
              <w:pStyle w:val="DQIRowHeadings"/>
            </w:pPr>
            <w:r w:rsidRPr="00A05229">
              <w:t>Data source</w:t>
            </w:r>
          </w:p>
        </w:tc>
        <w:tc>
          <w:tcPr>
            <w:tcW w:w="7257" w:type="dxa"/>
            <w:gridSpan w:val="4"/>
            <w:tcBorders>
              <w:bottom w:val="single" w:sz="6" w:space="0" w:color="78A22F" w:themeColor="accent1"/>
            </w:tcBorders>
          </w:tcPr>
          <w:p w:rsidR="004A38B5" w:rsidRDefault="004A38B5" w:rsidP="00F13FEB">
            <w:pPr>
              <w:pStyle w:val="DQITableText"/>
            </w:pPr>
            <w:r>
              <w:t xml:space="preserve">State and Territory governments. Jurisdictions collect and compile data for their own jurisdiction. </w:t>
            </w:r>
          </w:p>
          <w:p w:rsidR="004A38B5" w:rsidRPr="00A05229" w:rsidRDefault="004A38B5" w:rsidP="00E31CC0">
            <w:pPr>
              <w:pStyle w:val="DQITableText"/>
              <w:spacing w:after="120"/>
            </w:pPr>
            <w:r>
              <w:t xml:space="preserve">Survey questions, as recommended by the </w:t>
            </w:r>
            <w:r w:rsidRPr="00125032">
              <w:t>Directory of National Data Items and Questions for Evaluation of Household Preparedness for Fire and Natural Disaster Emergencies</w:t>
            </w:r>
            <w:r>
              <w:t>, are:</w:t>
            </w:r>
            <w:r w:rsidR="00E31CC0" w:rsidRPr="00A05229">
              <w:t xml:space="preserve"> </w:t>
            </w:r>
          </w:p>
        </w:tc>
      </w:tr>
      <w:tr w:rsidR="00E31CC0" w:rsidRPr="000D7225" w:rsidTr="00E31CC0">
        <w:trPr>
          <w:cantSplit/>
          <w:jc w:val="center"/>
        </w:trPr>
        <w:tc>
          <w:tcPr>
            <w:tcW w:w="1588" w:type="dxa"/>
            <w:gridSpan w:val="2"/>
          </w:tcPr>
          <w:p w:rsidR="00E31CC0" w:rsidRDefault="00E31CC0" w:rsidP="00F13FEB">
            <w:pPr>
              <w:pStyle w:val="DQIMainRowHeadings"/>
              <w:rPr>
                <w:rFonts w:ascii="Times New Roman" w:hAnsi="Times New Roman"/>
                <w:sz w:val="24"/>
              </w:rPr>
            </w:pPr>
          </w:p>
        </w:tc>
        <w:tc>
          <w:tcPr>
            <w:tcW w:w="1134" w:type="dxa"/>
            <w:tcBorders>
              <w:top w:val="single" w:sz="6" w:space="0" w:color="78A22F" w:themeColor="accent1"/>
              <w:bottom w:val="single" w:sz="6" w:space="0" w:color="BFBFBF"/>
            </w:tcBorders>
          </w:tcPr>
          <w:p w:rsidR="00E31CC0" w:rsidRPr="00E31CC0" w:rsidRDefault="00E31CC0" w:rsidP="00F13FEB">
            <w:pPr>
              <w:pStyle w:val="DQIMainRowHeadings"/>
              <w:rPr>
                <w:rFonts w:cs="Arial"/>
                <w:b w:val="0"/>
                <w:i/>
                <w:szCs w:val="18"/>
                <w:u w:val="none"/>
              </w:rPr>
            </w:pPr>
            <w:r>
              <w:rPr>
                <w:rFonts w:cs="Arial"/>
                <w:b w:val="0"/>
                <w:i/>
                <w:szCs w:val="18"/>
                <w:u w:val="none"/>
              </w:rPr>
              <w:t>Identifier</w:t>
            </w:r>
          </w:p>
        </w:tc>
        <w:tc>
          <w:tcPr>
            <w:tcW w:w="6123" w:type="dxa"/>
            <w:gridSpan w:val="3"/>
            <w:tcBorders>
              <w:top w:val="single" w:sz="6" w:space="0" w:color="78A22F" w:themeColor="accent1"/>
              <w:bottom w:val="single" w:sz="6" w:space="0" w:color="BFBFBF"/>
            </w:tcBorders>
          </w:tcPr>
          <w:p w:rsidR="00E31CC0" w:rsidRPr="00E31CC0" w:rsidRDefault="00E31CC0" w:rsidP="00F13FEB">
            <w:pPr>
              <w:pStyle w:val="DQIMainRowHeadings"/>
              <w:rPr>
                <w:rFonts w:cs="Arial"/>
                <w:b w:val="0"/>
                <w:i/>
                <w:szCs w:val="18"/>
                <w:u w:val="none"/>
              </w:rPr>
            </w:pPr>
            <w:r>
              <w:rPr>
                <w:rFonts w:cs="Arial"/>
                <w:b w:val="0"/>
                <w:i/>
                <w:szCs w:val="18"/>
                <w:u w:val="none"/>
              </w:rPr>
              <w:t>Question</w:t>
            </w:r>
          </w:p>
        </w:tc>
      </w:tr>
      <w:tr w:rsidR="00E31CC0" w:rsidRPr="000D7225" w:rsidTr="00E31CC0">
        <w:trPr>
          <w:cantSplit/>
          <w:jc w:val="center"/>
        </w:trPr>
        <w:tc>
          <w:tcPr>
            <w:tcW w:w="1588" w:type="dxa"/>
            <w:gridSpan w:val="2"/>
          </w:tcPr>
          <w:p w:rsidR="00E31CC0" w:rsidRDefault="00E31CC0" w:rsidP="00F13FEB">
            <w:pPr>
              <w:pStyle w:val="DQIMainRowHeadings"/>
              <w:rPr>
                <w:rFonts w:ascii="Times New Roman" w:hAnsi="Times New Roman"/>
                <w:sz w:val="24"/>
              </w:rPr>
            </w:pPr>
          </w:p>
        </w:tc>
        <w:tc>
          <w:tcPr>
            <w:tcW w:w="1134" w:type="dxa"/>
            <w:tcBorders>
              <w:top w:val="single" w:sz="6" w:space="0" w:color="BFBFBF"/>
            </w:tcBorders>
          </w:tcPr>
          <w:p w:rsidR="00E31CC0" w:rsidRPr="00E31CC0" w:rsidRDefault="00E31CC0" w:rsidP="00E31CC0">
            <w:pPr>
              <w:pStyle w:val="DQIMainRowHeadings"/>
              <w:spacing w:before="40" w:after="40"/>
              <w:ind w:left="0" w:right="0"/>
              <w:rPr>
                <w:rFonts w:asciiTheme="majorHAnsi" w:hAnsiTheme="majorHAnsi" w:cstheme="majorHAnsi"/>
                <w:b w:val="0"/>
                <w:szCs w:val="18"/>
                <w:u w:val="none"/>
              </w:rPr>
            </w:pPr>
            <w:r>
              <w:rPr>
                <w:rFonts w:asciiTheme="majorHAnsi" w:hAnsiTheme="majorHAnsi" w:cstheme="majorHAnsi"/>
                <w:b w:val="0"/>
                <w:szCs w:val="18"/>
                <w:u w:val="none"/>
              </w:rPr>
              <w:t>188</w:t>
            </w:r>
          </w:p>
        </w:tc>
        <w:tc>
          <w:tcPr>
            <w:tcW w:w="567" w:type="dxa"/>
            <w:tcBorders>
              <w:top w:val="single" w:sz="6" w:space="0" w:color="BFBFBF"/>
            </w:tcBorders>
          </w:tcPr>
          <w:p w:rsidR="00E31CC0" w:rsidRPr="00E31CC0" w:rsidRDefault="00E31CC0" w:rsidP="00E31CC0">
            <w:pPr>
              <w:pStyle w:val="DQIMainRowHeadings"/>
              <w:spacing w:before="40" w:after="40"/>
              <w:ind w:left="0" w:right="0"/>
              <w:rPr>
                <w:rFonts w:asciiTheme="majorHAnsi" w:hAnsiTheme="majorHAnsi" w:cstheme="majorHAnsi"/>
                <w:b w:val="0"/>
                <w:szCs w:val="18"/>
                <w:u w:val="none"/>
              </w:rPr>
            </w:pPr>
            <w:proofErr w:type="spellStart"/>
            <w:r>
              <w:rPr>
                <w:rFonts w:asciiTheme="majorHAnsi" w:hAnsiTheme="majorHAnsi" w:cstheme="majorHAnsi"/>
                <w:b w:val="0"/>
                <w:szCs w:val="18"/>
                <w:u w:val="none"/>
              </w:rPr>
              <w:t>Q1</w:t>
            </w:r>
            <w:proofErr w:type="spellEnd"/>
            <w:r>
              <w:rPr>
                <w:rFonts w:asciiTheme="majorHAnsi" w:hAnsiTheme="majorHAnsi" w:cstheme="majorHAnsi"/>
                <w:b w:val="0"/>
                <w:szCs w:val="18"/>
                <w:u w:val="none"/>
              </w:rPr>
              <w:t>.</w:t>
            </w:r>
          </w:p>
        </w:tc>
        <w:tc>
          <w:tcPr>
            <w:tcW w:w="5556" w:type="dxa"/>
            <w:gridSpan w:val="2"/>
            <w:tcBorders>
              <w:top w:val="single" w:sz="6" w:space="0" w:color="BFBFBF"/>
            </w:tcBorders>
          </w:tcPr>
          <w:p w:rsidR="00E31CC0" w:rsidRPr="00E31CC0" w:rsidRDefault="00E31CC0" w:rsidP="00E31CC0">
            <w:pPr>
              <w:pStyle w:val="DQIMainRowHeadings"/>
              <w:spacing w:before="40" w:after="40"/>
              <w:ind w:left="0" w:right="0"/>
              <w:rPr>
                <w:rFonts w:asciiTheme="majorHAnsi" w:hAnsiTheme="majorHAnsi" w:cstheme="majorHAnsi"/>
                <w:b w:val="0"/>
                <w:szCs w:val="18"/>
                <w:u w:val="none"/>
              </w:rPr>
            </w:pPr>
            <w:r>
              <w:rPr>
                <w:rFonts w:asciiTheme="majorHAnsi" w:hAnsiTheme="majorHAnsi" w:cstheme="majorHAnsi"/>
                <w:b w:val="0"/>
                <w:szCs w:val="18"/>
                <w:u w:val="none"/>
              </w:rPr>
              <w:t>Are there any smoke alarms or smoke detectors installed in [this/your] home?</w:t>
            </w:r>
          </w:p>
        </w:tc>
      </w:tr>
      <w:tr w:rsidR="00E31CC0" w:rsidRPr="000D7225" w:rsidTr="00E31CC0">
        <w:trPr>
          <w:cantSplit/>
          <w:jc w:val="center"/>
        </w:trPr>
        <w:tc>
          <w:tcPr>
            <w:tcW w:w="1588" w:type="dxa"/>
            <w:gridSpan w:val="2"/>
          </w:tcPr>
          <w:p w:rsidR="00E31CC0" w:rsidRDefault="00E31CC0" w:rsidP="00F13FEB">
            <w:pPr>
              <w:pStyle w:val="DQIMainRowHeadings"/>
              <w:rPr>
                <w:rFonts w:ascii="Times New Roman" w:hAnsi="Times New Roman"/>
                <w:sz w:val="24"/>
              </w:rPr>
            </w:pPr>
          </w:p>
        </w:tc>
        <w:tc>
          <w:tcPr>
            <w:tcW w:w="1134" w:type="dxa"/>
          </w:tcPr>
          <w:p w:rsidR="00E31CC0" w:rsidRPr="00E31CC0" w:rsidRDefault="00E31CC0" w:rsidP="00E31CC0">
            <w:pPr>
              <w:pStyle w:val="DQIMainRowHeadings"/>
              <w:spacing w:before="0" w:after="40"/>
              <w:rPr>
                <w:rFonts w:asciiTheme="majorHAnsi" w:hAnsiTheme="majorHAnsi" w:cstheme="majorHAnsi"/>
                <w:b w:val="0"/>
                <w:szCs w:val="18"/>
                <w:u w:val="none"/>
              </w:rPr>
            </w:pPr>
          </w:p>
        </w:tc>
        <w:tc>
          <w:tcPr>
            <w:tcW w:w="567" w:type="dxa"/>
          </w:tcPr>
          <w:p w:rsidR="00E31CC0" w:rsidRPr="00E31CC0" w:rsidRDefault="00E31CC0" w:rsidP="00E31CC0">
            <w:pPr>
              <w:pStyle w:val="DQIMainRowHeadings"/>
              <w:spacing w:before="0" w:after="40"/>
              <w:rPr>
                <w:rFonts w:asciiTheme="majorHAnsi" w:hAnsiTheme="majorHAnsi" w:cstheme="majorHAnsi"/>
                <w:b w:val="0"/>
                <w:szCs w:val="18"/>
                <w:u w:val="none"/>
              </w:rPr>
            </w:pPr>
            <w:proofErr w:type="spellStart"/>
            <w:r>
              <w:rPr>
                <w:rFonts w:asciiTheme="majorHAnsi" w:hAnsiTheme="majorHAnsi" w:cstheme="majorHAnsi"/>
                <w:b w:val="0"/>
                <w:szCs w:val="18"/>
                <w:u w:val="none"/>
              </w:rPr>
              <w:t>Q2</w:t>
            </w:r>
            <w:proofErr w:type="spellEnd"/>
            <w:r>
              <w:rPr>
                <w:rFonts w:asciiTheme="majorHAnsi" w:hAnsiTheme="majorHAnsi" w:cstheme="majorHAnsi"/>
                <w:b w:val="0"/>
                <w:szCs w:val="18"/>
                <w:u w:val="none"/>
              </w:rPr>
              <w:t>.</w:t>
            </w:r>
          </w:p>
        </w:tc>
        <w:tc>
          <w:tcPr>
            <w:tcW w:w="5556" w:type="dxa"/>
            <w:gridSpan w:val="2"/>
          </w:tcPr>
          <w:p w:rsidR="00E31CC0" w:rsidRPr="00E31CC0" w:rsidRDefault="00E31CC0" w:rsidP="00E31CC0">
            <w:pPr>
              <w:pStyle w:val="DQIMainRowHeadings"/>
              <w:spacing w:before="0" w:after="40"/>
              <w:rPr>
                <w:rFonts w:asciiTheme="majorHAnsi" w:hAnsiTheme="majorHAnsi" w:cstheme="majorHAnsi"/>
                <w:b w:val="0"/>
                <w:szCs w:val="18"/>
                <w:u w:val="none"/>
              </w:rPr>
            </w:pPr>
            <w:r>
              <w:rPr>
                <w:rFonts w:asciiTheme="majorHAnsi" w:hAnsiTheme="majorHAnsi" w:cstheme="majorHAnsi"/>
                <w:b w:val="0"/>
                <w:szCs w:val="18"/>
                <w:u w:val="none"/>
              </w:rPr>
              <w:t>How many?</w:t>
            </w:r>
          </w:p>
        </w:tc>
      </w:tr>
      <w:tr w:rsidR="00E31CC0" w:rsidRPr="000D7225" w:rsidTr="00E31CC0">
        <w:trPr>
          <w:cantSplit/>
          <w:jc w:val="center"/>
        </w:trPr>
        <w:tc>
          <w:tcPr>
            <w:tcW w:w="1588" w:type="dxa"/>
            <w:gridSpan w:val="2"/>
          </w:tcPr>
          <w:p w:rsidR="00E31CC0" w:rsidRDefault="00E31CC0" w:rsidP="00F13FEB">
            <w:pPr>
              <w:pStyle w:val="DQIMainRowHeadings"/>
              <w:rPr>
                <w:rFonts w:ascii="Times New Roman" w:hAnsi="Times New Roman"/>
                <w:sz w:val="24"/>
              </w:rPr>
            </w:pPr>
          </w:p>
        </w:tc>
        <w:tc>
          <w:tcPr>
            <w:tcW w:w="1134" w:type="dxa"/>
          </w:tcPr>
          <w:p w:rsidR="00E31CC0" w:rsidRPr="00E31CC0" w:rsidRDefault="00E31CC0" w:rsidP="00E31CC0">
            <w:pPr>
              <w:pStyle w:val="DQIMainRowHeadings"/>
              <w:spacing w:before="40" w:after="40"/>
              <w:ind w:left="0" w:right="0"/>
              <w:rPr>
                <w:rFonts w:asciiTheme="majorHAnsi" w:hAnsiTheme="majorHAnsi" w:cstheme="majorHAnsi"/>
                <w:b w:val="0"/>
                <w:szCs w:val="18"/>
                <w:u w:val="none"/>
              </w:rPr>
            </w:pPr>
            <w:r>
              <w:rPr>
                <w:rFonts w:asciiTheme="majorHAnsi" w:hAnsiTheme="majorHAnsi" w:cstheme="majorHAnsi"/>
                <w:b w:val="0"/>
                <w:szCs w:val="18"/>
                <w:u w:val="none"/>
              </w:rPr>
              <w:t>189</w:t>
            </w:r>
          </w:p>
        </w:tc>
        <w:tc>
          <w:tcPr>
            <w:tcW w:w="567" w:type="dxa"/>
          </w:tcPr>
          <w:p w:rsidR="00E31CC0" w:rsidRDefault="00E31CC0" w:rsidP="00E31CC0">
            <w:pPr>
              <w:pStyle w:val="DQIMainRowHeadings"/>
              <w:spacing w:before="40" w:after="40"/>
              <w:ind w:left="0" w:right="0"/>
              <w:rPr>
                <w:rFonts w:asciiTheme="majorHAnsi" w:hAnsiTheme="majorHAnsi" w:cstheme="majorHAnsi"/>
                <w:b w:val="0"/>
                <w:szCs w:val="18"/>
                <w:u w:val="none"/>
              </w:rPr>
            </w:pPr>
          </w:p>
        </w:tc>
        <w:tc>
          <w:tcPr>
            <w:tcW w:w="5556" w:type="dxa"/>
            <w:gridSpan w:val="2"/>
          </w:tcPr>
          <w:p w:rsidR="00E31CC0" w:rsidRPr="00E31CC0" w:rsidRDefault="00E31CC0" w:rsidP="00E31CC0">
            <w:pPr>
              <w:pStyle w:val="DQIMainRowHeadings"/>
              <w:spacing w:before="40" w:after="40"/>
              <w:ind w:left="0" w:right="0"/>
              <w:rPr>
                <w:rFonts w:asciiTheme="majorHAnsi" w:hAnsiTheme="majorHAnsi" w:cstheme="majorHAnsi"/>
                <w:b w:val="0"/>
                <w:szCs w:val="18"/>
                <w:u w:val="none"/>
              </w:rPr>
            </w:pPr>
            <w:r>
              <w:rPr>
                <w:rFonts w:asciiTheme="majorHAnsi" w:hAnsiTheme="majorHAnsi" w:cstheme="majorHAnsi"/>
                <w:b w:val="0"/>
                <w:szCs w:val="18"/>
                <w:u w:val="none"/>
              </w:rPr>
              <w:t>[How many are/Is it] currently in working order?</w:t>
            </w:r>
          </w:p>
        </w:tc>
      </w:tr>
      <w:tr w:rsidR="00E31CC0" w:rsidRPr="000D7225" w:rsidTr="00E31CC0">
        <w:trPr>
          <w:cantSplit/>
          <w:jc w:val="center"/>
        </w:trPr>
        <w:tc>
          <w:tcPr>
            <w:tcW w:w="1588" w:type="dxa"/>
            <w:gridSpan w:val="2"/>
          </w:tcPr>
          <w:p w:rsidR="00E31CC0" w:rsidRDefault="00E31CC0" w:rsidP="00F13FEB">
            <w:pPr>
              <w:pStyle w:val="DQIMainRowHeadings"/>
              <w:rPr>
                <w:rFonts w:ascii="Times New Roman" w:hAnsi="Times New Roman"/>
                <w:sz w:val="24"/>
              </w:rPr>
            </w:pPr>
          </w:p>
        </w:tc>
        <w:tc>
          <w:tcPr>
            <w:tcW w:w="1134" w:type="dxa"/>
          </w:tcPr>
          <w:p w:rsidR="00E31CC0" w:rsidRPr="00E31CC0" w:rsidRDefault="00E31CC0" w:rsidP="00E31CC0">
            <w:pPr>
              <w:pStyle w:val="DQIMainRowHeadings"/>
              <w:spacing w:before="40" w:after="40"/>
              <w:ind w:left="0" w:right="0"/>
              <w:rPr>
                <w:rFonts w:asciiTheme="majorHAnsi" w:hAnsiTheme="majorHAnsi" w:cstheme="majorHAnsi"/>
                <w:b w:val="0"/>
                <w:szCs w:val="18"/>
                <w:u w:val="none"/>
              </w:rPr>
            </w:pPr>
            <w:r>
              <w:rPr>
                <w:rFonts w:asciiTheme="majorHAnsi" w:hAnsiTheme="majorHAnsi" w:cstheme="majorHAnsi"/>
                <w:b w:val="0"/>
                <w:szCs w:val="18"/>
                <w:u w:val="none"/>
              </w:rPr>
              <w:t>190</w:t>
            </w:r>
          </w:p>
        </w:tc>
        <w:tc>
          <w:tcPr>
            <w:tcW w:w="567" w:type="dxa"/>
          </w:tcPr>
          <w:p w:rsidR="00E31CC0" w:rsidRDefault="00E31CC0" w:rsidP="00E31CC0">
            <w:pPr>
              <w:pStyle w:val="DQIMainRowHeadings"/>
              <w:spacing w:before="40" w:after="40"/>
              <w:ind w:left="0" w:right="0"/>
              <w:rPr>
                <w:rFonts w:asciiTheme="majorHAnsi" w:hAnsiTheme="majorHAnsi" w:cstheme="majorHAnsi"/>
                <w:b w:val="0"/>
                <w:szCs w:val="18"/>
                <w:u w:val="none"/>
              </w:rPr>
            </w:pPr>
            <w:proofErr w:type="spellStart"/>
            <w:r>
              <w:rPr>
                <w:rFonts w:asciiTheme="majorHAnsi" w:hAnsiTheme="majorHAnsi" w:cstheme="majorHAnsi"/>
                <w:b w:val="0"/>
                <w:szCs w:val="18"/>
                <w:u w:val="none"/>
              </w:rPr>
              <w:t>Q1</w:t>
            </w:r>
            <w:proofErr w:type="spellEnd"/>
            <w:r>
              <w:rPr>
                <w:rFonts w:asciiTheme="majorHAnsi" w:hAnsiTheme="majorHAnsi" w:cstheme="majorHAnsi"/>
                <w:b w:val="0"/>
                <w:szCs w:val="18"/>
                <w:u w:val="none"/>
              </w:rPr>
              <w:t>.</w:t>
            </w:r>
          </w:p>
        </w:tc>
        <w:tc>
          <w:tcPr>
            <w:tcW w:w="5556" w:type="dxa"/>
            <w:gridSpan w:val="2"/>
          </w:tcPr>
          <w:p w:rsidR="00E31CC0" w:rsidRPr="00E31CC0" w:rsidRDefault="00E31CC0" w:rsidP="00E31CC0">
            <w:pPr>
              <w:pStyle w:val="DQIMainRowHeadings"/>
              <w:spacing w:before="40" w:after="40"/>
              <w:ind w:left="0" w:right="0"/>
              <w:rPr>
                <w:rFonts w:asciiTheme="majorHAnsi" w:hAnsiTheme="majorHAnsi" w:cstheme="majorHAnsi"/>
                <w:b w:val="0"/>
                <w:szCs w:val="18"/>
                <w:u w:val="none"/>
              </w:rPr>
            </w:pPr>
            <w:r>
              <w:rPr>
                <w:rFonts w:asciiTheme="majorHAnsi" w:hAnsiTheme="majorHAnsi" w:cstheme="majorHAnsi"/>
                <w:b w:val="0"/>
                <w:szCs w:val="18"/>
                <w:u w:val="none"/>
              </w:rPr>
              <w:t>[Was it/Where any of them] manually tested [in the last 12 months/since moving into [this/your] home]?</w:t>
            </w:r>
          </w:p>
        </w:tc>
      </w:tr>
      <w:tr w:rsidR="00E31CC0" w:rsidRPr="000D7225" w:rsidTr="00E31CC0">
        <w:trPr>
          <w:cantSplit/>
          <w:jc w:val="center"/>
        </w:trPr>
        <w:tc>
          <w:tcPr>
            <w:tcW w:w="1588" w:type="dxa"/>
            <w:gridSpan w:val="2"/>
          </w:tcPr>
          <w:p w:rsidR="00E31CC0" w:rsidRDefault="00E31CC0" w:rsidP="00F13FEB">
            <w:pPr>
              <w:pStyle w:val="DQIMainRowHeadings"/>
              <w:rPr>
                <w:rFonts w:ascii="Times New Roman" w:hAnsi="Times New Roman"/>
                <w:sz w:val="24"/>
              </w:rPr>
            </w:pPr>
          </w:p>
        </w:tc>
        <w:tc>
          <w:tcPr>
            <w:tcW w:w="1134" w:type="dxa"/>
            <w:tcBorders>
              <w:bottom w:val="single" w:sz="6" w:space="0" w:color="78A22F" w:themeColor="accent1"/>
            </w:tcBorders>
          </w:tcPr>
          <w:p w:rsidR="00E31CC0" w:rsidRPr="00E31CC0" w:rsidRDefault="00E31CC0" w:rsidP="00E31CC0">
            <w:pPr>
              <w:pStyle w:val="DQIMainRowHeadings"/>
              <w:spacing w:before="0" w:after="40"/>
              <w:rPr>
                <w:rFonts w:asciiTheme="majorHAnsi" w:hAnsiTheme="majorHAnsi" w:cstheme="majorHAnsi"/>
                <w:b w:val="0"/>
                <w:szCs w:val="18"/>
                <w:u w:val="none"/>
              </w:rPr>
            </w:pPr>
          </w:p>
        </w:tc>
        <w:tc>
          <w:tcPr>
            <w:tcW w:w="567" w:type="dxa"/>
            <w:tcBorders>
              <w:bottom w:val="single" w:sz="6" w:space="0" w:color="78A22F" w:themeColor="accent1"/>
            </w:tcBorders>
          </w:tcPr>
          <w:p w:rsidR="00E31CC0" w:rsidRDefault="00E31CC0" w:rsidP="00E31CC0">
            <w:pPr>
              <w:pStyle w:val="DQIMainRowHeadings"/>
              <w:spacing w:before="0" w:after="40"/>
              <w:rPr>
                <w:rFonts w:asciiTheme="majorHAnsi" w:hAnsiTheme="majorHAnsi" w:cstheme="majorHAnsi"/>
                <w:b w:val="0"/>
                <w:szCs w:val="18"/>
                <w:u w:val="none"/>
              </w:rPr>
            </w:pPr>
            <w:proofErr w:type="spellStart"/>
            <w:r>
              <w:rPr>
                <w:rFonts w:asciiTheme="majorHAnsi" w:hAnsiTheme="majorHAnsi" w:cstheme="majorHAnsi"/>
                <w:b w:val="0"/>
                <w:szCs w:val="18"/>
                <w:u w:val="none"/>
              </w:rPr>
              <w:t>Q2</w:t>
            </w:r>
            <w:proofErr w:type="spellEnd"/>
            <w:r>
              <w:rPr>
                <w:rFonts w:asciiTheme="majorHAnsi" w:hAnsiTheme="majorHAnsi" w:cstheme="majorHAnsi"/>
                <w:b w:val="0"/>
                <w:szCs w:val="18"/>
                <w:u w:val="none"/>
              </w:rPr>
              <w:t>.</w:t>
            </w:r>
          </w:p>
        </w:tc>
        <w:tc>
          <w:tcPr>
            <w:tcW w:w="5556" w:type="dxa"/>
            <w:gridSpan w:val="2"/>
            <w:tcBorders>
              <w:bottom w:val="single" w:sz="6" w:space="0" w:color="78A22F" w:themeColor="accent1"/>
            </w:tcBorders>
          </w:tcPr>
          <w:p w:rsidR="00E31CC0" w:rsidRDefault="00E31CC0" w:rsidP="00E31CC0">
            <w:pPr>
              <w:pStyle w:val="DQIMainRowHeadings"/>
              <w:spacing w:before="0" w:after="40"/>
              <w:rPr>
                <w:rFonts w:asciiTheme="majorHAnsi" w:hAnsiTheme="majorHAnsi" w:cstheme="majorHAnsi"/>
                <w:b w:val="0"/>
                <w:szCs w:val="18"/>
                <w:u w:val="none"/>
              </w:rPr>
            </w:pPr>
            <w:r>
              <w:rPr>
                <w:rFonts w:asciiTheme="majorHAnsi" w:hAnsiTheme="majorHAnsi" w:cstheme="majorHAnsi"/>
                <w:b w:val="0"/>
                <w:szCs w:val="18"/>
                <w:u w:val="none"/>
              </w:rPr>
              <w:t>When [was it/where they] last tested?</w:t>
            </w:r>
          </w:p>
          <w:p w:rsidR="00E31CC0" w:rsidRDefault="00E31CC0" w:rsidP="00E31CC0">
            <w:pPr>
              <w:pStyle w:val="TableBullet"/>
              <w:ind w:left="6" w:firstLine="0"/>
            </w:pPr>
            <w:r>
              <w:t>Less than 3 months ago</w:t>
            </w:r>
          </w:p>
          <w:p w:rsidR="00E31CC0" w:rsidRDefault="00E31CC0" w:rsidP="00E31CC0">
            <w:pPr>
              <w:pStyle w:val="TableBullet"/>
              <w:ind w:left="6" w:firstLine="0"/>
            </w:pPr>
            <w:r>
              <w:t>6 months to less than 9 months ago</w:t>
            </w:r>
          </w:p>
          <w:p w:rsidR="00E31CC0" w:rsidRPr="00E31CC0" w:rsidRDefault="00E31CC0" w:rsidP="00E31CC0">
            <w:pPr>
              <w:pStyle w:val="TableBullet"/>
              <w:ind w:left="6" w:firstLine="0"/>
            </w:pPr>
            <w:r>
              <w:t>9 months to 12 months ago.</w:t>
            </w:r>
          </w:p>
        </w:tc>
      </w:tr>
      <w:tr w:rsidR="004A38B5" w:rsidRPr="000D7225" w:rsidTr="00F13FEB">
        <w:trPr>
          <w:cantSplit/>
          <w:jc w:val="center"/>
        </w:trPr>
        <w:tc>
          <w:tcPr>
            <w:tcW w:w="8845" w:type="dxa"/>
            <w:gridSpan w:val="6"/>
          </w:tcPr>
          <w:p w:rsidR="004A38B5" w:rsidRPr="00CE3D86" w:rsidRDefault="004A38B5" w:rsidP="00E31CC0">
            <w:pPr>
              <w:pStyle w:val="DQIMainRowHeadings"/>
              <w:spacing w:before="200"/>
              <w:rPr>
                <w:rFonts w:cs="Arial"/>
                <w:sz w:val="22"/>
                <w:szCs w:val="22"/>
              </w:rPr>
            </w:pPr>
            <w:r>
              <w:rPr>
                <w:rFonts w:ascii="Times New Roman" w:hAnsi="Times New Roman"/>
                <w:sz w:val="24"/>
              </w:rPr>
              <w:br w:type="page"/>
            </w:r>
            <w:r>
              <w:rPr>
                <w:rFonts w:ascii="Times New Roman" w:hAnsi="Times New Roman"/>
                <w:sz w:val="24"/>
              </w:rPr>
              <w:br w:type="page"/>
            </w:r>
            <w:r w:rsidRPr="003211C6">
              <w:t>Data Quality Framework dimensions</w:t>
            </w:r>
          </w:p>
        </w:tc>
      </w:tr>
      <w:tr w:rsidR="004A38B5" w:rsidRPr="00254F46" w:rsidTr="008B3909">
        <w:trPr>
          <w:cantSplit/>
          <w:jc w:val="center"/>
        </w:trPr>
        <w:tc>
          <w:tcPr>
            <w:tcW w:w="1588" w:type="dxa"/>
            <w:gridSpan w:val="2"/>
          </w:tcPr>
          <w:p w:rsidR="004A38B5" w:rsidRPr="00A05229" w:rsidRDefault="004A38B5" w:rsidP="00F13FEB">
            <w:pPr>
              <w:pStyle w:val="DQIRowHeadings"/>
            </w:pPr>
            <w:r w:rsidRPr="00A05229">
              <w:t>Institutional environment</w:t>
            </w:r>
          </w:p>
        </w:tc>
        <w:tc>
          <w:tcPr>
            <w:tcW w:w="7257" w:type="dxa"/>
            <w:gridSpan w:val="4"/>
          </w:tcPr>
          <w:p w:rsidR="004A38B5" w:rsidRPr="00A05229" w:rsidRDefault="00F14222" w:rsidP="00F13FEB">
            <w:pPr>
              <w:pStyle w:val="DQITableText"/>
            </w:pPr>
            <w:r>
              <w:t>Not all jurisdictions regularly collect data on residential structures with smoke alarms. Where they do, they</w:t>
            </w:r>
            <w:r w:rsidR="009D2362">
              <w:t xml:space="preserve"> </w:t>
            </w:r>
            <w:r w:rsidR="004A38B5" w:rsidRPr="00812C4A">
              <w:t>measurement questionnaires and tools are not applied consistently across Australia</w:t>
            </w:r>
            <w:r w:rsidR="004A38B5">
              <w:t xml:space="preserve"> (table</w:t>
            </w:r>
            <w:r w:rsidR="009D2362">
              <w:t> </w:t>
            </w:r>
            <w:r w:rsidR="00887AA8">
              <w:t>5</w:t>
            </w:r>
            <w:r w:rsidR="004A38B5">
              <w:t>)</w:t>
            </w:r>
            <w:r w:rsidR="004A38B5" w:rsidRPr="00812C4A">
              <w:t>.</w:t>
            </w:r>
          </w:p>
        </w:tc>
      </w:tr>
      <w:tr w:rsidR="004A38B5" w:rsidRPr="00254F46" w:rsidTr="008B3909">
        <w:trPr>
          <w:cantSplit/>
          <w:jc w:val="center"/>
        </w:trPr>
        <w:tc>
          <w:tcPr>
            <w:tcW w:w="1588" w:type="dxa"/>
            <w:gridSpan w:val="2"/>
          </w:tcPr>
          <w:p w:rsidR="004A38B5" w:rsidRPr="00A05229" w:rsidRDefault="004A38B5" w:rsidP="00F13FEB">
            <w:pPr>
              <w:pStyle w:val="DQIRowHeadings"/>
            </w:pPr>
            <w:r w:rsidRPr="00A05229">
              <w:t>Relevance</w:t>
            </w:r>
          </w:p>
        </w:tc>
        <w:tc>
          <w:tcPr>
            <w:tcW w:w="7257" w:type="dxa"/>
            <w:gridSpan w:val="4"/>
          </w:tcPr>
          <w:p w:rsidR="004A38B5" w:rsidRPr="00A05229" w:rsidRDefault="004A38B5" w:rsidP="00A12FA5">
            <w:pPr>
              <w:pStyle w:val="DQITableText"/>
            </w:pPr>
            <w:r>
              <w:t>High or increasing numbers of households with a smoke alarm installed, increases the likelihood that the adverse effects of fire will be avoided or reduced</w:t>
            </w:r>
            <w:r w:rsidRPr="0035568B">
              <w:t>.</w:t>
            </w:r>
          </w:p>
        </w:tc>
      </w:tr>
      <w:tr w:rsidR="004A38B5" w:rsidRPr="00254F46" w:rsidTr="008B3909">
        <w:trPr>
          <w:cantSplit/>
          <w:jc w:val="center"/>
        </w:trPr>
        <w:tc>
          <w:tcPr>
            <w:tcW w:w="1588" w:type="dxa"/>
            <w:gridSpan w:val="2"/>
          </w:tcPr>
          <w:p w:rsidR="004A38B5" w:rsidRPr="00A05229" w:rsidRDefault="004A38B5" w:rsidP="00F13FEB">
            <w:pPr>
              <w:pStyle w:val="DQIRowHeadings"/>
            </w:pPr>
            <w:r w:rsidRPr="00A05229">
              <w:t>Timeliness</w:t>
            </w:r>
          </w:p>
        </w:tc>
        <w:tc>
          <w:tcPr>
            <w:tcW w:w="7257" w:type="dxa"/>
            <w:gridSpan w:val="4"/>
          </w:tcPr>
          <w:p w:rsidR="004A38B5" w:rsidRDefault="004A38B5" w:rsidP="00F13FEB">
            <w:pPr>
              <w:pStyle w:val="DQITableText"/>
            </w:pPr>
            <w:r w:rsidRPr="00A96FD3">
              <w:t>Nationally consistent data for all jurisdictions were last available for the reference period February to November 2000, from the discontinued ABS P</w:t>
            </w:r>
            <w:r>
              <w:t xml:space="preserve">opulation </w:t>
            </w:r>
            <w:r w:rsidRPr="00A96FD3">
              <w:t>S</w:t>
            </w:r>
            <w:r>
              <w:t xml:space="preserve">urvey </w:t>
            </w:r>
            <w:r w:rsidRPr="00A96FD3">
              <w:t>M</w:t>
            </w:r>
            <w:r>
              <w:t>onitor</w:t>
            </w:r>
            <w:r w:rsidRPr="00A96FD3">
              <w:t>.</w:t>
            </w:r>
          </w:p>
          <w:p w:rsidR="004A38B5" w:rsidRDefault="004A38B5" w:rsidP="00F13FEB">
            <w:pPr>
              <w:pStyle w:val="DQITableText"/>
            </w:pPr>
            <w:r>
              <w:t>Since 2000, jurisdictions have collected data for their own states and territories, with the frequency and timeliness determined by jurisdiction requirements and available resources.</w:t>
            </w:r>
          </w:p>
          <w:p w:rsidR="00887AA8" w:rsidRPr="00A05229" w:rsidRDefault="00887AA8" w:rsidP="00F13FEB">
            <w:pPr>
              <w:pStyle w:val="DQITableText"/>
            </w:pPr>
          </w:p>
        </w:tc>
      </w:tr>
      <w:tr w:rsidR="004A38B5" w:rsidRPr="00254F46" w:rsidTr="008B3909">
        <w:trPr>
          <w:jc w:val="center"/>
        </w:trPr>
        <w:tc>
          <w:tcPr>
            <w:tcW w:w="1588" w:type="dxa"/>
            <w:gridSpan w:val="2"/>
          </w:tcPr>
          <w:p w:rsidR="004A38B5" w:rsidRPr="00A05229" w:rsidRDefault="004A38B5" w:rsidP="00F13FEB">
            <w:pPr>
              <w:pStyle w:val="DQIRowHeadings"/>
            </w:pPr>
            <w:r w:rsidRPr="00A05229">
              <w:t>Accuracy</w:t>
            </w:r>
          </w:p>
        </w:tc>
        <w:tc>
          <w:tcPr>
            <w:tcW w:w="7257" w:type="dxa"/>
            <w:gridSpan w:val="4"/>
          </w:tcPr>
          <w:p w:rsidR="004A38B5" w:rsidRPr="00F5464E" w:rsidRDefault="004A38B5" w:rsidP="00F13FEB">
            <w:pPr>
              <w:pStyle w:val="DQITableText"/>
            </w:pPr>
            <w:r>
              <w:t>All jurisdictions collect data from a sample of households in their state or territory. These are subject to sample and non</w:t>
            </w:r>
            <w:r w:rsidR="009D2362">
              <w:noBreakHyphen/>
            </w:r>
            <w:r>
              <w:t>sample error, particular to their collection.</w:t>
            </w:r>
          </w:p>
        </w:tc>
      </w:tr>
      <w:tr w:rsidR="004A38B5" w:rsidRPr="00E57110" w:rsidTr="008B3909">
        <w:trPr>
          <w:cantSplit/>
          <w:jc w:val="center"/>
        </w:trPr>
        <w:tc>
          <w:tcPr>
            <w:tcW w:w="1588" w:type="dxa"/>
            <w:gridSpan w:val="2"/>
          </w:tcPr>
          <w:p w:rsidR="004A38B5" w:rsidRPr="00A05229" w:rsidRDefault="004A38B5" w:rsidP="00F13FEB">
            <w:pPr>
              <w:pStyle w:val="DQIRowHeadings"/>
            </w:pPr>
            <w:r w:rsidRPr="00A05229">
              <w:lastRenderedPageBreak/>
              <w:t>Coherence</w:t>
            </w:r>
          </w:p>
        </w:tc>
        <w:tc>
          <w:tcPr>
            <w:tcW w:w="7257" w:type="dxa"/>
            <w:gridSpan w:val="4"/>
          </w:tcPr>
          <w:p w:rsidR="004A38B5" w:rsidRDefault="004A38B5" w:rsidP="00F13FEB">
            <w:pPr>
              <w:pStyle w:val="DQITableText"/>
            </w:pPr>
            <w:r>
              <w:t>Each State and Territory government maintain</w:t>
            </w:r>
            <w:r w:rsidR="00AD0494">
              <w:t>s</w:t>
            </w:r>
            <w:r>
              <w:t xml:space="preserve"> their own systems, processes, and training for estimation of </w:t>
            </w:r>
            <w:r w:rsidR="00743F69">
              <w:t>residential structures with smoke alarms.</w:t>
            </w:r>
          </w:p>
          <w:p w:rsidR="004A38B5" w:rsidRDefault="004A38B5" w:rsidP="00F13FEB">
            <w:pPr>
              <w:pStyle w:val="DQITableText"/>
            </w:pPr>
            <w:r>
              <w:t>D</w:t>
            </w:r>
            <w:r w:rsidRPr="00A96FD3">
              <w:t>ata were sourced from jurisdictional collections that were not strictly comparable because of methodological differences.</w:t>
            </w:r>
          </w:p>
          <w:p w:rsidR="004A38B5" w:rsidRPr="00A05229" w:rsidRDefault="004A38B5" w:rsidP="00F13FEB">
            <w:pPr>
              <w:pStyle w:val="DQITableText"/>
            </w:pPr>
            <w:r>
              <w:t xml:space="preserve">Collection methods and </w:t>
            </w:r>
            <w:r w:rsidRPr="0077499F">
              <w:t xml:space="preserve">time series changes </w:t>
            </w:r>
            <w:r>
              <w:t xml:space="preserve">for each jurisdiction </w:t>
            </w:r>
            <w:r w:rsidRPr="0077499F">
              <w:t>are identified with relevant footnotes.</w:t>
            </w:r>
          </w:p>
        </w:tc>
      </w:tr>
      <w:tr w:rsidR="004A38B5" w:rsidRPr="00E57110" w:rsidTr="008B3909">
        <w:trPr>
          <w:cantSplit/>
          <w:jc w:val="center"/>
        </w:trPr>
        <w:tc>
          <w:tcPr>
            <w:tcW w:w="1588" w:type="dxa"/>
            <w:gridSpan w:val="2"/>
          </w:tcPr>
          <w:p w:rsidR="004A38B5" w:rsidRPr="00A05229" w:rsidRDefault="004A38B5" w:rsidP="00F13FEB">
            <w:pPr>
              <w:pStyle w:val="DQIRowHeadings"/>
            </w:pPr>
            <w:r w:rsidRPr="00A05229">
              <w:t>Accessibility</w:t>
            </w:r>
          </w:p>
        </w:tc>
        <w:tc>
          <w:tcPr>
            <w:tcW w:w="7257" w:type="dxa"/>
            <w:gridSpan w:val="4"/>
          </w:tcPr>
          <w:p w:rsidR="004A38B5" w:rsidRPr="00A05229" w:rsidRDefault="004A38B5" w:rsidP="00F13FEB">
            <w:pPr>
              <w:pStyle w:val="DQITableText"/>
            </w:pPr>
            <w:r w:rsidRPr="00A96FD3">
              <w:t>Residential structures with smoke alarms</w:t>
            </w:r>
            <w:r>
              <w:t xml:space="preserve"> </w:t>
            </w:r>
            <w:r w:rsidRPr="0077499F">
              <w:t xml:space="preserve">data are publicly available on the Productivity Commission’s website from the time of </w:t>
            </w:r>
            <w:proofErr w:type="spellStart"/>
            <w:r>
              <w:t>RoGS</w:t>
            </w:r>
            <w:proofErr w:type="spellEnd"/>
            <w:r>
              <w:t xml:space="preserve"> </w:t>
            </w:r>
            <w:r w:rsidRPr="0077499F">
              <w:t>publication.</w:t>
            </w:r>
            <w:r w:rsidR="009D2362">
              <w:t xml:space="preserve"> </w:t>
            </w:r>
          </w:p>
        </w:tc>
      </w:tr>
      <w:tr w:rsidR="004A38B5" w:rsidRPr="00254F46" w:rsidTr="008B3909">
        <w:trPr>
          <w:cantSplit/>
          <w:jc w:val="center"/>
        </w:trPr>
        <w:tc>
          <w:tcPr>
            <w:tcW w:w="1588" w:type="dxa"/>
            <w:gridSpan w:val="2"/>
          </w:tcPr>
          <w:p w:rsidR="004A38B5" w:rsidRPr="00A05229" w:rsidRDefault="004A38B5" w:rsidP="00F13FEB">
            <w:pPr>
              <w:pStyle w:val="DQIRowHeadings"/>
            </w:pPr>
            <w:r w:rsidRPr="00A05229">
              <w:t>Interpretability</w:t>
            </w:r>
          </w:p>
        </w:tc>
        <w:tc>
          <w:tcPr>
            <w:tcW w:w="7257" w:type="dxa"/>
            <w:gridSpan w:val="4"/>
          </w:tcPr>
          <w:p w:rsidR="004A38B5" w:rsidRDefault="004A38B5" w:rsidP="00F13FEB">
            <w:pPr>
              <w:pStyle w:val="DQITableText"/>
            </w:pPr>
            <w:r>
              <w:t>T</w:t>
            </w:r>
            <w:r w:rsidRPr="004B26D9">
              <w:t xml:space="preserve">he </w:t>
            </w:r>
            <w:r w:rsidRPr="004B26D9">
              <w:rPr>
                <w:i/>
              </w:rPr>
              <w:t xml:space="preserve">Directory of National Data Items and Questions for Evaluation of Household Preparedness for Fire </w:t>
            </w:r>
            <w:r>
              <w:rPr>
                <w:i/>
              </w:rPr>
              <w:t>and Natural Disaster Emergencies</w:t>
            </w:r>
            <w:r>
              <w:t xml:space="preserve"> is available on the </w:t>
            </w:r>
            <w:r w:rsidRPr="00A96FD3">
              <w:t>Australian Natural Disasters Impacts Framework Project</w:t>
            </w:r>
            <w:r>
              <w:t xml:space="preserve"> page, hosted by NSW Fire Brigade website at:</w:t>
            </w:r>
          </w:p>
          <w:p w:rsidR="004A38B5" w:rsidRPr="00A96FD3" w:rsidRDefault="004A38B5" w:rsidP="00F13FEB">
            <w:pPr>
              <w:pStyle w:val="DQITableText"/>
            </w:pPr>
            <w:proofErr w:type="spellStart"/>
            <w:r w:rsidRPr="004A1422">
              <w:t>www.fire.nsw.gov.au</w:t>
            </w:r>
            <w:proofErr w:type="spellEnd"/>
            <w:r w:rsidRPr="004A1422">
              <w:t>/</w:t>
            </w:r>
            <w:proofErr w:type="spellStart"/>
            <w:r w:rsidRPr="004A1422">
              <w:t>page.php?id</w:t>
            </w:r>
            <w:proofErr w:type="spellEnd"/>
            <w:r w:rsidRPr="004A1422">
              <w:t>=914</w:t>
            </w:r>
          </w:p>
        </w:tc>
      </w:tr>
      <w:tr w:rsidR="004A38B5" w:rsidRPr="00254F46" w:rsidTr="00E36D6E">
        <w:trPr>
          <w:cantSplit/>
          <w:jc w:val="center"/>
        </w:trPr>
        <w:tc>
          <w:tcPr>
            <w:tcW w:w="8845" w:type="dxa"/>
            <w:gridSpan w:val="6"/>
          </w:tcPr>
          <w:p w:rsidR="004A38B5" w:rsidRPr="00CE3D86" w:rsidRDefault="004A38B5" w:rsidP="00F13FEB">
            <w:pPr>
              <w:pStyle w:val="DQIMainRowHeadings"/>
            </w:pPr>
            <w:r w:rsidRPr="00C744E0">
              <w:t>Data Gaps/Issues Analysis</w:t>
            </w:r>
          </w:p>
        </w:tc>
      </w:tr>
      <w:tr w:rsidR="004A38B5" w:rsidRPr="004F3342" w:rsidTr="00E36D6E">
        <w:trPr>
          <w:cantSplit/>
          <w:jc w:val="center"/>
        </w:trPr>
        <w:tc>
          <w:tcPr>
            <w:tcW w:w="1564" w:type="dxa"/>
          </w:tcPr>
          <w:p w:rsidR="004A38B5" w:rsidRPr="00A05229" w:rsidRDefault="004A38B5" w:rsidP="00F13FEB">
            <w:pPr>
              <w:pStyle w:val="DQIRowHeadings"/>
            </w:pPr>
            <w:r w:rsidRPr="00A05229">
              <w:t>Key data gaps/issues</w:t>
            </w:r>
          </w:p>
        </w:tc>
        <w:tc>
          <w:tcPr>
            <w:tcW w:w="7281" w:type="dxa"/>
            <w:gridSpan w:val="5"/>
          </w:tcPr>
          <w:p w:rsidR="004A38B5" w:rsidRPr="0077499F" w:rsidRDefault="004A38B5" w:rsidP="00F13FEB">
            <w:pPr>
              <w:pStyle w:val="DQITableText"/>
            </w:pPr>
            <w:r w:rsidRPr="0077499F">
              <w:t xml:space="preserve">The Steering Committee notes the following key data gaps/issues: </w:t>
            </w:r>
          </w:p>
          <w:p w:rsidR="004A38B5" w:rsidRPr="0077499F" w:rsidRDefault="004A38B5" w:rsidP="00F13FEB">
            <w:pPr>
              <w:pStyle w:val="DQITableBullet"/>
            </w:pPr>
            <w:r w:rsidRPr="00A96FD3">
              <w:t>Residential structures with smoke alarms</w:t>
            </w:r>
            <w:r w:rsidRPr="00761BA2">
              <w:t xml:space="preserve"> indicators lack a consistent, comparable and iterative data source</w:t>
            </w:r>
            <w:r w:rsidRPr="0077499F">
              <w:t>.</w:t>
            </w:r>
          </w:p>
          <w:p w:rsidR="004A38B5" w:rsidRDefault="004A38B5" w:rsidP="00F13FEB">
            <w:pPr>
              <w:pStyle w:val="DQITableBullet"/>
            </w:pPr>
            <w:r w:rsidRPr="0077499F">
              <w:t xml:space="preserve">Text caveats note the need for </w:t>
            </w:r>
            <w:r>
              <w:t xml:space="preserve">of </w:t>
            </w:r>
            <w:r w:rsidRPr="00A96FD3">
              <w:t>residential structures with smoke alarms</w:t>
            </w:r>
            <w:r>
              <w:t xml:space="preserve"> </w:t>
            </w:r>
            <w:r w:rsidRPr="0077499F">
              <w:t>to be ‘interpreted with caution because the data are not strictly co</w:t>
            </w:r>
            <w:r>
              <w:t>mparable across jurisdictions.’</w:t>
            </w:r>
          </w:p>
          <w:p w:rsidR="004A38B5" w:rsidRPr="004F3342" w:rsidRDefault="004A38B5" w:rsidP="00F13FEB">
            <w:pPr>
              <w:pStyle w:val="DQITableText"/>
            </w:pPr>
            <w:r w:rsidRPr="0077499F">
              <w:t>A number of factors are identified as contributing to this lack of comparability, but without detailed analysis of such factors.</w:t>
            </w:r>
          </w:p>
        </w:tc>
      </w:tr>
    </w:tbl>
    <w:p w:rsidR="00A2633E" w:rsidRDefault="00A2633E">
      <w:pPr>
        <w:rPr>
          <w:szCs w:val="20"/>
        </w:rPr>
      </w:pPr>
      <w:r>
        <w:br w:type="page"/>
      </w:r>
    </w:p>
    <w:p w:rsidR="00635C2E" w:rsidRDefault="00635C2E" w:rsidP="007511E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654"/>
      </w:tblGrid>
      <w:tr w:rsidR="00635C2E" w:rsidTr="007511E6">
        <w:tc>
          <w:tcPr>
            <w:tcW w:w="8771" w:type="dxa"/>
            <w:tcBorders>
              <w:top w:val="single" w:sz="6" w:space="0" w:color="78A22F"/>
              <w:left w:val="nil"/>
              <w:bottom w:val="nil"/>
              <w:right w:val="nil"/>
            </w:tcBorders>
            <w:shd w:val="clear" w:color="auto" w:fill="auto"/>
          </w:tcPr>
          <w:p w:rsidR="00635C2E" w:rsidRDefault="00635C2E" w:rsidP="007511E6">
            <w:pPr>
              <w:pStyle w:val="TableTitle"/>
            </w:pPr>
            <w:r>
              <w:rPr>
                <w:b w:val="0"/>
              </w:rPr>
              <w:t xml:space="preserve">Table </w:t>
            </w:r>
            <w:bookmarkStart w:id="45" w:name="OLE_LINK5"/>
            <w:r w:rsidR="00B560A0">
              <w:rPr>
                <w:b w:val="0"/>
                <w:noProof/>
              </w:rPr>
              <w:t>5</w:t>
            </w:r>
            <w:bookmarkEnd w:id="45"/>
            <w:r>
              <w:tab/>
            </w:r>
            <w:r w:rsidRPr="00FD3A13">
              <w:t>Residential structures with smoke alarms</w:t>
            </w:r>
            <w:r>
              <w:t xml:space="preserve"> calculation</w:t>
            </w:r>
          </w:p>
          <w:p w:rsidR="00635C2E" w:rsidRPr="00784A05" w:rsidRDefault="00635C2E" w:rsidP="007511E6">
            <w:pPr>
              <w:pStyle w:val="Subtitle"/>
            </w:pPr>
            <w:r>
              <w:t>J</w:t>
            </w:r>
            <w:r w:rsidRPr="004A38B5">
              <w:t>urisdiction’s method for estimating ‘Residential structures with smoke alarms’.</w:t>
            </w:r>
          </w:p>
        </w:tc>
      </w:tr>
      <w:tr w:rsidR="00635C2E" w:rsidTr="007511E6">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775"/>
              <w:gridCol w:w="7595"/>
            </w:tblGrid>
            <w:tr w:rsidR="0002451A" w:rsidTr="0002451A">
              <w:tc>
                <w:tcPr>
                  <w:tcW w:w="5000" w:type="pct"/>
                  <w:gridSpan w:val="2"/>
                  <w:tcBorders>
                    <w:top w:val="single" w:sz="6" w:space="0" w:color="BFBFBF" w:themeColor="background2"/>
                    <w:bottom w:val="single" w:sz="6" w:space="0" w:color="BFBFBF" w:themeColor="background2"/>
                  </w:tcBorders>
                </w:tcPr>
                <w:p w:rsidR="0002451A" w:rsidRPr="004A0494" w:rsidRDefault="0002451A" w:rsidP="0002451A">
                  <w:pPr>
                    <w:pStyle w:val="DQIMainRowHeadings"/>
                    <w:spacing w:before="80" w:after="80"/>
                    <w:rPr>
                      <w:b w:val="0"/>
                      <w:i/>
                      <w:u w:val="none"/>
                    </w:rPr>
                  </w:pPr>
                  <w:r w:rsidRPr="004A0494">
                    <w:rPr>
                      <w:b w:val="0"/>
                      <w:i/>
                      <w:u w:val="none"/>
                    </w:rPr>
                    <w:t>Jurisdiction’s collection and estimation method</w:t>
                  </w:r>
                </w:p>
              </w:tc>
            </w:tr>
            <w:tr w:rsidR="00635C2E" w:rsidTr="00635C2E">
              <w:tc>
                <w:tcPr>
                  <w:tcW w:w="463" w:type="pct"/>
                  <w:tcBorders>
                    <w:top w:val="single" w:sz="6" w:space="0" w:color="BFBFBF" w:themeColor="background2"/>
                  </w:tcBorders>
                </w:tcPr>
                <w:p w:rsidR="00635C2E" w:rsidRDefault="00635C2E" w:rsidP="00B47113">
                  <w:pPr>
                    <w:pStyle w:val="DQIRowHeadings"/>
                  </w:pPr>
                  <w:r>
                    <w:t>NSW</w:t>
                  </w:r>
                </w:p>
              </w:tc>
              <w:tc>
                <w:tcPr>
                  <w:tcW w:w="4537" w:type="pct"/>
                  <w:tcBorders>
                    <w:top w:val="single" w:sz="6" w:space="0" w:color="BFBFBF" w:themeColor="background2"/>
                  </w:tcBorders>
                  <w:vAlign w:val="center"/>
                </w:tcPr>
                <w:p w:rsidR="00635C2E" w:rsidRPr="004B4B63" w:rsidRDefault="00635C2E" w:rsidP="00C75B90">
                  <w:pPr>
                    <w:pStyle w:val="DQITableText"/>
                    <w:rPr>
                      <w:rStyle w:val="DraftingNote"/>
                      <w:b w:val="0"/>
                      <w:color w:val="auto"/>
                      <w:sz w:val="20"/>
                      <w:u w:val="none"/>
                    </w:rPr>
                  </w:pPr>
                  <w:r w:rsidRPr="004B4B63">
                    <w:t xml:space="preserve">Data are sourced from the New South Wales </w:t>
                  </w:r>
                  <w:r w:rsidR="008E57A6">
                    <w:t>Adult Population Health Survey (</w:t>
                  </w:r>
                  <w:proofErr w:type="spellStart"/>
                  <w:r w:rsidR="008E57A6">
                    <w:t>SAPHaPI</w:t>
                  </w:r>
                  <w:proofErr w:type="spellEnd"/>
                  <w:r w:rsidR="008E57A6">
                    <w:t xml:space="preserve">), </w:t>
                  </w:r>
                  <w:r w:rsidRPr="004B4B63">
                    <w:t xml:space="preserve">Centre for </w:t>
                  </w:r>
                  <w:r w:rsidRPr="0017798B">
                    <w:t>Epidemiology</w:t>
                  </w:r>
                  <w:r w:rsidRPr="00650564">
                    <w:t xml:space="preserve"> and </w:t>
                  </w:r>
                  <w:r w:rsidR="008E57A6">
                    <w:t>Evidence, Ministry of Health.</w:t>
                  </w:r>
                </w:p>
              </w:tc>
            </w:tr>
            <w:tr w:rsidR="00635C2E" w:rsidTr="007511E6">
              <w:tc>
                <w:tcPr>
                  <w:tcW w:w="463" w:type="pct"/>
                  <w:shd w:val="clear" w:color="auto" w:fill="auto"/>
                </w:tcPr>
                <w:p w:rsidR="00635C2E" w:rsidRDefault="00635C2E" w:rsidP="00B47113">
                  <w:pPr>
                    <w:pStyle w:val="DQIRowHeadings"/>
                  </w:pPr>
                  <w:r>
                    <w:t>Vic</w:t>
                  </w:r>
                </w:p>
              </w:tc>
              <w:tc>
                <w:tcPr>
                  <w:tcW w:w="4537" w:type="pct"/>
                  <w:shd w:val="clear" w:color="auto" w:fill="auto"/>
                </w:tcPr>
                <w:p w:rsidR="00B47113" w:rsidRDefault="00635C2E" w:rsidP="00B47113">
                  <w:pPr>
                    <w:pStyle w:val="DQITableText"/>
                  </w:pPr>
                  <w:r w:rsidRPr="004A38B5">
                    <w:t>Data are sourced from Household Preparedness for Emergencies Survey, 2007</w:t>
                  </w:r>
                  <w:r>
                    <w:noBreakHyphen/>
                  </w:r>
                  <w:r w:rsidRPr="004A38B5">
                    <w:t>08 (ABS cat. no. 4818.0).</w:t>
                  </w:r>
                </w:p>
                <w:p w:rsidR="00635C2E" w:rsidRPr="009D2362" w:rsidRDefault="00635C2E" w:rsidP="00B47113">
                  <w:pPr>
                    <w:pStyle w:val="DQITableBullet"/>
                  </w:pPr>
                  <w:r w:rsidRPr="00B47113">
                    <w:t>The number of households enumerated for the survey w</w:t>
                  </w:r>
                  <w:r w:rsidR="00AD0494">
                    <w:t>as</w:t>
                  </w:r>
                  <w:r w:rsidRPr="00B47113">
                    <w:t xml:space="preserve"> 1</w:t>
                  </w:r>
                  <w:r w:rsidRPr="009D2362">
                    <w:t xml:space="preserve">207 </w:t>
                  </w:r>
                  <w:r w:rsidRPr="00B47113">
                    <w:t xml:space="preserve">for </w:t>
                  </w:r>
                  <w:r w:rsidRPr="009D2362">
                    <w:t>Victoria.</w:t>
                  </w:r>
                </w:p>
                <w:p w:rsidR="00635C2E" w:rsidRPr="009D2362" w:rsidRDefault="00635C2E" w:rsidP="00B47113">
                  <w:pPr>
                    <w:pStyle w:val="DQITableBullet"/>
                  </w:pPr>
                  <w:r w:rsidRPr="009D2362">
                    <w:t>Relative standard error for Victorian estimate is 0.8 per cent.</w:t>
                  </w:r>
                </w:p>
                <w:p w:rsidR="00635C2E" w:rsidRPr="00650564" w:rsidRDefault="00635C2E" w:rsidP="00B47113">
                  <w:pPr>
                    <w:pStyle w:val="DQITableText"/>
                  </w:pPr>
                  <w:r w:rsidRPr="004B4B63">
                    <w:t>The indicator includes those who have a smoke alarm or detector in their home. The question used to define the indicator was:</w:t>
                  </w:r>
                </w:p>
                <w:p w:rsidR="00635C2E" w:rsidRPr="00B47113" w:rsidRDefault="00635C2E" w:rsidP="00B47113">
                  <w:pPr>
                    <w:pStyle w:val="DQITableText"/>
                    <w:ind w:left="184"/>
                    <w:rPr>
                      <w:b/>
                    </w:rPr>
                  </w:pPr>
                  <w:r w:rsidRPr="00B47113">
                    <w:rPr>
                      <w:b/>
                    </w:rPr>
                    <w:t>Do you have smoke alarms installed in your home?</w:t>
                  </w:r>
                </w:p>
              </w:tc>
            </w:tr>
            <w:tr w:rsidR="00635C2E" w:rsidTr="007511E6">
              <w:tc>
                <w:tcPr>
                  <w:tcW w:w="463" w:type="pct"/>
                </w:tcPr>
                <w:p w:rsidR="00635C2E" w:rsidRDefault="00635C2E" w:rsidP="00B47113">
                  <w:pPr>
                    <w:pStyle w:val="DQIRowHeadings"/>
                  </w:pPr>
                  <w:r>
                    <w:t>Qld</w:t>
                  </w:r>
                </w:p>
              </w:tc>
              <w:tc>
                <w:tcPr>
                  <w:tcW w:w="4537" w:type="pct"/>
                </w:tcPr>
                <w:p w:rsidR="00635C2E" w:rsidRPr="004A38B5" w:rsidRDefault="00A84293" w:rsidP="00B47113">
                  <w:pPr>
                    <w:pStyle w:val="DQITableText"/>
                  </w:pPr>
                  <w:r w:rsidRPr="00A84293">
                    <w:t>The 2013-14 result is sourced from an online survey undertaken in November 2013.</w:t>
                  </w:r>
                  <w:r w:rsidR="00635C2E" w:rsidRPr="004A38B5">
                    <w:t xml:space="preserve"> The survey is conducted annually. Data are estimates for the whole population of Queensland.</w:t>
                  </w:r>
                </w:p>
                <w:p w:rsidR="00635C2E" w:rsidRPr="00650564" w:rsidRDefault="00635C2E" w:rsidP="007511E6">
                  <w:pPr>
                    <w:pStyle w:val="TableBodyText"/>
                    <w:jc w:val="left"/>
                  </w:pPr>
                  <w:r w:rsidRPr="004B4B63">
                    <w:rPr>
                      <w:rStyle w:val="TableBulletChar"/>
                    </w:rPr>
                    <w:t>The indicator includes those who have a smoke alarm or detector in their home. The question used to define the indicator was:</w:t>
                  </w:r>
                </w:p>
                <w:p w:rsidR="00635C2E" w:rsidRPr="00650564" w:rsidRDefault="00635C2E" w:rsidP="00B47113">
                  <w:pPr>
                    <w:pStyle w:val="DQITableText"/>
                    <w:ind w:left="184"/>
                    <w:rPr>
                      <w:rStyle w:val="TableBodyTextChar"/>
                    </w:rPr>
                  </w:pPr>
                  <w:r w:rsidRPr="004B4B63">
                    <w:t xml:space="preserve"> </w:t>
                  </w:r>
                  <w:r w:rsidRPr="000A6835">
                    <w:rPr>
                      <w:b/>
                    </w:rPr>
                    <w:t>Do you have smoke alarms installed in your home?</w:t>
                  </w:r>
                </w:p>
                <w:p w:rsidR="00635C2E" w:rsidRPr="004A38B5" w:rsidRDefault="00635C2E" w:rsidP="00B47113">
                  <w:pPr>
                    <w:pStyle w:val="DQITableText"/>
                  </w:pPr>
                  <w:r w:rsidRPr="004A38B5">
                    <w:t>A household is deemed to have an operational smoke alarm if, in the past 12 months, any of the following apply: ‘tested smoke alarm’; ‘vacuumed or cleaned smoke alarm’; ‘replaced smoke alarm battery’; or ‘replaced smoke alarm unit’.</w:t>
                  </w:r>
                </w:p>
                <w:p w:rsidR="00635C2E" w:rsidRPr="004A38B5" w:rsidRDefault="00635C2E" w:rsidP="00B47113">
                  <w:pPr>
                    <w:pStyle w:val="DQITableText"/>
                  </w:pPr>
                  <w:r w:rsidRPr="004A38B5">
                    <w:t>Note that households without an operational smoke alarm include those where a smoke alarm is not installed and those where a smoke alarm is installed but none of the above maintenance activities have been carried out in the past 12 months.</w:t>
                  </w:r>
                </w:p>
              </w:tc>
            </w:tr>
            <w:tr w:rsidR="00635C2E" w:rsidTr="007511E6">
              <w:tc>
                <w:tcPr>
                  <w:tcW w:w="463" w:type="pct"/>
                </w:tcPr>
                <w:p w:rsidR="00635C2E" w:rsidRDefault="00635C2E" w:rsidP="00B47113">
                  <w:pPr>
                    <w:pStyle w:val="DQIRowHeadings"/>
                  </w:pPr>
                  <w:r>
                    <w:t>WA</w:t>
                  </w:r>
                </w:p>
              </w:tc>
              <w:tc>
                <w:tcPr>
                  <w:tcW w:w="4537" w:type="pct"/>
                </w:tcPr>
                <w:p w:rsidR="00635C2E" w:rsidRDefault="00635C2E" w:rsidP="00B47113">
                  <w:pPr>
                    <w:pStyle w:val="DQITableText"/>
                  </w:pPr>
                  <w:r w:rsidRPr="004A38B5">
                    <w:t>Data are based on market research conducted annually (most recently April 201</w:t>
                  </w:r>
                  <w:r w:rsidR="008E1527">
                    <w:t>3</w:t>
                  </w:r>
                  <w:r w:rsidRPr="004A38B5">
                    <w:t>).</w:t>
                  </w:r>
                </w:p>
                <w:p w:rsidR="00635C2E" w:rsidRPr="00650564" w:rsidRDefault="00635C2E" w:rsidP="00B47113">
                  <w:pPr>
                    <w:pStyle w:val="DQITableText"/>
                  </w:pPr>
                  <w:r w:rsidRPr="000A6835">
                    <w:t>The indicator includes those who have a smoke alarm or detector in their home. The question used to define the indicator was:</w:t>
                  </w:r>
                </w:p>
                <w:p w:rsidR="00635C2E" w:rsidRPr="004A38B5" w:rsidRDefault="00635C2E" w:rsidP="00B47113">
                  <w:pPr>
                    <w:pStyle w:val="DQITableText"/>
                    <w:ind w:left="184"/>
                  </w:pPr>
                  <w:r w:rsidRPr="000A6835">
                    <w:rPr>
                      <w:rStyle w:val="TableBulletChar"/>
                      <w:b/>
                    </w:rPr>
                    <w:t>Do you have smoke alarms installed in your home?</w:t>
                  </w:r>
                </w:p>
              </w:tc>
            </w:tr>
            <w:tr w:rsidR="00635C2E" w:rsidTr="007511E6">
              <w:tc>
                <w:tcPr>
                  <w:tcW w:w="463" w:type="pct"/>
                  <w:shd w:val="clear" w:color="auto" w:fill="auto"/>
                </w:tcPr>
                <w:p w:rsidR="00635C2E" w:rsidRDefault="00635C2E" w:rsidP="00B47113">
                  <w:pPr>
                    <w:pStyle w:val="DQIRowHeadings"/>
                  </w:pPr>
                  <w:r>
                    <w:t>SA</w:t>
                  </w:r>
                </w:p>
              </w:tc>
              <w:tc>
                <w:tcPr>
                  <w:tcW w:w="4537" w:type="pct"/>
                  <w:shd w:val="clear" w:color="auto" w:fill="auto"/>
                </w:tcPr>
                <w:p w:rsidR="00635C2E" w:rsidRPr="004A38B5" w:rsidRDefault="00635C2E" w:rsidP="00B47113">
                  <w:pPr>
                    <w:pStyle w:val="DQITableText"/>
                  </w:pPr>
                  <w:r w:rsidRPr="004A38B5">
                    <w:t>..</w:t>
                  </w:r>
                </w:p>
              </w:tc>
            </w:tr>
            <w:tr w:rsidR="00635C2E" w:rsidTr="007511E6">
              <w:tc>
                <w:tcPr>
                  <w:tcW w:w="463" w:type="pct"/>
                  <w:shd w:val="clear" w:color="auto" w:fill="auto"/>
                </w:tcPr>
                <w:p w:rsidR="00635C2E" w:rsidRDefault="00635C2E" w:rsidP="00B47113">
                  <w:pPr>
                    <w:pStyle w:val="DQIRowHeadings"/>
                  </w:pPr>
                  <w:proofErr w:type="spellStart"/>
                  <w:r>
                    <w:t>Tas</w:t>
                  </w:r>
                  <w:proofErr w:type="spellEnd"/>
                </w:p>
              </w:tc>
              <w:tc>
                <w:tcPr>
                  <w:tcW w:w="4537" w:type="pct"/>
                  <w:shd w:val="clear" w:color="auto" w:fill="auto"/>
                </w:tcPr>
                <w:p w:rsidR="00635C2E" w:rsidRPr="004A38B5" w:rsidRDefault="00635C2E" w:rsidP="00B47113">
                  <w:pPr>
                    <w:pStyle w:val="DQITableText"/>
                  </w:pPr>
                  <w:r w:rsidRPr="004A38B5">
                    <w:t>..</w:t>
                  </w:r>
                </w:p>
              </w:tc>
            </w:tr>
            <w:tr w:rsidR="00635C2E" w:rsidTr="00635C2E">
              <w:tc>
                <w:tcPr>
                  <w:tcW w:w="463" w:type="pct"/>
                  <w:shd w:val="clear" w:color="auto" w:fill="auto"/>
                </w:tcPr>
                <w:p w:rsidR="00635C2E" w:rsidRPr="00436941" w:rsidRDefault="00635C2E" w:rsidP="00B47113">
                  <w:pPr>
                    <w:pStyle w:val="DQIRowHeadings"/>
                  </w:pPr>
                  <w:r w:rsidRPr="00436941">
                    <w:t>ACT</w:t>
                  </w:r>
                </w:p>
              </w:tc>
              <w:tc>
                <w:tcPr>
                  <w:tcW w:w="4537" w:type="pct"/>
                  <w:shd w:val="clear" w:color="auto" w:fill="auto"/>
                </w:tcPr>
                <w:p w:rsidR="00635C2E" w:rsidRPr="004A38B5" w:rsidRDefault="00635C2E" w:rsidP="00B47113">
                  <w:pPr>
                    <w:pStyle w:val="DQITableText"/>
                  </w:pPr>
                  <w:r w:rsidRPr="004A38B5">
                    <w:t>Data are sourced from Household Preparedness for Emergencies Survey, 2007</w:t>
                  </w:r>
                  <w:r>
                    <w:noBreakHyphen/>
                  </w:r>
                  <w:r w:rsidRPr="004A38B5">
                    <w:t>08 (ABS cat. no. 4818.0).</w:t>
                  </w:r>
                </w:p>
                <w:p w:rsidR="00635C2E" w:rsidRPr="004A38B5" w:rsidRDefault="00635C2E" w:rsidP="00B47113">
                  <w:pPr>
                    <w:pStyle w:val="DQITableBullet"/>
                  </w:pPr>
                  <w:r w:rsidRPr="004B4B63">
                    <w:rPr>
                      <w:rStyle w:val="TableBodyTextChar"/>
                    </w:rPr>
                    <w:t>The number of households enumerated for the survey were 1</w:t>
                  </w:r>
                  <w:r w:rsidRPr="004A38B5">
                    <w:t xml:space="preserve">207 </w:t>
                  </w:r>
                  <w:r w:rsidRPr="004B4B63">
                    <w:rPr>
                      <w:rStyle w:val="TableBodyTextChar"/>
                    </w:rPr>
                    <w:t>for the ACT</w:t>
                  </w:r>
                  <w:r w:rsidRPr="004A38B5">
                    <w:t>.</w:t>
                  </w:r>
                </w:p>
                <w:p w:rsidR="00635C2E" w:rsidRPr="004A38B5" w:rsidRDefault="00635C2E" w:rsidP="00B47113">
                  <w:pPr>
                    <w:pStyle w:val="DQITableBullet"/>
                  </w:pPr>
                  <w:r w:rsidRPr="004A38B5">
                    <w:t>Relative standard error for the ACT estimate is 2.0 per cent</w:t>
                  </w:r>
                </w:p>
                <w:p w:rsidR="00635C2E" w:rsidRPr="00650564" w:rsidRDefault="00635C2E" w:rsidP="00B47113">
                  <w:pPr>
                    <w:pStyle w:val="DQITableText"/>
                  </w:pPr>
                  <w:r w:rsidRPr="000A6835">
                    <w:t>The indicator includes those who have a smoke alarm or detector in their home. The question used to define the indicator was:</w:t>
                  </w:r>
                </w:p>
                <w:p w:rsidR="00635C2E" w:rsidRPr="000A6835" w:rsidRDefault="00635C2E" w:rsidP="00B47113">
                  <w:pPr>
                    <w:pStyle w:val="DQITableText"/>
                    <w:ind w:left="184"/>
                    <w:rPr>
                      <w:b/>
                    </w:rPr>
                  </w:pPr>
                  <w:r w:rsidRPr="000A6835">
                    <w:rPr>
                      <w:rStyle w:val="TableBulletChar"/>
                      <w:b/>
                    </w:rPr>
                    <w:t xml:space="preserve">Do you </w:t>
                  </w:r>
                  <w:r w:rsidRPr="00B47113">
                    <w:rPr>
                      <w:b/>
                    </w:rPr>
                    <w:t>have</w:t>
                  </w:r>
                  <w:r w:rsidRPr="000A6835">
                    <w:rPr>
                      <w:rStyle w:val="TableBulletChar"/>
                      <w:b/>
                    </w:rPr>
                    <w:t xml:space="preserve"> smoke alarms installed in your home?</w:t>
                  </w:r>
                </w:p>
              </w:tc>
            </w:tr>
            <w:tr w:rsidR="00635C2E" w:rsidTr="00635C2E">
              <w:tc>
                <w:tcPr>
                  <w:tcW w:w="463" w:type="pct"/>
                  <w:tcBorders>
                    <w:bottom w:val="single" w:sz="6" w:space="0" w:color="BFBFBF" w:themeColor="background2"/>
                  </w:tcBorders>
                  <w:shd w:val="clear" w:color="auto" w:fill="auto"/>
                </w:tcPr>
                <w:p w:rsidR="00635C2E" w:rsidRDefault="00635C2E" w:rsidP="00B47113">
                  <w:pPr>
                    <w:pStyle w:val="DQIRowHeadings"/>
                  </w:pPr>
                  <w:r>
                    <w:t>NT</w:t>
                  </w:r>
                </w:p>
              </w:tc>
              <w:tc>
                <w:tcPr>
                  <w:tcW w:w="4537" w:type="pct"/>
                  <w:tcBorders>
                    <w:bottom w:val="single" w:sz="6" w:space="0" w:color="BFBFBF" w:themeColor="background2"/>
                  </w:tcBorders>
                  <w:shd w:val="clear" w:color="auto" w:fill="auto"/>
                </w:tcPr>
                <w:p w:rsidR="00635C2E" w:rsidRPr="004A38B5" w:rsidRDefault="00635C2E" w:rsidP="00B47113">
                  <w:pPr>
                    <w:pStyle w:val="DQITableText"/>
                  </w:pPr>
                  <w:r w:rsidRPr="004A38B5">
                    <w:t>..</w:t>
                  </w:r>
                </w:p>
              </w:tc>
            </w:tr>
          </w:tbl>
          <w:p w:rsidR="00635C2E" w:rsidRDefault="00635C2E" w:rsidP="007511E6">
            <w:pPr>
              <w:pStyle w:val="Box"/>
            </w:pPr>
          </w:p>
        </w:tc>
      </w:tr>
      <w:tr w:rsidR="009B76BC" w:rsidTr="00EF3552">
        <w:trPr>
          <w:cantSplit/>
        </w:trPr>
        <w:tc>
          <w:tcPr>
            <w:tcW w:w="8771" w:type="dxa"/>
            <w:tcBorders>
              <w:top w:val="nil"/>
              <w:left w:val="nil"/>
              <w:bottom w:val="nil"/>
              <w:right w:val="nil"/>
            </w:tcBorders>
            <w:shd w:val="clear" w:color="auto" w:fill="auto"/>
          </w:tcPr>
          <w:p w:rsidR="009B76BC" w:rsidRPr="00521B8E" w:rsidRDefault="009B76BC" w:rsidP="009B76BC">
            <w:pPr>
              <w:pStyle w:val="Note"/>
              <w:rPr>
                <w:b/>
              </w:rPr>
            </w:pPr>
            <w:r w:rsidRPr="009B76BC">
              <w:t>..</w:t>
            </w:r>
            <w:r>
              <w:rPr>
                <w:b/>
              </w:rPr>
              <w:t xml:space="preserve"> </w:t>
            </w:r>
            <w:r w:rsidRPr="00521B8E">
              <w:t xml:space="preserve">Not </w:t>
            </w:r>
            <w:r>
              <w:t>applicable</w:t>
            </w:r>
            <w:r w:rsidRPr="00521B8E">
              <w:t>.</w:t>
            </w:r>
          </w:p>
        </w:tc>
      </w:tr>
      <w:tr w:rsidR="00635C2E" w:rsidTr="007511E6">
        <w:trPr>
          <w:cantSplit/>
        </w:trPr>
        <w:tc>
          <w:tcPr>
            <w:tcW w:w="8771" w:type="dxa"/>
            <w:tcBorders>
              <w:top w:val="nil"/>
              <w:left w:val="nil"/>
              <w:bottom w:val="nil"/>
              <w:right w:val="nil"/>
            </w:tcBorders>
            <w:shd w:val="clear" w:color="auto" w:fill="auto"/>
          </w:tcPr>
          <w:p w:rsidR="00635C2E" w:rsidRDefault="00635C2E" w:rsidP="007511E6">
            <w:pPr>
              <w:pStyle w:val="Source"/>
            </w:pPr>
            <w:r>
              <w:rPr>
                <w:i/>
              </w:rPr>
              <w:t>Source</w:t>
            </w:r>
            <w:r>
              <w:t>: State and Territory governments.</w:t>
            </w:r>
          </w:p>
        </w:tc>
      </w:tr>
      <w:tr w:rsidR="00635C2E" w:rsidTr="007511E6">
        <w:trPr>
          <w:cantSplit/>
        </w:trPr>
        <w:tc>
          <w:tcPr>
            <w:tcW w:w="8771" w:type="dxa"/>
            <w:tcBorders>
              <w:top w:val="nil"/>
              <w:left w:val="nil"/>
              <w:bottom w:val="single" w:sz="6" w:space="0" w:color="78A22F"/>
              <w:right w:val="nil"/>
            </w:tcBorders>
            <w:shd w:val="clear" w:color="auto" w:fill="auto"/>
          </w:tcPr>
          <w:p w:rsidR="00635C2E" w:rsidRDefault="00635C2E" w:rsidP="007511E6">
            <w:pPr>
              <w:pStyle w:val="Box"/>
              <w:spacing w:before="0" w:line="120" w:lineRule="exact"/>
            </w:pPr>
          </w:p>
        </w:tc>
      </w:tr>
      <w:tr w:rsidR="00635C2E" w:rsidRPr="000863A5" w:rsidTr="007511E6">
        <w:tc>
          <w:tcPr>
            <w:tcW w:w="8771" w:type="dxa"/>
            <w:tcBorders>
              <w:top w:val="single" w:sz="6" w:space="0" w:color="78A22F"/>
              <w:left w:val="nil"/>
              <w:bottom w:val="nil"/>
              <w:right w:val="nil"/>
            </w:tcBorders>
          </w:tcPr>
          <w:p w:rsidR="00635C2E" w:rsidRPr="00626D32" w:rsidRDefault="00635C2E" w:rsidP="007511E6">
            <w:pPr>
              <w:pStyle w:val="BoxSpaceBelow"/>
            </w:pPr>
          </w:p>
        </w:tc>
      </w:tr>
    </w:tbl>
    <w:p w:rsidR="00C97C2B" w:rsidRDefault="00C97C2B" w:rsidP="00B47113">
      <w:pPr>
        <w:pStyle w:val="FooterEnd"/>
      </w:pPr>
    </w:p>
    <w:p w:rsidR="00C97C2B" w:rsidRDefault="00C97C2B">
      <w:pPr>
        <w:rPr>
          <w:rFonts w:ascii="Arial" w:hAnsi="Arial"/>
          <w:caps/>
          <w:spacing w:val="-4"/>
          <w:sz w:val="16"/>
          <w:szCs w:val="20"/>
        </w:rPr>
      </w:pPr>
      <w:r>
        <w:br w:type="page"/>
      </w:r>
    </w:p>
    <w:p w:rsidR="00C25007" w:rsidRDefault="00C25007" w:rsidP="00C25007">
      <w:pPr>
        <w:pStyle w:val="Heading3"/>
      </w:pPr>
      <w:r w:rsidRPr="00BF1B7F">
        <w:lastRenderedPageBreak/>
        <w:t>Fire</w:t>
      </w:r>
      <w:r>
        <w:t>fighter workforce</w:t>
      </w:r>
    </w:p>
    <w:p w:rsidR="00C25007" w:rsidRPr="002301A7" w:rsidRDefault="00C25007" w:rsidP="00C25007">
      <w:pPr>
        <w:pStyle w:val="Box"/>
      </w:pPr>
      <w:r w:rsidRPr="0001794F">
        <w:t xml:space="preserve">Data quality </w:t>
      </w:r>
      <w:r w:rsidRPr="007511E6">
        <w:t>information</w:t>
      </w:r>
      <w:r w:rsidRPr="0001794F">
        <w:t xml:space="preserve"> for this indicator has been drafted by the Secretariat in consultation with </w:t>
      </w:r>
      <w:r>
        <w:t xml:space="preserve">jurisdictions, </w:t>
      </w:r>
      <w:r w:rsidRPr="0001794F">
        <w:t>with additional Steering Committee comments.</w:t>
      </w:r>
    </w:p>
    <w:tbl>
      <w:tblPr>
        <w:tblpPr w:leftFromText="180" w:rightFromText="180" w:vertAnchor="text" w:tblpXSpec="center" w:tblpY="1"/>
        <w:tblOverlap w:val="never"/>
        <w:tblW w:w="5000" w:type="pct"/>
        <w:tblLayout w:type="fixed"/>
        <w:tblCellMar>
          <w:top w:w="28" w:type="dxa"/>
          <w:left w:w="28" w:type="dxa"/>
          <w:bottom w:w="28" w:type="dxa"/>
          <w:right w:w="28" w:type="dxa"/>
        </w:tblCellMar>
        <w:tblLook w:val="01E0" w:firstRow="1" w:lastRow="1" w:firstColumn="1" w:lastColumn="1" w:noHBand="0" w:noVBand="0"/>
      </w:tblPr>
      <w:tblGrid>
        <w:gridCol w:w="1502"/>
        <w:gridCol w:w="7088"/>
      </w:tblGrid>
      <w:tr w:rsidR="00C25007" w:rsidRPr="001F3F80" w:rsidTr="00A6515C">
        <w:tc>
          <w:tcPr>
            <w:tcW w:w="5000" w:type="pct"/>
            <w:gridSpan w:val="2"/>
          </w:tcPr>
          <w:p w:rsidR="00C25007" w:rsidRPr="003211C6" w:rsidRDefault="00C25007" w:rsidP="00887D3C">
            <w:pPr>
              <w:pStyle w:val="DQIMainRowHeadings"/>
              <w:rPr>
                <w:rFonts w:cs="Arial"/>
                <w:sz w:val="22"/>
                <w:szCs w:val="22"/>
              </w:rPr>
            </w:pPr>
            <w:r w:rsidRPr="003211C6">
              <w:t>Indicator definition and description</w:t>
            </w:r>
          </w:p>
        </w:tc>
      </w:tr>
      <w:tr w:rsidR="00C25007" w:rsidRPr="001F3F80" w:rsidTr="00A6515C">
        <w:tc>
          <w:tcPr>
            <w:tcW w:w="874" w:type="pct"/>
          </w:tcPr>
          <w:p w:rsidR="00C25007" w:rsidRPr="00A05229" w:rsidRDefault="00C25007" w:rsidP="00887D3C">
            <w:pPr>
              <w:pStyle w:val="DQIRowHeadings"/>
            </w:pPr>
            <w:r w:rsidRPr="00A05229">
              <w:t>Element</w:t>
            </w:r>
          </w:p>
        </w:tc>
        <w:tc>
          <w:tcPr>
            <w:tcW w:w="4126" w:type="pct"/>
          </w:tcPr>
          <w:p w:rsidR="00C25007" w:rsidRPr="00BD6B0B" w:rsidRDefault="00C25007" w:rsidP="00887D3C">
            <w:pPr>
              <w:pStyle w:val="TableBodyText"/>
              <w:jc w:val="left"/>
            </w:pPr>
            <w:r>
              <w:t>Equity/effectiveness — Preparedness</w:t>
            </w:r>
          </w:p>
        </w:tc>
      </w:tr>
      <w:tr w:rsidR="00C25007" w:rsidRPr="001F3F80" w:rsidTr="00A6515C">
        <w:trPr>
          <w:trHeight w:val="196"/>
        </w:trPr>
        <w:tc>
          <w:tcPr>
            <w:tcW w:w="874" w:type="pct"/>
          </w:tcPr>
          <w:p w:rsidR="00C25007" w:rsidRPr="00A05229" w:rsidRDefault="00C25007" w:rsidP="00887D3C">
            <w:pPr>
              <w:pStyle w:val="DQIRowHeadings"/>
            </w:pPr>
            <w:r w:rsidRPr="00A05229">
              <w:t>Indicator</w:t>
            </w:r>
          </w:p>
        </w:tc>
        <w:tc>
          <w:tcPr>
            <w:tcW w:w="4126" w:type="pct"/>
          </w:tcPr>
          <w:p w:rsidR="00C25007" w:rsidRPr="00BD6B0B" w:rsidRDefault="00C25007" w:rsidP="00887D3C">
            <w:pPr>
              <w:pStyle w:val="TableBodyText"/>
              <w:spacing w:after="0" w:line="240" w:lineRule="auto"/>
              <w:jc w:val="left"/>
            </w:pPr>
            <w:r w:rsidRPr="00BF1B7F">
              <w:t>Fire</w:t>
            </w:r>
            <w:r>
              <w:t>fighter workforce</w:t>
            </w:r>
          </w:p>
        </w:tc>
      </w:tr>
      <w:tr w:rsidR="00C25007" w:rsidRPr="001F3F80" w:rsidTr="00A6515C">
        <w:tc>
          <w:tcPr>
            <w:tcW w:w="874" w:type="pct"/>
          </w:tcPr>
          <w:p w:rsidR="00C25007" w:rsidRPr="00A05229" w:rsidRDefault="00C25007" w:rsidP="00887D3C">
            <w:pPr>
              <w:pStyle w:val="DQIRowHeadings"/>
              <w:keepNext w:val="0"/>
            </w:pPr>
            <w:r w:rsidRPr="00A05229">
              <w:t>Measure (computation)</w:t>
            </w:r>
          </w:p>
        </w:tc>
        <w:tc>
          <w:tcPr>
            <w:tcW w:w="4126" w:type="pct"/>
          </w:tcPr>
          <w:p w:rsidR="00C25007" w:rsidRDefault="00C25007" w:rsidP="00887D3C">
            <w:pPr>
              <w:pStyle w:val="DQITableText"/>
              <w:keepNext w:val="0"/>
              <w:spacing w:before="0" w:line="240" w:lineRule="auto"/>
              <w:rPr>
                <w:rFonts w:cs="Arial"/>
              </w:rPr>
            </w:pPr>
            <w:r>
              <w:rPr>
                <w:rFonts w:cs="Arial"/>
              </w:rPr>
              <w:t>There are four f</w:t>
            </w:r>
            <w:r w:rsidRPr="00BF1B7F">
              <w:rPr>
                <w:rFonts w:cs="Arial"/>
              </w:rPr>
              <w:t>ire</w:t>
            </w:r>
            <w:r>
              <w:rPr>
                <w:rFonts w:cs="Arial"/>
              </w:rPr>
              <w:t>fighter workforce measures:</w:t>
            </w:r>
          </w:p>
          <w:p w:rsidR="00C25007" w:rsidRPr="005C1F3E" w:rsidRDefault="00C25007" w:rsidP="00887D3C">
            <w:pPr>
              <w:pStyle w:val="DQITableBullet"/>
            </w:pPr>
            <w:r w:rsidRPr="005C1F3E">
              <w:t xml:space="preserve">the number of full time equivalent (FTE) firefighter personnel per 100 000 people </w:t>
            </w:r>
          </w:p>
          <w:p w:rsidR="00C25007" w:rsidRPr="005C1F3E" w:rsidRDefault="00C25007" w:rsidP="00887D3C">
            <w:pPr>
              <w:pStyle w:val="DQITableBullet"/>
            </w:pPr>
            <w:r w:rsidRPr="005C1F3E">
              <w:t>the number of fire service organisation volunteers (firefighters and support volunteers) per 100 000 people</w:t>
            </w:r>
          </w:p>
          <w:p w:rsidR="00C25007" w:rsidRPr="005C1F3E" w:rsidRDefault="00C25007" w:rsidP="00887D3C">
            <w:pPr>
              <w:pStyle w:val="DQITableBullet"/>
            </w:pPr>
            <w:r w:rsidRPr="005C1F3E">
              <w:t>workforce by age group</w:t>
            </w:r>
          </w:p>
          <w:p w:rsidR="00C25007" w:rsidRPr="005C1F3E" w:rsidRDefault="00C25007" w:rsidP="00887D3C">
            <w:pPr>
              <w:pStyle w:val="DQITableBullet"/>
            </w:pPr>
            <w:r w:rsidRPr="005C1F3E">
              <w:t>staff attrition</w:t>
            </w:r>
          </w:p>
          <w:p w:rsidR="00C25007" w:rsidRPr="00A01A3E" w:rsidRDefault="00C25007" w:rsidP="00887D3C">
            <w:pPr>
              <w:pStyle w:val="DQITableText"/>
              <w:keepNext w:val="0"/>
              <w:rPr>
                <w:rFonts w:cs="Arial"/>
                <w:u w:val="single"/>
              </w:rPr>
            </w:pPr>
            <w:r>
              <w:rPr>
                <w:rFonts w:cs="Arial"/>
                <w:u w:val="single"/>
              </w:rPr>
              <w:t>F</w:t>
            </w:r>
            <w:r w:rsidRPr="007D6E05">
              <w:rPr>
                <w:rFonts w:cs="Arial"/>
                <w:u w:val="single"/>
              </w:rPr>
              <w:t xml:space="preserve">ull time equivalent </w:t>
            </w:r>
            <w:r>
              <w:rPr>
                <w:rFonts w:cs="Arial"/>
                <w:u w:val="single"/>
              </w:rPr>
              <w:t xml:space="preserve">(FTE) </w:t>
            </w:r>
            <w:r w:rsidRPr="007D6E05">
              <w:rPr>
                <w:rFonts w:cs="Arial"/>
                <w:u w:val="single"/>
              </w:rPr>
              <w:t xml:space="preserve">firefighter personnel per 100 000 people </w:t>
            </w:r>
          </w:p>
          <w:p w:rsidR="00C25007" w:rsidRDefault="00C25007" w:rsidP="00887D3C">
            <w:pPr>
              <w:pStyle w:val="DQITableText"/>
              <w:keepNext w:val="0"/>
              <w:rPr>
                <w:rFonts w:cs="Arial"/>
              </w:rPr>
            </w:pPr>
            <w:r>
              <w:rPr>
                <w:rFonts w:cs="Arial"/>
              </w:rPr>
              <w:t xml:space="preserve">Firefighter personnel is defined as the count of all </w:t>
            </w:r>
            <w:r>
              <w:rPr>
                <w:rFonts w:cs="Arial"/>
                <w:i/>
              </w:rPr>
              <w:t>paid</w:t>
            </w:r>
            <w:r>
              <w:rPr>
                <w:rFonts w:cs="Arial"/>
              </w:rPr>
              <w:t xml:space="preserve"> firefighters employed on a </w:t>
            </w:r>
            <w:r w:rsidRPr="00942EEB">
              <w:rPr>
                <w:rFonts w:cs="Arial"/>
                <w:b/>
              </w:rPr>
              <w:t>FTE</w:t>
            </w:r>
            <w:r>
              <w:rPr>
                <w:rFonts w:cs="Arial"/>
              </w:rPr>
              <w:t xml:space="preserve"> basis.</w:t>
            </w:r>
          </w:p>
          <w:p w:rsidR="00C25007" w:rsidRDefault="00C25007" w:rsidP="00887D3C">
            <w:pPr>
              <w:pStyle w:val="DQITableText"/>
            </w:pPr>
            <w:r>
              <w:t xml:space="preserve">A </w:t>
            </w:r>
            <w:r w:rsidRPr="00942EEB">
              <w:rPr>
                <w:i/>
              </w:rPr>
              <w:t>firefighter</w:t>
            </w:r>
            <w:r>
              <w:t xml:space="preserve"> is defined as any person employed or remunerated by the fire service organisation who delivers or manages a firefighting service directly to the community and who is formally trained and qualified to undertake firefighting duties.</w:t>
            </w:r>
          </w:p>
          <w:p w:rsidR="00C25007" w:rsidRDefault="00C25007" w:rsidP="00887D3C">
            <w:pPr>
              <w:pStyle w:val="DQITableText"/>
            </w:pPr>
            <w:r w:rsidRPr="00942EEB">
              <w:rPr>
                <w:i/>
              </w:rPr>
              <w:t>FTE</w:t>
            </w:r>
            <w:r w:rsidRPr="00942EEB">
              <w:t xml:space="preserve"> is a measure of the total level of staff resources used. One FTE is equivalent to a person employed full</w:t>
            </w:r>
            <w:r w:rsidRPr="00942EEB">
              <w:noBreakHyphen/>
              <w:t>time and engaged solely in activities that fall within the scope of fire service organisations. FTE is calculated on the basis of the proportion of time spent on activities within the scope of the data collection compared with that spent by a full time staff member.</w:t>
            </w:r>
          </w:p>
          <w:p w:rsidR="00C25007" w:rsidRDefault="00C25007" w:rsidP="00887D3C">
            <w:pPr>
              <w:pStyle w:val="DQITableText"/>
              <w:keepNext w:val="0"/>
              <w:rPr>
                <w:rFonts w:cs="Arial"/>
              </w:rPr>
            </w:pPr>
            <w:r>
              <w:rPr>
                <w:rFonts w:cs="Arial"/>
              </w:rPr>
              <w:t>F</w:t>
            </w:r>
            <w:r>
              <w:t xml:space="preserve">TE firefighter personnel per 100 000 people is calculated as: </w:t>
            </w:r>
          </w:p>
          <w:tbl>
            <w:tblPr>
              <w:tblStyle w:val="TableGrid"/>
              <w:tblpPr w:leftFromText="180" w:rightFromText="180" w:vertAnchor="text" w:horzAnchor="margin" w:tblpXSpec="right" w:tblpY="140"/>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More details can be found within the text surrounding this image."/>
            </w:tblPr>
            <w:tblGrid>
              <w:gridCol w:w="2550"/>
            </w:tblGrid>
            <w:tr w:rsidR="00C25007" w:rsidRPr="00A01A3E" w:rsidTr="00887D3C">
              <w:trPr>
                <w:trHeight w:val="270"/>
              </w:trPr>
              <w:tc>
                <w:tcPr>
                  <w:tcW w:w="2550" w:type="dxa"/>
                  <w:tcBorders>
                    <w:bottom w:val="single" w:sz="4" w:space="0" w:color="auto"/>
                  </w:tcBorders>
                  <w:vAlign w:val="center"/>
                </w:tcPr>
                <w:p w:rsidR="00C25007" w:rsidRPr="00A01A3E" w:rsidRDefault="00C25007" w:rsidP="00887D3C">
                  <w:pPr>
                    <w:pStyle w:val="DQITableText"/>
                    <w:keepNext w:val="0"/>
                    <w:rPr>
                      <w:rFonts w:cs="Arial"/>
                    </w:rPr>
                  </w:pPr>
                  <w:r>
                    <w:rPr>
                      <w:rFonts w:cs="Arial"/>
                    </w:rPr>
                    <w:t>F</w:t>
                  </w:r>
                  <w:r>
                    <w:t>TE firefighter personnel</w:t>
                  </w:r>
                </w:p>
              </w:tc>
            </w:tr>
            <w:tr w:rsidR="00C25007" w:rsidRPr="00A01A3E" w:rsidTr="00887D3C">
              <w:trPr>
                <w:trHeight w:val="270"/>
              </w:trPr>
              <w:tc>
                <w:tcPr>
                  <w:tcW w:w="2550" w:type="dxa"/>
                  <w:tcBorders>
                    <w:top w:val="single" w:sz="4" w:space="0" w:color="auto"/>
                  </w:tcBorders>
                  <w:vAlign w:val="center"/>
                </w:tcPr>
                <w:p w:rsidR="00C25007" w:rsidRPr="00A01A3E" w:rsidRDefault="00C25007" w:rsidP="00887D3C">
                  <w:pPr>
                    <w:pStyle w:val="DQITableText"/>
                    <w:keepNext w:val="0"/>
                    <w:ind w:right="-110" w:hanging="108"/>
                    <w:rPr>
                      <w:rFonts w:cs="Arial"/>
                    </w:rPr>
                  </w:pPr>
                  <w:r>
                    <w:rPr>
                      <w:rFonts w:cs="Arial"/>
                    </w:rPr>
                    <w:t>Estimated resident population</w:t>
                  </w:r>
                </w:p>
              </w:tc>
            </w:tr>
          </w:tbl>
          <w:p w:rsidR="00C25007" w:rsidRPr="00A01A3E" w:rsidRDefault="00C25007" w:rsidP="00887D3C">
            <w:pPr>
              <w:pStyle w:val="DQITableText"/>
              <w:keepNext w:val="0"/>
              <w:rPr>
                <w:rFonts w:cs="Arial"/>
              </w:rPr>
            </w:pPr>
          </w:p>
          <w:p w:rsidR="00C25007" w:rsidRPr="00A01A3E" w:rsidRDefault="00C25007" w:rsidP="00887D3C">
            <w:pPr>
              <w:pStyle w:val="DQITableText"/>
              <w:keepNext w:val="0"/>
              <w:rPr>
                <w:rFonts w:cs="Arial"/>
              </w:rPr>
            </w:pPr>
            <w:r>
              <w:rPr>
                <w:rFonts w:cs="Arial"/>
              </w:rPr>
              <w:t>F</w:t>
            </w:r>
            <w:r>
              <w:t>TE firefighter personnel per 100 000 people</w:t>
            </w:r>
            <w:r w:rsidRPr="00A01A3E">
              <w:rPr>
                <w:rFonts w:cs="Arial"/>
              </w:rPr>
              <w:t xml:space="preserve"> =</w:t>
            </w:r>
            <w:r w:rsidR="006D45D4">
              <w:rPr>
                <w:rFonts w:cs="Arial"/>
              </w:rPr>
              <w:t xml:space="preserve"> </w:t>
            </w:r>
            <w:r>
              <w:rPr>
                <w:rFonts w:cs="Arial"/>
              </w:rPr>
              <w:t>100 000</w:t>
            </w:r>
            <w:r w:rsidR="006D45D4">
              <w:rPr>
                <w:rFonts w:cs="Arial"/>
              </w:rPr>
              <w:t xml:space="preserve"> </w:t>
            </w:r>
            <w:r w:rsidRPr="00986D8A">
              <w:rPr>
                <w:rFonts w:cs="Arial"/>
                <w:b/>
              </w:rPr>
              <w:t>X</w:t>
            </w:r>
          </w:p>
          <w:p w:rsidR="00C25007" w:rsidRPr="00986D8A" w:rsidRDefault="00C25007" w:rsidP="00887D3C">
            <w:pPr>
              <w:pStyle w:val="DQITableText"/>
              <w:keepNext w:val="0"/>
              <w:ind w:left="720" w:hanging="720"/>
              <w:rPr>
                <w:rFonts w:cs="Arial"/>
                <w:u w:val="single"/>
              </w:rPr>
            </w:pPr>
            <w:r w:rsidRPr="00986D8A">
              <w:rPr>
                <w:u w:val="single"/>
              </w:rPr>
              <w:t xml:space="preserve">Fire service organisation volunteers per 100 000 people </w:t>
            </w:r>
          </w:p>
          <w:p w:rsidR="00C25007" w:rsidRDefault="00C25007" w:rsidP="00887D3C">
            <w:pPr>
              <w:pStyle w:val="DQITableText"/>
              <w:keepNext w:val="0"/>
            </w:pPr>
            <w:r>
              <w:t xml:space="preserve">The number of volunteers of fire </w:t>
            </w:r>
            <w:r w:rsidRPr="004F3BEF">
              <w:t>service</w:t>
            </w:r>
            <w:r>
              <w:t xml:space="preserve"> organisations is defined as the sum of volunteer firefighters and volunteer support staff on a </w:t>
            </w:r>
            <w:r>
              <w:rPr>
                <w:b/>
              </w:rPr>
              <w:t xml:space="preserve">head count </w:t>
            </w:r>
            <w:r>
              <w:t>basis.</w:t>
            </w:r>
          </w:p>
          <w:p w:rsidR="00C25007" w:rsidRDefault="00C25007" w:rsidP="00887D3C">
            <w:pPr>
              <w:pStyle w:val="DQITableText"/>
              <w:keepNext w:val="0"/>
            </w:pPr>
            <w:r>
              <w:t xml:space="preserve">A </w:t>
            </w:r>
            <w:r>
              <w:rPr>
                <w:i/>
              </w:rPr>
              <w:t>volunteer firefighter</w:t>
            </w:r>
            <w:r>
              <w:t xml:space="preserve"> is defined as any person who delivers or manages a firefighting service directly to the community and who are formally trained and qualified to undertake firefighting duties, but does not receive remuneration other than reimbursement of ‘out of pocket expenses’</w:t>
            </w:r>
          </w:p>
          <w:p w:rsidR="00C25007" w:rsidRPr="00942EEB" w:rsidRDefault="00C25007" w:rsidP="00887D3C">
            <w:pPr>
              <w:pStyle w:val="DQITableText"/>
              <w:keepNext w:val="0"/>
              <w:rPr>
                <w:rFonts w:cs="Arial"/>
              </w:rPr>
            </w:pPr>
            <w:r w:rsidRPr="00942EEB">
              <w:t xml:space="preserve">A </w:t>
            </w:r>
            <w:r>
              <w:rPr>
                <w:i/>
              </w:rPr>
              <w:t xml:space="preserve">volunteer support staff </w:t>
            </w:r>
            <w:r w:rsidRPr="00942EEB">
              <w:t>member</w:t>
            </w:r>
            <w:r>
              <w:rPr>
                <w:i/>
              </w:rPr>
              <w:t xml:space="preserve"> </w:t>
            </w:r>
            <w:r>
              <w:t>is defined as a person whose immediate client is the firefighter, but does not receive remuneration other than reimbursement of ‘out of pocket expenses’.</w:t>
            </w:r>
          </w:p>
          <w:p w:rsidR="00C25007" w:rsidRDefault="00C25007" w:rsidP="00887D3C">
            <w:pPr>
              <w:pStyle w:val="DQITableText"/>
              <w:rPr>
                <w:rFonts w:cs="Arial"/>
              </w:rPr>
            </w:pPr>
            <w:r w:rsidRPr="00986D8A">
              <w:rPr>
                <w:rFonts w:cs="Arial"/>
              </w:rPr>
              <w:t xml:space="preserve">The </w:t>
            </w:r>
            <w:r w:rsidRPr="00986D8A">
              <w:rPr>
                <w:rFonts w:cs="Arial"/>
                <w:i/>
              </w:rPr>
              <w:t>head count</w:t>
            </w:r>
            <w:r w:rsidRPr="00986D8A">
              <w:rPr>
                <w:rFonts w:cs="Arial"/>
              </w:rPr>
              <w:t xml:space="preserve"> is a count of the number of people recorded on the books of jurisdiction’s fire service organisation. The count should be calculated as the average for the financial year.</w:t>
            </w:r>
          </w:p>
          <w:tbl>
            <w:tblPr>
              <w:tblStyle w:val="TableGrid"/>
              <w:tblpPr w:leftFromText="180" w:rightFromText="180" w:vertAnchor="text" w:horzAnchor="margin" w:tblpXSpec="right" w:tblpY="140"/>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More details can be found within the text surrounding this image."/>
            </w:tblPr>
            <w:tblGrid>
              <w:gridCol w:w="3117"/>
            </w:tblGrid>
            <w:tr w:rsidR="00C25007" w:rsidRPr="00A01A3E" w:rsidTr="00887D3C">
              <w:trPr>
                <w:trHeight w:val="270"/>
              </w:trPr>
              <w:tc>
                <w:tcPr>
                  <w:tcW w:w="3117" w:type="dxa"/>
                  <w:tcBorders>
                    <w:bottom w:val="single" w:sz="4" w:space="0" w:color="auto"/>
                  </w:tcBorders>
                  <w:vAlign w:val="center"/>
                </w:tcPr>
                <w:p w:rsidR="00C25007" w:rsidRPr="00A01A3E" w:rsidRDefault="00C25007" w:rsidP="00887D3C">
                  <w:pPr>
                    <w:pStyle w:val="DQITableText"/>
                    <w:keepNext w:val="0"/>
                    <w:rPr>
                      <w:rFonts w:cs="Arial"/>
                    </w:rPr>
                  </w:pPr>
                  <w:r>
                    <w:t>Fire service organisation volunteers</w:t>
                  </w:r>
                </w:p>
              </w:tc>
            </w:tr>
            <w:tr w:rsidR="00C25007" w:rsidRPr="00A01A3E" w:rsidTr="00887D3C">
              <w:trPr>
                <w:trHeight w:val="270"/>
              </w:trPr>
              <w:tc>
                <w:tcPr>
                  <w:tcW w:w="3117" w:type="dxa"/>
                  <w:tcBorders>
                    <w:top w:val="single" w:sz="4" w:space="0" w:color="auto"/>
                  </w:tcBorders>
                  <w:vAlign w:val="center"/>
                </w:tcPr>
                <w:p w:rsidR="00C25007" w:rsidRPr="00A01A3E" w:rsidRDefault="00C25007" w:rsidP="00887D3C">
                  <w:pPr>
                    <w:pStyle w:val="DQITableText"/>
                    <w:keepNext w:val="0"/>
                    <w:rPr>
                      <w:rFonts w:cs="Arial"/>
                    </w:rPr>
                  </w:pPr>
                  <w:r>
                    <w:rPr>
                      <w:rFonts w:cs="Arial"/>
                    </w:rPr>
                    <w:t>Estimated resident population</w:t>
                  </w:r>
                </w:p>
              </w:tc>
            </w:tr>
          </w:tbl>
          <w:p w:rsidR="00C25007" w:rsidRPr="00A01A3E" w:rsidRDefault="00C25007" w:rsidP="00887D3C">
            <w:pPr>
              <w:pStyle w:val="DQITableText"/>
              <w:keepNext w:val="0"/>
              <w:rPr>
                <w:rFonts w:cs="Arial"/>
              </w:rPr>
            </w:pPr>
            <w:r>
              <w:t>V</w:t>
            </w:r>
            <w:r w:rsidRPr="00580CDF">
              <w:t>olunteers per 100 000 people</w:t>
            </w:r>
            <w:r w:rsidRPr="00A01A3E">
              <w:rPr>
                <w:rFonts w:cs="Arial"/>
              </w:rPr>
              <w:t xml:space="preserve"> =</w:t>
            </w:r>
            <w:r w:rsidR="006D45D4">
              <w:rPr>
                <w:rFonts w:cs="Arial"/>
              </w:rPr>
              <w:t xml:space="preserve"> </w:t>
            </w:r>
            <w:r>
              <w:rPr>
                <w:rFonts w:cs="Arial"/>
              </w:rPr>
              <w:t>100 000</w:t>
            </w:r>
            <w:r w:rsidR="006D45D4">
              <w:rPr>
                <w:rFonts w:cs="Arial"/>
              </w:rPr>
              <w:t xml:space="preserve"> </w:t>
            </w:r>
            <w:r w:rsidRPr="00986D8A">
              <w:rPr>
                <w:rFonts w:cs="Arial"/>
                <w:b/>
              </w:rPr>
              <w:t>X</w:t>
            </w:r>
          </w:p>
          <w:p w:rsidR="00C25007" w:rsidRPr="005C1F3E" w:rsidRDefault="00C25007" w:rsidP="00887D3C">
            <w:pPr>
              <w:pStyle w:val="DQITableText"/>
              <w:keepNext w:val="0"/>
              <w:rPr>
                <w:i/>
              </w:rPr>
            </w:pPr>
            <w:r w:rsidRPr="005C1F3E">
              <w:rPr>
                <w:i/>
              </w:rPr>
              <w:t>Estimated resident population</w:t>
            </w:r>
            <w:bookmarkStart w:id="46" w:name="_GoBack"/>
          </w:p>
          <w:bookmarkEnd w:id="46"/>
          <w:p w:rsidR="00C25007" w:rsidRDefault="00C25007" w:rsidP="00887D3C">
            <w:pPr>
              <w:pStyle w:val="DQITableText"/>
              <w:keepNext w:val="0"/>
            </w:pPr>
            <w:r w:rsidRPr="00A05229">
              <w:t>Population by State and Territory and Australian total</w:t>
            </w:r>
            <w:r>
              <w:t>.</w:t>
            </w:r>
            <w:r w:rsidRPr="00A05229">
              <w:t xml:space="preserve"> </w:t>
            </w:r>
            <w:r>
              <w:t>F</w:t>
            </w:r>
            <w:r w:rsidRPr="00A05229">
              <w:t xml:space="preserve">or more detail about the population data used in the Report see </w:t>
            </w:r>
            <w:proofErr w:type="spellStart"/>
            <w:r w:rsidRPr="00A05229">
              <w:t>RoGS</w:t>
            </w:r>
            <w:proofErr w:type="spellEnd"/>
            <w:r w:rsidRPr="00A05229">
              <w:t xml:space="preserve"> </w:t>
            </w:r>
            <w:r>
              <w:t xml:space="preserve">Statistical context (chapter 2, table </w:t>
            </w:r>
            <w:proofErr w:type="spellStart"/>
            <w:r>
              <w:t>2A.2</w:t>
            </w:r>
            <w:proofErr w:type="spellEnd"/>
            <w:r>
              <w:t>).</w:t>
            </w:r>
          </w:p>
          <w:p w:rsidR="00C25007" w:rsidRDefault="00C25007" w:rsidP="00887D3C">
            <w:pPr>
              <w:pStyle w:val="DQITableText"/>
              <w:rPr>
                <w:u w:val="single"/>
              </w:rPr>
            </w:pPr>
            <w:r w:rsidRPr="00AF3000">
              <w:rPr>
                <w:u w:val="single"/>
              </w:rPr>
              <w:t>Workforce by age group</w:t>
            </w:r>
          </w:p>
          <w:p w:rsidR="00BD1845" w:rsidRDefault="00BD1845" w:rsidP="00BD1845">
            <w:pPr>
              <w:pStyle w:val="DQITableText"/>
            </w:pPr>
            <w:r w:rsidRPr="00CD72B9">
              <w:t>‘Workforce by age group’ is defined as the age profile of the workforce, measured by</w:t>
            </w:r>
            <w:r>
              <w:t xml:space="preserve"> </w:t>
            </w:r>
            <w:r w:rsidRPr="00CD72B9">
              <w:t>the proportion of the operational workforce in 10 year age brackets (under 30, 30–39,</w:t>
            </w:r>
            <w:r>
              <w:t xml:space="preserve"> </w:t>
            </w:r>
            <w:r w:rsidRPr="00CD72B9">
              <w:t>40–49, 50–59 and 60 and over).</w:t>
            </w:r>
          </w:p>
          <w:p w:rsidR="00BD1845" w:rsidRPr="00CD58FF" w:rsidRDefault="00BD1845" w:rsidP="00BD1845">
            <w:pPr>
              <w:pStyle w:val="DQITableText"/>
              <w:rPr>
                <w:u w:val="single"/>
              </w:rPr>
            </w:pPr>
            <w:r w:rsidRPr="00CD58FF">
              <w:rPr>
                <w:u w:val="single"/>
              </w:rPr>
              <w:lastRenderedPageBreak/>
              <w:t>Age group</w:t>
            </w:r>
          </w:p>
          <w:p w:rsidR="00BD1845" w:rsidRDefault="00887D3C" w:rsidP="00BD1845">
            <w:pPr>
              <w:pStyle w:val="DQITableText"/>
            </w:pPr>
            <w:r>
              <w:t xml:space="preserve">Firefighter </w:t>
            </w:r>
            <w:r w:rsidR="00BD1845" w:rsidRPr="002301A7">
              <w:t>personnel</w:t>
            </w:r>
            <w:r w:rsidR="00BD1845">
              <w:t xml:space="preserve"> </w:t>
            </w:r>
            <w:r w:rsidR="00BD1845" w:rsidRPr="002301A7">
              <w:t>who fall into</w:t>
            </w:r>
            <w:r w:rsidR="00BD1845">
              <w:t xml:space="preserve"> the following </w:t>
            </w:r>
            <w:r w:rsidR="00BD1845" w:rsidRPr="00412069">
              <w:t>age</w:t>
            </w:r>
            <w:r w:rsidR="00BD1845">
              <w:t xml:space="preserve"> groups</w:t>
            </w:r>
            <w:r w:rsidR="00BD1845" w:rsidRPr="00412069">
              <w:t xml:space="preserve">: </w:t>
            </w:r>
          </w:p>
          <w:p w:rsidR="00BD1845" w:rsidRDefault="00BD1845" w:rsidP="00BD1845">
            <w:pPr>
              <w:pStyle w:val="DQITableBullet"/>
            </w:pPr>
            <w:r w:rsidRPr="00412069">
              <w:t xml:space="preserve">under 30 year old, </w:t>
            </w:r>
          </w:p>
          <w:p w:rsidR="00BD1845" w:rsidRDefault="00BD1845" w:rsidP="00BD1845">
            <w:pPr>
              <w:pStyle w:val="DQITableBullet"/>
            </w:pPr>
            <w:r w:rsidRPr="00412069">
              <w:t>30</w:t>
            </w:r>
            <w:r>
              <w:noBreakHyphen/>
            </w:r>
            <w:r w:rsidRPr="00412069">
              <w:t xml:space="preserve">39 year old, </w:t>
            </w:r>
          </w:p>
          <w:p w:rsidR="00BD1845" w:rsidRDefault="00BD1845" w:rsidP="00BD1845">
            <w:pPr>
              <w:pStyle w:val="DQITableBullet"/>
            </w:pPr>
            <w:r w:rsidRPr="00412069">
              <w:t>40</w:t>
            </w:r>
            <w:r>
              <w:noBreakHyphen/>
            </w:r>
            <w:r w:rsidRPr="00412069">
              <w:t xml:space="preserve">49 year old, </w:t>
            </w:r>
          </w:p>
          <w:p w:rsidR="00BD1845" w:rsidRDefault="00BD1845" w:rsidP="00BD1845">
            <w:pPr>
              <w:pStyle w:val="DQITableBullet"/>
            </w:pPr>
            <w:r w:rsidRPr="00412069">
              <w:t>50</w:t>
            </w:r>
            <w:r>
              <w:noBreakHyphen/>
            </w:r>
            <w:r w:rsidRPr="00412069">
              <w:t xml:space="preserve">59 year old </w:t>
            </w:r>
          </w:p>
          <w:p w:rsidR="00C25007" w:rsidRDefault="00887D3C" w:rsidP="00887D3C">
            <w:pPr>
              <w:pStyle w:val="DQITableBullet"/>
            </w:pPr>
            <w:r>
              <w:t>60 years old and over</w:t>
            </w:r>
          </w:p>
          <w:p w:rsidR="0001184A" w:rsidRDefault="0001184A" w:rsidP="00887D3C">
            <w:pPr>
              <w:pStyle w:val="DQITableText"/>
              <w:rPr>
                <w:u w:val="single"/>
              </w:rPr>
            </w:pPr>
          </w:p>
          <w:p w:rsidR="00C25007" w:rsidRDefault="00C25007" w:rsidP="00887D3C">
            <w:pPr>
              <w:pStyle w:val="DQITableText"/>
            </w:pPr>
            <w:r>
              <w:rPr>
                <w:u w:val="single"/>
              </w:rPr>
              <w:t>S</w:t>
            </w:r>
            <w:r w:rsidRPr="00686666">
              <w:rPr>
                <w:u w:val="single"/>
              </w:rPr>
              <w:t>taff attrition</w:t>
            </w:r>
            <w:r w:rsidRPr="00686666">
              <w:t xml:space="preserve"> </w:t>
            </w:r>
          </w:p>
          <w:p w:rsidR="00EA462D" w:rsidRDefault="00EA462D" w:rsidP="00EA462D">
            <w:pPr>
              <w:pStyle w:val="DQITableText"/>
            </w:pPr>
            <w:r>
              <w:t>Staff attrition</w:t>
            </w:r>
            <w:r w:rsidRPr="00CD72B9">
              <w:t xml:space="preserve">’ is defined as </w:t>
            </w:r>
            <w:r>
              <w:t>the</w:t>
            </w:r>
            <w:r w:rsidRPr="00D2009F">
              <w:t xml:space="preserve"> level of attrition in the operational workforce. </w:t>
            </w:r>
          </w:p>
          <w:p w:rsidR="00EA462D" w:rsidRDefault="00EA462D" w:rsidP="00EA462D">
            <w:pPr>
              <w:pStyle w:val="DQITableText"/>
            </w:pPr>
            <w:r w:rsidRPr="00D2009F">
              <w:t xml:space="preserve">It is calculated as the number of FTE </w:t>
            </w:r>
            <w:r w:rsidR="00BB0AC9">
              <w:t xml:space="preserve">firefighter </w:t>
            </w:r>
            <w:r w:rsidRPr="00D2009F">
              <w:t>employees who exit the organisation as a proportion of the number of FTE employees.</w:t>
            </w:r>
          </w:p>
          <w:tbl>
            <w:tblPr>
              <w:tblStyle w:val="TableGrid"/>
              <w:tblpPr w:leftFromText="180" w:rightFromText="180" w:vertAnchor="text" w:horzAnchor="page" w:tblpX="2161" w:tblpY="110"/>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More details can be found within the text surrounding this image."/>
            </w:tblPr>
            <w:tblGrid>
              <w:gridCol w:w="2694"/>
              <w:gridCol w:w="1785"/>
            </w:tblGrid>
            <w:tr w:rsidR="00EA462D" w:rsidTr="00E53BC7">
              <w:trPr>
                <w:trHeight w:val="270"/>
              </w:trPr>
              <w:tc>
                <w:tcPr>
                  <w:tcW w:w="2694" w:type="dxa"/>
                  <w:tcBorders>
                    <w:bottom w:val="single" w:sz="4" w:space="0" w:color="auto"/>
                  </w:tcBorders>
                  <w:vAlign w:val="center"/>
                </w:tcPr>
                <w:p w:rsidR="00EA462D" w:rsidRDefault="00EA462D" w:rsidP="00EA462D">
                  <w:pPr>
                    <w:pStyle w:val="DQITableText"/>
                    <w:spacing w:after="40"/>
                    <w:jc w:val="center"/>
                  </w:pPr>
                  <w:r>
                    <w:t>Staff Attrition</w:t>
                  </w:r>
                </w:p>
              </w:tc>
              <w:tc>
                <w:tcPr>
                  <w:tcW w:w="1785" w:type="dxa"/>
                  <w:vMerge w:val="restart"/>
                  <w:vAlign w:val="center"/>
                </w:tcPr>
                <w:p w:rsidR="00EA462D" w:rsidRPr="00D54AB6" w:rsidRDefault="00EA462D" w:rsidP="00EA462D">
                  <w:pPr>
                    <w:pStyle w:val="TableBodyText"/>
                    <w:jc w:val="left"/>
                    <w:rPr>
                      <w:rFonts w:ascii="MS Shell Dlg 2" w:hAnsi="MS Shell Dlg 2" w:cs="MS Shell Dlg 2"/>
                      <w:sz w:val="17"/>
                      <w:szCs w:val="17"/>
                    </w:rPr>
                  </w:pPr>
                  <w:r w:rsidRPr="004B77E8">
                    <w:rPr>
                      <w:rFonts w:cs="Arial"/>
                      <w:b/>
                      <w:sz w:val="28"/>
                      <w:szCs w:val="26"/>
                    </w:rPr>
                    <w:t>X</w:t>
                  </w:r>
                  <w:r>
                    <w:rPr>
                      <w:rFonts w:cs="Arial"/>
                      <w:sz w:val="26"/>
                      <w:szCs w:val="26"/>
                    </w:rPr>
                    <w:t xml:space="preserve"> </w:t>
                  </w:r>
                  <w:r w:rsidRPr="00D54AB6">
                    <w:t>100</w:t>
                  </w:r>
                </w:p>
              </w:tc>
            </w:tr>
            <w:tr w:rsidR="00EA462D" w:rsidTr="00E53BC7">
              <w:trPr>
                <w:trHeight w:val="270"/>
              </w:trPr>
              <w:tc>
                <w:tcPr>
                  <w:tcW w:w="2694" w:type="dxa"/>
                  <w:tcBorders>
                    <w:top w:val="single" w:sz="4" w:space="0" w:color="auto"/>
                  </w:tcBorders>
                  <w:vAlign w:val="center"/>
                </w:tcPr>
                <w:p w:rsidR="00EA462D" w:rsidRDefault="00EA462D" w:rsidP="00EA462D">
                  <w:pPr>
                    <w:pStyle w:val="TableBodyText"/>
                    <w:spacing w:before="40"/>
                    <w:jc w:val="center"/>
                  </w:pPr>
                  <w:r>
                    <w:t>Operational workforce</w:t>
                  </w:r>
                </w:p>
              </w:tc>
              <w:tc>
                <w:tcPr>
                  <w:tcW w:w="1785" w:type="dxa"/>
                  <w:vMerge/>
                </w:tcPr>
                <w:p w:rsidR="00EA462D" w:rsidRDefault="00EA462D" w:rsidP="00EA462D">
                  <w:pPr>
                    <w:pStyle w:val="TableBodyText"/>
                    <w:jc w:val="left"/>
                  </w:pPr>
                </w:p>
              </w:tc>
            </w:tr>
          </w:tbl>
          <w:p w:rsidR="00EA462D" w:rsidRDefault="00EA462D" w:rsidP="00EA462D">
            <w:pPr>
              <w:pStyle w:val="TableBodyText"/>
              <w:jc w:val="left"/>
            </w:pPr>
          </w:p>
          <w:p w:rsidR="00EA462D" w:rsidRDefault="00EA462D" w:rsidP="00EA462D">
            <w:pPr>
              <w:pStyle w:val="DQITableText"/>
            </w:pPr>
            <w:r>
              <w:t xml:space="preserve">Staff Attrition rate = </w:t>
            </w:r>
          </w:p>
          <w:p w:rsidR="00C25007" w:rsidRPr="00A01A3E" w:rsidRDefault="00C25007" w:rsidP="00887D3C">
            <w:pPr>
              <w:pStyle w:val="DQITableText"/>
            </w:pPr>
          </w:p>
        </w:tc>
      </w:tr>
      <w:tr w:rsidR="00C25007" w:rsidRPr="001F3F80" w:rsidTr="00A6515C">
        <w:tc>
          <w:tcPr>
            <w:tcW w:w="874" w:type="pct"/>
          </w:tcPr>
          <w:p w:rsidR="00C25007" w:rsidRPr="00A05229" w:rsidRDefault="00C25007" w:rsidP="00887D3C">
            <w:pPr>
              <w:pStyle w:val="DQIRowHeadings"/>
              <w:keepNext w:val="0"/>
            </w:pPr>
            <w:r w:rsidRPr="00A05229">
              <w:lastRenderedPageBreak/>
              <w:t>Data source</w:t>
            </w:r>
          </w:p>
        </w:tc>
        <w:tc>
          <w:tcPr>
            <w:tcW w:w="4126" w:type="pct"/>
          </w:tcPr>
          <w:p w:rsidR="00C25007" w:rsidRPr="00D20011" w:rsidRDefault="00C25007" w:rsidP="00887D3C">
            <w:pPr>
              <w:pStyle w:val="DQITableText"/>
              <w:rPr>
                <w:u w:val="single"/>
              </w:rPr>
            </w:pPr>
            <w:r w:rsidRPr="00D20011">
              <w:rPr>
                <w:u w:val="single"/>
              </w:rPr>
              <w:t>Fire</w:t>
            </w:r>
            <w:r>
              <w:rPr>
                <w:u w:val="single"/>
              </w:rPr>
              <w:t>fighter workforce</w:t>
            </w:r>
          </w:p>
          <w:p w:rsidR="00C25007" w:rsidRDefault="00C25007" w:rsidP="00887D3C">
            <w:pPr>
              <w:pStyle w:val="DQITableText"/>
              <w:keepNext w:val="0"/>
            </w:pPr>
            <w:r>
              <w:t xml:space="preserve">State and Territory governments. The Secretariat collects data directly from all jurisdictions. Within each jurisdiction, fire service and emergency services organisations collect and compile data. </w:t>
            </w:r>
          </w:p>
          <w:p w:rsidR="00C25007" w:rsidRPr="00D20011" w:rsidRDefault="00C25007" w:rsidP="00887D3C">
            <w:pPr>
              <w:pStyle w:val="DQITableText"/>
              <w:keepNext w:val="0"/>
              <w:rPr>
                <w:u w:val="single"/>
              </w:rPr>
            </w:pPr>
            <w:r w:rsidRPr="00D20011">
              <w:rPr>
                <w:u w:val="single"/>
              </w:rPr>
              <w:t>Estimated resident population</w:t>
            </w:r>
          </w:p>
          <w:p w:rsidR="00C25007" w:rsidRDefault="00C25007" w:rsidP="00887D3C">
            <w:pPr>
              <w:pStyle w:val="DQITableText"/>
              <w:keepNext w:val="0"/>
            </w:pPr>
            <w:r>
              <w:rPr>
                <w:i/>
              </w:rPr>
              <w:t>Australian Demographic Statistics</w:t>
            </w:r>
            <w:r w:rsidR="001E4EC3">
              <w:t>, Cat. no. 3101.0</w:t>
            </w:r>
          </w:p>
        </w:tc>
      </w:tr>
      <w:tr w:rsidR="00C25007" w:rsidRPr="000D7225" w:rsidTr="00A6515C">
        <w:tc>
          <w:tcPr>
            <w:tcW w:w="5000" w:type="pct"/>
            <w:gridSpan w:val="2"/>
          </w:tcPr>
          <w:p w:rsidR="00C25007" w:rsidRPr="00CE3D86" w:rsidRDefault="00C25007" w:rsidP="00887D3C">
            <w:pPr>
              <w:pStyle w:val="DQIMainRowHeadings"/>
              <w:keepNext w:val="0"/>
              <w:rPr>
                <w:rFonts w:cs="Arial"/>
                <w:sz w:val="22"/>
                <w:szCs w:val="22"/>
              </w:rPr>
            </w:pPr>
            <w:r>
              <w:rPr>
                <w:rFonts w:ascii="Times New Roman" w:hAnsi="Times New Roman"/>
                <w:sz w:val="24"/>
              </w:rPr>
              <w:br w:type="page"/>
            </w:r>
            <w:r>
              <w:rPr>
                <w:rFonts w:ascii="Times New Roman" w:hAnsi="Times New Roman"/>
                <w:sz w:val="24"/>
              </w:rPr>
              <w:br w:type="page"/>
            </w:r>
            <w:r w:rsidRPr="003211C6">
              <w:t>Data Quality Framework dimensions</w:t>
            </w:r>
          </w:p>
        </w:tc>
      </w:tr>
      <w:tr w:rsidR="00C25007" w:rsidRPr="00254F46" w:rsidTr="00A6515C">
        <w:tc>
          <w:tcPr>
            <w:tcW w:w="874" w:type="pct"/>
          </w:tcPr>
          <w:p w:rsidR="00C25007" w:rsidRPr="00A05229" w:rsidRDefault="00C25007" w:rsidP="00887D3C">
            <w:pPr>
              <w:pStyle w:val="DQIRowHeadings"/>
              <w:rPr>
                <w:szCs w:val="22"/>
              </w:rPr>
            </w:pPr>
            <w:r w:rsidRPr="00A05229">
              <w:rPr>
                <w:szCs w:val="22"/>
              </w:rPr>
              <w:t>Institutional environment</w:t>
            </w:r>
          </w:p>
        </w:tc>
        <w:tc>
          <w:tcPr>
            <w:tcW w:w="4126" w:type="pct"/>
          </w:tcPr>
          <w:p w:rsidR="00C25007" w:rsidRDefault="00C25007" w:rsidP="00887D3C">
            <w:pPr>
              <w:pStyle w:val="DQITableText"/>
            </w:pPr>
            <w:r>
              <w:t xml:space="preserve">Data are provided by the fire and emergency service organisations in each State and Territory in accordance to the </w:t>
            </w:r>
            <w:proofErr w:type="spellStart"/>
            <w:r>
              <w:t>RoGS</w:t>
            </w:r>
            <w:proofErr w:type="spellEnd"/>
            <w:r>
              <w:t xml:space="preserve"> </w:t>
            </w:r>
            <w:r w:rsidRPr="00D27B2C">
              <w:t>Fire Services Financial and Staff Data Dictionary</w:t>
            </w:r>
            <w:r>
              <w:t>.</w:t>
            </w:r>
          </w:p>
          <w:p w:rsidR="00C25007" w:rsidRDefault="00C25007" w:rsidP="00887D3C">
            <w:pPr>
              <w:pStyle w:val="DQITableText"/>
            </w:pPr>
            <w:r>
              <w:t xml:space="preserve">The </w:t>
            </w:r>
            <w:proofErr w:type="spellStart"/>
            <w:r>
              <w:t>RoGS</w:t>
            </w:r>
            <w:proofErr w:type="spellEnd"/>
            <w:r>
              <w:t xml:space="preserve"> </w:t>
            </w:r>
            <w:r w:rsidRPr="00D27B2C">
              <w:t>Fire Services Financial and Staff Data Dictionary</w:t>
            </w:r>
            <w:r>
              <w:t xml:space="preserve"> has been prepared by the Emergency Management Working Group (</w:t>
            </w:r>
            <w:proofErr w:type="spellStart"/>
            <w:r>
              <w:t>EMWG</w:t>
            </w:r>
            <w:proofErr w:type="spellEnd"/>
            <w:r>
              <w:t>), with assistance from Australasian Fire Authorities Council (</w:t>
            </w:r>
            <w:proofErr w:type="spellStart"/>
            <w:r>
              <w:t>AFAC</w:t>
            </w:r>
            <w:proofErr w:type="spellEnd"/>
            <w:r>
              <w:t xml:space="preserve">) members. </w:t>
            </w:r>
          </w:p>
          <w:p w:rsidR="00C25007" w:rsidRDefault="00C25007" w:rsidP="00887D3C">
            <w:pPr>
              <w:pStyle w:val="DQITableText"/>
            </w:pPr>
            <w:r>
              <w:t>The data are requested and submitted to the Secretariat in accordance with the authority of the terms of reference of the Review of Government Service Provision.</w:t>
            </w:r>
          </w:p>
        </w:tc>
      </w:tr>
      <w:tr w:rsidR="00C25007" w:rsidRPr="00254F46" w:rsidTr="00A6515C">
        <w:tc>
          <w:tcPr>
            <w:tcW w:w="874" w:type="pct"/>
          </w:tcPr>
          <w:p w:rsidR="00C25007" w:rsidRPr="00A05229" w:rsidRDefault="00C25007" w:rsidP="00887D3C">
            <w:pPr>
              <w:pStyle w:val="DQIRowHeadings"/>
              <w:rPr>
                <w:szCs w:val="22"/>
              </w:rPr>
            </w:pPr>
            <w:r w:rsidRPr="00A05229">
              <w:rPr>
                <w:szCs w:val="22"/>
              </w:rPr>
              <w:t>Relevance</w:t>
            </w:r>
          </w:p>
        </w:tc>
        <w:tc>
          <w:tcPr>
            <w:tcW w:w="4126" w:type="pct"/>
          </w:tcPr>
          <w:p w:rsidR="00C25007" w:rsidRDefault="00C25007" w:rsidP="00887D3C">
            <w:pPr>
              <w:pStyle w:val="DQITableText"/>
            </w:pPr>
            <w:r>
              <w:t>Firefighter workforce measures are</w:t>
            </w:r>
            <w:r w:rsidRPr="00A05A09">
              <w:t xml:space="preserve"> an indicator of governments’ objective to reduce the adverse effects of</w:t>
            </w:r>
            <w:r>
              <w:t xml:space="preserve"> fire </w:t>
            </w:r>
            <w:r w:rsidRPr="00A05A09">
              <w:t xml:space="preserve">incidents on the community </w:t>
            </w:r>
            <w:r>
              <w:t xml:space="preserve">by providing a workforce of paid firefighter personnel and volunteers which has: </w:t>
            </w:r>
          </w:p>
          <w:p w:rsidR="00C25007" w:rsidRDefault="00C25007" w:rsidP="00887D3C">
            <w:pPr>
              <w:pStyle w:val="DQITableBullet"/>
            </w:pPr>
            <w:r>
              <w:t xml:space="preserve">sufficient capacity to meet community needs </w:t>
            </w:r>
          </w:p>
          <w:p w:rsidR="00C25007" w:rsidRDefault="00C25007" w:rsidP="00887D3C">
            <w:pPr>
              <w:pStyle w:val="DQITableBullet"/>
            </w:pPr>
            <w:r>
              <w:t>sufficient capabilities to respond to a range of fire and other emergency events</w:t>
            </w:r>
          </w:p>
          <w:p w:rsidR="00C25007" w:rsidRPr="00A05229" w:rsidRDefault="00C25007" w:rsidP="00D50BA4">
            <w:pPr>
              <w:pStyle w:val="DQITableBullet"/>
            </w:pPr>
            <w:r>
              <w:t xml:space="preserve">the diversity and adaptability to respond to community needs, now and into the future. </w:t>
            </w:r>
          </w:p>
        </w:tc>
      </w:tr>
      <w:tr w:rsidR="00C25007" w:rsidRPr="00254F46" w:rsidTr="00A6515C">
        <w:tc>
          <w:tcPr>
            <w:tcW w:w="874" w:type="pct"/>
          </w:tcPr>
          <w:p w:rsidR="00C25007" w:rsidRPr="00A05229" w:rsidRDefault="00C25007" w:rsidP="00887D3C">
            <w:pPr>
              <w:pStyle w:val="DQIRowHeadings"/>
              <w:rPr>
                <w:szCs w:val="22"/>
              </w:rPr>
            </w:pPr>
            <w:r w:rsidRPr="00A05229">
              <w:rPr>
                <w:szCs w:val="22"/>
              </w:rPr>
              <w:t>Timeliness</w:t>
            </w:r>
          </w:p>
        </w:tc>
        <w:tc>
          <w:tcPr>
            <w:tcW w:w="4126" w:type="pct"/>
          </w:tcPr>
          <w:p w:rsidR="00C25007" w:rsidRPr="00E75549" w:rsidRDefault="00C25007" w:rsidP="00887D3C">
            <w:pPr>
              <w:pStyle w:val="DQITableText"/>
            </w:pPr>
            <w:r>
              <w:t xml:space="preserve">Firefighter workforce data are published annually for the latest financial year preceding the January release of each </w:t>
            </w:r>
            <w:proofErr w:type="spellStart"/>
            <w:r>
              <w:t>RoGS</w:t>
            </w:r>
            <w:proofErr w:type="spellEnd"/>
            <w:r>
              <w:t>.</w:t>
            </w:r>
          </w:p>
        </w:tc>
      </w:tr>
      <w:tr w:rsidR="00C25007" w:rsidRPr="00254F46" w:rsidTr="00A6515C">
        <w:tc>
          <w:tcPr>
            <w:tcW w:w="874" w:type="pct"/>
          </w:tcPr>
          <w:p w:rsidR="00C25007" w:rsidRPr="00A05229" w:rsidRDefault="00C25007" w:rsidP="00887D3C">
            <w:pPr>
              <w:pStyle w:val="DQIRowHeadings"/>
              <w:rPr>
                <w:szCs w:val="22"/>
              </w:rPr>
            </w:pPr>
            <w:r w:rsidRPr="00A05229">
              <w:rPr>
                <w:szCs w:val="22"/>
              </w:rPr>
              <w:t>Accuracy</w:t>
            </w:r>
          </w:p>
        </w:tc>
        <w:tc>
          <w:tcPr>
            <w:tcW w:w="4126" w:type="pct"/>
            <w:shd w:val="clear" w:color="auto" w:fill="FFFFFF" w:themeFill="background1"/>
          </w:tcPr>
          <w:p w:rsidR="00C25007" w:rsidRPr="0090739A" w:rsidRDefault="00C25007" w:rsidP="00887D3C">
            <w:pPr>
              <w:pStyle w:val="DQITableText"/>
              <w:rPr>
                <w:szCs w:val="18"/>
              </w:rPr>
            </w:pPr>
            <w:r w:rsidRPr="0090739A">
              <w:rPr>
                <w:szCs w:val="18"/>
              </w:rPr>
              <w:t>Firefighter workforce data are collected from e</w:t>
            </w:r>
            <w:r w:rsidRPr="0090739A">
              <w:rPr>
                <w:szCs w:val="18"/>
                <w:lang w:val="en-GB"/>
              </w:rPr>
              <w:t xml:space="preserve">ach fire service organisation in Australia </w:t>
            </w:r>
            <w:r w:rsidRPr="0090739A">
              <w:rPr>
                <w:szCs w:val="18"/>
              </w:rPr>
              <w:t xml:space="preserve">according to agreed definitions. </w:t>
            </w:r>
          </w:p>
          <w:p w:rsidR="00C25007" w:rsidRPr="0090739A" w:rsidRDefault="00C25007" w:rsidP="00887D3C">
            <w:pPr>
              <w:pStyle w:val="DQITableText"/>
              <w:rPr>
                <w:szCs w:val="18"/>
              </w:rPr>
            </w:pPr>
            <w:r w:rsidRPr="0090739A">
              <w:rPr>
                <w:szCs w:val="18"/>
              </w:rPr>
              <w:t>Not all of the contributing fire service organisations collect all of the data because:</w:t>
            </w:r>
          </w:p>
          <w:p w:rsidR="00C25007" w:rsidRPr="0090739A" w:rsidRDefault="00C25007" w:rsidP="00887D3C">
            <w:pPr>
              <w:pStyle w:val="DQITableBullet"/>
              <w:rPr>
                <w:szCs w:val="18"/>
              </w:rPr>
            </w:pPr>
            <w:r w:rsidRPr="0090739A">
              <w:rPr>
                <w:szCs w:val="18"/>
              </w:rPr>
              <w:t>each fire service has different legislated roles and responsibilities, environments and history of reporting and therefore have developed processes relevant to their business</w:t>
            </w:r>
          </w:p>
          <w:p w:rsidR="00C25007" w:rsidRPr="0090739A" w:rsidRDefault="00C25007" w:rsidP="00887D3C">
            <w:pPr>
              <w:pStyle w:val="DQITableBullet"/>
              <w:rPr>
                <w:szCs w:val="18"/>
              </w:rPr>
            </w:pPr>
            <w:r w:rsidRPr="0090739A">
              <w:rPr>
                <w:szCs w:val="18"/>
              </w:rPr>
              <w:t>in several jurisdictions it is difficult to consolidate the workforce arrangements of the umbrella departments, fire service providers, and land management agencies. A summary of the scope of each jurisdiction’s human resource reporting is provided in table </w:t>
            </w:r>
            <w:proofErr w:type="spellStart"/>
            <w:r w:rsidRPr="0090739A">
              <w:rPr>
                <w:szCs w:val="18"/>
              </w:rPr>
              <w:t>9A.3</w:t>
            </w:r>
            <w:proofErr w:type="spellEnd"/>
            <w:r w:rsidRPr="0090739A">
              <w:rPr>
                <w:szCs w:val="18"/>
              </w:rPr>
              <w:t>.</w:t>
            </w:r>
          </w:p>
          <w:p w:rsidR="00C25007" w:rsidRPr="0090739A" w:rsidRDefault="00C25007" w:rsidP="00887D3C">
            <w:pPr>
              <w:pStyle w:val="DQITableText"/>
              <w:rPr>
                <w:szCs w:val="18"/>
              </w:rPr>
            </w:pPr>
            <w:r w:rsidRPr="0090739A">
              <w:rPr>
                <w:szCs w:val="18"/>
              </w:rPr>
              <w:t xml:space="preserve">Jurisdictions have reported variations from the data dictionary with respect to: </w:t>
            </w:r>
          </w:p>
          <w:p w:rsidR="00C25007" w:rsidRPr="0090739A" w:rsidRDefault="00C25007" w:rsidP="00887D3C">
            <w:pPr>
              <w:pStyle w:val="DQITableBullet"/>
              <w:rPr>
                <w:szCs w:val="18"/>
              </w:rPr>
            </w:pPr>
            <w:r w:rsidRPr="0090739A">
              <w:rPr>
                <w:szCs w:val="18"/>
              </w:rPr>
              <w:lastRenderedPageBreak/>
              <w:t xml:space="preserve">umbrella departments — the department responsible for policy, planning, management and ensuring delivery of emergency services </w:t>
            </w:r>
          </w:p>
          <w:p w:rsidR="00C25007" w:rsidRPr="0090739A" w:rsidRDefault="00C25007" w:rsidP="00887D3C">
            <w:pPr>
              <w:pStyle w:val="DQITableBullet"/>
              <w:rPr>
                <w:szCs w:val="18"/>
              </w:rPr>
            </w:pPr>
            <w:r w:rsidRPr="0090739A">
              <w:rPr>
                <w:szCs w:val="18"/>
              </w:rPr>
              <w:t xml:space="preserve">fire service providers — the primary agencies involved in providing emergency management services for fire events </w:t>
            </w:r>
          </w:p>
          <w:p w:rsidR="00C25007" w:rsidRPr="0090739A" w:rsidRDefault="00C25007" w:rsidP="00887D3C">
            <w:pPr>
              <w:pStyle w:val="DQITableBullet"/>
              <w:rPr>
                <w:szCs w:val="18"/>
              </w:rPr>
            </w:pPr>
            <w:r w:rsidRPr="0090739A">
              <w:rPr>
                <w:szCs w:val="18"/>
              </w:rPr>
              <w:t>land management agencies — government funded agencies that have an obligation to respond in the case of structure or landscape fires and typically provide fire services within designated areas.</w:t>
            </w:r>
          </w:p>
        </w:tc>
      </w:tr>
      <w:tr w:rsidR="00C25007" w:rsidRPr="00E57110" w:rsidTr="00A6515C">
        <w:tc>
          <w:tcPr>
            <w:tcW w:w="874" w:type="pct"/>
          </w:tcPr>
          <w:p w:rsidR="00C25007" w:rsidRPr="00A05229" w:rsidRDefault="00C25007" w:rsidP="00887D3C">
            <w:pPr>
              <w:pStyle w:val="DQIRowHeadings"/>
              <w:rPr>
                <w:szCs w:val="22"/>
              </w:rPr>
            </w:pPr>
            <w:r w:rsidRPr="00A05229">
              <w:rPr>
                <w:szCs w:val="22"/>
              </w:rPr>
              <w:lastRenderedPageBreak/>
              <w:t>Coherence</w:t>
            </w:r>
          </w:p>
        </w:tc>
        <w:tc>
          <w:tcPr>
            <w:tcW w:w="4126" w:type="pct"/>
          </w:tcPr>
          <w:p w:rsidR="00C25007" w:rsidRPr="00972CCA" w:rsidRDefault="00C25007" w:rsidP="00887D3C">
            <w:pPr>
              <w:pStyle w:val="DQITableText"/>
              <w:rPr>
                <w:szCs w:val="18"/>
              </w:rPr>
            </w:pPr>
            <w:r w:rsidRPr="00972CCA">
              <w:rPr>
                <w:szCs w:val="18"/>
              </w:rPr>
              <w:t>Each State and Territory government maintains their own systems, processe</w:t>
            </w:r>
            <w:r w:rsidR="00A90C1C">
              <w:rPr>
                <w:szCs w:val="18"/>
              </w:rPr>
              <w:t xml:space="preserve">s, and training for estimation of </w:t>
            </w:r>
            <w:proofErr w:type="spellStart"/>
            <w:r w:rsidR="00A90C1C">
              <w:rPr>
                <w:szCs w:val="18"/>
              </w:rPr>
              <w:t>firefighet</w:t>
            </w:r>
            <w:proofErr w:type="spellEnd"/>
            <w:r w:rsidR="00A90C1C">
              <w:rPr>
                <w:szCs w:val="18"/>
              </w:rPr>
              <w:t xml:space="preserve"> workforce.</w:t>
            </w:r>
          </w:p>
          <w:p w:rsidR="00C25007" w:rsidRPr="00972CCA" w:rsidRDefault="00C25007" w:rsidP="00887D3C">
            <w:pPr>
              <w:pStyle w:val="DQITableText"/>
              <w:rPr>
                <w:szCs w:val="18"/>
              </w:rPr>
            </w:pPr>
            <w:r w:rsidRPr="00972CCA">
              <w:rPr>
                <w:szCs w:val="18"/>
              </w:rPr>
              <w:t>Any time series changes are identified with relevant footnotes in the attachment tables.</w:t>
            </w:r>
          </w:p>
        </w:tc>
      </w:tr>
      <w:tr w:rsidR="00C25007" w:rsidRPr="00E57110" w:rsidTr="00A6515C">
        <w:tc>
          <w:tcPr>
            <w:tcW w:w="874" w:type="pct"/>
          </w:tcPr>
          <w:p w:rsidR="00C25007" w:rsidRPr="00A05229" w:rsidRDefault="00C25007" w:rsidP="00887D3C">
            <w:pPr>
              <w:pStyle w:val="DQIRowHeadings"/>
              <w:rPr>
                <w:szCs w:val="22"/>
              </w:rPr>
            </w:pPr>
            <w:r w:rsidRPr="00A05229">
              <w:rPr>
                <w:szCs w:val="22"/>
              </w:rPr>
              <w:t>Accessibility</w:t>
            </w:r>
          </w:p>
        </w:tc>
        <w:tc>
          <w:tcPr>
            <w:tcW w:w="4126" w:type="pct"/>
            <w:shd w:val="clear" w:color="auto" w:fill="FFFFFF" w:themeFill="background1"/>
          </w:tcPr>
          <w:p w:rsidR="00C25007" w:rsidRPr="00972CCA" w:rsidRDefault="00C25007" w:rsidP="00887D3C">
            <w:pPr>
              <w:pStyle w:val="DQITableText"/>
              <w:rPr>
                <w:szCs w:val="18"/>
              </w:rPr>
            </w:pPr>
            <w:r w:rsidRPr="00972CCA">
              <w:rPr>
                <w:szCs w:val="18"/>
              </w:rPr>
              <w:t xml:space="preserve">Fire services expenditure per person data are publicly available on the Review’s website from the time of </w:t>
            </w:r>
            <w:proofErr w:type="spellStart"/>
            <w:r w:rsidRPr="00972CCA">
              <w:rPr>
                <w:szCs w:val="18"/>
              </w:rPr>
              <w:t>RoGS</w:t>
            </w:r>
            <w:proofErr w:type="spellEnd"/>
            <w:r w:rsidRPr="00972CCA">
              <w:rPr>
                <w:szCs w:val="18"/>
              </w:rPr>
              <w:t xml:space="preserve"> publication. </w:t>
            </w:r>
          </w:p>
        </w:tc>
      </w:tr>
      <w:tr w:rsidR="00C25007" w:rsidRPr="00254F46" w:rsidTr="00A6515C">
        <w:tc>
          <w:tcPr>
            <w:tcW w:w="874" w:type="pct"/>
          </w:tcPr>
          <w:p w:rsidR="00C25007" w:rsidRPr="00D50BA4" w:rsidRDefault="00C25007" w:rsidP="00887D3C">
            <w:pPr>
              <w:pStyle w:val="DQIRowHeadings"/>
              <w:rPr>
                <w:color w:val="000000" w:themeColor="text1"/>
                <w:szCs w:val="22"/>
              </w:rPr>
            </w:pPr>
            <w:r w:rsidRPr="00D50BA4">
              <w:rPr>
                <w:color w:val="000000" w:themeColor="text1"/>
                <w:szCs w:val="22"/>
              </w:rPr>
              <w:t>Interpretability</w:t>
            </w:r>
          </w:p>
        </w:tc>
        <w:tc>
          <w:tcPr>
            <w:tcW w:w="4126" w:type="pct"/>
          </w:tcPr>
          <w:p w:rsidR="00C25007" w:rsidRPr="00D50BA4" w:rsidRDefault="00C25007" w:rsidP="00887D3C">
            <w:pPr>
              <w:pStyle w:val="DQITableText"/>
              <w:rPr>
                <w:color w:val="000000" w:themeColor="text1"/>
                <w:szCs w:val="18"/>
              </w:rPr>
            </w:pPr>
            <w:r w:rsidRPr="00D50BA4">
              <w:rPr>
                <w:color w:val="000000" w:themeColor="text1"/>
                <w:szCs w:val="18"/>
              </w:rPr>
              <w:t xml:space="preserve">Copies of the complete Fire Services Financial and Staff Data Dictionary are available upon request through the Secretariat. </w:t>
            </w:r>
          </w:p>
          <w:p w:rsidR="00C25007" w:rsidRPr="00D50BA4" w:rsidRDefault="00C25007" w:rsidP="00887D3C">
            <w:pPr>
              <w:pStyle w:val="DQITableText"/>
              <w:rPr>
                <w:color w:val="000000" w:themeColor="text1"/>
                <w:szCs w:val="18"/>
              </w:rPr>
            </w:pPr>
            <w:r w:rsidRPr="00D50BA4">
              <w:rPr>
                <w:color w:val="000000" w:themeColor="text1"/>
                <w:szCs w:val="18"/>
              </w:rPr>
              <w:t>Text caveats and chapter footnotes provide additional commentary on data quality, as do the footnotes in the relevant attachment tables.</w:t>
            </w:r>
          </w:p>
        </w:tc>
      </w:tr>
    </w:tbl>
    <w:p w:rsidR="0035437F" w:rsidRDefault="0035437F" w:rsidP="00B47113">
      <w:pPr>
        <w:pStyle w:val="FooterEnd"/>
      </w:pPr>
      <w:r>
        <w:br w:type="page"/>
      </w:r>
    </w:p>
    <w:p w:rsidR="00BD19D0" w:rsidRDefault="00611841" w:rsidP="00120FFC">
      <w:pPr>
        <w:pStyle w:val="Heading3"/>
        <w:spacing w:before="0"/>
      </w:pPr>
      <w:bookmarkStart w:id="47" w:name="_Toc405885738"/>
      <w:r w:rsidRPr="001E7A69">
        <w:lastRenderedPageBreak/>
        <w:t>Response times to structure fires</w:t>
      </w:r>
      <w:bookmarkEnd w:id="47"/>
    </w:p>
    <w:p w:rsidR="00BD19D0" w:rsidRDefault="00BD19D0" w:rsidP="005B3753">
      <w:pPr>
        <w:pStyle w:val="Box"/>
      </w:pPr>
      <w:r w:rsidRPr="0001794F">
        <w:t xml:space="preserve">Data quality information for this indicator has been drafted by the Secretariat in consultation with </w:t>
      </w:r>
      <w:r w:rsidRPr="007E3FDC">
        <w:t>the Australasian Fire and Emergency Service Authorities Council (</w:t>
      </w:r>
      <w:proofErr w:type="spellStart"/>
      <w:r w:rsidRPr="007E3FDC">
        <w:t>AFAC</w:t>
      </w:r>
      <w:proofErr w:type="spellEnd"/>
      <w:r w:rsidRPr="007E3FDC">
        <w:t>)</w:t>
      </w:r>
      <w:r w:rsidRPr="0001794F">
        <w:t>, with additional Steering Committee comments.</w:t>
      </w:r>
    </w:p>
    <w:tbl>
      <w:tblPr>
        <w:tblW w:w="8820" w:type="dxa"/>
        <w:jc w:val="center"/>
        <w:tblLook w:val="01E0" w:firstRow="1" w:lastRow="1" w:firstColumn="1" w:lastColumn="1" w:noHBand="0" w:noVBand="0"/>
      </w:tblPr>
      <w:tblGrid>
        <w:gridCol w:w="1633"/>
        <w:gridCol w:w="7187"/>
      </w:tblGrid>
      <w:tr w:rsidR="00BD19D0" w:rsidRPr="001F3F80" w:rsidTr="00635C2E">
        <w:trPr>
          <w:jc w:val="center"/>
        </w:trPr>
        <w:tc>
          <w:tcPr>
            <w:tcW w:w="8820" w:type="dxa"/>
            <w:gridSpan w:val="2"/>
          </w:tcPr>
          <w:p w:rsidR="00BD19D0" w:rsidRPr="003211C6" w:rsidRDefault="00BD19D0" w:rsidP="00BD19D0">
            <w:pPr>
              <w:pStyle w:val="TableBodyText"/>
              <w:jc w:val="left"/>
              <w:rPr>
                <w:b/>
                <w:u w:val="single"/>
              </w:rPr>
            </w:pPr>
            <w:bookmarkStart w:id="48" w:name="_Toc278288352"/>
            <w:bookmarkStart w:id="49" w:name="_Toc280712993"/>
            <w:bookmarkStart w:id="50" w:name="_Toc280713100"/>
          </w:p>
          <w:p w:rsidR="00BD19D0" w:rsidRPr="003211C6" w:rsidRDefault="00BD19D0" w:rsidP="00635C2E">
            <w:pPr>
              <w:pStyle w:val="DQIMainRowHeadings"/>
              <w:rPr>
                <w:rFonts w:cs="Arial"/>
                <w:sz w:val="22"/>
                <w:szCs w:val="22"/>
              </w:rPr>
            </w:pPr>
            <w:r w:rsidRPr="003211C6">
              <w:t>Indicator definition and description</w:t>
            </w:r>
          </w:p>
        </w:tc>
      </w:tr>
      <w:tr w:rsidR="00BD19D0" w:rsidRPr="001F3F80" w:rsidTr="00635C2E">
        <w:trPr>
          <w:jc w:val="center"/>
        </w:trPr>
        <w:tc>
          <w:tcPr>
            <w:tcW w:w="1633" w:type="dxa"/>
          </w:tcPr>
          <w:p w:rsidR="00BD19D0" w:rsidRPr="00A05229" w:rsidRDefault="00BD19D0" w:rsidP="00635C2E">
            <w:pPr>
              <w:pStyle w:val="DQIMainRowHeadings"/>
            </w:pPr>
            <w:r w:rsidRPr="00A05229">
              <w:t>Element</w:t>
            </w:r>
          </w:p>
        </w:tc>
        <w:tc>
          <w:tcPr>
            <w:tcW w:w="7187" w:type="dxa"/>
          </w:tcPr>
          <w:p w:rsidR="00BD19D0" w:rsidRPr="00BD6B0B" w:rsidRDefault="00180ECD" w:rsidP="00180ECD">
            <w:pPr>
              <w:pStyle w:val="DQITableText"/>
            </w:pPr>
            <w:r>
              <w:t>Equity/effectiveness — Response</w:t>
            </w:r>
          </w:p>
        </w:tc>
      </w:tr>
      <w:tr w:rsidR="00BD19D0" w:rsidRPr="001F3F80" w:rsidTr="000C06D3">
        <w:trPr>
          <w:jc w:val="center"/>
        </w:trPr>
        <w:tc>
          <w:tcPr>
            <w:tcW w:w="1633" w:type="dxa"/>
          </w:tcPr>
          <w:p w:rsidR="00BD19D0" w:rsidRPr="00A05229" w:rsidRDefault="00BD19D0" w:rsidP="00635C2E">
            <w:pPr>
              <w:pStyle w:val="DQIMainRowHeadings"/>
            </w:pPr>
            <w:r w:rsidRPr="00A05229">
              <w:t>Indicator</w:t>
            </w:r>
          </w:p>
        </w:tc>
        <w:tc>
          <w:tcPr>
            <w:tcW w:w="7187" w:type="dxa"/>
          </w:tcPr>
          <w:p w:rsidR="00BD19D0" w:rsidRPr="00BD6B0B" w:rsidRDefault="00BD19D0" w:rsidP="00635C2E">
            <w:pPr>
              <w:pStyle w:val="DQITableText"/>
            </w:pPr>
            <w:r w:rsidRPr="00BD6B0B">
              <w:t>Response times to structure fires</w:t>
            </w:r>
          </w:p>
        </w:tc>
      </w:tr>
      <w:tr w:rsidR="00BD19D0" w:rsidRPr="001F3F80" w:rsidTr="000C06D3">
        <w:trPr>
          <w:jc w:val="center"/>
        </w:trPr>
        <w:tc>
          <w:tcPr>
            <w:tcW w:w="1633" w:type="dxa"/>
          </w:tcPr>
          <w:p w:rsidR="00BD19D0" w:rsidRPr="00A05229" w:rsidRDefault="00BD19D0" w:rsidP="00635C2E">
            <w:pPr>
              <w:pStyle w:val="DQIMainRowHeadings"/>
            </w:pPr>
            <w:r w:rsidRPr="00A05229">
              <w:t>Measure (computation)</w:t>
            </w:r>
          </w:p>
        </w:tc>
        <w:tc>
          <w:tcPr>
            <w:tcW w:w="7187" w:type="dxa"/>
          </w:tcPr>
          <w:p w:rsidR="00BD19D0" w:rsidRDefault="00BD19D0" w:rsidP="00635C2E">
            <w:pPr>
              <w:pStyle w:val="DQITableText"/>
            </w:pPr>
            <w:r>
              <w:t xml:space="preserve">There are two measures of structure fire response times: </w:t>
            </w:r>
          </w:p>
          <w:p w:rsidR="00BD19D0" w:rsidRDefault="00BD19D0" w:rsidP="00635C2E">
            <w:pPr>
              <w:pStyle w:val="DQITableBullet"/>
            </w:pPr>
            <w:r w:rsidRPr="00B279E2">
              <w:t>response times to structure fires (</w:t>
            </w:r>
            <w:r w:rsidRPr="00B279E2">
              <w:rPr>
                <w:i/>
              </w:rPr>
              <w:t>including</w:t>
            </w:r>
            <w:r w:rsidRPr="00B279E2">
              <w:t xml:space="preserve"> </w:t>
            </w:r>
            <w:r w:rsidR="00A77059">
              <w:t>call taking</w:t>
            </w:r>
            <w:r w:rsidRPr="00B279E2">
              <w:t xml:space="preserve"> time)</w:t>
            </w:r>
            <w:r>
              <w:t xml:space="preserve"> </w:t>
            </w:r>
          </w:p>
          <w:p w:rsidR="00BD19D0" w:rsidRDefault="00BD19D0" w:rsidP="00635C2E">
            <w:pPr>
              <w:pStyle w:val="DQITableBullet"/>
            </w:pPr>
            <w:r w:rsidRPr="00B279E2">
              <w:t>response times to structure fires (</w:t>
            </w:r>
            <w:r w:rsidRPr="00B279E2">
              <w:rPr>
                <w:i/>
              </w:rPr>
              <w:t>excluding</w:t>
            </w:r>
            <w:r w:rsidRPr="00B279E2">
              <w:t xml:space="preserve"> </w:t>
            </w:r>
            <w:r w:rsidR="00A77059">
              <w:t>call taking</w:t>
            </w:r>
            <w:r w:rsidRPr="00B279E2">
              <w:t xml:space="preserve"> time)</w:t>
            </w:r>
            <w:r>
              <w:t>.</w:t>
            </w:r>
          </w:p>
          <w:p w:rsidR="00BD19D0" w:rsidRPr="00D47E12" w:rsidRDefault="00BD19D0" w:rsidP="00635C2E">
            <w:pPr>
              <w:pStyle w:val="DQITableText"/>
              <w:rPr>
                <w:u w:val="single"/>
              </w:rPr>
            </w:pPr>
            <w:r w:rsidRPr="007E3FDC">
              <w:rPr>
                <w:u w:val="single"/>
              </w:rPr>
              <w:t xml:space="preserve">Response times to </w:t>
            </w:r>
            <w:r w:rsidRPr="00D47E12">
              <w:rPr>
                <w:u w:val="single"/>
              </w:rPr>
              <w:t xml:space="preserve">structure fires </w:t>
            </w:r>
            <w:r w:rsidRPr="00D47E12">
              <w:rPr>
                <w:i/>
                <w:u w:val="single"/>
              </w:rPr>
              <w:t xml:space="preserve">(including </w:t>
            </w:r>
            <w:r w:rsidR="00A77059">
              <w:rPr>
                <w:i/>
                <w:u w:val="single"/>
              </w:rPr>
              <w:t>call taking</w:t>
            </w:r>
            <w:r w:rsidRPr="00D47E12">
              <w:rPr>
                <w:i/>
                <w:u w:val="single"/>
              </w:rPr>
              <w:t xml:space="preserve"> time</w:t>
            </w:r>
            <w:r w:rsidRPr="00D47E12">
              <w:rPr>
                <w:i/>
              </w:rPr>
              <w:t xml:space="preserve">) </w:t>
            </w:r>
          </w:p>
          <w:p w:rsidR="00BD19D0" w:rsidRPr="00D47E12" w:rsidRDefault="00BD19D0" w:rsidP="00635C2E">
            <w:pPr>
              <w:pStyle w:val="DQITableText"/>
            </w:pPr>
            <w:r w:rsidRPr="00D47E12">
              <w:t xml:space="preserve">Response times to structure fires </w:t>
            </w:r>
            <w:r w:rsidRPr="00D47E12">
              <w:rPr>
                <w:i/>
              </w:rPr>
              <w:t xml:space="preserve">(including </w:t>
            </w:r>
            <w:r w:rsidR="00A77059">
              <w:rPr>
                <w:i/>
              </w:rPr>
              <w:t>call taking</w:t>
            </w:r>
            <w:r w:rsidRPr="00D47E12">
              <w:rPr>
                <w:i/>
              </w:rPr>
              <w:t xml:space="preserve"> time) </w:t>
            </w:r>
            <w:r w:rsidRPr="00D47E12">
              <w:t>is defined as the interval between the receipt of the call at the dispatch centre and the arrival of the first vehicle at the scene (that is, when the vehicle is stationary and handbrake is applied).</w:t>
            </w:r>
          </w:p>
          <w:p w:rsidR="00BD19D0" w:rsidRPr="007E3FDC" w:rsidRDefault="00BD19D0" w:rsidP="00635C2E">
            <w:pPr>
              <w:pStyle w:val="DQITableText"/>
              <w:rPr>
                <w:u w:val="single"/>
              </w:rPr>
            </w:pPr>
            <w:r w:rsidRPr="00D47E12">
              <w:rPr>
                <w:u w:val="single"/>
              </w:rPr>
              <w:t>Response times to structure fires</w:t>
            </w:r>
            <w:r w:rsidRPr="007E3FDC">
              <w:rPr>
                <w:u w:val="single"/>
              </w:rPr>
              <w:t xml:space="preserve"> </w:t>
            </w:r>
            <w:r w:rsidRPr="007E3FDC">
              <w:rPr>
                <w:i/>
                <w:u w:val="single"/>
              </w:rPr>
              <w:t xml:space="preserve">(excluding </w:t>
            </w:r>
            <w:r w:rsidR="00A77059">
              <w:rPr>
                <w:i/>
                <w:u w:val="single"/>
              </w:rPr>
              <w:t>call taking</w:t>
            </w:r>
            <w:r w:rsidRPr="007E3FDC">
              <w:rPr>
                <w:i/>
                <w:u w:val="single"/>
              </w:rPr>
              <w:t xml:space="preserve"> time)</w:t>
            </w:r>
          </w:p>
          <w:p w:rsidR="00BD19D0" w:rsidRPr="00A05229" w:rsidRDefault="00BD19D0" w:rsidP="00635C2E">
            <w:pPr>
              <w:pStyle w:val="DQITableText"/>
            </w:pPr>
            <w:r w:rsidRPr="007E3FDC">
              <w:t>Response tim</w:t>
            </w:r>
            <w:r w:rsidRPr="005730B2">
              <w:t xml:space="preserve">e </w:t>
            </w:r>
            <w:r w:rsidRPr="005730B2">
              <w:rPr>
                <w:i/>
              </w:rPr>
              <w:t xml:space="preserve">(excluding </w:t>
            </w:r>
            <w:r w:rsidR="00A77059">
              <w:rPr>
                <w:i/>
              </w:rPr>
              <w:t>call taking</w:t>
            </w:r>
            <w:r w:rsidRPr="005730B2">
              <w:rPr>
                <w:i/>
              </w:rPr>
              <w:t xml:space="preserve"> time) </w:t>
            </w:r>
            <w:r w:rsidRPr="005730B2">
              <w:t>i</w:t>
            </w:r>
            <w:r w:rsidRPr="007E3FDC">
              <w:t>s defined as the interval between the dispatch of the fire crew and the arrival of the first vehicle at the scene (that is, when the vehicle is stationary and handbrake is applied)</w:t>
            </w:r>
            <w:r>
              <w:t>.</w:t>
            </w:r>
          </w:p>
        </w:tc>
      </w:tr>
      <w:tr w:rsidR="00BD19D0" w:rsidRPr="001F3F80" w:rsidTr="000C06D3">
        <w:trPr>
          <w:jc w:val="center"/>
        </w:trPr>
        <w:tc>
          <w:tcPr>
            <w:tcW w:w="8820" w:type="dxa"/>
            <w:gridSpan w:val="2"/>
          </w:tcPr>
          <w:p w:rsidR="00BD19D0" w:rsidRPr="00CA05B6" w:rsidRDefault="000F559E" w:rsidP="00635C2E">
            <w:pPr>
              <w:pStyle w:val="DQITableText"/>
            </w:pPr>
            <w:r>
              <w:rPr>
                <w:noProof/>
              </w:rPr>
              <w:drawing>
                <wp:anchor distT="0" distB="0" distL="114300" distR="114300" simplePos="0" relativeHeight="251658240" behindDoc="0" locked="0" layoutInCell="1" allowOverlap="1">
                  <wp:simplePos x="971550" y="4819650"/>
                  <wp:positionH relativeFrom="margin">
                    <wp:align>center</wp:align>
                  </wp:positionH>
                  <wp:positionV relativeFrom="margin">
                    <wp:align>center</wp:align>
                  </wp:positionV>
                  <wp:extent cx="5267325" cy="1781175"/>
                  <wp:effectExtent l="0" t="0" r="9525" b="9525"/>
                  <wp:wrapSquare wrapText="bothSides"/>
                  <wp:docPr id="1" name="Picture 1"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67325" cy="1781175"/>
                          </a:xfrm>
                          <a:prstGeom prst="rect">
                            <a:avLst/>
                          </a:prstGeom>
                          <a:noFill/>
                          <a:ln>
                            <a:noFill/>
                          </a:ln>
                        </pic:spPr>
                      </pic:pic>
                    </a:graphicData>
                  </a:graphic>
                </wp:anchor>
              </w:drawing>
            </w:r>
          </w:p>
        </w:tc>
      </w:tr>
      <w:tr w:rsidR="00BD19D0" w:rsidRPr="001F3F80" w:rsidTr="000C06D3">
        <w:trPr>
          <w:jc w:val="center"/>
        </w:trPr>
        <w:tc>
          <w:tcPr>
            <w:tcW w:w="1633" w:type="dxa"/>
          </w:tcPr>
          <w:p w:rsidR="00BD19D0" w:rsidRPr="00A05229" w:rsidRDefault="00BD19D0" w:rsidP="00BD19D0">
            <w:pPr>
              <w:pStyle w:val="TableBodyText"/>
              <w:jc w:val="left"/>
              <w:rPr>
                <w:b/>
              </w:rPr>
            </w:pPr>
          </w:p>
        </w:tc>
        <w:tc>
          <w:tcPr>
            <w:tcW w:w="7187" w:type="dxa"/>
          </w:tcPr>
          <w:p w:rsidR="00BD19D0" w:rsidRPr="00BD6B0B" w:rsidRDefault="00BD19D0" w:rsidP="00635C2E">
            <w:pPr>
              <w:pStyle w:val="DQITableText"/>
            </w:pPr>
            <w:r w:rsidRPr="00BD6B0B">
              <w:t xml:space="preserve">Further guidance is provided in the </w:t>
            </w:r>
            <w:r w:rsidRPr="00C04435">
              <w:t>Fire and Emergency Services Activity Data Dictionary</w:t>
            </w:r>
            <w:r w:rsidRPr="00BD6B0B">
              <w:t xml:space="preserve"> as follows:</w:t>
            </w:r>
          </w:p>
          <w:p w:rsidR="00BD19D0" w:rsidRPr="00DE4FC2" w:rsidRDefault="00BD19D0" w:rsidP="00635C2E">
            <w:pPr>
              <w:pStyle w:val="DQITableBullet"/>
            </w:pPr>
            <w:r w:rsidRPr="00DE4FC2">
              <w:t>Th</w:t>
            </w:r>
            <w:r>
              <w:t xml:space="preserve">e </w:t>
            </w:r>
            <w:r w:rsidRPr="00BD6B0B">
              <w:t>measures</w:t>
            </w:r>
            <w:r w:rsidRPr="00DE4FC2">
              <w:t xml:space="preserve"> </w:t>
            </w:r>
            <w:r>
              <w:t xml:space="preserve">of </w:t>
            </w:r>
            <w:r w:rsidRPr="00DE4FC2">
              <w:t>response time</w:t>
            </w:r>
            <w:r>
              <w:t>s are</w:t>
            </w:r>
            <w:r w:rsidRPr="00DE4FC2">
              <w:t xml:space="preserve"> for emergency calls only</w:t>
            </w:r>
            <w:r>
              <w:t xml:space="preserve"> — </w:t>
            </w:r>
            <w:r w:rsidRPr="00DE4FC2">
              <w:t>exclude all calls where vehicle travels ‘code</w:t>
            </w:r>
            <w:r>
              <w:t xml:space="preserve"> </w:t>
            </w:r>
            <w:r w:rsidRPr="00DE4FC2">
              <w:t>3’ or under normal road conditions.</w:t>
            </w:r>
          </w:p>
          <w:p w:rsidR="00BD19D0" w:rsidRPr="00DE4FC2" w:rsidRDefault="00BD19D0" w:rsidP="00635C2E">
            <w:pPr>
              <w:pStyle w:val="DQITableBullet"/>
            </w:pPr>
            <w:r w:rsidRPr="00DE4FC2">
              <w:t>Include ‘</w:t>
            </w:r>
            <w:r w:rsidRPr="00BD6B0B">
              <w:t>genuine’</w:t>
            </w:r>
            <w:r w:rsidRPr="00DE4FC2">
              <w:t xml:space="preserve"> outliers and 0 response times (i.e. where passing appliance notifies the event).</w:t>
            </w:r>
          </w:p>
          <w:p w:rsidR="00BD19D0" w:rsidRDefault="00BD19D0" w:rsidP="00635C2E">
            <w:pPr>
              <w:pStyle w:val="DQITableBullet"/>
            </w:pPr>
            <w:r w:rsidRPr="00DE4FC2">
              <w:t>Exclude from the calculation records with incomplete time stamps.</w:t>
            </w:r>
          </w:p>
          <w:p w:rsidR="00BD19D0" w:rsidRDefault="00BD19D0" w:rsidP="00635C2E">
            <w:pPr>
              <w:pStyle w:val="DQITableBullet"/>
            </w:pPr>
            <w:r>
              <w:t>Exclude from the calculation records where the appliance was called off en</w:t>
            </w:r>
            <w:r w:rsidR="009D2362">
              <w:noBreakHyphen/>
            </w:r>
            <w:r>
              <w:t>route to scene.</w:t>
            </w:r>
          </w:p>
          <w:p w:rsidR="0093602D" w:rsidRDefault="0093602D" w:rsidP="00677CAA">
            <w:pPr>
              <w:pStyle w:val="DQITableBullet"/>
            </w:pPr>
            <w:r>
              <w:t xml:space="preserve">The 50th percentile (or median) — </w:t>
            </w:r>
            <w:r w:rsidR="00B3059A">
              <w:t>T</w:t>
            </w:r>
            <w:r w:rsidR="00B3059A" w:rsidRPr="00201B72">
              <w:t>he time taken for 50 per cent of all responses to arrive at a structure fire is equal to or below the 50th percentile</w:t>
            </w:r>
            <w:r w:rsidR="00B3059A">
              <w:t>.</w:t>
            </w:r>
          </w:p>
          <w:p w:rsidR="0093602D" w:rsidRDefault="0093602D" w:rsidP="00677CAA">
            <w:pPr>
              <w:pStyle w:val="DQITableBullet"/>
            </w:pPr>
            <w:r>
              <w:t xml:space="preserve">The 90th percentile — </w:t>
            </w:r>
            <w:r w:rsidR="00B3059A">
              <w:t>T</w:t>
            </w:r>
            <w:r w:rsidR="00B3059A" w:rsidRPr="00201B72">
              <w:t>he time taken for 90 per cent of all responses to arrive at a structure fire is equal to or below the 90th percentile</w:t>
            </w:r>
            <w:r w:rsidR="00B3059A">
              <w:t>.</w:t>
            </w:r>
          </w:p>
          <w:p w:rsidR="00BD19D0" w:rsidRDefault="00BD19D0" w:rsidP="00635C2E">
            <w:pPr>
              <w:pStyle w:val="DQITableBullet"/>
            </w:pPr>
            <w:r w:rsidRPr="00D47E12">
              <w:t>The call handling time by the Telstra ‘000’ triple</w:t>
            </w:r>
            <w:r w:rsidR="009D2362">
              <w:noBreakHyphen/>
            </w:r>
            <w:r w:rsidRPr="00D47E12">
              <w:t xml:space="preserve">zero operator which occurs prior to hand over to </w:t>
            </w:r>
            <w:r>
              <w:t>the emergency services operator</w:t>
            </w:r>
            <w:r w:rsidRPr="00D47E12">
              <w:t xml:space="preserve"> is </w:t>
            </w:r>
            <w:r>
              <w:t>excluded</w:t>
            </w:r>
            <w:r w:rsidRPr="00D47E12">
              <w:t xml:space="preserve">. </w:t>
            </w:r>
          </w:p>
          <w:p w:rsidR="00BD19D0" w:rsidRPr="00BD6B0B" w:rsidRDefault="00BD19D0" w:rsidP="00635C2E">
            <w:pPr>
              <w:pStyle w:val="DQITableText"/>
              <w:rPr>
                <w:u w:val="single"/>
              </w:rPr>
            </w:pPr>
            <w:r w:rsidRPr="00BD6B0B">
              <w:rPr>
                <w:u w:val="single"/>
              </w:rPr>
              <w:t xml:space="preserve">Structure fire </w:t>
            </w:r>
          </w:p>
          <w:p w:rsidR="00BD19D0" w:rsidRPr="00BD6B0B" w:rsidRDefault="00BD19D0" w:rsidP="00635C2E">
            <w:pPr>
              <w:pStyle w:val="DQITableText"/>
            </w:pPr>
            <w:r w:rsidRPr="00BD6B0B">
              <w:t xml:space="preserve">A structure fire is a fire inside a building or structure, whether or not there is damage to the structure. Within the </w:t>
            </w:r>
            <w:r w:rsidRPr="00CA05B6">
              <w:t>Fire and Emergency Services Activity Data Dictionary</w:t>
            </w:r>
            <w:r w:rsidRPr="00BD6B0B">
              <w:t>, the following guidance is provided:</w:t>
            </w:r>
          </w:p>
          <w:p w:rsidR="00BD19D0" w:rsidRPr="00BD6B0B" w:rsidRDefault="00BD19D0" w:rsidP="00635C2E">
            <w:pPr>
              <w:pStyle w:val="DQITableBullet"/>
            </w:pPr>
            <w:r w:rsidRPr="00BD6B0B">
              <w:t xml:space="preserve">Structure fires are defined as </w:t>
            </w:r>
            <w:r w:rsidRPr="007E3FDC">
              <w:t>Australian Incident Reporting System (AIRS)</w:t>
            </w:r>
            <w:r>
              <w:t xml:space="preserve"> </w:t>
            </w:r>
            <w:r w:rsidRPr="00BD6B0B">
              <w:t xml:space="preserve">data </w:t>
            </w:r>
            <w:r w:rsidRPr="00BD6B0B">
              <w:lastRenderedPageBreak/>
              <w:t xml:space="preserve">element </w:t>
            </w:r>
            <w:proofErr w:type="spellStart"/>
            <w:r w:rsidRPr="00BD6B0B">
              <w:t>A23</w:t>
            </w:r>
            <w:proofErr w:type="spellEnd"/>
            <w:r w:rsidRPr="00BD6B0B">
              <w:t>, type of incident codes 110</w:t>
            </w:r>
            <w:r w:rsidR="009D2362">
              <w:noBreakHyphen/>
            </w:r>
            <w:r w:rsidRPr="00BD6B0B">
              <w:t>129 inclusive.</w:t>
            </w:r>
          </w:p>
          <w:p w:rsidR="00BD19D0" w:rsidRPr="00A05229" w:rsidRDefault="00BD19D0" w:rsidP="00635C2E">
            <w:pPr>
              <w:pStyle w:val="DQITableText"/>
            </w:pPr>
            <w:r w:rsidRPr="00BD6B0B">
              <w:t>All jurisdictions conform with the definition but SA uses a limited range of codes namely 110, 111, 112, 113, 121,123 and 126.</w:t>
            </w:r>
          </w:p>
        </w:tc>
      </w:tr>
      <w:tr w:rsidR="00BD19D0" w:rsidRPr="001F3F80" w:rsidTr="000C06D3">
        <w:trPr>
          <w:jc w:val="center"/>
        </w:trPr>
        <w:tc>
          <w:tcPr>
            <w:tcW w:w="1633" w:type="dxa"/>
          </w:tcPr>
          <w:p w:rsidR="00BD19D0" w:rsidRPr="00A05229" w:rsidRDefault="00BD19D0" w:rsidP="00635C2E">
            <w:pPr>
              <w:pStyle w:val="DQIRowHeadings"/>
            </w:pPr>
            <w:r w:rsidRPr="00A05229">
              <w:lastRenderedPageBreak/>
              <w:t>Data source</w:t>
            </w:r>
          </w:p>
        </w:tc>
        <w:tc>
          <w:tcPr>
            <w:tcW w:w="7187" w:type="dxa"/>
          </w:tcPr>
          <w:p w:rsidR="00BD19D0" w:rsidRDefault="00BD19D0" w:rsidP="00635C2E">
            <w:pPr>
              <w:pStyle w:val="DQITableText"/>
            </w:pPr>
            <w:r>
              <w:t>State and Territory governments. T</w:t>
            </w:r>
            <w:r w:rsidRPr="00270F18">
              <w:t xml:space="preserve">he Secretariat </w:t>
            </w:r>
            <w:r>
              <w:t xml:space="preserve">collects </w:t>
            </w:r>
            <w:r w:rsidRPr="00270F18">
              <w:t xml:space="preserve">data </w:t>
            </w:r>
            <w:r>
              <w:t xml:space="preserve">directly from </w:t>
            </w:r>
            <w:r w:rsidRPr="00270F18">
              <w:t>all jurisdictions</w:t>
            </w:r>
            <w:r>
              <w:t xml:space="preserve">. </w:t>
            </w:r>
          </w:p>
          <w:p w:rsidR="00BD19D0" w:rsidRPr="00A05229" w:rsidRDefault="00BD19D0" w:rsidP="00635C2E">
            <w:pPr>
              <w:pStyle w:val="DQITableText"/>
            </w:pPr>
            <w:r>
              <w:t xml:space="preserve">Within each jurisdiction, fire service </w:t>
            </w:r>
            <w:r w:rsidRPr="001847BB">
              <w:t xml:space="preserve">and emergency services </w:t>
            </w:r>
            <w:r>
              <w:t xml:space="preserve">organisations collect and compile data. </w:t>
            </w:r>
            <w:r w:rsidRPr="00270F18">
              <w:t xml:space="preserve">Not all jurisdictions have systems in place to capture all components of the response time continuum from time of call to arrival at the scene, as outlined in the figure above. Some agencies use manual systems to calculate response times, while others retrieve data from computer aided dispatch (CAD) systems. </w:t>
            </w:r>
          </w:p>
        </w:tc>
      </w:tr>
      <w:tr w:rsidR="00BD19D0" w:rsidRPr="000D7225" w:rsidTr="000C06D3">
        <w:trPr>
          <w:jc w:val="center"/>
        </w:trPr>
        <w:tc>
          <w:tcPr>
            <w:tcW w:w="8820" w:type="dxa"/>
            <w:gridSpan w:val="2"/>
          </w:tcPr>
          <w:p w:rsidR="00BD19D0" w:rsidRPr="00CE3D86" w:rsidRDefault="00BD19D0" w:rsidP="00635C2E">
            <w:pPr>
              <w:pStyle w:val="DQIRowHeadings"/>
              <w:rPr>
                <w:rFonts w:cs="Arial"/>
                <w:sz w:val="22"/>
                <w:szCs w:val="22"/>
                <w:u w:val="single"/>
              </w:rPr>
            </w:pPr>
            <w:r>
              <w:rPr>
                <w:lang w:eastAsia="en-US"/>
              </w:rPr>
              <w:br w:type="page"/>
            </w:r>
            <w:r>
              <w:rPr>
                <w:lang w:eastAsia="en-US"/>
              </w:rPr>
              <w:br w:type="page"/>
            </w:r>
            <w:r w:rsidRPr="003211C6">
              <w:rPr>
                <w:u w:val="single"/>
              </w:rPr>
              <w:t>Data Quality Framework dimensions</w:t>
            </w:r>
          </w:p>
        </w:tc>
      </w:tr>
      <w:tr w:rsidR="00BD19D0" w:rsidRPr="00254F46" w:rsidTr="000C06D3">
        <w:trPr>
          <w:jc w:val="center"/>
        </w:trPr>
        <w:tc>
          <w:tcPr>
            <w:tcW w:w="1633" w:type="dxa"/>
          </w:tcPr>
          <w:p w:rsidR="00BD19D0" w:rsidRPr="00A05229" w:rsidRDefault="00BD19D0" w:rsidP="00635C2E">
            <w:pPr>
              <w:pStyle w:val="DQIRowHeadings"/>
            </w:pPr>
            <w:r w:rsidRPr="00A05229">
              <w:t>Institutional environment</w:t>
            </w:r>
          </w:p>
        </w:tc>
        <w:tc>
          <w:tcPr>
            <w:tcW w:w="7187" w:type="dxa"/>
          </w:tcPr>
          <w:p w:rsidR="00BD19D0" w:rsidRDefault="00BD19D0" w:rsidP="00635C2E">
            <w:pPr>
              <w:pStyle w:val="DQITableText"/>
            </w:pPr>
            <w:r>
              <w:t xml:space="preserve">Response time </w:t>
            </w:r>
            <w:r w:rsidR="00183153">
              <w:t xml:space="preserve">data </w:t>
            </w:r>
            <w:r>
              <w:t>are collected by fire and emergency service organisations in each State and Territory according to the AIRS.</w:t>
            </w:r>
            <w:r w:rsidR="00183153">
              <w:t xml:space="preserve"> The majority of response time data are generated by CAD systems.</w:t>
            </w:r>
          </w:p>
          <w:p w:rsidR="00BD19D0" w:rsidRPr="001847BB" w:rsidRDefault="00BD19D0" w:rsidP="00635C2E">
            <w:pPr>
              <w:pStyle w:val="DQITableText"/>
            </w:pPr>
            <w:r w:rsidRPr="001847BB">
              <w:t xml:space="preserve">Not all of the contributing fire and emergency services collect all of the data </w:t>
            </w:r>
            <w:r w:rsidR="00A51FFB">
              <w:t xml:space="preserve">related to the various components of response time </w:t>
            </w:r>
            <w:r w:rsidRPr="001847BB">
              <w:t xml:space="preserve">because each fire service has different legislated roles and responsibilities, environments and history of reporting and therefore have developed processes relevant to their </w:t>
            </w:r>
            <w:r>
              <w:t>business</w:t>
            </w:r>
            <w:r w:rsidRPr="001847BB">
              <w:t>.</w:t>
            </w:r>
          </w:p>
          <w:p w:rsidR="00BD19D0" w:rsidRPr="00A05229" w:rsidRDefault="00BD19D0" w:rsidP="00635C2E">
            <w:pPr>
              <w:pStyle w:val="DQITableText"/>
            </w:pPr>
            <w:r>
              <w:t>The data are requested and submitted to the Secretariat in accordance with the authority of the terms of reference of the Review of Government Service Provision.</w:t>
            </w:r>
          </w:p>
        </w:tc>
      </w:tr>
      <w:tr w:rsidR="00BD19D0" w:rsidRPr="00254F46" w:rsidTr="000C06D3">
        <w:trPr>
          <w:jc w:val="center"/>
        </w:trPr>
        <w:tc>
          <w:tcPr>
            <w:tcW w:w="1633" w:type="dxa"/>
          </w:tcPr>
          <w:p w:rsidR="00BD19D0" w:rsidRPr="00A05229" w:rsidRDefault="00BD19D0" w:rsidP="00635C2E">
            <w:pPr>
              <w:pStyle w:val="DQIRowHeadings"/>
            </w:pPr>
            <w:r w:rsidRPr="00A05229">
              <w:t>Relevance</w:t>
            </w:r>
          </w:p>
        </w:tc>
        <w:tc>
          <w:tcPr>
            <w:tcW w:w="7187" w:type="dxa"/>
          </w:tcPr>
          <w:p w:rsidR="00BD19D0" w:rsidRPr="00270F18" w:rsidRDefault="00BD19D0" w:rsidP="00635C2E">
            <w:pPr>
              <w:pStyle w:val="DQITableText"/>
            </w:pPr>
            <w:r w:rsidRPr="00270F18">
              <w:t>Timeliness of response and early intervention is a precursor for preventing the spread of fire and reducing its impacts on life and property. Timeliness of arrival is used to measure the effectiveness of reducing the impacts of fire, not the actions taken after arrival.</w:t>
            </w:r>
          </w:p>
          <w:p w:rsidR="00BD19D0" w:rsidRPr="00A16F14" w:rsidRDefault="00BD19D0" w:rsidP="00635C2E">
            <w:pPr>
              <w:pStyle w:val="DQITableText"/>
            </w:pPr>
            <w:r w:rsidRPr="00270F18">
              <w:t xml:space="preserve">Data are available both on a </w:t>
            </w:r>
            <w:proofErr w:type="spellStart"/>
            <w:r w:rsidRPr="00270F18">
              <w:t>state</w:t>
            </w:r>
            <w:r w:rsidR="009D2362">
              <w:noBreakHyphen/>
            </w:r>
            <w:r w:rsidRPr="00270F18">
              <w:t>wide</w:t>
            </w:r>
            <w:proofErr w:type="spellEnd"/>
            <w:r w:rsidRPr="00270F18">
              <w:t xml:space="preserve"> basis and by remoteness area, with </w:t>
            </w:r>
            <w:r w:rsidRPr="00A16F14">
              <w:t xml:space="preserve">response times reported in minutes for the 50th and 90th percentiles in each category. </w:t>
            </w:r>
          </w:p>
          <w:p w:rsidR="00BD19D0" w:rsidRPr="001C08FA" w:rsidRDefault="00BD19D0" w:rsidP="00635C2E">
            <w:pPr>
              <w:pStyle w:val="DQITableText"/>
            </w:pPr>
            <w:r w:rsidRPr="00A16F14">
              <w:t>Data are presented</w:t>
            </w:r>
            <w:r w:rsidRPr="00270F18">
              <w:t xml:space="preserve"> by remoteness area in an attempt to correct for some of the physical and operational factors that are believed to adversely affect response </w:t>
            </w:r>
            <w:r w:rsidRPr="001C08FA">
              <w:t xml:space="preserve">times in areas that are relatively remote compared with the major cities. </w:t>
            </w:r>
          </w:p>
          <w:p w:rsidR="00BD19D0" w:rsidRPr="00A05229" w:rsidRDefault="00BD19D0" w:rsidP="00635C2E">
            <w:pPr>
              <w:pStyle w:val="DQITableText"/>
            </w:pPr>
            <w:r w:rsidRPr="001C08FA">
              <w:t>Response times are classified according to the Remoteness Area (RA) classification maintained by the ABS (Australian Standard Geographical Classification (</w:t>
            </w:r>
            <w:proofErr w:type="spellStart"/>
            <w:r w:rsidRPr="001C08FA">
              <w:t>ASGC</w:t>
            </w:r>
            <w:proofErr w:type="spellEnd"/>
            <w:r w:rsidRPr="001C08FA">
              <w:t>) (cat. no. 1216.0)), The delimitation criteria for RAs are based on the Accessibility/Remoteness Index of Australia (ARIA) developed by the Commonwealth Department of Hea</w:t>
            </w:r>
            <w:r w:rsidR="007F6100">
              <w:t>l</w:t>
            </w:r>
            <w:r w:rsidRPr="001C08FA">
              <w:t>th and Ageing and the National Key Centre For Social Applications of GIS. ARIA measures the remoteness of a point based on the physical road distance to the nearest Urban Centre in each of five size classes.</w:t>
            </w:r>
            <w:r w:rsidRPr="00D70F7C">
              <w:t xml:space="preserve"> </w:t>
            </w:r>
          </w:p>
        </w:tc>
      </w:tr>
      <w:tr w:rsidR="00BD19D0" w:rsidRPr="00254F46" w:rsidTr="000C06D3">
        <w:trPr>
          <w:jc w:val="center"/>
        </w:trPr>
        <w:tc>
          <w:tcPr>
            <w:tcW w:w="1633" w:type="dxa"/>
          </w:tcPr>
          <w:p w:rsidR="00BD19D0" w:rsidRPr="00A05229" w:rsidRDefault="00BD19D0" w:rsidP="00635C2E">
            <w:pPr>
              <w:pStyle w:val="DQIRowHeadings"/>
            </w:pPr>
            <w:r w:rsidRPr="00A05229">
              <w:t>Timeliness</w:t>
            </w:r>
          </w:p>
        </w:tc>
        <w:tc>
          <w:tcPr>
            <w:tcW w:w="7187" w:type="dxa"/>
          </w:tcPr>
          <w:p w:rsidR="00BD19D0" w:rsidRPr="00A05229" w:rsidRDefault="00BD19D0" w:rsidP="007F6100">
            <w:pPr>
              <w:pStyle w:val="DQITableText"/>
            </w:pPr>
            <w:r w:rsidRPr="00270F18">
              <w:t xml:space="preserve">Response time data are published annually for the latest financial year preceding the January release of each </w:t>
            </w:r>
            <w:proofErr w:type="spellStart"/>
            <w:r w:rsidRPr="00270F18">
              <w:t>R</w:t>
            </w:r>
            <w:r w:rsidR="007F6100">
              <w:t>o</w:t>
            </w:r>
            <w:r w:rsidRPr="00270F18">
              <w:t>GS</w:t>
            </w:r>
            <w:proofErr w:type="spellEnd"/>
            <w:r w:rsidRPr="00270F18">
              <w:t>.</w:t>
            </w:r>
          </w:p>
        </w:tc>
      </w:tr>
      <w:tr w:rsidR="00BD19D0" w:rsidRPr="00254F46" w:rsidTr="000C06D3">
        <w:trPr>
          <w:jc w:val="center"/>
        </w:trPr>
        <w:tc>
          <w:tcPr>
            <w:tcW w:w="1633" w:type="dxa"/>
          </w:tcPr>
          <w:p w:rsidR="00BD19D0" w:rsidRPr="00A05229" w:rsidRDefault="00BD19D0" w:rsidP="00635C2E">
            <w:pPr>
              <w:pStyle w:val="DQIRowHeadings"/>
            </w:pPr>
            <w:r w:rsidRPr="00A05229">
              <w:t>Accuracy</w:t>
            </w:r>
          </w:p>
        </w:tc>
        <w:tc>
          <w:tcPr>
            <w:tcW w:w="7187" w:type="dxa"/>
          </w:tcPr>
          <w:p w:rsidR="00BD19D0" w:rsidRPr="00270F18" w:rsidRDefault="00AD0494" w:rsidP="00635C2E">
            <w:pPr>
              <w:pStyle w:val="DQITableText"/>
            </w:pPr>
            <w:r>
              <w:t xml:space="preserve">Text caveats in the </w:t>
            </w:r>
            <w:proofErr w:type="spellStart"/>
            <w:r>
              <w:t>RoGS</w:t>
            </w:r>
            <w:proofErr w:type="spellEnd"/>
            <w:r>
              <w:t xml:space="preserve"> provide generalised advice </w:t>
            </w:r>
            <w:r w:rsidR="00BD19D0" w:rsidRPr="00270F18">
              <w:t>that data are not strictly comparable and cite a number of physical, operational and data collection system factors that influence response times.</w:t>
            </w:r>
          </w:p>
          <w:p w:rsidR="00BD19D0" w:rsidRDefault="00BD19D0" w:rsidP="00635C2E">
            <w:pPr>
              <w:pStyle w:val="DQITableText"/>
            </w:pPr>
            <w:r>
              <w:t>R</w:t>
            </w:r>
            <w:r w:rsidRPr="009A5121">
              <w:t xml:space="preserve">esponse time </w:t>
            </w:r>
            <w:r>
              <w:t xml:space="preserve">data are </w:t>
            </w:r>
            <w:r w:rsidRPr="009A5121">
              <w:t>not collected for all incident responses</w:t>
            </w:r>
            <w:r>
              <w:t>.</w:t>
            </w:r>
            <w:r w:rsidRPr="009A5121">
              <w:t xml:space="preserve"> </w:t>
            </w:r>
          </w:p>
          <w:p w:rsidR="00BD19D0" w:rsidRPr="009A5121" w:rsidRDefault="00BD19D0" w:rsidP="00635C2E">
            <w:pPr>
              <w:pStyle w:val="DQITableText"/>
            </w:pPr>
            <w:r>
              <w:t>S</w:t>
            </w:r>
            <w:r w:rsidRPr="009A5121">
              <w:t>eparate urban and rural fire service organisations</w:t>
            </w:r>
            <w:r>
              <w:t xml:space="preserve"> — consisting of both </w:t>
            </w:r>
            <w:r w:rsidRPr="009A5121">
              <w:t>volunteer and career/permanent personnel</w:t>
            </w:r>
            <w:r>
              <w:t xml:space="preserve"> —</w:t>
            </w:r>
            <w:r w:rsidRPr="009A5121">
              <w:t xml:space="preserve"> provide fire response services within jurisdictions. </w:t>
            </w:r>
          </w:p>
          <w:p w:rsidR="00BD19D0" w:rsidRDefault="00BD19D0" w:rsidP="00635C2E">
            <w:pPr>
              <w:pStyle w:val="DQITableText"/>
            </w:pPr>
            <w:r w:rsidRPr="009A5121">
              <w:t>Resulting data issues include</w:t>
            </w:r>
            <w:r>
              <w:t>:</w:t>
            </w:r>
          </w:p>
          <w:p w:rsidR="00BD19D0" w:rsidRDefault="00BD19D0" w:rsidP="00635C2E">
            <w:pPr>
              <w:pStyle w:val="DQITableBullet"/>
            </w:pPr>
            <w:r w:rsidRPr="009A5121">
              <w:t xml:space="preserve">whether structure fires attended by volunteer brigades are included in calculating a jurisdictional response time value </w:t>
            </w:r>
          </w:p>
          <w:p w:rsidR="00BD19D0" w:rsidRDefault="00BD19D0" w:rsidP="00635C2E">
            <w:pPr>
              <w:pStyle w:val="DQITableBullet"/>
            </w:pPr>
            <w:r w:rsidRPr="009A5121">
              <w:t>the percentage of structure fires attended by volunteer brigades</w:t>
            </w:r>
            <w:r>
              <w:t>, where:</w:t>
            </w:r>
          </w:p>
          <w:p w:rsidR="00BD19D0" w:rsidRDefault="00BD19D0" w:rsidP="00635C2E">
            <w:pPr>
              <w:pStyle w:val="DQITableBullet2"/>
            </w:pPr>
            <w:r w:rsidRPr="009A5121">
              <w:t>response times tend to be calculated manually</w:t>
            </w:r>
            <w:r>
              <w:t xml:space="preserve"> </w:t>
            </w:r>
          </w:p>
          <w:p w:rsidR="00BD19D0" w:rsidRDefault="00BD19D0" w:rsidP="00635C2E">
            <w:pPr>
              <w:pStyle w:val="DQITableBullet2"/>
            </w:pPr>
            <w:r w:rsidRPr="009A5121">
              <w:t>there is potential for variation in data completeness.</w:t>
            </w:r>
          </w:p>
          <w:p w:rsidR="00BD19D0" w:rsidRDefault="00BD19D0" w:rsidP="00635C2E">
            <w:pPr>
              <w:pStyle w:val="DQITableBullet"/>
            </w:pPr>
            <w:r>
              <w:t>In practice there are d</w:t>
            </w:r>
            <w:r w:rsidRPr="009A5121">
              <w:t xml:space="preserve">ifferences in the </w:t>
            </w:r>
            <w:r>
              <w:t xml:space="preserve">method each jurisdiction uses to estimate response time to structure fires. Each jurisdiction’s approach is </w:t>
            </w:r>
            <w:r w:rsidRPr="009A5121">
              <w:t xml:space="preserve">summarised </w:t>
            </w:r>
            <w:r>
              <w:t xml:space="preserve">in the </w:t>
            </w:r>
            <w:r w:rsidRPr="00B00B33">
              <w:t>Structure fire response times</w:t>
            </w:r>
            <w:r>
              <w:t xml:space="preserve"> appendix (page 6), including their approach to:</w:t>
            </w:r>
          </w:p>
          <w:p w:rsidR="00BD19D0" w:rsidRDefault="00BD19D0" w:rsidP="00635C2E">
            <w:pPr>
              <w:pStyle w:val="DQITableBullet"/>
            </w:pPr>
            <w:r>
              <w:t>r</w:t>
            </w:r>
            <w:r w:rsidRPr="00F648B6">
              <w:t xml:space="preserve">esponse time definition </w:t>
            </w:r>
            <w:r>
              <w:t>(</w:t>
            </w:r>
            <w:r w:rsidRPr="00F648B6">
              <w:t>table</w:t>
            </w:r>
            <w:r w:rsidR="009D2362">
              <w:t> </w:t>
            </w:r>
            <w:r w:rsidR="00887AA8">
              <w:t>6</w:t>
            </w:r>
            <w:r>
              <w:t>)</w:t>
            </w:r>
          </w:p>
          <w:p w:rsidR="00BD19D0" w:rsidRPr="00F648B6" w:rsidRDefault="00BD19D0" w:rsidP="00635C2E">
            <w:pPr>
              <w:pStyle w:val="DQITableBullet"/>
            </w:pPr>
            <w:r w:rsidRPr="00F648B6">
              <w:lastRenderedPageBreak/>
              <w:t xml:space="preserve">differences data collection systems and coverage </w:t>
            </w:r>
            <w:r>
              <w:t>(</w:t>
            </w:r>
            <w:r w:rsidRPr="00F648B6">
              <w:t>table</w:t>
            </w:r>
            <w:r w:rsidR="009D2362">
              <w:t> </w:t>
            </w:r>
            <w:r w:rsidR="00887AA8">
              <w:t>7</w:t>
            </w:r>
            <w:r>
              <w:t>)</w:t>
            </w:r>
            <w:r w:rsidRPr="00F648B6">
              <w:t xml:space="preserve"> </w:t>
            </w:r>
          </w:p>
          <w:p w:rsidR="00BD19D0" w:rsidRPr="00F648B6" w:rsidRDefault="00BD19D0" w:rsidP="00635C2E">
            <w:pPr>
              <w:pStyle w:val="DQITableBullet"/>
            </w:pPr>
            <w:r w:rsidRPr="00F648B6">
              <w:t xml:space="preserve">data completeness (volunteer and permanent brigades) </w:t>
            </w:r>
            <w:r>
              <w:t>(t</w:t>
            </w:r>
            <w:r w:rsidRPr="00F648B6">
              <w:t>able</w:t>
            </w:r>
            <w:r w:rsidR="009D2362">
              <w:t> </w:t>
            </w:r>
            <w:r w:rsidR="00887AA8">
              <w:t>8</w:t>
            </w:r>
            <w:r>
              <w:t>)</w:t>
            </w:r>
          </w:p>
          <w:p w:rsidR="00BD19D0" w:rsidRDefault="00BD19D0" w:rsidP="00635C2E">
            <w:pPr>
              <w:pStyle w:val="DQITableBullet"/>
            </w:pPr>
            <w:r w:rsidRPr="00F648B6">
              <w:t xml:space="preserve">extrapolation and estimation </w:t>
            </w:r>
            <w:r>
              <w:t>(t</w:t>
            </w:r>
            <w:r w:rsidRPr="00F648B6">
              <w:t>able</w:t>
            </w:r>
            <w:r w:rsidR="009D2362">
              <w:t> </w:t>
            </w:r>
            <w:r w:rsidR="00887AA8">
              <w:t>9</w:t>
            </w:r>
            <w:r>
              <w:t>)</w:t>
            </w:r>
          </w:p>
          <w:p w:rsidR="00BD19D0" w:rsidRPr="00A05229" w:rsidRDefault="00BD19D0" w:rsidP="00887AA8">
            <w:pPr>
              <w:pStyle w:val="DQITableBullet"/>
            </w:pPr>
            <w:r>
              <w:t>p</w:t>
            </w:r>
            <w:r w:rsidRPr="00F648B6">
              <w:t>ercentile calculations (table</w:t>
            </w:r>
            <w:r w:rsidR="009D2362">
              <w:t> </w:t>
            </w:r>
            <w:r w:rsidR="00887AA8">
              <w:t>10</w:t>
            </w:r>
            <w:r w:rsidRPr="00F648B6">
              <w:t>)</w:t>
            </w:r>
            <w:r>
              <w:t>.</w:t>
            </w:r>
          </w:p>
        </w:tc>
      </w:tr>
      <w:tr w:rsidR="00BD19D0" w:rsidRPr="00E57110" w:rsidTr="000C06D3">
        <w:trPr>
          <w:jc w:val="center"/>
        </w:trPr>
        <w:tc>
          <w:tcPr>
            <w:tcW w:w="1633" w:type="dxa"/>
          </w:tcPr>
          <w:p w:rsidR="00BD19D0" w:rsidRPr="00A05229" w:rsidRDefault="00BD19D0" w:rsidP="00635C2E">
            <w:pPr>
              <w:pStyle w:val="DQIRowHeadings"/>
            </w:pPr>
            <w:r w:rsidRPr="00A05229">
              <w:lastRenderedPageBreak/>
              <w:t>Coherence</w:t>
            </w:r>
          </w:p>
        </w:tc>
        <w:tc>
          <w:tcPr>
            <w:tcW w:w="7187" w:type="dxa"/>
          </w:tcPr>
          <w:p w:rsidR="00BD19D0" w:rsidRDefault="00BD19D0" w:rsidP="00635C2E">
            <w:pPr>
              <w:pStyle w:val="DQITableText"/>
            </w:pPr>
            <w:r>
              <w:t>Each State and Territory government maintain</w:t>
            </w:r>
            <w:r w:rsidR="00AD0494">
              <w:t>s</w:t>
            </w:r>
            <w:r>
              <w:t xml:space="preserve"> their own systems, processes, and training for estimation of response times in accordance with AIRS.</w:t>
            </w:r>
          </w:p>
          <w:p w:rsidR="00BD19D0" w:rsidRPr="00A05229" w:rsidRDefault="00BD19D0" w:rsidP="00635C2E">
            <w:pPr>
              <w:pStyle w:val="DQITableText"/>
            </w:pPr>
            <w:r w:rsidRPr="0077499F">
              <w:t>Any time series changes are identified with relevant footnotes.</w:t>
            </w:r>
          </w:p>
        </w:tc>
      </w:tr>
      <w:tr w:rsidR="00BD19D0" w:rsidRPr="00E57110" w:rsidTr="000C06D3">
        <w:trPr>
          <w:jc w:val="center"/>
        </w:trPr>
        <w:tc>
          <w:tcPr>
            <w:tcW w:w="1633" w:type="dxa"/>
          </w:tcPr>
          <w:p w:rsidR="00BD19D0" w:rsidRPr="00A05229" w:rsidRDefault="00BD19D0" w:rsidP="00635C2E">
            <w:pPr>
              <w:pStyle w:val="DQIRowHeadings"/>
            </w:pPr>
            <w:r w:rsidRPr="00A05229">
              <w:t>Accessibility</w:t>
            </w:r>
          </w:p>
          <w:p w:rsidR="00BD19D0" w:rsidRPr="00A05229" w:rsidRDefault="00BD19D0" w:rsidP="00635C2E">
            <w:pPr>
              <w:pStyle w:val="DQIRowHeadings"/>
            </w:pPr>
          </w:p>
        </w:tc>
        <w:tc>
          <w:tcPr>
            <w:tcW w:w="7187" w:type="dxa"/>
          </w:tcPr>
          <w:p w:rsidR="00BD19D0" w:rsidRDefault="00BD19D0" w:rsidP="00635C2E">
            <w:pPr>
              <w:pStyle w:val="DQITableText"/>
            </w:pPr>
            <w:r w:rsidRPr="0077499F">
              <w:t>Structure fire and response time data are publicly available on the Productivity Commission’s website from the time of publication.</w:t>
            </w:r>
            <w:r w:rsidRPr="008760DC">
              <w:t xml:space="preserve"> </w:t>
            </w:r>
          </w:p>
          <w:p w:rsidR="00BD19D0" w:rsidRPr="00A05229" w:rsidRDefault="00BD19D0" w:rsidP="00635C2E">
            <w:pPr>
              <w:pStyle w:val="DQITableText"/>
            </w:pPr>
            <w:r w:rsidRPr="008760DC">
              <w:t xml:space="preserve">Interested parties, particularly researchers, may request access to unpublished portions of the </w:t>
            </w:r>
            <w:proofErr w:type="spellStart"/>
            <w:r w:rsidRPr="008760DC">
              <w:t>AFAC</w:t>
            </w:r>
            <w:proofErr w:type="spellEnd"/>
            <w:r w:rsidRPr="008760DC">
              <w:t xml:space="preserve"> Knowledge data base’s Core Data (de</w:t>
            </w:r>
            <w:r>
              <w:noBreakHyphen/>
            </w:r>
            <w:r w:rsidRPr="008760DC">
              <w:t xml:space="preserve">identified unit record data) to undertake their own statistical analysis for particular research and/or projects. For more information about access to national data see </w:t>
            </w:r>
            <w:proofErr w:type="spellStart"/>
            <w:r w:rsidRPr="004A1422">
              <w:t>AFAC</w:t>
            </w:r>
            <w:proofErr w:type="spellEnd"/>
            <w:r w:rsidRPr="004A1422">
              <w:t xml:space="preserve"> data requests</w:t>
            </w:r>
            <w:r>
              <w:t xml:space="preserve">. </w:t>
            </w:r>
          </w:p>
        </w:tc>
      </w:tr>
      <w:tr w:rsidR="00BD19D0" w:rsidRPr="00254F46" w:rsidTr="000C06D3">
        <w:trPr>
          <w:jc w:val="center"/>
        </w:trPr>
        <w:tc>
          <w:tcPr>
            <w:tcW w:w="1633" w:type="dxa"/>
          </w:tcPr>
          <w:p w:rsidR="00BD19D0" w:rsidRPr="00A05229" w:rsidRDefault="00BD19D0" w:rsidP="00635C2E">
            <w:pPr>
              <w:pStyle w:val="DQIRowHeadings"/>
            </w:pPr>
            <w:r w:rsidRPr="00A05229">
              <w:t>Interpretability</w:t>
            </w:r>
          </w:p>
        </w:tc>
        <w:tc>
          <w:tcPr>
            <w:tcW w:w="7187" w:type="dxa"/>
          </w:tcPr>
          <w:p w:rsidR="00BD19D0" w:rsidRDefault="00BD19D0" w:rsidP="00635C2E">
            <w:pPr>
              <w:pStyle w:val="DQITableText"/>
            </w:pPr>
            <w:r>
              <w:t xml:space="preserve">Copies of the complete </w:t>
            </w:r>
            <w:proofErr w:type="spellStart"/>
            <w:r>
              <w:t>AFAC</w:t>
            </w:r>
            <w:proofErr w:type="spellEnd"/>
            <w:r>
              <w:t xml:space="preserve"> AIRS data standard are available upon request through </w:t>
            </w:r>
            <w:proofErr w:type="spellStart"/>
            <w:r>
              <w:t>AFAC</w:t>
            </w:r>
            <w:proofErr w:type="spellEnd"/>
            <w:r>
              <w:t xml:space="preserve">. </w:t>
            </w:r>
          </w:p>
          <w:p w:rsidR="00BD19D0" w:rsidRDefault="00BD19D0" w:rsidP="00635C2E">
            <w:pPr>
              <w:pStyle w:val="DQITableText"/>
            </w:pPr>
            <w:r>
              <w:t xml:space="preserve">The </w:t>
            </w:r>
            <w:proofErr w:type="spellStart"/>
            <w:r>
              <w:t>AFAC</w:t>
            </w:r>
            <w:proofErr w:type="spellEnd"/>
            <w:r>
              <w:t xml:space="preserve"> knowledge web provides links to a range of related statistics to enable a better understanding of how interrelationships between socio</w:t>
            </w:r>
            <w:r>
              <w:noBreakHyphen/>
              <w:t>demographic, economic, geographic and environmental factors influence emergency incidents.</w:t>
            </w:r>
          </w:p>
          <w:p w:rsidR="00BD19D0" w:rsidRPr="006C2C6E" w:rsidRDefault="00BD19D0" w:rsidP="00635C2E">
            <w:pPr>
              <w:pStyle w:val="DQITableText"/>
            </w:pPr>
            <w:r w:rsidRPr="0077499F">
              <w:t>Text caveats and chapter footnotes provide additional commentary on data quality, as do the footnotes in the relevant attachment tables.</w:t>
            </w:r>
          </w:p>
        </w:tc>
      </w:tr>
      <w:tr w:rsidR="00BD19D0" w:rsidRPr="00254F46" w:rsidTr="00E36D6E">
        <w:trPr>
          <w:jc w:val="center"/>
        </w:trPr>
        <w:tc>
          <w:tcPr>
            <w:tcW w:w="8820" w:type="dxa"/>
            <w:gridSpan w:val="2"/>
          </w:tcPr>
          <w:p w:rsidR="00BD19D0" w:rsidRPr="00CE3D86" w:rsidRDefault="00BD19D0" w:rsidP="00635C2E">
            <w:pPr>
              <w:pStyle w:val="DQIMainRowHeadings"/>
            </w:pPr>
            <w:r w:rsidRPr="00C744E0">
              <w:t>Data Gaps/Issues Analysis</w:t>
            </w:r>
          </w:p>
        </w:tc>
      </w:tr>
      <w:tr w:rsidR="00BD19D0" w:rsidRPr="004F3342" w:rsidTr="00E36D6E">
        <w:trPr>
          <w:jc w:val="center"/>
        </w:trPr>
        <w:tc>
          <w:tcPr>
            <w:tcW w:w="1633" w:type="dxa"/>
          </w:tcPr>
          <w:p w:rsidR="00BD19D0" w:rsidRPr="00A05229" w:rsidRDefault="00BD19D0" w:rsidP="00635C2E">
            <w:pPr>
              <w:pStyle w:val="DQIRowHeadings"/>
            </w:pPr>
            <w:r w:rsidRPr="00A05229">
              <w:t>Key data gaps/issues</w:t>
            </w:r>
          </w:p>
        </w:tc>
        <w:tc>
          <w:tcPr>
            <w:tcW w:w="7187" w:type="dxa"/>
          </w:tcPr>
          <w:p w:rsidR="00BD19D0" w:rsidRPr="0077499F" w:rsidRDefault="00BD19D0" w:rsidP="00635C2E">
            <w:pPr>
              <w:pStyle w:val="DQITableText"/>
            </w:pPr>
            <w:r w:rsidRPr="0077499F">
              <w:t xml:space="preserve">The Steering Committee notes the following key data gaps/issues: </w:t>
            </w:r>
          </w:p>
          <w:p w:rsidR="00BD19D0" w:rsidRPr="0077499F" w:rsidRDefault="00BD19D0" w:rsidP="00635C2E">
            <w:pPr>
              <w:pStyle w:val="DQITableBullet"/>
            </w:pPr>
            <w:r w:rsidRPr="0077499F">
              <w:t>Response times are identified on the three point comparability scale as</w:t>
            </w:r>
            <w:r>
              <w:t xml:space="preserve"> ‘n</w:t>
            </w:r>
            <w:r w:rsidRPr="0077499F">
              <w:t>ot complete or not directly comparable</w:t>
            </w:r>
            <w:r>
              <w:t>’</w:t>
            </w:r>
            <w:r w:rsidRPr="0077499F">
              <w:t>.</w:t>
            </w:r>
          </w:p>
          <w:p w:rsidR="00BD19D0" w:rsidRDefault="00BD19D0" w:rsidP="00635C2E">
            <w:pPr>
              <w:pStyle w:val="DQITableBullet"/>
            </w:pPr>
            <w:r w:rsidRPr="0077499F">
              <w:t>Text caveats note the need for response times to be ‘interpreted with caution because the data are not strictly co</w:t>
            </w:r>
            <w:r>
              <w:t>mparable across jurisdictions.’</w:t>
            </w:r>
          </w:p>
          <w:p w:rsidR="00BD19D0" w:rsidRPr="004F3342" w:rsidRDefault="00BD19D0" w:rsidP="00635C2E">
            <w:pPr>
              <w:pStyle w:val="DQITableText"/>
            </w:pPr>
            <w:r w:rsidRPr="0077499F">
              <w:t>A number of factors are identified as contributing to this lack of comparability, but without detailed analysis of such factors.</w:t>
            </w:r>
          </w:p>
        </w:tc>
      </w:tr>
      <w:bookmarkEnd w:id="48"/>
      <w:bookmarkEnd w:id="49"/>
      <w:bookmarkEnd w:id="50"/>
    </w:tbl>
    <w:p w:rsidR="00635C2E" w:rsidRDefault="00635C2E" w:rsidP="00635C2E">
      <w:pPr>
        <w:pStyle w:val="Box"/>
        <w:keepNext w:val="0"/>
      </w:pPr>
    </w:p>
    <w:p w:rsidR="00BD19D0" w:rsidRPr="00D166B4" w:rsidRDefault="00BD19D0" w:rsidP="00635C2E">
      <w:pPr>
        <w:pStyle w:val="Box"/>
        <w:keepNext w:val="0"/>
      </w:pPr>
      <w:r w:rsidRPr="00D166B4">
        <w:t>The following tables are a summary of each jurisdiction’s complianc</w:t>
      </w:r>
      <w:r w:rsidR="00D01377" w:rsidRPr="00D166B4">
        <w:t>e</w:t>
      </w:r>
      <w:r w:rsidRPr="00D166B4">
        <w:t xml:space="preserve"> in calculating the structure fires response time.</w:t>
      </w:r>
    </w:p>
    <w:p w:rsidR="00635C2E" w:rsidRDefault="00635C2E" w:rsidP="007511E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654"/>
      </w:tblGrid>
      <w:tr w:rsidR="00635C2E" w:rsidTr="007511E6">
        <w:tc>
          <w:tcPr>
            <w:tcW w:w="8771" w:type="dxa"/>
            <w:tcBorders>
              <w:top w:val="single" w:sz="6" w:space="0" w:color="78A22F"/>
              <w:left w:val="nil"/>
              <w:bottom w:val="nil"/>
              <w:right w:val="nil"/>
            </w:tcBorders>
            <w:shd w:val="clear" w:color="auto" w:fill="auto"/>
          </w:tcPr>
          <w:p w:rsidR="00635C2E" w:rsidRPr="00784A05" w:rsidRDefault="00635C2E" w:rsidP="00635C2E">
            <w:pPr>
              <w:pStyle w:val="TableTitle"/>
            </w:pPr>
            <w:r>
              <w:rPr>
                <w:b w:val="0"/>
              </w:rPr>
              <w:t xml:space="preserve">Table </w:t>
            </w:r>
            <w:bookmarkStart w:id="51" w:name="OLE_LINK6"/>
            <w:r w:rsidR="00B560A0">
              <w:rPr>
                <w:b w:val="0"/>
                <w:noProof/>
              </w:rPr>
              <w:t>6</w:t>
            </w:r>
            <w:bookmarkEnd w:id="51"/>
            <w:r>
              <w:tab/>
            </w:r>
            <w:r w:rsidRPr="00E95DDF">
              <w:t>Res</w:t>
            </w:r>
            <w:r>
              <w:t>ponse time definition</w:t>
            </w:r>
          </w:p>
        </w:tc>
      </w:tr>
      <w:tr w:rsidR="00635C2E" w:rsidTr="007511E6">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539"/>
              <w:gridCol w:w="1536"/>
              <w:gridCol w:w="6295"/>
            </w:tblGrid>
            <w:tr w:rsidR="00635C2E" w:rsidTr="00D23248">
              <w:tc>
                <w:tcPr>
                  <w:tcW w:w="321" w:type="pct"/>
                  <w:tcBorders>
                    <w:top w:val="single" w:sz="6" w:space="0" w:color="BFBFBF" w:themeColor="background2"/>
                    <w:bottom w:val="single" w:sz="6" w:space="0" w:color="BFBFBF" w:themeColor="background2"/>
                  </w:tcBorders>
                </w:tcPr>
                <w:p w:rsidR="00635C2E" w:rsidRDefault="00635C2E" w:rsidP="00D23248">
                  <w:pPr>
                    <w:pStyle w:val="TableColumnHeading"/>
                    <w:ind w:left="0" w:right="0"/>
                    <w:jc w:val="left"/>
                  </w:pPr>
                </w:p>
              </w:tc>
              <w:tc>
                <w:tcPr>
                  <w:tcW w:w="918" w:type="pct"/>
                  <w:tcBorders>
                    <w:top w:val="single" w:sz="6" w:space="0" w:color="BFBFBF" w:themeColor="background2"/>
                    <w:bottom w:val="single" w:sz="6" w:space="0" w:color="BFBFBF" w:themeColor="background2"/>
                  </w:tcBorders>
                </w:tcPr>
                <w:p w:rsidR="00635C2E" w:rsidRPr="00D23248" w:rsidRDefault="00635C2E" w:rsidP="00D23248">
                  <w:pPr>
                    <w:pStyle w:val="DQIMainRowHeadings"/>
                    <w:spacing w:before="80" w:after="80"/>
                    <w:ind w:left="0" w:right="0"/>
                    <w:rPr>
                      <w:b w:val="0"/>
                      <w:i/>
                      <w:u w:val="none"/>
                    </w:rPr>
                  </w:pPr>
                  <w:r w:rsidRPr="00D23248">
                    <w:rPr>
                      <w:b w:val="0"/>
                      <w:i/>
                      <w:u w:val="none"/>
                    </w:rPr>
                    <w:t>Complies with definition</w:t>
                  </w:r>
                </w:p>
              </w:tc>
              <w:tc>
                <w:tcPr>
                  <w:tcW w:w="3760" w:type="pct"/>
                  <w:tcBorders>
                    <w:top w:val="single" w:sz="6" w:space="0" w:color="BFBFBF" w:themeColor="background2"/>
                    <w:bottom w:val="single" w:sz="6" w:space="0" w:color="BFBFBF" w:themeColor="background2"/>
                  </w:tcBorders>
                </w:tcPr>
                <w:p w:rsidR="00635C2E" w:rsidRPr="00D23248" w:rsidRDefault="00635C2E" w:rsidP="00D23248">
                  <w:pPr>
                    <w:pStyle w:val="DQIMainRowHeadings"/>
                    <w:spacing w:before="80" w:after="80"/>
                    <w:ind w:left="0" w:right="0"/>
                    <w:rPr>
                      <w:b w:val="0"/>
                      <w:i/>
                      <w:u w:val="none"/>
                    </w:rPr>
                  </w:pPr>
                  <w:r w:rsidRPr="00D23248">
                    <w:rPr>
                      <w:b w:val="0"/>
                      <w:i/>
                      <w:u w:val="none"/>
                    </w:rPr>
                    <w:t>Jurisdiction’s interpretation and/or application of definition that may impact on comparability</w:t>
                  </w:r>
                </w:p>
              </w:tc>
            </w:tr>
            <w:tr w:rsidR="00635C2E" w:rsidTr="00D23248">
              <w:tc>
                <w:tcPr>
                  <w:tcW w:w="321" w:type="pct"/>
                  <w:tcBorders>
                    <w:top w:val="single" w:sz="6" w:space="0" w:color="BFBFBF" w:themeColor="background2"/>
                  </w:tcBorders>
                </w:tcPr>
                <w:p w:rsidR="00635C2E" w:rsidRDefault="00635C2E" w:rsidP="002B4E1B">
                  <w:pPr>
                    <w:pStyle w:val="DQIRowHeadings"/>
                    <w:spacing w:before="80" w:after="80"/>
                  </w:pPr>
                  <w:r>
                    <w:t>NSW</w:t>
                  </w:r>
                </w:p>
              </w:tc>
              <w:tc>
                <w:tcPr>
                  <w:tcW w:w="918" w:type="pct"/>
                  <w:tcBorders>
                    <w:top w:val="single" w:sz="6" w:space="0" w:color="BFBFBF" w:themeColor="background2"/>
                  </w:tcBorders>
                </w:tcPr>
                <w:p w:rsidR="00635C2E" w:rsidRDefault="00635C2E" w:rsidP="002B4E1B">
                  <w:pPr>
                    <w:pStyle w:val="DQITableText"/>
                    <w:spacing w:before="80" w:after="80"/>
                    <w:jc w:val="left"/>
                  </w:pPr>
                  <w:r>
                    <w:t>Yes (</w:t>
                  </w:r>
                  <w:proofErr w:type="spellStart"/>
                  <w:r w:rsidRPr="00C227A5">
                    <w:t>FRNSW</w:t>
                  </w:r>
                  <w:proofErr w:type="spellEnd"/>
                  <w:r>
                    <w:t>)</w:t>
                  </w:r>
                  <w:r>
                    <w:br/>
                    <w:t>No (</w:t>
                  </w:r>
                  <w:proofErr w:type="spellStart"/>
                  <w:r>
                    <w:t>NSWRFS</w:t>
                  </w:r>
                  <w:proofErr w:type="spellEnd"/>
                  <w:r>
                    <w:t>)</w:t>
                  </w:r>
                </w:p>
              </w:tc>
              <w:tc>
                <w:tcPr>
                  <w:tcW w:w="3760" w:type="pct"/>
                  <w:tcBorders>
                    <w:top w:val="single" w:sz="6" w:space="0" w:color="BFBFBF" w:themeColor="background2"/>
                  </w:tcBorders>
                </w:tcPr>
                <w:p w:rsidR="00635C2E" w:rsidRDefault="00635C2E" w:rsidP="002B4E1B">
                  <w:pPr>
                    <w:pStyle w:val="DQITableText"/>
                    <w:spacing w:before="80" w:after="80"/>
                  </w:pPr>
                  <w:r>
                    <w:t>The NSW Rural Fire Service (</w:t>
                  </w:r>
                  <w:proofErr w:type="spellStart"/>
                  <w:r>
                    <w:t>NSWRFS</w:t>
                  </w:r>
                  <w:proofErr w:type="spellEnd"/>
                  <w:r>
                    <w:t xml:space="preserve">) does not capture the ‘Call taking time’ data to calculate </w:t>
                  </w:r>
                  <w:r w:rsidRPr="00D47E12">
                    <w:t xml:space="preserve">Response times to structure fires </w:t>
                  </w:r>
                  <w:r w:rsidRPr="00D47E12">
                    <w:rPr>
                      <w:i/>
                    </w:rPr>
                    <w:t xml:space="preserve">(including </w:t>
                  </w:r>
                  <w:r>
                    <w:rPr>
                      <w:i/>
                    </w:rPr>
                    <w:t>call taking</w:t>
                  </w:r>
                  <w:r w:rsidRPr="00D47E12">
                    <w:rPr>
                      <w:i/>
                    </w:rPr>
                    <w:t xml:space="preserve"> time)</w:t>
                  </w:r>
                  <w:r>
                    <w:t>.</w:t>
                  </w:r>
                </w:p>
              </w:tc>
            </w:tr>
            <w:tr w:rsidR="00635C2E" w:rsidTr="00D23248">
              <w:tc>
                <w:tcPr>
                  <w:tcW w:w="321" w:type="pct"/>
                </w:tcPr>
                <w:p w:rsidR="00635C2E" w:rsidRDefault="00635C2E" w:rsidP="00915EF3">
                  <w:pPr>
                    <w:pStyle w:val="DQIRowHeadings"/>
                    <w:spacing w:before="40" w:after="80"/>
                  </w:pPr>
                  <w:r>
                    <w:t>Vic</w:t>
                  </w:r>
                </w:p>
              </w:tc>
              <w:tc>
                <w:tcPr>
                  <w:tcW w:w="918" w:type="pct"/>
                </w:tcPr>
                <w:p w:rsidR="00635C2E" w:rsidRDefault="00635C2E" w:rsidP="00915EF3">
                  <w:pPr>
                    <w:pStyle w:val="DQITableText"/>
                    <w:spacing w:before="40" w:after="80"/>
                  </w:pPr>
                  <w:r>
                    <w:t xml:space="preserve">Yes </w:t>
                  </w:r>
                </w:p>
              </w:tc>
              <w:tc>
                <w:tcPr>
                  <w:tcW w:w="3760" w:type="pct"/>
                </w:tcPr>
                <w:p w:rsidR="00635C2E" w:rsidRDefault="00635C2E" w:rsidP="00915EF3">
                  <w:pPr>
                    <w:pStyle w:val="DQITableText"/>
                    <w:spacing w:before="40" w:after="80"/>
                  </w:pPr>
                  <w:r>
                    <w:t>Response times are calculated from the time the Emergency Services Telecommunications Authority (</w:t>
                  </w:r>
                  <w:proofErr w:type="spellStart"/>
                  <w:r>
                    <w:t>ESTA</w:t>
                  </w:r>
                  <w:proofErr w:type="spellEnd"/>
                  <w:r>
                    <w:t>) creates an event for the emergency call to arrival of the first appliance on scene.</w:t>
                  </w:r>
                </w:p>
              </w:tc>
            </w:tr>
            <w:tr w:rsidR="00635C2E" w:rsidTr="00D23248">
              <w:tc>
                <w:tcPr>
                  <w:tcW w:w="321" w:type="pct"/>
                </w:tcPr>
                <w:p w:rsidR="00635C2E" w:rsidRDefault="00635C2E" w:rsidP="00915EF3">
                  <w:pPr>
                    <w:pStyle w:val="DQIRowHeadings"/>
                    <w:spacing w:before="40" w:after="80"/>
                  </w:pPr>
                  <w:r>
                    <w:t>Qld</w:t>
                  </w:r>
                </w:p>
              </w:tc>
              <w:tc>
                <w:tcPr>
                  <w:tcW w:w="918" w:type="pct"/>
                </w:tcPr>
                <w:p w:rsidR="00635C2E" w:rsidRDefault="00635C2E" w:rsidP="00915EF3">
                  <w:pPr>
                    <w:pStyle w:val="DQITableText"/>
                    <w:spacing w:before="40" w:after="80"/>
                  </w:pPr>
                  <w:r>
                    <w:t>No</w:t>
                  </w:r>
                </w:p>
              </w:tc>
              <w:tc>
                <w:tcPr>
                  <w:tcW w:w="3760" w:type="pct"/>
                </w:tcPr>
                <w:p w:rsidR="00635C2E" w:rsidRDefault="00635C2E" w:rsidP="00915EF3">
                  <w:pPr>
                    <w:pStyle w:val="DQITableText"/>
                    <w:spacing w:before="40" w:after="80"/>
                  </w:pPr>
                  <w:r w:rsidRPr="008816EA">
                    <w:t>Response time for Q</w:t>
                  </w:r>
                  <w:r>
                    <w:t>ueensland</w:t>
                  </w:r>
                  <w:r w:rsidRPr="008816EA">
                    <w:t xml:space="preserve"> applies the following additional parameters</w:t>
                  </w:r>
                  <w:r>
                    <w:t xml:space="preserve">: </w:t>
                  </w:r>
                </w:p>
                <w:p w:rsidR="00635C2E" w:rsidRDefault="00635C2E" w:rsidP="00915EF3">
                  <w:pPr>
                    <w:pStyle w:val="DQITableBullet"/>
                    <w:spacing w:after="80"/>
                    <w:ind w:firstLine="0"/>
                  </w:pPr>
                  <w:r>
                    <w:t xml:space="preserve">Exclude calls where </w:t>
                  </w:r>
                  <w:proofErr w:type="spellStart"/>
                  <w:r>
                    <w:t>A37</w:t>
                  </w:r>
                  <w:proofErr w:type="spellEnd"/>
                  <w:r>
                    <w:t xml:space="preserve"> Delayed Arrival code is 71 (Severe weather conditions), 91 (Initial response by other agency).</w:t>
                  </w:r>
                </w:p>
                <w:p w:rsidR="00635C2E" w:rsidRDefault="00635C2E" w:rsidP="00915EF3">
                  <w:pPr>
                    <w:pStyle w:val="DQITableBullet"/>
                    <w:spacing w:after="80"/>
                    <w:ind w:firstLine="0"/>
                  </w:pPr>
                  <w:r>
                    <w:t>Incident must be within the urban levy boundary.</w:t>
                  </w:r>
                </w:p>
                <w:p w:rsidR="00635C2E" w:rsidRDefault="00635C2E" w:rsidP="00915EF3">
                  <w:pPr>
                    <w:pStyle w:val="DQITableBullet"/>
                    <w:spacing w:after="80"/>
                    <w:ind w:firstLine="0"/>
                  </w:pPr>
                  <w:r>
                    <w:t>Alarm time is not at the point of call pickup but at the time the incident is placed in the waiting queue (waiting assignment to a crew) and deemed an actual incident.</w:t>
                  </w:r>
                </w:p>
              </w:tc>
            </w:tr>
            <w:tr w:rsidR="00635C2E" w:rsidTr="00D23248">
              <w:tc>
                <w:tcPr>
                  <w:tcW w:w="321" w:type="pct"/>
                </w:tcPr>
                <w:p w:rsidR="00635C2E" w:rsidRDefault="00635C2E" w:rsidP="00915EF3">
                  <w:pPr>
                    <w:pStyle w:val="DQIRowHeadings"/>
                    <w:spacing w:before="40" w:after="80"/>
                  </w:pPr>
                  <w:r>
                    <w:t>WA</w:t>
                  </w:r>
                </w:p>
              </w:tc>
              <w:tc>
                <w:tcPr>
                  <w:tcW w:w="918" w:type="pct"/>
                </w:tcPr>
                <w:p w:rsidR="00635C2E" w:rsidRDefault="00635C2E" w:rsidP="00915EF3">
                  <w:pPr>
                    <w:pStyle w:val="DQITableText"/>
                    <w:spacing w:before="40" w:after="80"/>
                  </w:pPr>
                  <w:r>
                    <w:t>Yes</w:t>
                  </w:r>
                </w:p>
              </w:tc>
              <w:tc>
                <w:tcPr>
                  <w:tcW w:w="3760" w:type="pct"/>
                </w:tcPr>
                <w:p w:rsidR="00635C2E" w:rsidRDefault="00635C2E" w:rsidP="00915EF3">
                  <w:pPr>
                    <w:pStyle w:val="DQITableText"/>
                    <w:spacing w:before="40" w:after="80"/>
                  </w:pPr>
                  <w:r>
                    <w:t xml:space="preserve">.. </w:t>
                  </w:r>
                </w:p>
              </w:tc>
            </w:tr>
            <w:tr w:rsidR="00635C2E" w:rsidTr="00D23248">
              <w:tc>
                <w:tcPr>
                  <w:tcW w:w="321" w:type="pct"/>
                </w:tcPr>
                <w:p w:rsidR="00635C2E" w:rsidRDefault="00635C2E" w:rsidP="00915EF3">
                  <w:pPr>
                    <w:pStyle w:val="DQIRowHeadings"/>
                    <w:spacing w:before="40" w:after="80"/>
                  </w:pPr>
                  <w:r>
                    <w:t>SA</w:t>
                  </w:r>
                </w:p>
              </w:tc>
              <w:tc>
                <w:tcPr>
                  <w:tcW w:w="918" w:type="pct"/>
                </w:tcPr>
                <w:p w:rsidR="00635C2E" w:rsidRDefault="00635C2E" w:rsidP="00915EF3">
                  <w:pPr>
                    <w:pStyle w:val="DQITableText"/>
                    <w:spacing w:before="40" w:after="80"/>
                  </w:pPr>
                  <w:r>
                    <w:t>No</w:t>
                  </w:r>
                </w:p>
              </w:tc>
              <w:tc>
                <w:tcPr>
                  <w:tcW w:w="3760" w:type="pct"/>
                </w:tcPr>
                <w:p w:rsidR="00635C2E" w:rsidRPr="00DB23B2" w:rsidRDefault="00635C2E" w:rsidP="00915EF3">
                  <w:pPr>
                    <w:pStyle w:val="DQITableText"/>
                    <w:spacing w:before="40" w:after="80"/>
                  </w:pPr>
                  <w:r>
                    <w:t xml:space="preserve">SA </w:t>
                  </w:r>
                  <w:r w:rsidRPr="00DB23B2">
                    <w:t>does not capture the ‘</w:t>
                  </w:r>
                  <w:r>
                    <w:t>Call taking</w:t>
                  </w:r>
                  <w:r w:rsidRPr="00DB23B2">
                    <w:t xml:space="preserve"> time’ data to calculate Response times to structure fires </w:t>
                  </w:r>
                  <w:r w:rsidRPr="00F648B6">
                    <w:t>(</w:t>
                  </w:r>
                  <w:r w:rsidRPr="00F648B6">
                    <w:rPr>
                      <w:i/>
                    </w:rPr>
                    <w:t xml:space="preserve">including </w:t>
                  </w:r>
                  <w:r>
                    <w:rPr>
                      <w:i/>
                    </w:rPr>
                    <w:t>call taking</w:t>
                  </w:r>
                  <w:r w:rsidRPr="00F648B6">
                    <w:rPr>
                      <w:i/>
                    </w:rPr>
                    <w:t xml:space="preserve"> time</w:t>
                  </w:r>
                  <w:r w:rsidRPr="00DB23B2">
                    <w:t>).</w:t>
                  </w:r>
                </w:p>
              </w:tc>
            </w:tr>
            <w:tr w:rsidR="00635C2E" w:rsidTr="00D23248">
              <w:tc>
                <w:tcPr>
                  <w:tcW w:w="321" w:type="pct"/>
                </w:tcPr>
                <w:p w:rsidR="00635C2E" w:rsidRDefault="00635C2E" w:rsidP="00915EF3">
                  <w:pPr>
                    <w:pStyle w:val="DQIRowHeadings"/>
                    <w:spacing w:before="40" w:after="80"/>
                  </w:pPr>
                  <w:proofErr w:type="spellStart"/>
                  <w:r>
                    <w:t>Tas</w:t>
                  </w:r>
                  <w:proofErr w:type="spellEnd"/>
                </w:p>
              </w:tc>
              <w:tc>
                <w:tcPr>
                  <w:tcW w:w="918" w:type="pct"/>
                </w:tcPr>
                <w:p w:rsidR="00635C2E" w:rsidRDefault="00635C2E" w:rsidP="00915EF3">
                  <w:pPr>
                    <w:pStyle w:val="DQITableText"/>
                    <w:spacing w:before="40" w:after="80"/>
                  </w:pPr>
                  <w:r>
                    <w:t>Yes</w:t>
                  </w:r>
                </w:p>
              </w:tc>
              <w:tc>
                <w:tcPr>
                  <w:tcW w:w="3760" w:type="pct"/>
                </w:tcPr>
                <w:p w:rsidR="00635C2E" w:rsidRDefault="00635C2E" w:rsidP="00915EF3">
                  <w:pPr>
                    <w:pStyle w:val="DQITableText"/>
                    <w:spacing w:before="40" w:after="80"/>
                  </w:pPr>
                  <w:r>
                    <w:t>..</w:t>
                  </w:r>
                </w:p>
              </w:tc>
            </w:tr>
            <w:tr w:rsidR="00635C2E" w:rsidTr="00D23248">
              <w:tc>
                <w:tcPr>
                  <w:tcW w:w="321" w:type="pct"/>
                </w:tcPr>
                <w:p w:rsidR="00635C2E" w:rsidRPr="00436941" w:rsidRDefault="00635C2E" w:rsidP="00915EF3">
                  <w:pPr>
                    <w:pStyle w:val="DQIRowHeadings"/>
                    <w:spacing w:before="40" w:after="80"/>
                  </w:pPr>
                  <w:r w:rsidRPr="00436941">
                    <w:t>ACT</w:t>
                  </w:r>
                </w:p>
              </w:tc>
              <w:tc>
                <w:tcPr>
                  <w:tcW w:w="918" w:type="pct"/>
                </w:tcPr>
                <w:p w:rsidR="00635C2E" w:rsidRPr="00436941" w:rsidRDefault="00635C2E" w:rsidP="00915EF3">
                  <w:pPr>
                    <w:pStyle w:val="DQITableText"/>
                    <w:spacing w:before="40" w:after="80"/>
                  </w:pPr>
                  <w:r w:rsidRPr="00436941">
                    <w:t>Yes</w:t>
                  </w:r>
                </w:p>
              </w:tc>
              <w:tc>
                <w:tcPr>
                  <w:tcW w:w="3760" w:type="pct"/>
                </w:tcPr>
                <w:p w:rsidR="00635C2E" w:rsidRDefault="00635C2E" w:rsidP="00915EF3">
                  <w:pPr>
                    <w:pStyle w:val="DQITableText"/>
                    <w:spacing w:before="40" w:after="80"/>
                  </w:pPr>
                  <w:r w:rsidRPr="00436941">
                    <w:t>Up until and including the 2009</w:t>
                  </w:r>
                  <w:r>
                    <w:t>–</w:t>
                  </w:r>
                  <w:r w:rsidRPr="00436941">
                    <w:t xml:space="preserve">2010 data the </w:t>
                  </w:r>
                  <w:proofErr w:type="spellStart"/>
                  <w:r w:rsidRPr="00436941">
                    <w:t>ACTFB’s</w:t>
                  </w:r>
                  <w:proofErr w:type="spellEnd"/>
                  <w:r w:rsidRPr="00436941">
                    <w:t xml:space="preserve"> response times had been calculated from dispatch to arrival. This was an error in the data extraction programming and has been rectified for the 2010</w:t>
                  </w:r>
                  <w:r>
                    <w:t>–</w:t>
                  </w:r>
                  <w:r w:rsidRPr="00436941">
                    <w:t xml:space="preserve">2011 year to reflect the </w:t>
                  </w:r>
                  <w:proofErr w:type="spellStart"/>
                  <w:r w:rsidR="007F6100">
                    <w:t>RoGS</w:t>
                  </w:r>
                  <w:proofErr w:type="spellEnd"/>
                  <w:r w:rsidRPr="00436941">
                    <w:t xml:space="preserve"> definition.</w:t>
                  </w:r>
                </w:p>
              </w:tc>
            </w:tr>
            <w:tr w:rsidR="00635C2E" w:rsidTr="00D23248">
              <w:tc>
                <w:tcPr>
                  <w:tcW w:w="321" w:type="pct"/>
                  <w:tcBorders>
                    <w:bottom w:val="single" w:sz="6" w:space="0" w:color="BFBFBF" w:themeColor="background2"/>
                  </w:tcBorders>
                  <w:shd w:val="clear" w:color="auto" w:fill="auto"/>
                </w:tcPr>
                <w:p w:rsidR="00635C2E" w:rsidRDefault="00635C2E" w:rsidP="00915EF3">
                  <w:pPr>
                    <w:pStyle w:val="DQIRowHeadings"/>
                    <w:spacing w:before="40" w:after="80"/>
                  </w:pPr>
                  <w:r>
                    <w:t>NT</w:t>
                  </w:r>
                </w:p>
              </w:tc>
              <w:tc>
                <w:tcPr>
                  <w:tcW w:w="918" w:type="pct"/>
                  <w:tcBorders>
                    <w:bottom w:val="single" w:sz="6" w:space="0" w:color="BFBFBF" w:themeColor="background2"/>
                  </w:tcBorders>
                  <w:shd w:val="clear" w:color="auto" w:fill="auto"/>
                </w:tcPr>
                <w:p w:rsidR="00635C2E" w:rsidRDefault="00635C2E" w:rsidP="00915EF3">
                  <w:pPr>
                    <w:pStyle w:val="DQITableText"/>
                    <w:spacing w:before="40" w:after="80"/>
                  </w:pPr>
                  <w:r>
                    <w:t>Yes</w:t>
                  </w:r>
                </w:p>
              </w:tc>
              <w:tc>
                <w:tcPr>
                  <w:tcW w:w="3760" w:type="pct"/>
                  <w:tcBorders>
                    <w:bottom w:val="single" w:sz="6" w:space="0" w:color="BFBFBF" w:themeColor="background2"/>
                  </w:tcBorders>
                  <w:shd w:val="clear" w:color="auto" w:fill="auto"/>
                </w:tcPr>
                <w:p w:rsidR="00635C2E" w:rsidRDefault="00635C2E" w:rsidP="00915EF3">
                  <w:pPr>
                    <w:pStyle w:val="DQITableText"/>
                    <w:spacing w:before="40" w:after="80"/>
                  </w:pPr>
                  <w:r>
                    <w:t>..</w:t>
                  </w:r>
                  <w:r w:rsidDel="00DB23B2">
                    <w:t xml:space="preserve"> </w:t>
                  </w:r>
                </w:p>
              </w:tc>
            </w:tr>
          </w:tbl>
          <w:p w:rsidR="00635C2E" w:rsidRDefault="00635C2E" w:rsidP="007511E6">
            <w:pPr>
              <w:pStyle w:val="Box"/>
            </w:pPr>
          </w:p>
        </w:tc>
      </w:tr>
      <w:tr w:rsidR="009B76BC" w:rsidTr="00EF3552">
        <w:trPr>
          <w:cantSplit/>
        </w:trPr>
        <w:tc>
          <w:tcPr>
            <w:tcW w:w="8771" w:type="dxa"/>
            <w:tcBorders>
              <w:top w:val="nil"/>
              <w:left w:val="nil"/>
              <w:bottom w:val="nil"/>
              <w:right w:val="nil"/>
            </w:tcBorders>
            <w:shd w:val="clear" w:color="auto" w:fill="auto"/>
          </w:tcPr>
          <w:p w:rsidR="009B76BC" w:rsidRPr="00521B8E" w:rsidRDefault="009B76BC" w:rsidP="009B76BC">
            <w:pPr>
              <w:pStyle w:val="Note"/>
              <w:rPr>
                <w:b/>
              </w:rPr>
            </w:pPr>
            <w:r w:rsidRPr="009B76BC">
              <w:t>..</w:t>
            </w:r>
            <w:r w:rsidRPr="00521B8E">
              <w:rPr>
                <w:b/>
              </w:rPr>
              <w:t xml:space="preserve"> </w:t>
            </w:r>
            <w:r w:rsidRPr="00521B8E">
              <w:t>Not a</w:t>
            </w:r>
            <w:r>
              <w:t>pplicable</w:t>
            </w:r>
            <w:r w:rsidRPr="00521B8E">
              <w:t>.</w:t>
            </w:r>
          </w:p>
        </w:tc>
      </w:tr>
      <w:tr w:rsidR="00635C2E" w:rsidTr="007511E6">
        <w:trPr>
          <w:cantSplit/>
        </w:trPr>
        <w:tc>
          <w:tcPr>
            <w:tcW w:w="8771" w:type="dxa"/>
            <w:tcBorders>
              <w:top w:val="nil"/>
              <w:left w:val="nil"/>
              <w:bottom w:val="nil"/>
              <w:right w:val="nil"/>
            </w:tcBorders>
            <w:shd w:val="clear" w:color="auto" w:fill="auto"/>
          </w:tcPr>
          <w:p w:rsidR="00635C2E" w:rsidRDefault="00635C2E" w:rsidP="00635C2E">
            <w:pPr>
              <w:pStyle w:val="Source"/>
              <w:keepNext/>
            </w:pPr>
            <w:r>
              <w:rPr>
                <w:i/>
              </w:rPr>
              <w:t>Source</w:t>
            </w:r>
            <w:r>
              <w:t>: State and Territory governments.</w:t>
            </w:r>
          </w:p>
        </w:tc>
      </w:tr>
      <w:tr w:rsidR="00635C2E" w:rsidTr="007511E6">
        <w:trPr>
          <w:cantSplit/>
        </w:trPr>
        <w:tc>
          <w:tcPr>
            <w:tcW w:w="8771" w:type="dxa"/>
            <w:tcBorders>
              <w:top w:val="nil"/>
              <w:left w:val="nil"/>
              <w:bottom w:val="single" w:sz="6" w:space="0" w:color="78A22F"/>
              <w:right w:val="nil"/>
            </w:tcBorders>
            <w:shd w:val="clear" w:color="auto" w:fill="auto"/>
          </w:tcPr>
          <w:p w:rsidR="00635C2E" w:rsidRDefault="00635C2E" w:rsidP="007511E6">
            <w:pPr>
              <w:pStyle w:val="Box"/>
              <w:spacing w:before="0" w:line="120" w:lineRule="exact"/>
            </w:pPr>
          </w:p>
        </w:tc>
      </w:tr>
      <w:tr w:rsidR="00635C2E" w:rsidRPr="000863A5" w:rsidTr="007511E6">
        <w:tc>
          <w:tcPr>
            <w:tcW w:w="8771" w:type="dxa"/>
            <w:tcBorders>
              <w:top w:val="single" w:sz="6" w:space="0" w:color="78A22F"/>
              <w:left w:val="nil"/>
              <w:bottom w:val="nil"/>
              <w:right w:val="nil"/>
            </w:tcBorders>
          </w:tcPr>
          <w:p w:rsidR="00635C2E" w:rsidRPr="00626D32" w:rsidRDefault="00635C2E" w:rsidP="007511E6">
            <w:pPr>
              <w:pStyle w:val="BoxSpaceBelow"/>
            </w:pPr>
          </w:p>
        </w:tc>
      </w:tr>
    </w:tbl>
    <w:p w:rsidR="00BD19D0" w:rsidRDefault="00BD19D0" w:rsidP="00BD19D0">
      <w:pPr>
        <w:pStyle w:val="BodyText"/>
      </w:pPr>
    </w:p>
    <w:p w:rsidR="00635C2E" w:rsidRDefault="00635C2E" w:rsidP="00635C2E">
      <w:pPr>
        <w:pStyle w:val="BoxSpaceAbove"/>
      </w:pPr>
    </w:p>
    <w:tbl>
      <w:tblPr>
        <w:tblW w:w="8791"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91"/>
      </w:tblGrid>
      <w:tr w:rsidR="00635C2E" w:rsidTr="00083F5C">
        <w:tc>
          <w:tcPr>
            <w:tcW w:w="8791" w:type="dxa"/>
            <w:tcBorders>
              <w:top w:val="single" w:sz="6" w:space="0" w:color="78A22F"/>
              <w:left w:val="nil"/>
              <w:bottom w:val="nil"/>
              <w:right w:val="nil"/>
            </w:tcBorders>
            <w:shd w:val="clear" w:color="auto" w:fill="auto"/>
          </w:tcPr>
          <w:p w:rsidR="00635C2E" w:rsidRDefault="00635C2E" w:rsidP="00635C2E">
            <w:pPr>
              <w:pStyle w:val="TableTitle"/>
            </w:pPr>
            <w:r>
              <w:rPr>
                <w:b w:val="0"/>
              </w:rPr>
              <w:t xml:space="preserve">Table </w:t>
            </w:r>
            <w:bookmarkStart w:id="52" w:name="OLE_LINK7"/>
            <w:r w:rsidR="00B560A0">
              <w:rPr>
                <w:b w:val="0"/>
                <w:noProof/>
              </w:rPr>
              <w:t>7</w:t>
            </w:r>
            <w:bookmarkEnd w:id="52"/>
            <w:r w:rsidRPr="00E90B9B">
              <w:rPr>
                <w:b w:val="0"/>
              </w:rPr>
              <w:tab/>
            </w:r>
            <w:r w:rsidRPr="008553B3">
              <w:t xml:space="preserve">Data collection and storage </w:t>
            </w:r>
          </w:p>
          <w:p w:rsidR="00635C2E" w:rsidRPr="00784A05" w:rsidRDefault="00635C2E" w:rsidP="00635C2E">
            <w:pPr>
              <w:pStyle w:val="Subtitle"/>
            </w:pPr>
            <w:r w:rsidRPr="005E2C23">
              <w:t>Computer Assisted Dispatch (C</w:t>
            </w:r>
            <w:r>
              <w:t>AD), manual or combined systems</w:t>
            </w:r>
          </w:p>
        </w:tc>
      </w:tr>
      <w:tr w:rsidR="00635C2E" w:rsidTr="00083F5C">
        <w:trPr>
          <w:cantSplit/>
        </w:trPr>
        <w:tc>
          <w:tcPr>
            <w:tcW w:w="8791" w:type="dxa"/>
            <w:tcBorders>
              <w:top w:val="nil"/>
              <w:left w:val="nil"/>
              <w:bottom w:val="nil"/>
              <w:right w:val="nil"/>
            </w:tcBorders>
            <w:shd w:val="clear" w:color="auto" w:fill="auto"/>
          </w:tcPr>
          <w:tbl>
            <w:tblPr>
              <w:tblW w:w="8483" w:type="dxa"/>
              <w:tblCellMar>
                <w:left w:w="113" w:type="dxa"/>
                <w:right w:w="57" w:type="dxa"/>
              </w:tblCellMar>
              <w:tblLook w:val="0000" w:firstRow="0" w:lastRow="0" w:firstColumn="0" w:lastColumn="0" w:noHBand="0" w:noVBand="0"/>
            </w:tblPr>
            <w:tblGrid>
              <w:gridCol w:w="709"/>
              <w:gridCol w:w="12"/>
              <w:gridCol w:w="1383"/>
              <w:gridCol w:w="3119"/>
              <w:gridCol w:w="3260"/>
            </w:tblGrid>
            <w:tr w:rsidR="00383A71" w:rsidTr="00083F5C">
              <w:tc>
                <w:tcPr>
                  <w:tcW w:w="709" w:type="dxa"/>
                  <w:tcBorders>
                    <w:top w:val="single" w:sz="6" w:space="0" w:color="BFBFBF" w:themeColor="background2"/>
                    <w:bottom w:val="single" w:sz="6" w:space="0" w:color="BFBFBF" w:themeColor="background2"/>
                  </w:tcBorders>
                  <w:shd w:val="clear" w:color="auto" w:fill="auto"/>
                </w:tcPr>
                <w:p w:rsidR="00383A71" w:rsidRPr="00083F5C" w:rsidRDefault="00383A71" w:rsidP="007511E6">
                  <w:pPr>
                    <w:pStyle w:val="TableColumnHeading"/>
                    <w:jc w:val="left"/>
                  </w:pPr>
                </w:p>
              </w:tc>
              <w:tc>
                <w:tcPr>
                  <w:tcW w:w="1395" w:type="dxa"/>
                  <w:gridSpan w:val="2"/>
                  <w:tcBorders>
                    <w:top w:val="single" w:sz="6" w:space="0" w:color="BFBFBF" w:themeColor="background2"/>
                    <w:bottom w:val="single" w:sz="6" w:space="0" w:color="BFBFBF" w:themeColor="background2"/>
                  </w:tcBorders>
                  <w:shd w:val="clear" w:color="auto" w:fill="auto"/>
                </w:tcPr>
                <w:p w:rsidR="00383A71" w:rsidRPr="00083F5C" w:rsidRDefault="00083F5C" w:rsidP="00083F5C">
                  <w:pPr>
                    <w:pStyle w:val="DQIMainRowHeadings"/>
                    <w:ind w:left="-113" w:right="0"/>
                    <w:rPr>
                      <w:b w:val="0"/>
                      <w:i/>
                      <w:u w:val="none"/>
                    </w:rPr>
                  </w:pPr>
                  <w:r>
                    <w:rPr>
                      <w:b w:val="0"/>
                      <w:i/>
                      <w:u w:val="none"/>
                    </w:rPr>
                    <w:br/>
                  </w:r>
                  <w:r w:rsidR="00383A71" w:rsidRPr="00083F5C">
                    <w:rPr>
                      <w:b w:val="0"/>
                      <w:i/>
                      <w:u w:val="none"/>
                    </w:rPr>
                    <w:t>System</w:t>
                  </w:r>
                </w:p>
              </w:tc>
              <w:tc>
                <w:tcPr>
                  <w:tcW w:w="3119" w:type="dxa"/>
                  <w:tcBorders>
                    <w:top w:val="single" w:sz="6" w:space="0" w:color="BFBFBF" w:themeColor="background2"/>
                    <w:bottom w:val="single" w:sz="6" w:space="0" w:color="BFBFBF" w:themeColor="background2"/>
                  </w:tcBorders>
                  <w:shd w:val="clear" w:color="auto" w:fill="auto"/>
                </w:tcPr>
                <w:p w:rsidR="00383A71" w:rsidRPr="00083F5C" w:rsidRDefault="00476D7B" w:rsidP="00083F5C">
                  <w:pPr>
                    <w:pStyle w:val="DQIMainRowHeadings"/>
                    <w:ind w:left="-113" w:right="0"/>
                    <w:rPr>
                      <w:b w:val="0"/>
                      <w:i/>
                      <w:u w:val="none"/>
                      <w:vertAlign w:val="superscript"/>
                    </w:rPr>
                  </w:pPr>
                  <w:r w:rsidRPr="00083F5C">
                    <w:rPr>
                      <w:b w:val="0"/>
                      <w:i/>
                      <w:u w:val="none"/>
                    </w:rPr>
                    <w:t xml:space="preserve">Proportion </w:t>
                  </w:r>
                  <w:r w:rsidR="00383A71" w:rsidRPr="00083F5C">
                    <w:rPr>
                      <w:b w:val="0"/>
                      <w:i/>
                      <w:u w:val="none"/>
                    </w:rPr>
                    <w:t xml:space="preserve">of response time data extracted from CAD </w:t>
                  </w:r>
                  <w:proofErr w:type="spellStart"/>
                  <w:r w:rsidR="00383A71" w:rsidRPr="00083F5C">
                    <w:rPr>
                      <w:b w:val="0"/>
                      <w:i/>
                      <w:u w:val="none"/>
                    </w:rPr>
                    <w:t>systems</w:t>
                  </w:r>
                  <w:r w:rsidR="001F5689" w:rsidRPr="00083F5C">
                    <w:rPr>
                      <w:b w:val="0"/>
                      <w:i/>
                      <w:u w:val="none"/>
                      <w:vertAlign w:val="superscript"/>
                    </w:rPr>
                    <w:t>a</w:t>
                  </w:r>
                  <w:proofErr w:type="spellEnd"/>
                </w:p>
              </w:tc>
              <w:tc>
                <w:tcPr>
                  <w:tcW w:w="3260" w:type="dxa"/>
                  <w:tcBorders>
                    <w:top w:val="single" w:sz="6" w:space="0" w:color="BFBFBF" w:themeColor="background2"/>
                    <w:bottom w:val="single" w:sz="6" w:space="0" w:color="BFBFBF" w:themeColor="background2"/>
                  </w:tcBorders>
                  <w:shd w:val="clear" w:color="auto" w:fill="auto"/>
                </w:tcPr>
                <w:p w:rsidR="00383A71" w:rsidRPr="00083F5C" w:rsidRDefault="00083F5C" w:rsidP="00083F5C">
                  <w:pPr>
                    <w:pStyle w:val="DQIMainRowHeadings"/>
                    <w:ind w:left="-113" w:right="0"/>
                    <w:rPr>
                      <w:b w:val="0"/>
                      <w:i/>
                      <w:u w:val="none"/>
                    </w:rPr>
                  </w:pPr>
                  <w:r>
                    <w:rPr>
                      <w:b w:val="0"/>
                      <w:i/>
                      <w:u w:val="none"/>
                    </w:rPr>
                    <w:br/>
                  </w:r>
                  <w:r w:rsidR="00383A71" w:rsidRPr="00083F5C">
                    <w:rPr>
                      <w:b w:val="0"/>
                      <w:i/>
                      <w:u w:val="none"/>
                    </w:rPr>
                    <w:t>Additional information</w:t>
                  </w:r>
                </w:p>
              </w:tc>
            </w:tr>
            <w:tr w:rsidR="00383A71" w:rsidTr="00083F5C">
              <w:tc>
                <w:tcPr>
                  <w:tcW w:w="709" w:type="dxa"/>
                  <w:tcBorders>
                    <w:top w:val="single" w:sz="6" w:space="0" w:color="BFBFBF" w:themeColor="background2"/>
                  </w:tcBorders>
                </w:tcPr>
                <w:p w:rsidR="00383A71" w:rsidRDefault="00383A71" w:rsidP="00024AE5">
                  <w:pPr>
                    <w:pStyle w:val="DQIRowHeadings"/>
                    <w:spacing w:before="60"/>
                    <w:ind w:left="-113" w:right="0"/>
                  </w:pPr>
                  <w:r>
                    <w:t>NSW</w:t>
                  </w:r>
                </w:p>
              </w:tc>
              <w:tc>
                <w:tcPr>
                  <w:tcW w:w="1395" w:type="dxa"/>
                  <w:gridSpan w:val="2"/>
                  <w:tcBorders>
                    <w:top w:val="single" w:sz="6" w:space="0" w:color="BFBFBF" w:themeColor="background2"/>
                  </w:tcBorders>
                </w:tcPr>
                <w:p w:rsidR="00383A71" w:rsidRDefault="00383A71" w:rsidP="00024AE5">
                  <w:pPr>
                    <w:pStyle w:val="DQITableText"/>
                    <w:spacing w:before="60"/>
                    <w:ind w:left="-113"/>
                    <w:jc w:val="left"/>
                  </w:pPr>
                  <w:r>
                    <w:t xml:space="preserve">Combination </w:t>
                  </w:r>
                  <w:r w:rsidR="00083F5C">
                    <w:br/>
                  </w:r>
                  <w:r>
                    <w:t xml:space="preserve">of manual and CAD systems. </w:t>
                  </w:r>
                </w:p>
              </w:tc>
              <w:tc>
                <w:tcPr>
                  <w:tcW w:w="3119" w:type="dxa"/>
                  <w:tcBorders>
                    <w:top w:val="single" w:sz="6" w:space="0" w:color="BFBFBF" w:themeColor="background2"/>
                  </w:tcBorders>
                </w:tcPr>
                <w:p w:rsidR="00383A71" w:rsidRDefault="00383A71" w:rsidP="00024AE5">
                  <w:pPr>
                    <w:pStyle w:val="DQITableText"/>
                    <w:spacing w:before="60"/>
                    <w:ind w:left="-113"/>
                    <w:jc w:val="left"/>
                  </w:pPr>
                  <w:r>
                    <w:t>89 per cent</w:t>
                  </w:r>
                </w:p>
              </w:tc>
              <w:tc>
                <w:tcPr>
                  <w:tcW w:w="3260" w:type="dxa"/>
                  <w:tcBorders>
                    <w:top w:val="single" w:sz="6" w:space="0" w:color="BFBFBF" w:themeColor="background2"/>
                  </w:tcBorders>
                </w:tcPr>
                <w:p w:rsidR="00383A71" w:rsidRDefault="00383A71" w:rsidP="00024AE5">
                  <w:pPr>
                    <w:pStyle w:val="DQITableText"/>
                    <w:spacing w:before="60"/>
                    <w:ind w:left="-113"/>
                    <w:jc w:val="left"/>
                  </w:pPr>
                  <w:r>
                    <w:t xml:space="preserve">The </w:t>
                  </w:r>
                  <w:r w:rsidRPr="00C227A5">
                    <w:t>Fire &amp; Rescue NSW (</w:t>
                  </w:r>
                  <w:proofErr w:type="spellStart"/>
                  <w:r w:rsidRPr="00C227A5">
                    <w:t>FRNSW</w:t>
                  </w:r>
                  <w:proofErr w:type="spellEnd"/>
                  <w:r w:rsidRPr="00C227A5">
                    <w:t>)</w:t>
                  </w:r>
                  <w:r>
                    <w:t xml:space="preserve"> collects response times using a CAD system. </w:t>
                  </w:r>
                </w:p>
                <w:p w:rsidR="00383A71" w:rsidRDefault="00383A71" w:rsidP="00024AE5">
                  <w:pPr>
                    <w:pStyle w:val="DQITableText"/>
                    <w:spacing w:before="60"/>
                    <w:ind w:left="-113"/>
                    <w:jc w:val="left"/>
                  </w:pPr>
                  <w:r>
                    <w:t xml:space="preserve">The </w:t>
                  </w:r>
                  <w:proofErr w:type="spellStart"/>
                  <w:r>
                    <w:t>NSWRFS</w:t>
                  </w:r>
                  <w:proofErr w:type="spellEnd"/>
                  <w:r>
                    <w:t xml:space="preserve"> collects response times using a manual system.</w:t>
                  </w:r>
                </w:p>
              </w:tc>
            </w:tr>
            <w:tr w:rsidR="00383A71" w:rsidTr="00083F5C">
              <w:tc>
                <w:tcPr>
                  <w:tcW w:w="721" w:type="dxa"/>
                  <w:gridSpan w:val="2"/>
                </w:tcPr>
                <w:p w:rsidR="00383A71" w:rsidRDefault="00383A71" w:rsidP="00024AE5">
                  <w:pPr>
                    <w:pStyle w:val="DQIRowHeadings"/>
                    <w:spacing w:before="60"/>
                    <w:ind w:left="-113" w:right="0"/>
                  </w:pPr>
                  <w:r>
                    <w:t>Vic</w:t>
                  </w:r>
                </w:p>
              </w:tc>
              <w:tc>
                <w:tcPr>
                  <w:tcW w:w="1383" w:type="dxa"/>
                </w:tcPr>
                <w:p w:rsidR="00383A71" w:rsidRDefault="00383A71" w:rsidP="00024AE5">
                  <w:pPr>
                    <w:pStyle w:val="DQITableText"/>
                    <w:spacing w:before="60"/>
                    <w:ind w:left="-113"/>
                    <w:jc w:val="left"/>
                  </w:pPr>
                  <w:r>
                    <w:t xml:space="preserve">Combination </w:t>
                  </w:r>
                  <w:r w:rsidR="00083F5C">
                    <w:br/>
                  </w:r>
                  <w:r>
                    <w:t>of manual and CAD systems.</w:t>
                  </w:r>
                </w:p>
              </w:tc>
              <w:tc>
                <w:tcPr>
                  <w:tcW w:w="3119" w:type="dxa"/>
                </w:tcPr>
                <w:p w:rsidR="00383A71" w:rsidRDefault="00383A71" w:rsidP="00024AE5">
                  <w:pPr>
                    <w:pStyle w:val="DQITableText"/>
                    <w:spacing w:before="60"/>
                    <w:ind w:left="-113"/>
                    <w:jc w:val="left"/>
                  </w:pPr>
                  <w:r>
                    <w:t>93 per cent</w:t>
                  </w:r>
                </w:p>
              </w:tc>
              <w:tc>
                <w:tcPr>
                  <w:tcW w:w="3260" w:type="dxa"/>
                </w:tcPr>
                <w:p w:rsidR="00383A71" w:rsidRDefault="00383A71" w:rsidP="00024AE5">
                  <w:pPr>
                    <w:pStyle w:val="DQITableText"/>
                    <w:spacing w:before="60"/>
                    <w:ind w:left="-113"/>
                    <w:jc w:val="left"/>
                  </w:pPr>
                  <w:r>
                    <w:t xml:space="preserve">The </w:t>
                  </w:r>
                  <w:proofErr w:type="spellStart"/>
                  <w:r>
                    <w:t>MFB</w:t>
                  </w:r>
                  <w:proofErr w:type="spellEnd"/>
                  <w:r>
                    <w:t xml:space="preserve"> collects response times using a CAD system.</w:t>
                  </w:r>
                  <w:r w:rsidDel="00E90B9B">
                    <w:t xml:space="preserve"> </w:t>
                  </w:r>
                </w:p>
                <w:p w:rsidR="00383A71" w:rsidRDefault="00383A71" w:rsidP="00024AE5">
                  <w:pPr>
                    <w:pStyle w:val="DQITableText"/>
                    <w:spacing w:before="60"/>
                    <w:ind w:left="-113"/>
                    <w:jc w:val="left"/>
                  </w:pPr>
                  <w:proofErr w:type="spellStart"/>
                  <w:r>
                    <w:t>CFA</w:t>
                  </w:r>
                  <w:proofErr w:type="spellEnd"/>
                  <w:r>
                    <w:t xml:space="preserve"> collects response times according to:</w:t>
                  </w:r>
                </w:p>
                <w:p w:rsidR="00383A71" w:rsidRDefault="00383A71" w:rsidP="00024AE5">
                  <w:pPr>
                    <w:pStyle w:val="DQITableBullet"/>
                    <w:spacing w:before="60"/>
                    <w:ind w:left="-113" w:right="0" w:firstLine="0"/>
                    <w:jc w:val="left"/>
                  </w:pPr>
                  <w:r>
                    <w:t xml:space="preserve">Category 1 Brigades (Full Radio Traffic) collect response times using a CAD system. </w:t>
                  </w:r>
                </w:p>
                <w:p w:rsidR="00383A71" w:rsidRDefault="00383A71" w:rsidP="00024AE5">
                  <w:pPr>
                    <w:pStyle w:val="DQITableBullet"/>
                    <w:spacing w:before="60"/>
                    <w:ind w:left="-113" w:right="0" w:firstLine="0"/>
                    <w:jc w:val="left"/>
                  </w:pPr>
                  <w:r>
                    <w:t>Other brigades collect response times using a manual system.</w:t>
                  </w:r>
                </w:p>
              </w:tc>
            </w:tr>
            <w:tr w:rsidR="00383A71" w:rsidTr="00083F5C">
              <w:tc>
                <w:tcPr>
                  <w:tcW w:w="709" w:type="dxa"/>
                </w:tcPr>
                <w:p w:rsidR="00383A71" w:rsidRDefault="00383A71" w:rsidP="00024AE5">
                  <w:pPr>
                    <w:pStyle w:val="DQIRowHeadings"/>
                    <w:spacing w:before="60"/>
                    <w:ind w:left="-113" w:right="0"/>
                  </w:pPr>
                  <w:r>
                    <w:t>Qld</w:t>
                  </w:r>
                </w:p>
              </w:tc>
              <w:tc>
                <w:tcPr>
                  <w:tcW w:w="1395" w:type="dxa"/>
                  <w:gridSpan w:val="2"/>
                </w:tcPr>
                <w:p w:rsidR="00383A71" w:rsidRDefault="00383A71" w:rsidP="00024AE5">
                  <w:pPr>
                    <w:pStyle w:val="DQITableText"/>
                    <w:spacing w:before="60"/>
                    <w:ind w:left="-113"/>
                    <w:jc w:val="left"/>
                  </w:pPr>
                  <w:r>
                    <w:t xml:space="preserve">CAD system </w:t>
                  </w:r>
                </w:p>
              </w:tc>
              <w:tc>
                <w:tcPr>
                  <w:tcW w:w="3119" w:type="dxa"/>
                </w:tcPr>
                <w:p w:rsidR="00383A71" w:rsidRDefault="00383A71" w:rsidP="00024AE5">
                  <w:pPr>
                    <w:pStyle w:val="DQITableText"/>
                    <w:spacing w:before="60"/>
                    <w:ind w:left="-113"/>
                    <w:jc w:val="left"/>
                  </w:pPr>
                  <w:r>
                    <w:t>100 per cent</w:t>
                  </w:r>
                </w:p>
              </w:tc>
              <w:tc>
                <w:tcPr>
                  <w:tcW w:w="3260" w:type="dxa"/>
                </w:tcPr>
                <w:p w:rsidR="00383A71" w:rsidRDefault="00383A71" w:rsidP="00024AE5">
                  <w:pPr>
                    <w:pStyle w:val="DQITableText"/>
                    <w:spacing w:before="60"/>
                    <w:ind w:left="-113"/>
                    <w:jc w:val="left"/>
                  </w:pPr>
                </w:p>
              </w:tc>
            </w:tr>
            <w:tr w:rsidR="00383A71" w:rsidTr="00083F5C">
              <w:tc>
                <w:tcPr>
                  <w:tcW w:w="709" w:type="dxa"/>
                </w:tcPr>
                <w:p w:rsidR="00383A71" w:rsidRDefault="00383A71" w:rsidP="00024AE5">
                  <w:pPr>
                    <w:pStyle w:val="DQIRowHeadings"/>
                    <w:spacing w:before="60"/>
                    <w:ind w:left="-113" w:right="0"/>
                  </w:pPr>
                  <w:r>
                    <w:t>WA</w:t>
                  </w:r>
                </w:p>
              </w:tc>
              <w:tc>
                <w:tcPr>
                  <w:tcW w:w="1395" w:type="dxa"/>
                  <w:gridSpan w:val="2"/>
                </w:tcPr>
                <w:p w:rsidR="00383A71" w:rsidRDefault="00383A71" w:rsidP="00024AE5">
                  <w:pPr>
                    <w:pStyle w:val="DQITableText"/>
                    <w:spacing w:before="60"/>
                    <w:ind w:left="-113"/>
                    <w:jc w:val="left"/>
                  </w:pPr>
                  <w:r>
                    <w:t xml:space="preserve">Combination </w:t>
                  </w:r>
                  <w:r w:rsidR="00083F5C">
                    <w:br/>
                  </w:r>
                  <w:r>
                    <w:t>of manual and CAD systems.</w:t>
                  </w:r>
                </w:p>
              </w:tc>
              <w:tc>
                <w:tcPr>
                  <w:tcW w:w="3119" w:type="dxa"/>
                </w:tcPr>
                <w:p w:rsidR="00383A71" w:rsidRDefault="00383A71" w:rsidP="00024AE5">
                  <w:pPr>
                    <w:pStyle w:val="DQITableText"/>
                    <w:spacing w:before="60"/>
                    <w:ind w:left="-113"/>
                    <w:jc w:val="left"/>
                  </w:pPr>
                  <w:r>
                    <w:t>100 per cent</w:t>
                  </w:r>
                </w:p>
              </w:tc>
              <w:tc>
                <w:tcPr>
                  <w:tcW w:w="3260" w:type="dxa"/>
                </w:tcPr>
                <w:p w:rsidR="00383A71" w:rsidRDefault="00383A71" w:rsidP="00024AE5">
                  <w:pPr>
                    <w:pStyle w:val="DQITableText"/>
                    <w:spacing w:before="60"/>
                    <w:ind w:left="-113"/>
                    <w:jc w:val="left"/>
                  </w:pPr>
                  <w:r>
                    <w:t>Bush Fire Brigade data may be entered manually where volunteers have self</w:t>
                  </w:r>
                  <w:r>
                    <w:noBreakHyphen/>
                    <w:t>dispatched (&lt;1</w:t>
                  </w:r>
                  <w:r w:rsidR="0096477A">
                    <w:t xml:space="preserve"> per cent</w:t>
                  </w:r>
                  <w:r>
                    <w:t xml:space="preserve">). </w:t>
                  </w:r>
                </w:p>
                <w:p w:rsidR="00383A71" w:rsidRDefault="00383A71" w:rsidP="00024AE5">
                  <w:pPr>
                    <w:pStyle w:val="DQITableText"/>
                    <w:spacing w:before="60"/>
                    <w:ind w:left="-113"/>
                    <w:jc w:val="left"/>
                  </w:pPr>
                  <w:r>
                    <w:t>Times may also be modified manually as a consequence of data auditing where incorrect times are recorded through CAD (estimated at 1</w:t>
                  </w:r>
                  <w:r w:rsidR="0096477A">
                    <w:t> per cent</w:t>
                  </w:r>
                  <w:r>
                    <w:t xml:space="preserve"> of total incidents).</w:t>
                  </w:r>
                </w:p>
              </w:tc>
            </w:tr>
            <w:tr w:rsidR="00383A71" w:rsidTr="00083F5C">
              <w:tc>
                <w:tcPr>
                  <w:tcW w:w="709" w:type="dxa"/>
                </w:tcPr>
                <w:p w:rsidR="00383A71" w:rsidRDefault="00383A71" w:rsidP="00024AE5">
                  <w:pPr>
                    <w:pStyle w:val="DQIRowHeadings"/>
                    <w:spacing w:before="60"/>
                    <w:ind w:left="-113" w:right="0"/>
                  </w:pPr>
                  <w:r>
                    <w:t>SA</w:t>
                  </w:r>
                </w:p>
              </w:tc>
              <w:tc>
                <w:tcPr>
                  <w:tcW w:w="1395" w:type="dxa"/>
                  <w:gridSpan w:val="2"/>
                </w:tcPr>
                <w:p w:rsidR="00383A71" w:rsidRDefault="00383A71" w:rsidP="00024AE5">
                  <w:pPr>
                    <w:pStyle w:val="DQITableText"/>
                    <w:spacing w:before="60"/>
                    <w:ind w:left="-113"/>
                    <w:jc w:val="left"/>
                  </w:pPr>
                  <w:r>
                    <w:t xml:space="preserve">Combination </w:t>
                  </w:r>
                  <w:r w:rsidR="00083F5C">
                    <w:br/>
                  </w:r>
                  <w:r>
                    <w:t xml:space="preserve">of manual and CAD systems </w:t>
                  </w:r>
                </w:p>
              </w:tc>
              <w:tc>
                <w:tcPr>
                  <w:tcW w:w="3119" w:type="dxa"/>
                </w:tcPr>
                <w:p w:rsidR="00383A71" w:rsidRDefault="00383A71" w:rsidP="00024AE5">
                  <w:pPr>
                    <w:pStyle w:val="DQITableText"/>
                    <w:spacing w:before="60"/>
                    <w:ind w:left="-113"/>
                    <w:jc w:val="left"/>
                  </w:pPr>
                  <w:proofErr w:type="spellStart"/>
                  <w:r>
                    <w:t>MFS</w:t>
                  </w:r>
                  <w:proofErr w:type="spellEnd"/>
                  <w:r>
                    <w:t>: Metropolitan Stations (arrival times) are documented via the CAD system (82</w:t>
                  </w:r>
                  <w:r w:rsidR="00476D7B">
                    <w:t> per cent</w:t>
                  </w:r>
                  <w:r>
                    <w:t>). Country Stations (arrival times) are manually populated with the AIRS database (12</w:t>
                  </w:r>
                  <w:r w:rsidR="00476D7B">
                    <w:t> per cent</w:t>
                  </w:r>
                  <w:r>
                    <w:t xml:space="preserve">). </w:t>
                  </w:r>
                </w:p>
                <w:p w:rsidR="00383A71" w:rsidRDefault="00383A71" w:rsidP="00024AE5">
                  <w:pPr>
                    <w:pStyle w:val="DQITableText"/>
                    <w:spacing w:before="60"/>
                    <w:ind w:left="-113"/>
                    <w:jc w:val="left"/>
                  </w:pPr>
                  <w:proofErr w:type="spellStart"/>
                  <w:r>
                    <w:t>CFS</w:t>
                  </w:r>
                  <w:proofErr w:type="spellEnd"/>
                  <w:r>
                    <w:t xml:space="preserve">: CAD dispatches </w:t>
                  </w:r>
                  <w:proofErr w:type="spellStart"/>
                  <w:r>
                    <w:t>CFS’s</w:t>
                  </w:r>
                  <w:proofErr w:type="spellEnd"/>
                  <w:r>
                    <w:t xml:space="preserve"> structure fire responses but all (100</w:t>
                  </w:r>
                  <w:r w:rsidR="0096477A">
                    <w:t> per cent</w:t>
                  </w:r>
                  <w:r>
                    <w:t xml:space="preserve">) of </w:t>
                  </w:r>
                  <w:proofErr w:type="spellStart"/>
                  <w:r>
                    <w:t>CFS’s</w:t>
                  </w:r>
                  <w:proofErr w:type="spellEnd"/>
                  <w:r>
                    <w:t xml:space="preserve"> arrival times are manually entered in the incident record. For 2008–2009 </w:t>
                  </w:r>
                  <w:proofErr w:type="spellStart"/>
                  <w:r>
                    <w:t>CFS</w:t>
                  </w:r>
                  <w:proofErr w:type="spellEnd"/>
                  <w:r>
                    <w:t xml:space="preserve"> brigades attended 13</w:t>
                  </w:r>
                  <w:r w:rsidR="00476D7B">
                    <w:t> per cent</w:t>
                  </w:r>
                  <w:r>
                    <w:t xml:space="preserve"> of the structure fires we’re reporting in </w:t>
                  </w:r>
                  <w:proofErr w:type="spellStart"/>
                  <w:r>
                    <w:t>RoGS</w:t>
                  </w:r>
                  <w:proofErr w:type="spellEnd"/>
                  <w:r>
                    <w:t xml:space="preserve"> 2010</w:t>
                  </w:r>
                </w:p>
              </w:tc>
              <w:tc>
                <w:tcPr>
                  <w:tcW w:w="3260" w:type="dxa"/>
                </w:tcPr>
                <w:p w:rsidR="00383A71" w:rsidRDefault="00383A71" w:rsidP="00024AE5">
                  <w:pPr>
                    <w:pStyle w:val="DQITableText"/>
                    <w:spacing w:before="60"/>
                    <w:ind w:left="-113"/>
                    <w:jc w:val="left"/>
                  </w:pPr>
                  <w:r>
                    <w:t>All incidents are despatched from CAD for Metropolitan and Country Stations.</w:t>
                  </w:r>
                </w:p>
                <w:p w:rsidR="00383A71" w:rsidRDefault="00383A71" w:rsidP="00024AE5">
                  <w:pPr>
                    <w:pStyle w:val="DQITableText"/>
                    <w:spacing w:before="60"/>
                    <w:ind w:left="-113"/>
                    <w:jc w:val="left"/>
                  </w:pPr>
                  <w:r>
                    <w:t xml:space="preserve">Call taking time for the </w:t>
                  </w:r>
                  <w:proofErr w:type="spellStart"/>
                  <w:r>
                    <w:t>MFS</w:t>
                  </w:r>
                  <w:proofErr w:type="spellEnd"/>
                  <w:r>
                    <w:t xml:space="preserve"> is the time incident is received on pagers or </w:t>
                  </w:r>
                  <w:proofErr w:type="spellStart"/>
                  <w:r>
                    <w:t>MCTs</w:t>
                  </w:r>
                  <w:proofErr w:type="spellEnd"/>
                  <w:r>
                    <w:t xml:space="preserve"> and is created from CAD. </w:t>
                  </w:r>
                </w:p>
                <w:p w:rsidR="00383A71" w:rsidRDefault="00383A71" w:rsidP="00024AE5">
                  <w:pPr>
                    <w:pStyle w:val="DQITableText"/>
                    <w:spacing w:before="60"/>
                    <w:ind w:left="-113"/>
                    <w:jc w:val="left"/>
                  </w:pPr>
                  <w:r>
                    <w:t xml:space="preserve">Metro Stations mobile and arrival times are automatically populated by CAD. </w:t>
                  </w:r>
                </w:p>
                <w:p w:rsidR="00383A71" w:rsidRDefault="00383A71" w:rsidP="00024AE5">
                  <w:pPr>
                    <w:pStyle w:val="DQITableText"/>
                    <w:spacing w:before="60"/>
                    <w:ind w:left="-113"/>
                    <w:jc w:val="left"/>
                  </w:pPr>
                  <w:r>
                    <w:t>Country Stations (</w:t>
                  </w:r>
                  <w:proofErr w:type="spellStart"/>
                  <w:r>
                    <w:t>MFS</w:t>
                  </w:r>
                  <w:proofErr w:type="spellEnd"/>
                  <w:r>
                    <w:t xml:space="preserve"> and </w:t>
                  </w:r>
                  <w:proofErr w:type="spellStart"/>
                  <w:r>
                    <w:t>CFS</w:t>
                  </w:r>
                  <w:proofErr w:type="spellEnd"/>
                  <w:r>
                    <w:t xml:space="preserve">) complete hand written or electronic form for documenting mobile and arrival times (except </w:t>
                  </w:r>
                  <w:proofErr w:type="spellStart"/>
                  <w:r>
                    <w:t>CFS</w:t>
                  </w:r>
                  <w:proofErr w:type="spellEnd"/>
                  <w:r>
                    <w:t xml:space="preserve"> only have pagers)</w:t>
                  </w:r>
                </w:p>
              </w:tc>
            </w:tr>
            <w:tr w:rsidR="00383A71" w:rsidTr="00083F5C">
              <w:tc>
                <w:tcPr>
                  <w:tcW w:w="709" w:type="dxa"/>
                </w:tcPr>
                <w:p w:rsidR="00383A71" w:rsidRDefault="00383A71" w:rsidP="00024AE5">
                  <w:pPr>
                    <w:pStyle w:val="DQIRowHeadings"/>
                    <w:spacing w:before="60"/>
                    <w:ind w:left="-113" w:right="0"/>
                  </w:pPr>
                  <w:proofErr w:type="spellStart"/>
                  <w:r>
                    <w:t>Tas</w:t>
                  </w:r>
                  <w:proofErr w:type="spellEnd"/>
                </w:p>
              </w:tc>
              <w:tc>
                <w:tcPr>
                  <w:tcW w:w="1395" w:type="dxa"/>
                  <w:gridSpan w:val="2"/>
                </w:tcPr>
                <w:p w:rsidR="00383A71" w:rsidRDefault="00383A71" w:rsidP="00024AE5">
                  <w:pPr>
                    <w:pStyle w:val="DQITableText"/>
                    <w:spacing w:before="60"/>
                    <w:ind w:left="-113"/>
                    <w:jc w:val="left"/>
                  </w:pPr>
                  <w:r>
                    <w:t xml:space="preserve">CAD system </w:t>
                  </w:r>
                </w:p>
              </w:tc>
              <w:tc>
                <w:tcPr>
                  <w:tcW w:w="3119" w:type="dxa"/>
                </w:tcPr>
                <w:p w:rsidR="00383A71" w:rsidRDefault="00383A71" w:rsidP="00024AE5">
                  <w:pPr>
                    <w:pStyle w:val="DQITableText"/>
                    <w:spacing w:before="60"/>
                    <w:ind w:left="-113"/>
                    <w:jc w:val="left"/>
                  </w:pPr>
                  <w:r>
                    <w:t>100 per cent</w:t>
                  </w:r>
                </w:p>
              </w:tc>
              <w:tc>
                <w:tcPr>
                  <w:tcW w:w="3260" w:type="dxa"/>
                </w:tcPr>
                <w:p w:rsidR="00383A71" w:rsidRDefault="00026577" w:rsidP="00024AE5">
                  <w:pPr>
                    <w:pStyle w:val="DQITableText"/>
                    <w:spacing w:before="60"/>
                    <w:ind w:left="-113"/>
                  </w:pPr>
                  <w:r w:rsidRPr="00436941">
                    <w:t>CAD data are automatically loaded to AIRS data system.</w:t>
                  </w:r>
                </w:p>
              </w:tc>
            </w:tr>
            <w:tr w:rsidR="00383A71" w:rsidTr="00083F5C">
              <w:tc>
                <w:tcPr>
                  <w:tcW w:w="709" w:type="dxa"/>
                </w:tcPr>
                <w:p w:rsidR="00383A71" w:rsidRPr="00436941" w:rsidRDefault="00383A71" w:rsidP="00024AE5">
                  <w:pPr>
                    <w:pStyle w:val="DQIRowHeadings"/>
                    <w:spacing w:before="60"/>
                    <w:ind w:left="-113" w:right="0"/>
                  </w:pPr>
                  <w:r w:rsidRPr="00436941">
                    <w:t>ACT</w:t>
                  </w:r>
                </w:p>
              </w:tc>
              <w:tc>
                <w:tcPr>
                  <w:tcW w:w="1395" w:type="dxa"/>
                  <w:gridSpan w:val="2"/>
                </w:tcPr>
                <w:p w:rsidR="00383A71" w:rsidRPr="00436941" w:rsidRDefault="00383A71" w:rsidP="00024AE5">
                  <w:pPr>
                    <w:pStyle w:val="DQITableText"/>
                    <w:spacing w:before="60"/>
                    <w:ind w:left="-113"/>
                    <w:jc w:val="left"/>
                  </w:pPr>
                  <w:r w:rsidRPr="00436941">
                    <w:t xml:space="preserve">CAD system </w:t>
                  </w:r>
                </w:p>
              </w:tc>
              <w:tc>
                <w:tcPr>
                  <w:tcW w:w="3119" w:type="dxa"/>
                </w:tcPr>
                <w:p w:rsidR="00383A71" w:rsidRPr="00436941" w:rsidRDefault="00383A71" w:rsidP="00024AE5">
                  <w:pPr>
                    <w:pStyle w:val="DQITableText"/>
                    <w:spacing w:before="60"/>
                    <w:ind w:left="-113"/>
                    <w:jc w:val="left"/>
                  </w:pPr>
                  <w:r w:rsidRPr="00436941">
                    <w:t>100 per cent</w:t>
                  </w:r>
                </w:p>
              </w:tc>
              <w:tc>
                <w:tcPr>
                  <w:tcW w:w="3260" w:type="dxa"/>
                </w:tcPr>
                <w:p w:rsidR="00383A71" w:rsidRDefault="00383A71" w:rsidP="00024AE5">
                  <w:pPr>
                    <w:pStyle w:val="DQITableText"/>
                    <w:spacing w:before="60"/>
                    <w:ind w:left="-113"/>
                  </w:pPr>
                  <w:r w:rsidRPr="00436941">
                    <w:t>CAD data are automatically loaded to AIRS data system.</w:t>
                  </w:r>
                </w:p>
              </w:tc>
            </w:tr>
            <w:tr w:rsidR="00383A71" w:rsidTr="00083F5C">
              <w:tc>
                <w:tcPr>
                  <w:tcW w:w="709" w:type="dxa"/>
                  <w:tcBorders>
                    <w:bottom w:val="single" w:sz="6" w:space="0" w:color="BFBFBF" w:themeColor="background2"/>
                  </w:tcBorders>
                  <w:shd w:val="clear" w:color="auto" w:fill="auto"/>
                </w:tcPr>
                <w:p w:rsidR="00383A71" w:rsidRDefault="00383A71" w:rsidP="00024AE5">
                  <w:pPr>
                    <w:pStyle w:val="DQIRowHeadings"/>
                    <w:spacing w:before="60"/>
                    <w:ind w:left="-113" w:right="0"/>
                  </w:pPr>
                  <w:r>
                    <w:t>NT</w:t>
                  </w:r>
                </w:p>
              </w:tc>
              <w:tc>
                <w:tcPr>
                  <w:tcW w:w="1395" w:type="dxa"/>
                  <w:gridSpan w:val="2"/>
                  <w:tcBorders>
                    <w:bottom w:val="single" w:sz="6" w:space="0" w:color="BFBFBF" w:themeColor="background2"/>
                  </w:tcBorders>
                  <w:shd w:val="clear" w:color="auto" w:fill="auto"/>
                </w:tcPr>
                <w:p w:rsidR="00383A71" w:rsidRDefault="00383A71" w:rsidP="00024AE5">
                  <w:pPr>
                    <w:pStyle w:val="DQITableText"/>
                    <w:spacing w:before="60"/>
                    <w:ind w:left="-113"/>
                    <w:jc w:val="left"/>
                  </w:pPr>
                  <w:r>
                    <w:t xml:space="preserve">Combination </w:t>
                  </w:r>
                  <w:r w:rsidR="00083F5C">
                    <w:br/>
                  </w:r>
                  <w:r>
                    <w:t>of manual and CAD systems</w:t>
                  </w:r>
                </w:p>
              </w:tc>
              <w:tc>
                <w:tcPr>
                  <w:tcW w:w="3119" w:type="dxa"/>
                  <w:tcBorders>
                    <w:bottom w:val="single" w:sz="6" w:space="0" w:color="BFBFBF" w:themeColor="background2"/>
                  </w:tcBorders>
                  <w:shd w:val="clear" w:color="auto" w:fill="auto"/>
                </w:tcPr>
                <w:p w:rsidR="00383A71" w:rsidRDefault="00383A71" w:rsidP="00024AE5">
                  <w:pPr>
                    <w:pStyle w:val="DQITableText"/>
                    <w:spacing w:before="60"/>
                    <w:ind w:left="-113"/>
                    <w:jc w:val="left"/>
                  </w:pPr>
                  <w:r w:rsidRPr="00FF10EF">
                    <w:t xml:space="preserve">Data </w:t>
                  </w:r>
                  <w:r w:rsidR="00EE3F05">
                    <w:t>are</w:t>
                  </w:r>
                  <w:r w:rsidRPr="00FF10EF">
                    <w:t xml:space="preserve"> entered directly into AIRS via CAD. Percentage (estimate of &lt;10</w:t>
                  </w:r>
                  <w:r w:rsidR="00476D7B">
                    <w:t> per cent</w:t>
                  </w:r>
                  <w:r w:rsidRPr="00FF10EF">
                    <w:t xml:space="preserve">) of data </w:t>
                  </w:r>
                  <w:r w:rsidR="00EE3F05">
                    <w:t>are</w:t>
                  </w:r>
                  <w:r w:rsidRPr="00FF10EF">
                    <w:t xml:space="preserve"> entered manually into AIRS by remote stations.</w:t>
                  </w:r>
                </w:p>
              </w:tc>
              <w:tc>
                <w:tcPr>
                  <w:tcW w:w="3260" w:type="dxa"/>
                  <w:tcBorders>
                    <w:bottom w:val="single" w:sz="6" w:space="0" w:color="BFBFBF" w:themeColor="background2"/>
                  </w:tcBorders>
                  <w:shd w:val="clear" w:color="auto" w:fill="auto"/>
                </w:tcPr>
                <w:p w:rsidR="00383A71" w:rsidRDefault="00383A71" w:rsidP="00024AE5">
                  <w:pPr>
                    <w:pStyle w:val="DQITableText"/>
                    <w:spacing w:before="60"/>
                    <w:ind w:left="-113"/>
                  </w:pPr>
                </w:p>
              </w:tc>
            </w:tr>
          </w:tbl>
          <w:p w:rsidR="00635C2E" w:rsidRDefault="00635C2E" w:rsidP="007511E6">
            <w:pPr>
              <w:pStyle w:val="Box"/>
            </w:pPr>
          </w:p>
        </w:tc>
      </w:tr>
      <w:tr w:rsidR="001F5689" w:rsidRPr="00521B8E" w:rsidTr="00083F5C">
        <w:trPr>
          <w:cantSplit/>
        </w:trPr>
        <w:tc>
          <w:tcPr>
            <w:tcW w:w="8791" w:type="dxa"/>
            <w:tcBorders>
              <w:top w:val="nil"/>
              <w:left w:val="nil"/>
              <w:bottom w:val="nil"/>
              <w:right w:val="nil"/>
            </w:tcBorders>
            <w:shd w:val="clear" w:color="auto" w:fill="auto"/>
          </w:tcPr>
          <w:p w:rsidR="001F5689" w:rsidRPr="001F5689" w:rsidRDefault="001F5689" w:rsidP="001F5689">
            <w:pPr>
              <w:pStyle w:val="Note"/>
              <w:rPr>
                <w:rStyle w:val="NoteLabel"/>
                <w:b w:val="0"/>
                <w:position w:val="0"/>
              </w:rPr>
            </w:pPr>
            <w:proofErr w:type="spellStart"/>
            <w:r w:rsidRPr="001F5689">
              <w:rPr>
                <w:rStyle w:val="NoteLabel"/>
              </w:rPr>
              <w:t>a</w:t>
            </w:r>
            <w:proofErr w:type="spellEnd"/>
            <w:r w:rsidRPr="001F5689">
              <w:t xml:space="preserve"> </w:t>
            </w:r>
            <w:r>
              <w:t>Estimates of the proportion of response time data extracted from CAD were compiled for 2008-09, unless otherwise stated.</w:t>
            </w:r>
          </w:p>
        </w:tc>
      </w:tr>
      <w:tr w:rsidR="00635C2E" w:rsidTr="00083F5C">
        <w:trPr>
          <w:cantSplit/>
        </w:trPr>
        <w:tc>
          <w:tcPr>
            <w:tcW w:w="8791" w:type="dxa"/>
            <w:tcBorders>
              <w:top w:val="nil"/>
              <w:left w:val="nil"/>
              <w:bottom w:val="nil"/>
              <w:right w:val="nil"/>
            </w:tcBorders>
            <w:shd w:val="clear" w:color="auto" w:fill="auto"/>
          </w:tcPr>
          <w:p w:rsidR="00635C2E" w:rsidRDefault="00635C2E" w:rsidP="007511E6">
            <w:pPr>
              <w:pStyle w:val="Source"/>
              <w:keepNext/>
            </w:pPr>
            <w:r>
              <w:rPr>
                <w:i/>
              </w:rPr>
              <w:t>Source</w:t>
            </w:r>
            <w:r>
              <w:t>: State and Territory governments.</w:t>
            </w:r>
          </w:p>
        </w:tc>
      </w:tr>
      <w:tr w:rsidR="00635C2E" w:rsidTr="00083F5C">
        <w:trPr>
          <w:cantSplit/>
        </w:trPr>
        <w:tc>
          <w:tcPr>
            <w:tcW w:w="8791" w:type="dxa"/>
            <w:tcBorders>
              <w:top w:val="nil"/>
              <w:left w:val="nil"/>
              <w:bottom w:val="single" w:sz="6" w:space="0" w:color="78A22F"/>
              <w:right w:val="nil"/>
            </w:tcBorders>
            <w:shd w:val="clear" w:color="auto" w:fill="auto"/>
          </w:tcPr>
          <w:p w:rsidR="00635C2E" w:rsidRDefault="00635C2E" w:rsidP="007511E6">
            <w:pPr>
              <w:pStyle w:val="Box"/>
              <w:spacing w:before="0" w:line="120" w:lineRule="exact"/>
            </w:pPr>
          </w:p>
        </w:tc>
      </w:tr>
      <w:tr w:rsidR="00635C2E" w:rsidRPr="000863A5" w:rsidTr="00083F5C">
        <w:tc>
          <w:tcPr>
            <w:tcW w:w="8791" w:type="dxa"/>
            <w:tcBorders>
              <w:top w:val="single" w:sz="6" w:space="0" w:color="78A22F"/>
              <w:left w:val="nil"/>
              <w:bottom w:val="nil"/>
              <w:right w:val="nil"/>
            </w:tcBorders>
          </w:tcPr>
          <w:p w:rsidR="00635C2E" w:rsidRPr="00626D32" w:rsidRDefault="00635C2E" w:rsidP="007511E6">
            <w:pPr>
              <w:pStyle w:val="BoxSpaceBelow"/>
            </w:pPr>
          </w:p>
        </w:tc>
      </w:tr>
    </w:tbl>
    <w:p w:rsidR="00383A71" w:rsidRDefault="00383A71" w:rsidP="00383A71">
      <w:pPr>
        <w:pStyle w:val="BoxSpaceAbove"/>
      </w:pPr>
    </w:p>
    <w:tbl>
      <w:tblPr>
        <w:tblW w:w="8767"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67"/>
      </w:tblGrid>
      <w:tr w:rsidR="00383A71" w:rsidTr="0093338B">
        <w:tc>
          <w:tcPr>
            <w:tcW w:w="8767" w:type="dxa"/>
            <w:tcBorders>
              <w:top w:val="single" w:sz="6" w:space="0" w:color="78A22F"/>
              <w:left w:val="nil"/>
              <w:bottom w:val="nil"/>
              <w:right w:val="nil"/>
            </w:tcBorders>
            <w:shd w:val="clear" w:color="auto" w:fill="auto"/>
          </w:tcPr>
          <w:p w:rsidR="00383A71" w:rsidRPr="00784A05" w:rsidRDefault="00383A71" w:rsidP="00383A71">
            <w:pPr>
              <w:pStyle w:val="TableTitle"/>
            </w:pPr>
            <w:r>
              <w:rPr>
                <w:b w:val="0"/>
              </w:rPr>
              <w:t xml:space="preserve">Table </w:t>
            </w:r>
            <w:bookmarkStart w:id="53" w:name="OLE_LINK8"/>
            <w:r w:rsidR="00B560A0">
              <w:rPr>
                <w:b w:val="0"/>
                <w:noProof/>
              </w:rPr>
              <w:t>8</w:t>
            </w:r>
            <w:bookmarkEnd w:id="53"/>
            <w:r w:rsidRPr="00E90B9B">
              <w:rPr>
                <w:b w:val="0"/>
              </w:rPr>
              <w:tab/>
            </w:r>
            <w:r w:rsidRPr="008553B3">
              <w:t xml:space="preserve">Data </w:t>
            </w:r>
            <w:r w:rsidRPr="006A5446">
              <w:t xml:space="preserve">completeness </w:t>
            </w:r>
            <w:r w:rsidRPr="00A90097">
              <w:t>(volunteer and permanent brigades)</w:t>
            </w:r>
          </w:p>
        </w:tc>
      </w:tr>
      <w:tr w:rsidR="00383A71" w:rsidTr="0093338B">
        <w:trPr>
          <w:cantSplit/>
        </w:trPr>
        <w:tc>
          <w:tcPr>
            <w:tcW w:w="8767" w:type="dxa"/>
            <w:tcBorders>
              <w:top w:val="nil"/>
              <w:left w:val="nil"/>
              <w:bottom w:val="nil"/>
              <w:right w:val="nil"/>
            </w:tcBorders>
            <w:shd w:val="clear" w:color="auto" w:fill="auto"/>
          </w:tcPr>
          <w:tbl>
            <w:tblPr>
              <w:tblW w:w="8483" w:type="dxa"/>
              <w:tblCellMar>
                <w:left w:w="85" w:type="dxa"/>
                <w:right w:w="57" w:type="dxa"/>
              </w:tblCellMar>
              <w:tblLook w:val="0000" w:firstRow="0" w:lastRow="0" w:firstColumn="0" w:lastColumn="0" w:noHBand="0" w:noVBand="0"/>
            </w:tblPr>
            <w:tblGrid>
              <w:gridCol w:w="681"/>
              <w:gridCol w:w="1111"/>
              <w:gridCol w:w="2580"/>
              <w:gridCol w:w="4111"/>
            </w:tblGrid>
            <w:tr w:rsidR="00383A71" w:rsidTr="0093338B">
              <w:tc>
                <w:tcPr>
                  <w:tcW w:w="681" w:type="dxa"/>
                  <w:tcBorders>
                    <w:top w:val="single" w:sz="6" w:space="0" w:color="BFBFBF" w:themeColor="background2"/>
                    <w:bottom w:val="single" w:sz="6" w:space="0" w:color="BFBFBF" w:themeColor="background2"/>
                  </w:tcBorders>
                  <w:shd w:val="clear" w:color="auto" w:fill="auto"/>
                </w:tcPr>
                <w:p w:rsidR="00383A71" w:rsidRDefault="00383A71" w:rsidP="007511E6">
                  <w:pPr>
                    <w:pStyle w:val="TableColumnHeading"/>
                    <w:jc w:val="left"/>
                  </w:pPr>
                </w:p>
              </w:tc>
              <w:tc>
                <w:tcPr>
                  <w:tcW w:w="1111" w:type="dxa"/>
                  <w:tcBorders>
                    <w:top w:val="single" w:sz="6" w:space="0" w:color="BFBFBF" w:themeColor="background2"/>
                    <w:bottom w:val="single" w:sz="6" w:space="0" w:color="BFBFBF" w:themeColor="background2"/>
                  </w:tcBorders>
                  <w:shd w:val="clear" w:color="auto" w:fill="auto"/>
                </w:tcPr>
                <w:p w:rsidR="00383A71" w:rsidRPr="0093338B" w:rsidRDefault="00383A71" w:rsidP="0093338B">
                  <w:pPr>
                    <w:pStyle w:val="DQIMainRowHeadings"/>
                    <w:spacing w:before="80" w:after="80"/>
                    <w:ind w:left="-57" w:right="0"/>
                    <w:rPr>
                      <w:b w:val="0"/>
                      <w:i/>
                      <w:u w:val="none"/>
                    </w:rPr>
                  </w:pPr>
                  <w:r w:rsidRPr="0093338B">
                    <w:rPr>
                      <w:b w:val="0"/>
                      <w:i/>
                      <w:u w:val="none"/>
                    </w:rPr>
                    <w:t>Volunteer brigade data included?</w:t>
                  </w:r>
                </w:p>
              </w:tc>
              <w:tc>
                <w:tcPr>
                  <w:tcW w:w="2580" w:type="dxa"/>
                  <w:tcBorders>
                    <w:top w:val="single" w:sz="6" w:space="0" w:color="BFBFBF" w:themeColor="background2"/>
                    <w:bottom w:val="single" w:sz="6" w:space="0" w:color="BFBFBF" w:themeColor="background2"/>
                  </w:tcBorders>
                  <w:shd w:val="clear" w:color="auto" w:fill="auto"/>
                </w:tcPr>
                <w:p w:rsidR="00383A71" w:rsidRPr="0093338B" w:rsidRDefault="0093338B" w:rsidP="0093338B">
                  <w:pPr>
                    <w:pStyle w:val="DQIMainRowHeadings"/>
                    <w:spacing w:before="80" w:after="80"/>
                    <w:ind w:left="-57" w:right="0"/>
                    <w:rPr>
                      <w:b w:val="0"/>
                      <w:i/>
                      <w:u w:val="none"/>
                    </w:rPr>
                  </w:pPr>
                  <w:r>
                    <w:rPr>
                      <w:b w:val="0"/>
                      <w:i/>
                      <w:u w:val="none"/>
                    </w:rPr>
                    <w:br/>
                  </w:r>
                  <w:r w:rsidR="00383A71" w:rsidRPr="0093338B">
                    <w:rPr>
                      <w:b w:val="0"/>
                      <w:i/>
                      <w:u w:val="none"/>
                    </w:rPr>
                    <w:t>Percentage of data relating to volunteer brigades</w:t>
                  </w:r>
                  <w:r w:rsidR="001F5689" w:rsidRPr="0093338B">
                    <w:rPr>
                      <w:b w:val="0"/>
                      <w:i/>
                      <w:u w:val="none"/>
                      <w:vertAlign w:val="superscript"/>
                    </w:rPr>
                    <w:t xml:space="preserve"> a</w:t>
                  </w:r>
                </w:p>
              </w:tc>
              <w:tc>
                <w:tcPr>
                  <w:tcW w:w="4111" w:type="dxa"/>
                  <w:tcBorders>
                    <w:top w:val="single" w:sz="6" w:space="0" w:color="BFBFBF" w:themeColor="background2"/>
                    <w:bottom w:val="single" w:sz="6" w:space="0" w:color="BFBFBF" w:themeColor="background2"/>
                  </w:tcBorders>
                  <w:shd w:val="clear" w:color="auto" w:fill="auto"/>
                </w:tcPr>
                <w:p w:rsidR="00383A71" w:rsidRPr="0093338B" w:rsidRDefault="0093338B" w:rsidP="0093338B">
                  <w:pPr>
                    <w:pStyle w:val="DQIMainRowHeadings"/>
                    <w:spacing w:before="80" w:after="80"/>
                    <w:ind w:left="-57" w:right="0"/>
                    <w:rPr>
                      <w:b w:val="0"/>
                      <w:i/>
                      <w:u w:val="none"/>
                    </w:rPr>
                  </w:pPr>
                  <w:r>
                    <w:rPr>
                      <w:b w:val="0"/>
                      <w:i/>
                      <w:u w:val="none"/>
                    </w:rPr>
                    <w:br/>
                  </w:r>
                  <w:r>
                    <w:rPr>
                      <w:b w:val="0"/>
                      <w:i/>
                      <w:u w:val="none"/>
                    </w:rPr>
                    <w:br/>
                  </w:r>
                  <w:r w:rsidR="00383A71" w:rsidRPr="0093338B">
                    <w:rPr>
                      <w:b w:val="0"/>
                      <w:i/>
                      <w:u w:val="none"/>
                    </w:rPr>
                    <w:t>Other information relating to data completeness</w:t>
                  </w:r>
                </w:p>
              </w:tc>
            </w:tr>
            <w:tr w:rsidR="00383A71" w:rsidTr="0093338B">
              <w:tc>
                <w:tcPr>
                  <w:tcW w:w="681" w:type="dxa"/>
                  <w:tcBorders>
                    <w:top w:val="single" w:sz="6" w:space="0" w:color="BFBFBF" w:themeColor="background2"/>
                  </w:tcBorders>
                </w:tcPr>
                <w:p w:rsidR="00383A71" w:rsidRDefault="00383A71" w:rsidP="0093338B">
                  <w:pPr>
                    <w:pStyle w:val="DQIRowHeadings"/>
                    <w:ind w:left="-85" w:right="0"/>
                  </w:pPr>
                  <w:r>
                    <w:t>NSW</w:t>
                  </w:r>
                </w:p>
              </w:tc>
              <w:tc>
                <w:tcPr>
                  <w:tcW w:w="1111" w:type="dxa"/>
                  <w:tcBorders>
                    <w:top w:val="single" w:sz="6" w:space="0" w:color="BFBFBF" w:themeColor="background2"/>
                  </w:tcBorders>
                </w:tcPr>
                <w:p w:rsidR="00383A71" w:rsidRDefault="00383A71" w:rsidP="0093338B">
                  <w:pPr>
                    <w:pStyle w:val="DQITableText"/>
                    <w:ind w:left="-57"/>
                    <w:jc w:val="left"/>
                  </w:pPr>
                  <w:r>
                    <w:t>Yes</w:t>
                  </w:r>
                </w:p>
              </w:tc>
              <w:tc>
                <w:tcPr>
                  <w:tcW w:w="2580" w:type="dxa"/>
                  <w:tcBorders>
                    <w:top w:val="single" w:sz="6" w:space="0" w:color="BFBFBF" w:themeColor="background2"/>
                  </w:tcBorders>
                </w:tcPr>
                <w:p w:rsidR="00383A71" w:rsidRDefault="00383A71" w:rsidP="0093338B">
                  <w:pPr>
                    <w:pStyle w:val="DQITableText"/>
                    <w:ind w:left="-57"/>
                    <w:jc w:val="left"/>
                  </w:pPr>
                  <w:r>
                    <w:t>Approximately 13 per cent of structure fires</w:t>
                  </w:r>
                  <w:r w:rsidDel="004B6D2F">
                    <w:t xml:space="preserve"> </w:t>
                  </w:r>
                </w:p>
              </w:tc>
              <w:tc>
                <w:tcPr>
                  <w:tcW w:w="4111" w:type="dxa"/>
                  <w:tcBorders>
                    <w:top w:val="single" w:sz="6" w:space="0" w:color="BFBFBF" w:themeColor="background2"/>
                  </w:tcBorders>
                </w:tcPr>
                <w:p w:rsidR="00383A71" w:rsidRDefault="00383A71" w:rsidP="0093338B">
                  <w:pPr>
                    <w:pStyle w:val="DQITableText"/>
                    <w:ind w:left="-57"/>
                  </w:pPr>
                </w:p>
              </w:tc>
            </w:tr>
            <w:tr w:rsidR="00383A71" w:rsidTr="0093338B">
              <w:tc>
                <w:tcPr>
                  <w:tcW w:w="681" w:type="dxa"/>
                </w:tcPr>
                <w:p w:rsidR="00383A71" w:rsidRDefault="00383A71" w:rsidP="0093338B">
                  <w:pPr>
                    <w:pStyle w:val="DQIRowHeadings"/>
                    <w:ind w:left="-85" w:right="0"/>
                  </w:pPr>
                  <w:r>
                    <w:t>Vic</w:t>
                  </w:r>
                </w:p>
              </w:tc>
              <w:tc>
                <w:tcPr>
                  <w:tcW w:w="1111" w:type="dxa"/>
                </w:tcPr>
                <w:p w:rsidR="00383A71" w:rsidRDefault="00383A71" w:rsidP="0093338B">
                  <w:pPr>
                    <w:pStyle w:val="DQITableText"/>
                    <w:ind w:left="-57"/>
                    <w:jc w:val="left"/>
                  </w:pPr>
                  <w:r>
                    <w:t>Yes</w:t>
                  </w:r>
                </w:p>
              </w:tc>
              <w:tc>
                <w:tcPr>
                  <w:tcW w:w="2580" w:type="dxa"/>
                </w:tcPr>
                <w:p w:rsidR="00383A71" w:rsidRDefault="00383A71" w:rsidP="0093338B">
                  <w:pPr>
                    <w:pStyle w:val="DQITableText"/>
                    <w:ind w:left="-57"/>
                    <w:jc w:val="left"/>
                  </w:pPr>
                  <w:r>
                    <w:t>Approximately 29 per cent of structure fires</w:t>
                  </w:r>
                  <w:r w:rsidDel="004B6D2F">
                    <w:t xml:space="preserve"> </w:t>
                  </w:r>
                </w:p>
              </w:tc>
              <w:tc>
                <w:tcPr>
                  <w:tcW w:w="4111" w:type="dxa"/>
                </w:tcPr>
                <w:p w:rsidR="00383A71" w:rsidRDefault="00383A71" w:rsidP="0093338B">
                  <w:pPr>
                    <w:pStyle w:val="DQITableText"/>
                    <w:ind w:left="-57"/>
                  </w:pPr>
                  <w:proofErr w:type="spellStart"/>
                  <w:r>
                    <w:t>MFB</w:t>
                  </w:r>
                  <w:proofErr w:type="spellEnd"/>
                  <w:r>
                    <w:t xml:space="preserve"> account for around 50</w:t>
                  </w:r>
                  <w:r w:rsidR="0096477A">
                    <w:t> per cent</w:t>
                  </w:r>
                  <w:r>
                    <w:t xml:space="preserve"> of all structure fires and is </w:t>
                  </w:r>
                  <w:r w:rsidRPr="00C227A5">
                    <w:t>fully staffed by paid crews</w:t>
                  </w:r>
                  <w:r>
                    <w:t>.</w:t>
                  </w:r>
                </w:p>
                <w:p w:rsidR="00383A71" w:rsidRDefault="00383A71" w:rsidP="0093338B">
                  <w:pPr>
                    <w:pStyle w:val="DQITableText"/>
                    <w:ind w:left="-57"/>
                  </w:pPr>
                  <w:proofErr w:type="spellStart"/>
                  <w:r>
                    <w:t>CFA</w:t>
                  </w:r>
                  <w:proofErr w:type="spellEnd"/>
                  <w:r>
                    <w:t xml:space="preserve"> account for around 50</w:t>
                  </w:r>
                  <w:r w:rsidR="0096477A">
                    <w:t> per cent</w:t>
                  </w:r>
                  <w:r>
                    <w:t xml:space="preserve"> of all structure fires and comprises brigades</w:t>
                  </w:r>
                  <w:r w:rsidRPr="00C227A5">
                    <w:t xml:space="preserve"> fully staffed by paid crews</w:t>
                  </w:r>
                  <w:r>
                    <w:t xml:space="preserve">, brigades fully crewed by volunteer fire fighters and brigades with a mixture of </w:t>
                  </w:r>
                  <w:r w:rsidRPr="000C4518">
                    <w:t>paid crews</w:t>
                  </w:r>
                  <w:r>
                    <w:t xml:space="preserve"> and volunteer firefighters.</w:t>
                  </w:r>
                </w:p>
                <w:p w:rsidR="00383A71" w:rsidRDefault="00383A71" w:rsidP="0093338B">
                  <w:pPr>
                    <w:pStyle w:val="DQITableText"/>
                    <w:ind w:left="-57"/>
                  </w:pPr>
                  <w:r>
                    <w:t xml:space="preserve">For </w:t>
                  </w:r>
                  <w:proofErr w:type="spellStart"/>
                  <w:r>
                    <w:t>CFA</w:t>
                  </w:r>
                  <w:proofErr w:type="spellEnd"/>
                  <w:r>
                    <w:t xml:space="preserve"> around 58</w:t>
                  </w:r>
                  <w:r w:rsidR="0096477A">
                    <w:t> per cent</w:t>
                  </w:r>
                  <w:r>
                    <w:t xml:space="preserve"> of structure fires are attended to by volunteer brigades which, after taking into account </w:t>
                  </w:r>
                  <w:proofErr w:type="spellStart"/>
                  <w:r>
                    <w:t>MFB</w:t>
                  </w:r>
                  <w:proofErr w:type="spellEnd"/>
                  <w:r>
                    <w:t xml:space="preserve"> activity, translates to around 29 </w:t>
                  </w:r>
                  <w:proofErr w:type="spellStart"/>
                  <w:r>
                    <w:t>percent</w:t>
                  </w:r>
                  <w:proofErr w:type="spellEnd"/>
                  <w:r>
                    <w:t xml:space="preserve"> of Victoria’s structure fires.</w:t>
                  </w:r>
                </w:p>
              </w:tc>
            </w:tr>
            <w:tr w:rsidR="00383A71" w:rsidTr="0093338B">
              <w:tc>
                <w:tcPr>
                  <w:tcW w:w="681" w:type="dxa"/>
                  <w:shd w:val="clear" w:color="auto" w:fill="auto"/>
                </w:tcPr>
                <w:p w:rsidR="00383A71" w:rsidRDefault="00383A71" w:rsidP="0093338B">
                  <w:pPr>
                    <w:pStyle w:val="DQIRowHeadings"/>
                    <w:ind w:left="-85" w:right="0"/>
                  </w:pPr>
                  <w:r>
                    <w:t>Qld</w:t>
                  </w:r>
                </w:p>
              </w:tc>
              <w:tc>
                <w:tcPr>
                  <w:tcW w:w="1111" w:type="dxa"/>
                  <w:shd w:val="clear" w:color="auto" w:fill="auto"/>
                </w:tcPr>
                <w:p w:rsidR="00383A71" w:rsidRDefault="00A84293" w:rsidP="0093338B">
                  <w:pPr>
                    <w:pStyle w:val="DQITableText"/>
                    <w:ind w:left="-57"/>
                    <w:jc w:val="left"/>
                  </w:pPr>
                  <w:r>
                    <w:t>Yes</w:t>
                  </w:r>
                </w:p>
              </w:tc>
              <w:tc>
                <w:tcPr>
                  <w:tcW w:w="2580" w:type="dxa"/>
                  <w:shd w:val="clear" w:color="auto" w:fill="auto"/>
                </w:tcPr>
                <w:p w:rsidR="00383A71" w:rsidRDefault="00A84293" w:rsidP="0093338B">
                  <w:pPr>
                    <w:pStyle w:val="DQITableText"/>
                    <w:ind w:left="-57"/>
                    <w:jc w:val="left"/>
                  </w:pPr>
                  <w:r w:rsidRPr="00A84293">
                    <w:t>For 2013-14, volunteer brigade data has been included and represents approximately 7.7</w:t>
                  </w:r>
                  <w:r w:rsidR="0096477A">
                    <w:t> per cent</w:t>
                  </w:r>
                  <w:r w:rsidRPr="00A84293">
                    <w:t xml:space="preserve"> of incident data.</w:t>
                  </w:r>
                </w:p>
              </w:tc>
              <w:tc>
                <w:tcPr>
                  <w:tcW w:w="4111" w:type="dxa"/>
                  <w:shd w:val="clear" w:color="auto" w:fill="auto"/>
                </w:tcPr>
                <w:p w:rsidR="00383A71" w:rsidRDefault="00A84293" w:rsidP="0093338B">
                  <w:pPr>
                    <w:pStyle w:val="DQITableText"/>
                    <w:ind w:left="-57"/>
                  </w:pPr>
                  <w:r w:rsidRPr="00A84293">
                    <w:t>Accurate identification of incidents attended by the former Queensland Fire and Rescue Service Rural brigades prior to the 2012-13 fiscal year was not possible due to incomplete voluntary reporting procedures.</w:t>
                  </w:r>
                  <w:r w:rsidR="006D45D4">
                    <w:t xml:space="preserve"> </w:t>
                  </w:r>
                  <w:r w:rsidRPr="00A84293">
                    <w:t>Improved reporting practices have resulted in a higher rate of completion of incident reports for incidents where rural brigades are responsible.</w:t>
                  </w:r>
                  <w:r w:rsidR="006D45D4">
                    <w:t xml:space="preserve"> </w:t>
                  </w:r>
                  <w:r w:rsidRPr="00A84293">
                    <w:t>New procedures were full</w:t>
                  </w:r>
                  <w:r w:rsidR="006673CF">
                    <w:t>y</w:t>
                  </w:r>
                  <w:r w:rsidRPr="00A84293">
                    <w:t xml:space="preserve"> implemented from 1 July 2013 in an endeavour to enhance the rate of reporting for volunteer attendances.</w:t>
                  </w:r>
                </w:p>
                <w:p w:rsidR="00A84293" w:rsidRPr="008816EA" w:rsidRDefault="00A84293" w:rsidP="0093338B">
                  <w:pPr>
                    <w:pStyle w:val="DQITableText"/>
                    <w:ind w:left="-57"/>
                  </w:pPr>
                  <w:proofErr w:type="spellStart"/>
                  <w:r w:rsidRPr="00A84293">
                    <w:t>QFES</w:t>
                  </w:r>
                  <w:proofErr w:type="spellEnd"/>
                  <w:r w:rsidRPr="00A84293">
                    <w:t xml:space="preserve"> Urban stations are estimated to serve 87.6 per cent of Queensland’s population.</w:t>
                  </w:r>
                </w:p>
              </w:tc>
            </w:tr>
            <w:tr w:rsidR="00383A71" w:rsidTr="0093338B">
              <w:tc>
                <w:tcPr>
                  <w:tcW w:w="681" w:type="dxa"/>
                </w:tcPr>
                <w:p w:rsidR="00383A71" w:rsidRDefault="00383A71" w:rsidP="0093338B">
                  <w:pPr>
                    <w:pStyle w:val="DQIRowHeadings"/>
                    <w:ind w:left="-85" w:right="0"/>
                  </w:pPr>
                  <w:r>
                    <w:t>WA</w:t>
                  </w:r>
                </w:p>
              </w:tc>
              <w:tc>
                <w:tcPr>
                  <w:tcW w:w="1111" w:type="dxa"/>
                </w:tcPr>
                <w:p w:rsidR="00383A71" w:rsidRDefault="00383A71" w:rsidP="0093338B">
                  <w:pPr>
                    <w:pStyle w:val="DQITableText"/>
                    <w:ind w:left="-57"/>
                    <w:jc w:val="left"/>
                  </w:pPr>
                  <w:r>
                    <w:t>Yes</w:t>
                  </w:r>
                </w:p>
              </w:tc>
              <w:tc>
                <w:tcPr>
                  <w:tcW w:w="2580" w:type="dxa"/>
                </w:tcPr>
                <w:p w:rsidR="00383A71" w:rsidRDefault="00383A71" w:rsidP="0093338B">
                  <w:pPr>
                    <w:pStyle w:val="DQITableText"/>
                    <w:ind w:left="-57"/>
                    <w:jc w:val="left"/>
                  </w:pPr>
                  <w:r>
                    <w:t>Approximately 21 per cent of structure fires</w:t>
                  </w:r>
                  <w:r w:rsidDel="004B6D2F">
                    <w:t xml:space="preserve"> </w:t>
                  </w:r>
                  <w:r>
                    <w:t>(average over 5 years)</w:t>
                  </w:r>
                </w:p>
              </w:tc>
              <w:tc>
                <w:tcPr>
                  <w:tcW w:w="4111" w:type="dxa"/>
                </w:tcPr>
                <w:p w:rsidR="00383A71" w:rsidRDefault="00147F9D" w:rsidP="00147F9D">
                  <w:pPr>
                    <w:pStyle w:val="DQITableText"/>
                    <w:ind w:left="-57"/>
                  </w:pPr>
                  <w:r w:rsidRPr="00147F9D">
                    <w:t>Response time data can only be provided if all time fields are completed</w:t>
                  </w:r>
                  <w:r>
                    <w:t>. I</w:t>
                  </w:r>
                  <w:r w:rsidRPr="00147F9D">
                    <w:t>n 201</w:t>
                  </w:r>
                  <w:r>
                    <w:t>4-15</w:t>
                  </w:r>
                  <w:r w:rsidRPr="00147F9D">
                    <w:t xml:space="preserve"> approximately 24.47 per</w:t>
                  </w:r>
                  <w:r>
                    <w:t> </w:t>
                  </w:r>
                  <w:r w:rsidRPr="00147F9D">
                    <w:t>cent of total structure fires were excluded as some time fields were incomplete</w:t>
                  </w:r>
                  <w:r w:rsidR="00383A71">
                    <w:t xml:space="preserve">. </w:t>
                  </w:r>
                </w:p>
              </w:tc>
            </w:tr>
            <w:tr w:rsidR="00383A71" w:rsidTr="0093338B">
              <w:tc>
                <w:tcPr>
                  <w:tcW w:w="681" w:type="dxa"/>
                </w:tcPr>
                <w:p w:rsidR="00383A71" w:rsidRDefault="00383A71" w:rsidP="0093338B">
                  <w:pPr>
                    <w:pStyle w:val="DQIRowHeadings"/>
                    <w:ind w:left="-85" w:right="0"/>
                  </w:pPr>
                  <w:r>
                    <w:t>SA</w:t>
                  </w:r>
                </w:p>
              </w:tc>
              <w:tc>
                <w:tcPr>
                  <w:tcW w:w="1111" w:type="dxa"/>
                </w:tcPr>
                <w:p w:rsidR="00383A71" w:rsidRDefault="00383A71" w:rsidP="0093338B">
                  <w:pPr>
                    <w:pStyle w:val="DQITableText"/>
                    <w:ind w:left="-57"/>
                    <w:jc w:val="left"/>
                  </w:pPr>
                  <w:r>
                    <w:t xml:space="preserve">Yes </w:t>
                  </w:r>
                </w:p>
              </w:tc>
              <w:tc>
                <w:tcPr>
                  <w:tcW w:w="2580" w:type="dxa"/>
                </w:tcPr>
                <w:p w:rsidR="00383A71" w:rsidRDefault="00383A71" w:rsidP="0093338B">
                  <w:pPr>
                    <w:pStyle w:val="DQITableText"/>
                    <w:ind w:left="-57"/>
                    <w:jc w:val="left"/>
                  </w:pPr>
                  <w:r>
                    <w:t>Approximately 13 per cent of structure fires</w:t>
                  </w:r>
                </w:p>
              </w:tc>
              <w:tc>
                <w:tcPr>
                  <w:tcW w:w="4111" w:type="dxa"/>
                </w:tcPr>
                <w:p w:rsidR="00383A71" w:rsidRDefault="00383A71" w:rsidP="0093338B">
                  <w:pPr>
                    <w:pStyle w:val="DQITableText"/>
                    <w:ind w:left="-57"/>
                  </w:pPr>
                  <w:proofErr w:type="spellStart"/>
                  <w:r>
                    <w:t>MFS</w:t>
                  </w:r>
                  <w:proofErr w:type="spellEnd"/>
                  <w:r>
                    <w:t xml:space="preserve"> Stations are all paid personnel allocated to stations. </w:t>
                  </w:r>
                  <w:r w:rsidRPr="00680707">
                    <w:t>Metro Stations are all full time and Country Stations are retained.</w:t>
                  </w:r>
                  <w:r>
                    <w:t xml:space="preserve"> </w:t>
                  </w:r>
                </w:p>
                <w:p w:rsidR="00383A71" w:rsidRPr="005C5518" w:rsidRDefault="00383A71" w:rsidP="0093338B">
                  <w:pPr>
                    <w:pStyle w:val="DQITableText"/>
                    <w:ind w:left="-57"/>
                  </w:pPr>
                  <w:proofErr w:type="spellStart"/>
                  <w:r>
                    <w:t>CFS</w:t>
                  </w:r>
                  <w:proofErr w:type="spellEnd"/>
                  <w:r>
                    <w:t xml:space="preserve"> stations are all volunteer. </w:t>
                  </w:r>
                  <w:proofErr w:type="spellStart"/>
                  <w:r w:rsidRPr="005C5518">
                    <w:t>CFS</w:t>
                  </w:r>
                  <w:proofErr w:type="spellEnd"/>
                  <w:r w:rsidRPr="005C5518">
                    <w:t xml:space="preserve"> has no paid firefighters.</w:t>
                  </w:r>
                </w:p>
                <w:p w:rsidR="00383A71" w:rsidRDefault="00383A71" w:rsidP="0093338B">
                  <w:pPr>
                    <w:pStyle w:val="DQITableText"/>
                    <w:ind w:left="-57"/>
                  </w:pPr>
                  <w:r>
                    <w:t xml:space="preserve">Both fire services have data quality assurance processes but were not able to estimate record completeness. In any case, incomplete record numbers are expected to be smaller than record numbers with keying errors. For </w:t>
                  </w:r>
                  <w:proofErr w:type="spellStart"/>
                  <w:r>
                    <w:t>RoGS</w:t>
                  </w:r>
                  <w:proofErr w:type="spellEnd"/>
                  <w:r>
                    <w:t xml:space="preserve"> 2009,1353 structure fires (88</w:t>
                  </w:r>
                  <w:r w:rsidR="0096477A">
                    <w:t xml:space="preserve"> per cent </w:t>
                  </w:r>
                  <w:r>
                    <w:t>of the total) were used in response time calculations i.e. had the data necessary for response time calculation.</w:t>
                  </w:r>
                </w:p>
              </w:tc>
            </w:tr>
            <w:tr w:rsidR="00383A71" w:rsidTr="0093338B">
              <w:tc>
                <w:tcPr>
                  <w:tcW w:w="681" w:type="dxa"/>
                </w:tcPr>
                <w:p w:rsidR="00383A71" w:rsidRDefault="00383A71" w:rsidP="0093338B">
                  <w:pPr>
                    <w:pStyle w:val="DQIRowHeadings"/>
                    <w:ind w:left="-85" w:right="0"/>
                  </w:pPr>
                  <w:proofErr w:type="spellStart"/>
                  <w:r>
                    <w:t>Tas</w:t>
                  </w:r>
                  <w:proofErr w:type="spellEnd"/>
                </w:p>
              </w:tc>
              <w:tc>
                <w:tcPr>
                  <w:tcW w:w="1111" w:type="dxa"/>
                </w:tcPr>
                <w:p w:rsidR="00383A71" w:rsidRDefault="00383A71" w:rsidP="0093338B">
                  <w:pPr>
                    <w:pStyle w:val="DQITableText"/>
                    <w:ind w:left="-57"/>
                    <w:jc w:val="left"/>
                  </w:pPr>
                  <w:r>
                    <w:t>Yes</w:t>
                  </w:r>
                </w:p>
              </w:tc>
              <w:tc>
                <w:tcPr>
                  <w:tcW w:w="2580" w:type="dxa"/>
                </w:tcPr>
                <w:p w:rsidR="00383A71" w:rsidRDefault="00383A71" w:rsidP="0093338B">
                  <w:pPr>
                    <w:pStyle w:val="DQITableText"/>
                    <w:ind w:left="-57"/>
                    <w:jc w:val="left"/>
                  </w:pPr>
                  <w:r>
                    <w:t>Approximately 43 per cent of structure fires</w:t>
                  </w:r>
                </w:p>
              </w:tc>
              <w:tc>
                <w:tcPr>
                  <w:tcW w:w="4111" w:type="dxa"/>
                </w:tcPr>
                <w:p w:rsidR="00383A71" w:rsidRDefault="00383A71" w:rsidP="0093338B">
                  <w:pPr>
                    <w:pStyle w:val="DQITableText"/>
                    <w:ind w:left="-57"/>
                  </w:pPr>
                  <w:proofErr w:type="spellStart"/>
                  <w:r>
                    <w:t>TFS</w:t>
                  </w:r>
                  <w:proofErr w:type="spellEnd"/>
                  <w:r>
                    <w:t xml:space="preserve"> collects data from career and volunteer brigades and the data set is &gt;98</w:t>
                  </w:r>
                  <w:r w:rsidR="0096477A">
                    <w:t> per cent</w:t>
                  </w:r>
                  <w:r>
                    <w:t xml:space="preserve"> complete.</w:t>
                  </w:r>
                </w:p>
              </w:tc>
            </w:tr>
            <w:tr w:rsidR="0093338B" w:rsidTr="0093338B">
              <w:tc>
                <w:tcPr>
                  <w:tcW w:w="681" w:type="dxa"/>
                  <w:tcBorders>
                    <w:bottom w:val="single" w:sz="6" w:space="0" w:color="BFBFBF" w:themeColor="background2"/>
                  </w:tcBorders>
                </w:tcPr>
                <w:p w:rsidR="0093338B" w:rsidRDefault="0093338B" w:rsidP="0093338B">
                  <w:pPr>
                    <w:pStyle w:val="DQIRowHeadings"/>
                    <w:ind w:left="-85" w:right="0"/>
                  </w:pPr>
                </w:p>
              </w:tc>
              <w:tc>
                <w:tcPr>
                  <w:tcW w:w="1111" w:type="dxa"/>
                  <w:tcBorders>
                    <w:bottom w:val="single" w:sz="6" w:space="0" w:color="BFBFBF" w:themeColor="background2"/>
                  </w:tcBorders>
                </w:tcPr>
                <w:p w:rsidR="0093338B" w:rsidRDefault="0093338B" w:rsidP="0093338B">
                  <w:pPr>
                    <w:pStyle w:val="DQITableText"/>
                    <w:ind w:left="-57"/>
                    <w:jc w:val="left"/>
                  </w:pPr>
                </w:p>
              </w:tc>
              <w:tc>
                <w:tcPr>
                  <w:tcW w:w="2580" w:type="dxa"/>
                  <w:tcBorders>
                    <w:bottom w:val="single" w:sz="6" w:space="0" w:color="BFBFBF" w:themeColor="background2"/>
                  </w:tcBorders>
                </w:tcPr>
                <w:p w:rsidR="0093338B" w:rsidRDefault="0093338B" w:rsidP="0093338B">
                  <w:pPr>
                    <w:pStyle w:val="DQITableText"/>
                    <w:ind w:left="-57"/>
                    <w:jc w:val="left"/>
                  </w:pPr>
                </w:p>
              </w:tc>
              <w:tc>
                <w:tcPr>
                  <w:tcW w:w="4111" w:type="dxa"/>
                  <w:tcBorders>
                    <w:bottom w:val="single" w:sz="6" w:space="0" w:color="BFBFBF" w:themeColor="background2"/>
                  </w:tcBorders>
                </w:tcPr>
                <w:p w:rsidR="0093338B" w:rsidRDefault="0093338B" w:rsidP="0093338B">
                  <w:pPr>
                    <w:pStyle w:val="DQITableText"/>
                    <w:ind w:left="-57"/>
                    <w:jc w:val="right"/>
                  </w:pPr>
                  <w:r>
                    <w:t>(continued next page)</w:t>
                  </w:r>
                </w:p>
              </w:tc>
            </w:tr>
          </w:tbl>
          <w:p w:rsidR="00383A71" w:rsidRDefault="00383A71" w:rsidP="007511E6">
            <w:pPr>
              <w:pStyle w:val="Box"/>
            </w:pPr>
          </w:p>
        </w:tc>
      </w:tr>
      <w:tr w:rsidR="009B76BC" w:rsidTr="0093338B">
        <w:trPr>
          <w:cantSplit/>
        </w:trPr>
        <w:tc>
          <w:tcPr>
            <w:tcW w:w="8767" w:type="dxa"/>
            <w:tcBorders>
              <w:top w:val="nil"/>
              <w:left w:val="nil"/>
              <w:bottom w:val="single" w:sz="6" w:space="0" w:color="78A22F"/>
              <w:right w:val="nil"/>
            </w:tcBorders>
            <w:shd w:val="clear" w:color="auto" w:fill="auto"/>
          </w:tcPr>
          <w:p w:rsidR="009B76BC" w:rsidRDefault="009B76BC" w:rsidP="007511E6">
            <w:pPr>
              <w:pStyle w:val="Box"/>
              <w:spacing w:before="0" w:line="120" w:lineRule="exact"/>
            </w:pPr>
          </w:p>
        </w:tc>
      </w:tr>
      <w:tr w:rsidR="009B76BC" w:rsidRPr="000863A5" w:rsidTr="0093338B">
        <w:tc>
          <w:tcPr>
            <w:tcW w:w="8767" w:type="dxa"/>
            <w:tcBorders>
              <w:top w:val="single" w:sz="6" w:space="0" w:color="78A22F"/>
              <w:left w:val="nil"/>
              <w:bottom w:val="nil"/>
              <w:right w:val="nil"/>
            </w:tcBorders>
          </w:tcPr>
          <w:p w:rsidR="009B76BC" w:rsidRPr="00626D32" w:rsidRDefault="009B76BC" w:rsidP="007511E6">
            <w:pPr>
              <w:pStyle w:val="BoxSpaceBelow"/>
            </w:pPr>
          </w:p>
        </w:tc>
      </w:tr>
    </w:tbl>
    <w:p w:rsidR="00476D7B" w:rsidRDefault="00476D7B" w:rsidP="00476D7B">
      <w:pPr>
        <w:pStyle w:val="BoxSpaceAbove"/>
      </w:pPr>
    </w:p>
    <w:tbl>
      <w:tblPr>
        <w:tblW w:w="8767"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67"/>
      </w:tblGrid>
      <w:tr w:rsidR="00476D7B" w:rsidTr="00874357">
        <w:tc>
          <w:tcPr>
            <w:tcW w:w="8767" w:type="dxa"/>
            <w:tcBorders>
              <w:top w:val="single" w:sz="6" w:space="0" w:color="78A22F"/>
              <w:left w:val="nil"/>
              <w:bottom w:val="nil"/>
              <w:right w:val="nil"/>
            </w:tcBorders>
            <w:shd w:val="clear" w:color="auto" w:fill="auto"/>
          </w:tcPr>
          <w:p w:rsidR="00476D7B" w:rsidRPr="00784A05" w:rsidRDefault="00476D7B" w:rsidP="00874357">
            <w:pPr>
              <w:pStyle w:val="TableTitle"/>
            </w:pPr>
            <w:r>
              <w:rPr>
                <w:b w:val="0"/>
              </w:rPr>
              <w:t xml:space="preserve">Table </w:t>
            </w:r>
            <w:r w:rsidR="00874357">
              <w:rPr>
                <w:b w:val="0"/>
              </w:rPr>
              <w:t>8</w:t>
            </w:r>
            <w:r w:rsidRPr="00E90B9B">
              <w:rPr>
                <w:b w:val="0"/>
              </w:rPr>
              <w:tab/>
            </w:r>
            <w:r w:rsidR="00874357" w:rsidRPr="00874357">
              <w:rPr>
                <w:b w:val="0"/>
                <w:sz w:val="18"/>
                <w:szCs w:val="18"/>
              </w:rPr>
              <w:t>(</w:t>
            </w:r>
            <w:r w:rsidR="0096477A" w:rsidRPr="00874357">
              <w:rPr>
                <w:b w:val="0"/>
                <w:sz w:val="18"/>
                <w:szCs w:val="18"/>
              </w:rPr>
              <w:t>continued</w:t>
            </w:r>
            <w:r w:rsidR="00874357" w:rsidRPr="00874357">
              <w:rPr>
                <w:b w:val="0"/>
                <w:sz w:val="18"/>
                <w:szCs w:val="18"/>
              </w:rPr>
              <w:t>)</w:t>
            </w:r>
          </w:p>
        </w:tc>
      </w:tr>
      <w:tr w:rsidR="00476D7B" w:rsidTr="00874357">
        <w:trPr>
          <w:cantSplit/>
        </w:trPr>
        <w:tc>
          <w:tcPr>
            <w:tcW w:w="8767" w:type="dxa"/>
            <w:tcBorders>
              <w:top w:val="nil"/>
              <w:left w:val="nil"/>
              <w:bottom w:val="nil"/>
              <w:right w:val="nil"/>
            </w:tcBorders>
            <w:shd w:val="clear" w:color="auto" w:fill="auto"/>
          </w:tcPr>
          <w:tbl>
            <w:tblPr>
              <w:tblW w:w="8483" w:type="dxa"/>
              <w:tblCellMar>
                <w:left w:w="85" w:type="dxa"/>
                <w:right w:w="57" w:type="dxa"/>
              </w:tblCellMar>
              <w:tblLook w:val="0000" w:firstRow="0" w:lastRow="0" w:firstColumn="0" w:lastColumn="0" w:noHBand="0" w:noVBand="0"/>
            </w:tblPr>
            <w:tblGrid>
              <w:gridCol w:w="681"/>
              <w:gridCol w:w="1145"/>
              <w:gridCol w:w="2546"/>
              <w:gridCol w:w="4111"/>
            </w:tblGrid>
            <w:tr w:rsidR="00476D7B" w:rsidTr="00874357">
              <w:tc>
                <w:tcPr>
                  <w:tcW w:w="681" w:type="dxa"/>
                  <w:tcBorders>
                    <w:top w:val="single" w:sz="6" w:space="0" w:color="BFBFBF" w:themeColor="background2"/>
                    <w:bottom w:val="single" w:sz="6" w:space="0" w:color="BFBFBF" w:themeColor="background2"/>
                  </w:tcBorders>
                  <w:shd w:val="clear" w:color="auto" w:fill="auto"/>
                </w:tcPr>
                <w:p w:rsidR="00476D7B" w:rsidRPr="0093338B" w:rsidRDefault="00476D7B" w:rsidP="00874357">
                  <w:pPr>
                    <w:pStyle w:val="TableColumnHeading"/>
                    <w:jc w:val="left"/>
                  </w:pPr>
                </w:p>
              </w:tc>
              <w:tc>
                <w:tcPr>
                  <w:tcW w:w="1145" w:type="dxa"/>
                  <w:tcBorders>
                    <w:top w:val="single" w:sz="6" w:space="0" w:color="BFBFBF" w:themeColor="background2"/>
                    <w:bottom w:val="single" w:sz="6" w:space="0" w:color="BFBFBF" w:themeColor="background2"/>
                  </w:tcBorders>
                  <w:shd w:val="clear" w:color="auto" w:fill="auto"/>
                </w:tcPr>
                <w:p w:rsidR="00476D7B" w:rsidRPr="0093338B" w:rsidRDefault="00476D7B" w:rsidP="00874357">
                  <w:pPr>
                    <w:pStyle w:val="DQIMainRowHeadings"/>
                    <w:spacing w:before="80" w:after="80"/>
                    <w:ind w:left="-57" w:right="0"/>
                    <w:rPr>
                      <w:b w:val="0"/>
                      <w:i/>
                      <w:u w:val="none"/>
                    </w:rPr>
                  </w:pPr>
                  <w:r w:rsidRPr="0093338B">
                    <w:rPr>
                      <w:b w:val="0"/>
                      <w:i/>
                      <w:u w:val="none"/>
                    </w:rPr>
                    <w:t>Volunteer brigade data included?</w:t>
                  </w:r>
                </w:p>
              </w:tc>
              <w:tc>
                <w:tcPr>
                  <w:tcW w:w="2546" w:type="dxa"/>
                  <w:tcBorders>
                    <w:top w:val="single" w:sz="6" w:space="0" w:color="BFBFBF" w:themeColor="background2"/>
                    <w:bottom w:val="single" w:sz="6" w:space="0" w:color="BFBFBF" w:themeColor="background2"/>
                  </w:tcBorders>
                  <w:shd w:val="clear" w:color="auto" w:fill="auto"/>
                </w:tcPr>
                <w:p w:rsidR="00476D7B" w:rsidRPr="0093338B" w:rsidRDefault="001204EA" w:rsidP="00874357">
                  <w:pPr>
                    <w:pStyle w:val="DQIMainRowHeadings"/>
                    <w:spacing w:before="80" w:after="80"/>
                    <w:ind w:left="-57" w:right="0"/>
                    <w:rPr>
                      <w:b w:val="0"/>
                      <w:i/>
                      <w:u w:val="none"/>
                    </w:rPr>
                  </w:pPr>
                  <w:r>
                    <w:rPr>
                      <w:b w:val="0"/>
                      <w:i/>
                      <w:u w:val="none"/>
                    </w:rPr>
                    <w:br/>
                  </w:r>
                  <w:r w:rsidR="00476D7B" w:rsidRPr="0093338B">
                    <w:rPr>
                      <w:b w:val="0"/>
                      <w:i/>
                      <w:u w:val="none"/>
                    </w:rPr>
                    <w:t>Percentage of data relating to volunteer brigades</w:t>
                  </w:r>
                  <w:r w:rsidR="00476D7B" w:rsidRPr="0093338B">
                    <w:rPr>
                      <w:b w:val="0"/>
                      <w:i/>
                      <w:u w:val="none"/>
                      <w:vertAlign w:val="superscript"/>
                    </w:rPr>
                    <w:t xml:space="preserve"> a</w:t>
                  </w:r>
                </w:p>
              </w:tc>
              <w:tc>
                <w:tcPr>
                  <w:tcW w:w="4111" w:type="dxa"/>
                  <w:tcBorders>
                    <w:top w:val="single" w:sz="6" w:space="0" w:color="BFBFBF" w:themeColor="background2"/>
                    <w:bottom w:val="single" w:sz="6" w:space="0" w:color="BFBFBF" w:themeColor="background2"/>
                  </w:tcBorders>
                  <w:shd w:val="clear" w:color="auto" w:fill="auto"/>
                </w:tcPr>
                <w:p w:rsidR="00476D7B" w:rsidRPr="0093338B" w:rsidRDefault="001204EA" w:rsidP="00874357">
                  <w:pPr>
                    <w:pStyle w:val="DQIMainRowHeadings"/>
                    <w:spacing w:before="80" w:after="80"/>
                    <w:ind w:left="-57" w:right="0"/>
                    <w:jc w:val="both"/>
                    <w:rPr>
                      <w:b w:val="0"/>
                      <w:i/>
                      <w:u w:val="none"/>
                    </w:rPr>
                  </w:pPr>
                  <w:r>
                    <w:rPr>
                      <w:b w:val="0"/>
                      <w:i/>
                      <w:u w:val="none"/>
                    </w:rPr>
                    <w:br/>
                  </w:r>
                  <w:r>
                    <w:rPr>
                      <w:b w:val="0"/>
                      <w:i/>
                      <w:u w:val="none"/>
                    </w:rPr>
                    <w:br/>
                  </w:r>
                  <w:r w:rsidR="00476D7B" w:rsidRPr="0093338B">
                    <w:rPr>
                      <w:b w:val="0"/>
                      <w:i/>
                      <w:u w:val="none"/>
                    </w:rPr>
                    <w:t>Other information relating to data completeness</w:t>
                  </w:r>
                </w:p>
              </w:tc>
            </w:tr>
            <w:tr w:rsidR="00476D7B" w:rsidTr="00874357">
              <w:tc>
                <w:tcPr>
                  <w:tcW w:w="681" w:type="dxa"/>
                </w:tcPr>
                <w:p w:rsidR="00476D7B" w:rsidRDefault="00476D7B" w:rsidP="00874357">
                  <w:pPr>
                    <w:pStyle w:val="DQIRowHeadings"/>
                    <w:ind w:left="-85" w:right="0"/>
                  </w:pPr>
                  <w:r>
                    <w:t>ACT</w:t>
                  </w:r>
                </w:p>
              </w:tc>
              <w:tc>
                <w:tcPr>
                  <w:tcW w:w="1145" w:type="dxa"/>
                </w:tcPr>
                <w:p w:rsidR="00476D7B" w:rsidRDefault="00476D7B" w:rsidP="00874357">
                  <w:pPr>
                    <w:pStyle w:val="DQITableText"/>
                    <w:ind w:left="-57"/>
                    <w:jc w:val="left"/>
                  </w:pPr>
                  <w:r>
                    <w:t>No</w:t>
                  </w:r>
                </w:p>
              </w:tc>
              <w:tc>
                <w:tcPr>
                  <w:tcW w:w="2546" w:type="dxa"/>
                </w:tcPr>
                <w:p w:rsidR="00476D7B" w:rsidRDefault="00476D7B" w:rsidP="00874357">
                  <w:pPr>
                    <w:pStyle w:val="DQITableText"/>
                    <w:ind w:left="-57"/>
                    <w:jc w:val="left"/>
                  </w:pPr>
                  <w:r>
                    <w:t>..</w:t>
                  </w:r>
                </w:p>
              </w:tc>
              <w:tc>
                <w:tcPr>
                  <w:tcW w:w="4111" w:type="dxa"/>
                </w:tcPr>
                <w:p w:rsidR="00476D7B" w:rsidRDefault="00476D7B" w:rsidP="00874357">
                  <w:pPr>
                    <w:pStyle w:val="DQITableText"/>
                    <w:ind w:left="-57"/>
                  </w:pPr>
                  <w:r>
                    <w:t>..</w:t>
                  </w:r>
                </w:p>
              </w:tc>
            </w:tr>
            <w:tr w:rsidR="00476D7B" w:rsidTr="00874357">
              <w:tc>
                <w:tcPr>
                  <w:tcW w:w="681" w:type="dxa"/>
                  <w:tcBorders>
                    <w:bottom w:val="single" w:sz="6" w:space="0" w:color="BFBFBF" w:themeColor="background2"/>
                  </w:tcBorders>
                  <w:shd w:val="clear" w:color="auto" w:fill="auto"/>
                </w:tcPr>
                <w:p w:rsidR="00476D7B" w:rsidRDefault="00476D7B" w:rsidP="0093338B">
                  <w:pPr>
                    <w:pStyle w:val="DQIRowHeadings"/>
                    <w:ind w:left="-85" w:right="0"/>
                  </w:pPr>
                  <w:r>
                    <w:t>NT</w:t>
                  </w:r>
                </w:p>
              </w:tc>
              <w:tc>
                <w:tcPr>
                  <w:tcW w:w="1145" w:type="dxa"/>
                  <w:tcBorders>
                    <w:bottom w:val="single" w:sz="6" w:space="0" w:color="BFBFBF" w:themeColor="background2"/>
                  </w:tcBorders>
                  <w:shd w:val="clear" w:color="auto" w:fill="auto"/>
                </w:tcPr>
                <w:p w:rsidR="00476D7B" w:rsidRDefault="00476D7B" w:rsidP="0093338B">
                  <w:pPr>
                    <w:pStyle w:val="DQITableText"/>
                    <w:ind w:left="-57"/>
                    <w:jc w:val="left"/>
                  </w:pPr>
                  <w:r>
                    <w:t>No</w:t>
                  </w:r>
                </w:p>
              </w:tc>
              <w:tc>
                <w:tcPr>
                  <w:tcW w:w="2546" w:type="dxa"/>
                  <w:tcBorders>
                    <w:bottom w:val="single" w:sz="6" w:space="0" w:color="BFBFBF" w:themeColor="background2"/>
                  </w:tcBorders>
                  <w:shd w:val="clear" w:color="auto" w:fill="auto"/>
                </w:tcPr>
                <w:p w:rsidR="00476D7B" w:rsidRDefault="00476D7B" w:rsidP="0093338B">
                  <w:pPr>
                    <w:pStyle w:val="DQITableText"/>
                    <w:ind w:left="-57"/>
                    <w:jc w:val="left"/>
                  </w:pPr>
                  <w:r>
                    <w:t>..</w:t>
                  </w:r>
                </w:p>
              </w:tc>
              <w:tc>
                <w:tcPr>
                  <w:tcW w:w="4111" w:type="dxa"/>
                  <w:tcBorders>
                    <w:bottom w:val="single" w:sz="6" w:space="0" w:color="BFBFBF" w:themeColor="background2"/>
                  </w:tcBorders>
                  <w:shd w:val="clear" w:color="auto" w:fill="auto"/>
                </w:tcPr>
                <w:p w:rsidR="00476D7B" w:rsidRDefault="00476D7B" w:rsidP="0093338B">
                  <w:pPr>
                    <w:pStyle w:val="DQITableText"/>
                    <w:ind w:left="-57"/>
                  </w:pPr>
                  <w:r>
                    <w:t xml:space="preserve">Currently there are no provisions for data entry by volunteers in the </w:t>
                  </w:r>
                  <w:proofErr w:type="spellStart"/>
                  <w:r>
                    <w:t>NTFRS</w:t>
                  </w:r>
                  <w:proofErr w:type="spellEnd"/>
                  <w:r>
                    <w:t xml:space="preserve">. It should be noted that Bushfires NT provides response to grassfires only outside </w:t>
                  </w:r>
                  <w:proofErr w:type="spellStart"/>
                  <w:r>
                    <w:t>NTFRS</w:t>
                  </w:r>
                  <w:proofErr w:type="spellEnd"/>
                  <w:r>
                    <w:t xml:space="preserve"> Emergency Response Areas and does not provide any data to </w:t>
                  </w:r>
                  <w:proofErr w:type="spellStart"/>
                  <w:r w:rsidR="007F6100">
                    <w:t>RoGS</w:t>
                  </w:r>
                  <w:proofErr w:type="spellEnd"/>
                </w:p>
              </w:tc>
            </w:tr>
          </w:tbl>
          <w:p w:rsidR="00476D7B" w:rsidRDefault="00476D7B" w:rsidP="00EE3F05">
            <w:pPr>
              <w:pStyle w:val="Box"/>
            </w:pPr>
          </w:p>
        </w:tc>
      </w:tr>
      <w:tr w:rsidR="00476D7B" w:rsidRPr="001F5689" w:rsidTr="00874357">
        <w:trPr>
          <w:cantSplit/>
        </w:trPr>
        <w:tc>
          <w:tcPr>
            <w:tcW w:w="8767" w:type="dxa"/>
            <w:tcBorders>
              <w:top w:val="nil"/>
              <w:left w:val="nil"/>
              <w:bottom w:val="nil"/>
              <w:right w:val="nil"/>
            </w:tcBorders>
            <w:shd w:val="clear" w:color="auto" w:fill="auto"/>
          </w:tcPr>
          <w:p w:rsidR="00476D7B" w:rsidRPr="001F5689" w:rsidRDefault="00476D7B" w:rsidP="00EE3F05">
            <w:pPr>
              <w:pStyle w:val="Note"/>
              <w:rPr>
                <w:rStyle w:val="NoteLabel"/>
                <w:b w:val="0"/>
                <w:position w:val="0"/>
              </w:rPr>
            </w:pPr>
            <w:proofErr w:type="spellStart"/>
            <w:r w:rsidRPr="001F5689">
              <w:rPr>
                <w:rStyle w:val="NoteLabel"/>
              </w:rPr>
              <w:t>a</w:t>
            </w:r>
            <w:proofErr w:type="spellEnd"/>
            <w:r w:rsidRPr="001F5689">
              <w:t xml:space="preserve"> </w:t>
            </w:r>
            <w:r>
              <w:t>Estimates of the proportion of data relating to volunteer brigades were compiled for 2008-09, unless otherwise stated.</w:t>
            </w:r>
            <w:r w:rsidRPr="009B76BC">
              <w:t xml:space="preserve"> </w:t>
            </w:r>
            <w:r>
              <w:t xml:space="preserve"> </w:t>
            </w:r>
            <w:r w:rsidRPr="009B76BC">
              <w:t>..</w:t>
            </w:r>
            <w:r w:rsidRPr="00521B8E">
              <w:rPr>
                <w:b/>
              </w:rPr>
              <w:t xml:space="preserve"> </w:t>
            </w:r>
            <w:r w:rsidRPr="00521B8E">
              <w:t>Not a</w:t>
            </w:r>
            <w:r>
              <w:t>pplicable</w:t>
            </w:r>
            <w:r w:rsidRPr="00521B8E">
              <w:t>.</w:t>
            </w:r>
          </w:p>
        </w:tc>
      </w:tr>
      <w:tr w:rsidR="00476D7B" w:rsidTr="00874357">
        <w:trPr>
          <w:cantSplit/>
        </w:trPr>
        <w:tc>
          <w:tcPr>
            <w:tcW w:w="8767" w:type="dxa"/>
            <w:tcBorders>
              <w:top w:val="nil"/>
              <w:left w:val="nil"/>
              <w:bottom w:val="nil"/>
              <w:right w:val="nil"/>
            </w:tcBorders>
            <w:shd w:val="clear" w:color="auto" w:fill="auto"/>
          </w:tcPr>
          <w:p w:rsidR="00476D7B" w:rsidRDefault="00476D7B" w:rsidP="00EE3F05">
            <w:pPr>
              <w:pStyle w:val="Source"/>
              <w:keepNext/>
            </w:pPr>
            <w:r>
              <w:rPr>
                <w:i/>
              </w:rPr>
              <w:t>Source</w:t>
            </w:r>
            <w:r>
              <w:t>: State and Territory governments.</w:t>
            </w:r>
          </w:p>
        </w:tc>
      </w:tr>
      <w:tr w:rsidR="00476D7B" w:rsidTr="00874357">
        <w:trPr>
          <w:cantSplit/>
        </w:trPr>
        <w:tc>
          <w:tcPr>
            <w:tcW w:w="8767" w:type="dxa"/>
            <w:tcBorders>
              <w:top w:val="nil"/>
              <w:left w:val="nil"/>
              <w:bottom w:val="single" w:sz="6" w:space="0" w:color="78A22F"/>
              <w:right w:val="nil"/>
            </w:tcBorders>
            <w:shd w:val="clear" w:color="auto" w:fill="auto"/>
          </w:tcPr>
          <w:p w:rsidR="00476D7B" w:rsidRDefault="00476D7B" w:rsidP="00EE3F05">
            <w:pPr>
              <w:pStyle w:val="Box"/>
              <w:spacing w:before="0" w:line="120" w:lineRule="exact"/>
            </w:pPr>
          </w:p>
        </w:tc>
      </w:tr>
      <w:tr w:rsidR="00476D7B" w:rsidRPr="000863A5" w:rsidTr="00874357">
        <w:tc>
          <w:tcPr>
            <w:tcW w:w="8767" w:type="dxa"/>
            <w:tcBorders>
              <w:top w:val="single" w:sz="6" w:space="0" w:color="78A22F"/>
              <w:left w:val="nil"/>
              <w:bottom w:val="nil"/>
              <w:right w:val="nil"/>
            </w:tcBorders>
          </w:tcPr>
          <w:p w:rsidR="00476D7B" w:rsidRPr="00626D32" w:rsidRDefault="00476D7B" w:rsidP="00EE3F05">
            <w:pPr>
              <w:pStyle w:val="BoxSpaceBelow"/>
            </w:pPr>
          </w:p>
        </w:tc>
      </w:tr>
    </w:tbl>
    <w:p w:rsidR="00383A71" w:rsidRDefault="00383A71" w:rsidP="007511E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654"/>
      </w:tblGrid>
      <w:tr w:rsidR="00383A71" w:rsidTr="007511E6">
        <w:tc>
          <w:tcPr>
            <w:tcW w:w="8771" w:type="dxa"/>
            <w:tcBorders>
              <w:top w:val="single" w:sz="6" w:space="0" w:color="78A22F"/>
              <w:left w:val="nil"/>
              <w:bottom w:val="nil"/>
              <w:right w:val="nil"/>
            </w:tcBorders>
            <w:shd w:val="clear" w:color="auto" w:fill="auto"/>
          </w:tcPr>
          <w:p w:rsidR="00383A71" w:rsidRPr="00784A05" w:rsidRDefault="00383A71" w:rsidP="001263E0">
            <w:pPr>
              <w:pStyle w:val="TableTitle"/>
            </w:pPr>
            <w:r>
              <w:rPr>
                <w:b w:val="0"/>
              </w:rPr>
              <w:t xml:space="preserve">Table </w:t>
            </w:r>
            <w:bookmarkStart w:id="54" w:name="OLE_LINK9"/>
            <w:r w:rsidR="00B560A0">
              <w:rPr>
                <w:b w:val="0"/>
                <w:noProof/>
              </w:rPr>
              <w:t>9</w:t>
            </w:r>
            <w:bookmarkEnd w:id="54"/>
            <w:r>
              <w:tab/>
              <w:t>E</w:t>
            </w:r>
            <w:r w:rsidRPr="006A5446">
              <w:t xml:space="preserve">xtrapolation and estimation </w:t>
            </w:r>
            <w:r w:rsidRPr="008553B3">
              <w:t>responses</w:t>
            </w:r>
          </w:p>
        </w:tc>
      </w:tr>
      <w:tr w:rsidR="00383A71" w:rsidTr="007511E6">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697"/>
              <w:gridCol w:w="1676"/>
              <w:gridCol w:w="5997"/>
            </w:tblGrid>
            <w:tr w:rsidR="00383A71" w:rsidTr="00363B2E">
              <w:tc>
                <w:tcPr>
                  <w:tcW w:w="700" w:type="dxa"/>
                  <w:tcBorders>
                    <w:top w:val="single" w:sz="6" w:space="0" w:color="BFBFBF" w:themeColor="background2"/>
                    <w:bottom w:val="single" w:sz="6" w:space="0" w:color="BFBFBF" w:themeColor="background2"/>
                  </w:tcBorders>
                  <w:shd w:val="clear" w:color="auto" w:fill="auto"/>
                </w:tcPr>
                <w:p w:rsidR="00383A71" w:rsidRDefault="00383A71" w:rsidP="00363B2E">
                  <w:pPr>
                    <w:pStyle w:val="TableColumnHeading"/>
                    <w:jc w:val="left"/>
                  </w:pPr>
                </w:p>
              </w:tc>
              <w:tc>
                <w:tcPr>
                  <w:tcW w:w="1688" w:type="dxa"/>
                  <w:tcBorders>
                    <w:top w:val="single" w:sz="6" w:space="0" w:color="BFBFBF" w:themeColor="background2"/>
                    <w:bottom w:val="single" w:sz="6" w:space="0" w:color="BFBFBF" w:themeColor="background2"/>
                  </w:tcBorders>
                  <w:shd w:val="clear" w:color="auto" w:fill="auto"/>
                </w:tcPr>
                <w:p w:rsidR="00383A71" w:rsidRPr="00363B2E" w:rsidRDefault="00383A71" w:rsidP="00363B2E">
                  <w:pPr>
                    <w:pStyle w:val="DQIMainRowHeadings"/>
                    <w:spacing w:before="80" w:after="80"/>
                    <w:rPr>
                      <w:b w:val="0"/>
                      <w:i/>
                      <w:u w:val="none"/>
                    </w:rPr>
                  </w:pPr>
                  <w:r w:rsidRPr="00363B2E">
                    <w:rPr>
                      <w:b w:val="0"/>
                      <w:i/>
                      <w:u w:val="none"/>
                    </w:rPr>
                    <w:t xml:space="preserve">Are any response time data extrapolated </w:t>
                  </w:r>
                </w:p>
              </w:tc>
              <w:tc>
                <w:tcPr>
                  <w:tcW w:w="6099" w:type="dxa"/>
                  <w:tcBorders>
                    <w:top w:val="single" w:sz="6" w:space="0" w:color="BFBFBF" w:themeColor="background2"/>
                    <w:bottom w:val="single" w:sz="6" w:space="0" w:color="BFBFBF" w:themeColor="background2"/>
                  </w:tcBorders>
                  <w:shd w:val="clear" w:color="auto" w:fill="auto"/>
                </w:tcPr>
                <w:p w:rsidR="00383A71" w:rsidRPr="00363B2E" w:rsidRDefault="00363B2E" w:rsidP="00363B2E">
                  <w:pPr>
                    <w:pStyle w:val="DQIMainRowHeadings"/>
                    <w:spacing w:before="80" w:after="80"/>
                    <w:rPr>
                      <w:b w:val="0"/>
                      <w:i/>
                      <w:u w:val="none"/>
                    </w:rPr>
                  </w:pPr>
                  <w:r>
                    <w:rPr>
                      <w:b w:val="0"/>
                      <w:i/>
                      <w:u w:val="none"/>
                    </w:rPr>
                    <w:br/>
                  </w:r>
                  <w:r w:rsidR="00383A71" w:rsidRPr="00363B2E">
                    <w:rPr>
                      <w:b w:val="0"/>
                      <w:i/>
                      <w:u w:val="none"/>
                    </w:rPr>
                    <w:t>Are any response time data estimated and if so explain the rationale and method used</w:t>
                  </w:r>
                </w:p>
              </w:tc>
            </w:tr>
            <w:tr w:rsidR="00383A71" w:rsidTr="00363B2E">
              <w:tc>
                <w:tcPr>
                  <w:tcW w:w="700" w:type="dxa"/>
                  <w:tcBorders>
                    <w:top w:val="single" w:sz="6" w:space="0" w:color="BFBFBF" w:themeColor="background2"/>
                  </w:tcBorders>
                </w:tcPr>
                <w:p w:rsidR="00383A71" w:rsidRDefault="00383A71" w:rsidP="00363B2E">
                  <w:pPr>
                    <w:pStyle w:val="DQIRowHeadings"/>
                  </w:pPr>
                  <w:r>
                    <w:t>NSW</w:t>
                  </w:r>
                </w:p>
              </w:tc>
              <w:tc>
                <w:tcPr>
                  <w:tcW w:w="1688" w:type="dxa"/>
                  <w:tcBorders>
                    <w:top w:val="single" w:sz="6" w:space="0" w:color="BFBFBF" w:themeColor="background2"/>
                  </w:tcBorders>
                </w:tcPr>
                <w:p w:rsidR="00383A71" w:rsidRDefault="00383A71" w:rsidP="00363B2E">
                  <w:pPr>
                    <w:pStyle w:val="DQITableText"/>
                  </w:pPr>
                  <w:r>
                    <w:t xml:space="preserve">No </w:t>
                  </w:r>
                </w:p>
              </w:tc>
              <w:tc>
                <w:tcPr>
                  <w:tcW w:w="6099" w:type="dxa"/>
                  <w:tcBorders>
                    <w:top w:val="single" w:sz="6" w:space="0" w:color="BFBFBF" w:themeColor="background2"/>
                  </w:tcBorders>
                </w:tcPr>
                <w:p w:rsidR="00383A71" w:rsidRDefault="00383A71" w:rsidP="00363B2E">
                  <w:pPr>
                    <w:pStyle w:val="DQITableText"/>
                  </w:pPr>
                  <w:r>
                    <w:t>Response times collected manually from volunteer brigades are estimates. Incident information provided by volunteer fire</w:t>
                  </w:r>
                  <w:r>
                    <w:noBreakHyphen/>
                    <w:t>fighters is entered into an AIRS</w:t>
                  </w:r>
                  <w:r>
                    <w:noBreakHyphen/>
                    <w:t>compliant database. However, the information is provided post incident. There is a margin of error, in that times are very difficult to correlate from independent sources.</w:t>
                  </w:r>
                </w:p>
              </w:tc>
            </w:tr>
            <w:tr w:rsidR="00383A71" w:rsidTr="00363B2E">
              <w:tc>
                <w:tcPr>
                  <w:tcW w:w="700" w:type="dxa"/>
                </w:tcPr>
                <w:p w:rsidR="00383A71" w:rsidRDefault="00383A71" w:rsidP="00B47113">
                  <w:pPr>
                    <w:pStyle w:val="DQIRowHeadings"/>
                  </w:pPr>
                  <w:r>
                    <w:t>Vic</w:t>
                  </w:r>
                </w:p>
              </w:tc>
              <w:tc>
                <w:tcPr>
                  <w:tcW w:w="1688" w:type="dxa"/>
                </w:tcPr>
                <w:p w:rsidR="00383A71" w:rsidRDefault="00383A71" w:rsidP="00B47113">
                  <w:pPr>
                    <w:pStyle w:val="DQITableText"/>
                  </w:pPr>
                  <w:r>
                    <w:t xml:space="preserve">No </w:t>
                  </w:r>
                </w:p>
              </w:tc>
              <w:tc>
                <w:tcPr>
                  <w:tcW w:w="6099" w:type="dxa"/>
                </w:tcPr>
                <w:p w:rsidR="00383A71" w:rsidRDefault="00383A71" w:rsidP="00B47113">
                  <w:pPr>
                    <w:pStyle w:val="DQITableText"/>
                  </w:pPr>
                  <w:r>
                    <w:t xml:space="preserve">Where response time data </w:t>
                  </w:r>
                  <w:r w:rsidR="0096477A">
                    <w:t>are</w:t>
                  </w:r>
                  <w:r>
                    <w:t xml:space="preserve"> incomplete it is excluded from reporting. </w:t>
                  </w:r>
                </w:p>
                <w:p w:rsidR="00383A71" w:rsidRDefault="00383A71" w:rsidP="00B47113">
                  <w:pPr>
                    <w:pStyle w:val="DQITableText"/>
                  </w:pPr>
                  <w:proofErr w:type="spellStart"/>
                  <w:r>
                    <w:t>CFA</w:t>
                  </w:r>
                  <w:proofErr w:type="spellEnd"/>
                  <w:r>
                    <w:t xml:space="preserve"> response time data (mostly volunteer brigades) may incorporate an estimation factor of arrival time provided by the responding operational crews, either to the nearest minute on a wrist watch, or in the case of rural volunteer brigades, estimated after the incident. </w:t>
                  </w:r>
                </w:p>
                <w:p w:rsidR="00383A71" w:rsidRDefault="00383A71" w:rsidP="00B47113">
                  <w:pPr>
                    <w:pStyle w:val="DQITableText"/>
                  </w:pPr>
                  <w:r>
                    <w:t>There is no estimation undertaken on data reported by the brigades.</w:t>
                  </w:r>
                </w:p>
              </w:tc>
            </w:tr>
            <w:tr w:rsidR="00383A71" w:rsidTr="00363B2E">
              <w:tc>
                <w:tcPr>
                  <w:tcW w:w="700" w:type="dxa"/>
                </w:tcPr>
                <w:p w:rsidR="00383A71" w:rsidRDefault="00383A71" w:rsidP="00B47113">
                  <w:pPr>
                    <w:pStyle w:val="DQIRowHeadings"/>
                  </w:pPr>
                  <w:r>
                    <w:t>Qld</w:t>
                  </w:r>
                </w:p>
              </w:tc>
              <w:tc>
                <w:tcPr>
                  <w:tcW w:w="1688" w:type="dxa"/>
                </w:tcPr>
                <w:p w:rsidR="00383A71" w:rsidRDefault="00383A71" w:rsidP="00B47113">
                  <w:pPr>
                    <w:pStyle w:val="DQITableText"/>
                  </w:pPr>
                  <w:r>
                    <w:t>No</w:t>
                  </w:r>
                </w:p>
              </w:tc>
              <w:tc>
                <w:tcPr>
                  <w:tcW w:w="6099" w:type="dxa"/>
                </w:tcPr>
                <w:p w:rsidR="00383A71" w:rsidRDefault="00383A71" w:rsidP="00B47113">
                  <w:pPr>
                    <w:pStyle w:val="DQITableText"/>
                  </w:pPr>
                  <w:r>
                    <w:t>No</w:t>
                  </w:r>
                </w:p>
              </w:tc>
            </w:tr>
            <w:tr w:rsidR="00383A71" w:rsidTr="00363B2E">
              <w:tc>
                <w:tcPr>
                  <w:tcW w:w="700" w:type="dxa"/>
                </w:tcPr>
                <w:p w:rsidR="00383A71" w:rsidRDefault="00383A71" w:rsidP="00B47113">
                  <w:pPr>
                    <w:pStyle w:val="DQIRowHeadings"/>
                  </w:pPr>
                  <w:r>
                    <w:t>WA</w:t>
                  </w:r>
                </w:p>
              </w:tc>
              <w:tc>
                <w:tcPr>
                  <w:tcW w:w="1688" w:type="dxa"/>
                </w:tcPr>
                <w:p w:rsidR="00383A71" w:rsidRDefault="00383A71" w:rsidP="00B47113">
                  <w:pPr>
                    <w:pStyle w:val="DQITableText"/>
                  </w:pPr>
                  <w:r>
                    <w:t>No</w:t>
                  </w:r>
                </w:p>
              </w:tc>
              <w:tc>
                <w:tcPr>
                  <w:tcW w:w="6099" w:type="dxa"/>
                </w:tcPr>
                <w:p w:rsidR="00383A71" w:rsidRDefault="00383A71" w:rsidP="00B47113">
                  <w:pPr>
                    <w:pStyle w:val="DQITableText"/>
                  </w:pPr>
                  <w:r>
                    <w:t>No</w:t>
                  </w:r>
                </w:p>
              </w:tc>
            </w:tr>
            <w:tr w:rsidR="00383A71" w:rsidTr="00363B2E">
              <w:tc>
                <w:tcPr>
                  <w:tcW w:w="700" w:type="dxa"/>
                </w:tcPr>
                <w:p w:rsidR="00383A71" w:rsidRDefault="00383A71" w:rsidP="00B47113">
                  <w:pPr>
                    <w:pStyle w:val="DQIRowHeadings"/>
                  </w:pPr>
                  <w:r>
                    <w:t>SA</w:t>
                  </w:r>
                </w:p>
              </w:tc>
              <w:tc>
                <w:tcPr>
                  <w:tcW w:w="1688" w:type="dxa"/>
                </w:tcPr>
                <w:p w:rsidR="00383A71" w:rsidRDefault="00383A71" w:rsidP="00B47113">
                  <w:pPr>
                    <w:pStyle w:val="DQITableText"/>
                  </w:pPr>
                  <w:r>
                    <w:t xml:space="preserve">No </w:t>
                  </w:r>
                </w:p>
              </w:tc>
              <w:tc>
                <w:tcPr>
                  <w:tcW w:w="6099" w:type="dxa"/>
                </w:tcPr>
                <w:p w:rsidR="00383A71" w:rsidRDefault="00383A71" w:rsidP="00B47113">
                  <w:pPr>
                    <w:pStyle w:val="DQITableText"/>
                  </w:pPr>
                  <w:r>
                    <w:t>If times required to calculate response time are not documented then these records are excluded from response time calculations.</w:t>
                  </w:r>
                </w:p>
              </w:tc>
            </w:tr>
            <w:tr w:rsidR="00383A71" w:rsidTr="00363B2E">
              <w:tc>
                <w:tcPr>
                  <w:tcW w:w="700" w:type="dxa"/>
                </w:tcPr>
                <w:p w:rsidR="00383A71" w:rsidRDefault="00383A71" w:rsidP="00B47113">
                  <w:pPr>
                    <w:pStyle w:val="DQIRowHeadings"/>
                  </w:pPr>
                  <w:proofErr w:type="spellStart"/>
                  <w:r>
                    <w:t>Tas</w:t>
                  </w:r>
                  <w:proofErr w:type="spellEnd"/>
                </w:p>
              </w:tc>
              <w:tc>
                <w:tcPr>
                  <w:tcW w:w="1688" w:type="dxa"/>
                </w:tcPr>
                <w:p w:rsidR="00383A71" w:rsidRDefault="00383A71" w:rsidP="00B47113">
                  <w:pPr>
                    <w:pStyle w:val="DQITableText"/>
                  </w:pPr>
                  <w:r>
                    <w:t>No</w:t>
                  </w:r>
                </w:p>
              </w:tc>
              <w:tc>
                <w:tcPr>
                  <w:tcW w:w="6099" w:type="dxa"/>
                </w:tcPr>
                <w:p w:rsidR="00383A71" w:rsidRDefault="00383A71" w:rsidP="00B47113">
                  <w:pPr>
                    <w:pStyle w:val="DQITableText"/>
                  </w:pPr>
                  <w:r>
                    <w:t>No</w:t>
                  </w:r>
                </w:p>
              </w:tc>
            </w:tr>
            <w:tr w:rsidR="00383A71" w:rsidTr="00363B2E">
              <w:tc>
                <w:tcPr>
                  <w:tcW w:w="700" w:type="dxa"/>
                </w:tcPr>
                <w:p w:rsidR="00383A71" w:rsidRDefault="00383A71" w:rsidP="00B47113">
                  <w:pPr>
                    <w:pStyle w:val="DQIRowHeadings"/>
                  </w:pPr>
                  <w:r>
                    <w:t>ACT</w:t>
                  </w:r>
                </w:p>
              </w:tc>
              <w:tc>
                <w:tcPr>
                  <w:tcW w:w="1688" w:type="dxa"/>
                </w:tcPr>
                <w:p w:rsidR="00383A71" w:rsidRDefault="00383A71" w:rsidP="00B47113">
                  <w:pPr>
                    <w:pStyle w:val="DQITableText"/>
                  </w:pPr>
                  <w:r>
                    <w:t>No</w:t>
                  </w:r>
                </w:p>
              </w:tc>
              <w:tc>
                <w:tcPr>
                  <w:tcW w:w="6099" w:type="dxa"/>
                </w:tcPr>
                <w:p w:rsidR="00383A71" w:rsidRDefault="00383A71" w:rsidP="00B47113">
                  <w:pPr>
                    <w:pStyle w:val="DQITableText"/>
                  </w:pPr>
                  <w:r>
                    <w:t>No</w:t>
                  </w:r>
                </w:p>
              </w:tc>
            </w:tr>
            <w:tr w:rsidR="00383A71" w:rsidTr="00363B2E">
              <w:tc>
                <w:tcPr>
                  <w:tcW w:w="700" w:type="dxa"/>
                  <w:tcBorders>
                    <w:bottom w:val="single" w:sz="6" w:space="0" w:color="BFBFBF" w:themeColor="background2"/>
                  </w:tcBorders>
                  <w:shd w:val="clear" w:color="auto" w:fill="auto"/>
                </w:tcPr>
                <w:p w:rsidR="00383A71" w:rsidRDefault="00383A71" w:rsidP="00B47113">
                  <w:pPr>
                    <w:pStyle w:val="DQIRowHeadings"/>
                  </w:pPr>
                  <w:r>
                    <w:t>NT</w:t>
                  </w:r>
                </w:p>
              </w:tc>
              <w:tc>
                <w:tcPr>
                  <w:tcW w:w="1688" w:type="dxa"/>
                  <w:tcBorders>
                    <w:bottom w:val="single" w:sz="6" w:space="0" w:color="BFBFBF" w:themeColor="background2"/>
                  </w:tcBorders>
                  <w:shd w:val="clear" w:color="auto" w:fill="auto"/>
                </w:tcPr>
                <w:p w:rsidR="00383A71" w:rsidRDefault="00383A71" w:rsidP="00B47113">
                  <w:pPr>
                    <w:pStyle w:val="DQITableText"/>
                  </w:pPr>
                  <w:r>
                    <w:t>No</w:t>
                  </w:r>
                </w:p>
              </w:tc>
              <w:tc>
                <w:tcPr>
                  <w:tcW w:w="6099" w:type="dxa"/>
                  <w:tcBorders>
                    <w:bottom w:val="single" w:sz="6" w:space="0" w:color="BFBFBF" w:themeColor="background2"/>
                  </w:tcBorders>
                  <w:shd w:val="clear" w:color="auto" w:fill="auto"/>
                </w:tcPr>
                <w:p w:rsidR="00383A71" w:rsidRDefault="00383A71" w:rsidP="00B47113">
                  <w:pPr>
                    <w:pStyle w:val="DQITableText"/>
                  </w:pPr>
                  <w:r>
                    <w:t>No</w:t>
                  </w:r>
                </w:p>
              </w:tc>
            </w:tr>
          </w:tbl>
          <w:p w:rsidR="00383A71" w:rsidRDefault="00383A71" w:rsidP="007511E6">
            <w:pPr>
              <w:pStyle w:val="Box"/>
            </w:pPr>
          </w:p>
        </w:tc>
      </w:tr>
      <w:tr w:rsidR="00383A71" w:rsidTr="007511E6">
        <w:trPr>
          <w:cantSplit/>
        </w:trPr>
        <w:tc>
          <w:tcPr>
            <w:tcW w:w="8771" w:type="dxa"/>
            <w:tcBorders>
              <w:top w:val="nil"/>
              <w:left w:val="nil"/>
              <w:bottom w:val="nil"/>
              <w:right w:val="nil"/>
            </w:tcBorders>
            <w:shd w:val="clear" w:color="auto" w:fill="auto"/>
          </w:tcPr>
          <w:p w:rsidR="00383A71" w:rsidRDefault="00383A71" w:rsidP="00383A71">
            <w:pPr>
              <w:pStyle w:val="Source"/>
            </w:pPr>
            <w:r>
              <w:rPr>
                <w:i/>
              </w:rPr>
              <w:t>Source</w:t>
            </w:r>
            <w:r>
              <w:t>: State and Territory governments.</w:t>
            </w:r>
          </w:p>
        </w:tc>
      </w:tr>
      <w:tr w:rsidR="00383A71" w:rsidTr="007511E6">
        <w:trPr>
          <w:cantSplit/>
        </w:trPr>
        <w:tc>
          <w:tcPr>
            <w:tcW w:w="8771" w:type="dxa"/>
            <w:tcBorders>
              <w:top w:val="nil"/>
              <w:left w:val="nil"/>
              <w:bottom w:val="single" w:sz="6" w:space="0" w:color="78A22F"/>
              <w:right w:val="nil"/>
            </w:tcBorders>
            <w:shd w:val="clear" w:color="auto" w:fill="auto"/>
          </w:tcPr>
          <w:p w:rsidR="00383A71" w:rsidRDefault="00383A71" w:rsidP="007511E6">
            <w:pPr>
              <w:pStyle w:val="Box"/>
              <w:spacing w:before="0" w:line="120" w:lineRule="exact"/>
            </w:pPr>
          </w:p>
        </w:tc>
      </w:tr>
      <w:tr w:rsidR="00383A71" w:rsidRPr="000863A5" w:rsidTr="007511E6">
        <w:tc>
          <w:tcPr>
            <w:tcW w:w="8771" w:type="dxa"/>
            <w:tcBorders>
              <w:top w:val="single" w:sz="6" w:space="0" w:color="78A22F"/>
              <w:left w:val="nil"/>
              <w:bottom w:val="nil"/>
              <w:right w:val="nil"/>
            </w:tcBorders>
          </w:tcPr>
          <w:p w:rsidR="00383A71" w:rsidRPr="00626D32" w:rsidRDefault="00383A71" w:rsidP="007511E6">
            <w:pPr>
              <w:pStyle w:val="BoxSpaceBelow"/>
            </w:pPr>
          </w:p>
        </w:tc>
      </w:tr>
    </w:tbl>
    <w:p w:rsidR="00383A71" w:rsidRDefault="00383A71" w:rsidP="00383A7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654"/>
      </w:tblGrid>
      <w:tr w:rsidR="00383A71" w:rsidTr="007511E6">
        <w:tc>
          <w:tcPr>
            <w:tcW w:w="8771" w:type="dxa"/>
            <w:tcBorders>
              <w:top w:val="single" w:sz="6" w:space="0" w:color="78A22F"/>
              <w:left w:val="nil"/>
              <w:bottom w:val="nil"/>
              <w:right w:val="nil"/>
            </w:tcBorders>
            <w:shd w:val="clear" w:color="auto" w:fill="auto"/>
          </w:tcPr>
          <w:p w:rsidR="00383A71" w:rsidRPr="00784A05" w:rsidRDefault="00383A71" w:rsidP="00887AA8">
            <w:pPr>
              <w:pStyle w:val="TableTitle"/>
            </w:pPr>
            <w:r>
              <w:rPr>
                <w:b w:val="0"/>
              </w:rPr>
              <w:t xml:space="preserve">Table </w:t>
            </w:r>
            <w:bookmarkStart w:id="55" w:name="OLE_LINK10"/>
            <w:r w:rsidR="00B560A0">
              <w:rPr>
                <w:b w:val="0"/>
                <w:noProof/>
              </w:rPr>
              <w:t>10</w:t>
            </w:r>
            <w:bookmarkEnd w:id="55"/>
            <w:r w:rsidRPr="005C5518">
              <w:rPr>
                <w:b w:val="0"/>
              </w:rPr>
              <w:tab/>
            </w:r>
            <w:r w:rsidRPr="0046030D">
              <w:t xml:space="preserve">Percentiles </w:t>
            </w:r>
            <w:proofErr w:type="spellStart"/>
            <w:r>
              <w:t>calculation</w:t>
            </w:r>
            <w:r>
              <w:rPr>
                <w:vertAlign w:val="superscript"/>
              </w:rPr>
              <w:t>a</w:t>
            </w:r>
            <w:proofErr w:type="spellEnd"/>
            <w:r>
              <w:rPr>
                <w:b w:val="0"/>
              </w:rPr>
              <w:t xml:space="preserve"> </w:t>
            </w:r>
          </w:p>
        </w:tc>
      </w:tr>
      <w:tr w:rsidR="00383A71" w:rsidTr="007511E6">
        <w:trPr>
          <w:cantSplit/>
        </w:trPr>
        <w:tc>
          <w:tcPr>
            <w:tcW w:w="8771" w:type="dxa"/>
            <w:tcBorders>
              <w:top w:val="nil"/>
              <w:left w:val="nil"/>
              <w:bottom w:val="nil"/>
              <w:right w:val="nil"/>
            </w:tcBorders>
            <w:shd w:val="clear" w:color="auto" w:fill="auto"/>
          </w:tcPr>
          <w:tbl>
            <w:tblPr>
              <w:tblW w:w="0" w:type="auto"/>
              <w:tblCellMar>
                <w:left w:w="85" w:type="dxa"/>
                <w:right w:w="57" w:type="dxa"/>
              </w:tblCellMar>
              <w:tblLook w:val="0000" w:firstRow="0" w:lastRow="0" w:firstColumn="0" w:lastColumn="0" w:noHBand="0" w:noVBand="0"/>
            </w:tblPr>
            <w:tblGrid>
              <w:gridCol w:w="696"/>
              <w:gridCol w:w="3344"/>
              <w:gridCol w:w="4330"/>
            </w:tblGrid>
            <w:tr w:rsidR="00383A71" w:rsidTr="00476D7B">
              <w:tc>
                <w:tcPr>
                  <w:tcW w:w="700" w:type="dxa"/>
                  <w:tcBorders>
                    <w:top w:val="single" w:sz="6" w:space="0" w:color="BFBFBF" w:themeColor="background2"/>
                    <w:bottom w:val="single" w:sz="6" w:space="0" w:color="BFBFBF" w:themeColor="background2"/>
                  </w:tcBorders>
                  <w:shd w:val="clear" w:color="auto" w:fill="auto"/>
                </w:tcPr>
                <w:p w:rsidR="00383A71" w:rsidRPr="00374023" w:rsidRDefault="00383A71" w:rsidP="00374023">
                  <w:pPr>
                    <w:pStyle w:val="TableColumnHeading"/>
                    <w:jc w:val="left"/>
                  </w:pPr>
                </w:p>
              </w:tc>
              <w:tc>
                <w:tcPr>
                  <w:tcW w:w="3389" w:type="dxa"/>
                  <w:tcBorders>
                    <w:top w:val="single" w:sz="6" w:space="0" w:color="BFBFBF" w:themeColor="background2"/>
                    <w:bottom w:val="single" w:sz="6" w:space="0" w:color="BFBFBF" w:themeColor="background2"/>
                  </w:tcBorders>
                  <w:shd w:val="clear" w:color="auto" w:fill="auto"/>
                </w:tcPr>
                <w:p w:rsidR="00383A71" w:rsidRPr="00374023" w:rsidRDefault="00383A71" w:rsidP="00374023">
                  <w:pPr>
                    <w:pStyle w:val="DQIMainRowHeadings"/>
                    <w:spacing w:before="80" w:after="80"/>
                    <w:ind w:left="-57" w:right="0"/>
                    <w:rPr>
                      <w:b w:val="0"/>
                      <w:i/>
                      <w:u w:val="none"/>
                    </w:rPr>
                  </w:pPr>
                  <w:r w:rsidRPr="00374023">
                    <w:rPr>
                      <w:b w:val="0"/>
                      <w:i/>
                      <w:u w:val="none"/>
                    </w:rPr>
                    <w:t>Are there any records excluded from the percentile calculations other than those recommended in the data dictionary?</w:t>
                  </w:r>
                </w:p>
              </w:tc>
              <w:tc>
                <w:tcPr>
                  <w:tcW w:w="4398" w:type="dxa"/>
                  <w:tcBorders>
                    <w:top w:val="single" w:sz="6" w:space="0" w:color="BFBFBF" w:themeColor="background2"/>
                    <w:bottom w:val="single" w:sz="6" w:space="0" w:color="BFBFBF" w:themeColor="background2"/>
                  </w:tcBorders>
                  <w:shd w:val="clear" w:color="auto" w:fill="auto"/>
                </w:tcPr>
                <w:p w:rsidR="00383A71" w:rsidRPr="00374023" w:rsidRDefault="00374023" w:rsidP="00374023">
                  <w:pPr>
                    <w:pStyle w:val="DQIMainRowHeadings"/>
                    <w:spacing w:before="80" w:after="80"/>
                    <w:ind w:left="-57" w:right="0"/>
                    <w:rPr>
                      <w:b w:val="0"/>
                      <w:i/>
                      <w:u w:val="none"/>
                    </w:rPr>
                  </w:pPr>
                  <w:r>
                    <w:rPr>
                      <w:b w:val="0"/>
                      <w:i/>
                      <w:u w:val="none"/>
                    </w:rPr>
                    <w:br/>
                  </w:r>
                  <w:r>
                    <w:rPr>
                      <w:b w:val="0"/>
                      <w:i/>
                      <w:u w:val="none"/>
                    </w:rPr>
                    <w:br/>
                  </w:r>
                  <w:r w:rsidR="00383A71" w:rsidRPr="00374023">
                    <w:rPr>
                      <w:b w:val="0"/>
                      <w:i/>
                      <w:u w:val="none"/>
                    </w:rPr>
                    <w:t>Are outliers excluded? If so, how they are defined?</w:t>
                  </w:r>
                </w:p>
              </w:tc>
            </w:tr>
            <w:tr w:rsidR="00383A71" w:rsidTr="00476D7B">
              <w:tc>
                <w:tcPr>
                  <w:tcW w:w="700" w:type="dxa"/>
                  <w:tcBorders>
                    <w:top w:val="single" w:sz="6" w:space="0" w:color="BFBFBF" w:themeColor="background2"/>
                  </w:tcBorders>
                </w:tcPr>
                <w:p w:rsidR="00383A71" w:rsidRDefault="00383A71" w:rsidP="00374023">
                  <w:pPr>
                    <w:pStyle w:val="DQIRowHeadings"/>
                    <w:ind w:left="-57" w:right="0"/>
                  </w:pPr>
                  <w:r>
                    <w:t>NSW</w:t>
                  </w:r>
                </w:p>
              </w:tc>
              <w:tc>
                <w:tcPr>
                  <w:tcW w:w="3389" w:type="dxa"/>
                  <w:tcBorders>
                    <w:top w:val="single" w:sz="6" w:space="0" w:color="BFBFBF" w:themeColor="background2"/>
                  </w:tcBorders>
                </w:tcPr>
                <w:p w:rsidR="00383A71" w:rsidRDefault="00383A71" w:rsidP="00374023">
                  <w:pPr>
                    <w:pStyle w:val="DQITableText"/>
                    <w:ind w:left="-57"/>
                    <w:jc w:val="left"/>
                  </w:pPr>
                  <w:r>
                    <w:t xml:space="preserve">Records with incomplete response time data are excluded. </w:t>
                  </w:r>
                </w:p>
              </w:tc>
              <w:tc>
                <w:tcPr>
                  <w:tcW w:w="4398" w:type="dxa"/>
                  <w:tcBorders>
                    <w:top w:val="single" w:sz="6" w:space="0" w:color="BFBFBF" w:themeColor="background2"/>
                  </w:tcBorders>
                </w:tcPr>
                <w:p w:rsidR="00383A71" w:rsidRDefault="00383A71" w:rsidP="00374023">
                  <w:pPr>
                    <w:pStyle w:val="DQITableText"/>
                    <w:ind w:left="-57"/>
                    <w:jc w:val="left"/>
                  </w:pPr>
                  <w:proofErr w:type="spellStart"/>
                  <w:r w:rsidRPr="000C4518">
                    <w:t>FRNSW</w:t>
                  </w:r>
                  <w:proofErr w:type="spellEnd"/>
                  <w:r>
                    <w:t xml:space="preserve"> — outliers are not excluded.</w:t>
                  </w:r>
                </w:p>
                <w:p w:rsidR="00383A71" w:rsidRDefault="00383A71" w:rsidP="00374023">
                  <w:pPr>
                    <w:pStyle w:val="DQITableText"/>
                    <w:ind w:left="-57"/>
                    <w:jc w:val="left"/>
                  </w:pPr>
                  <w:proofErr w:type="spellStart"/>
                  <w:r>
                    <w:t>NSWRFS</w:t>
                  </w:r>
                  <w:proofErr w:type="spellEnd"/>
                  <w:r>
                    <w:t xml:space="preserve"> — outliers are excluded. The </w:t>
                  </w:r>
                  <w:proofErr w:type="spellStart"/>
                  <w:r>
                    <w:t>NSWRFS</w:t>
                  </w:r>
                  <w:proofErr w:type="spellEnd"/>
                  <w:r>
                    <w:t xml:space="preserve"> excludes records with response times that are deemed to be entry errors (for example, greater than 100 hours).</w:t>
                  </w:r>
                </w:p>
              </w:tc>
            </w:tr>
            <w:tr w:rsidR="00383A71" w:rsidTr="00476D7B">
              <w:tc>
                <w:tcPr>
                  <w:tcW w:w="700" w:type="dxa"/>
                </w:tcPr>
                <w:p w:rsidR="00383A71" w:rsidRDefault="00383A71" w:rsidP="00374023">
                  <w:pPr>
                    <w:pStyle w:val="DQIRowHeadings"/>
                    <w:ind w:left="-57" w:right="0"/>
                  </w:pPr>
                  <w:r>
                    <w:t>Vic</w:t>
                  </w:r>
                </w:p>
              </w:tc>
              <w:tc>
                <w:tcPr>
                  <w:tcW w:w="3389" w:type="dxa"/>
                </w:tcPr>
                <w:p w:rsidR="00383A71" w:rsidRDefault="00383A71" w:rsidP="00374023">
                  <w:pPr>
                    <w:pStyle w:val="DQITableText"/>
                    <w:ind w:left="-57"/>
                    <w:jc w:val="left"/>
                  </w:pPr>
                  <w:r>
                    <w:t>No</w:t>
                  </w:r>
                </w:p>
              </w:tc>
              <w:tc>
                <w:tcPr>
                  <w:tcW w:w="4398" w:type="dxa"/>
                </w:tcPr>
                <w:p w:rsidR="00383A71" w:rsidRDefault="00383A71" w:rsidP="00374023">
                  <w:pPr>
                    <w:pStyle w:val="DQITableText"/>
                    <w:ind w:left="-57"/>
                    <w:jc w:val="left"/>
                  </w:pPr>
                  <w:r>
                    <w:t>Outliers are not excluded.</w:t>
                  </w:r>
                </w:p>
                <w:p w:rsidR="00383A71" w:rsidRDefault="00383A71" w:rsidP="00374023">
                  <w:pPr>
                    <w:pStyle w:val="DQITableText"/>
                    <w:ind w:left="-57"/>
                    <w:jc w:val="left"/>
                  </w:pPr>
                  <w:r>
                    <w:t>However, given the low number of remote structure fires, these data are incorporated into the outer regional figures for statistical purposes.</w:t>
                  </w:r>
                </w:p>
                <w:p w:rsidR="00383A71" w:rsidRDefault="00383A71" w:rsidP="00374023">
                  <w:pPr>
                    <w:pStyle w:val="DQITableText"/>
                    <w:ind w:left="-57"/>
                    <w:jc w:val="left"/>
                  </w:pPr>
                  <w:r>
                    <w:t xml:space="preserve">If the </w:t>
                  </w:r>
                  <w:proofErr w:type="spellStart"/>
                  <w:r w:rsidRPr="000C4518">
                    <w:t>ESTA</w:t>
                  </w:r>
                  <w:proofErr w:type="spellEnd"/>
                  <w:r w:rsidRPr="000C4518">
                    <w:t xml:space="preserve"> CAD is off</w:t>
                  </w:r>
                  <w:r w:rsidRPr="000C4518">
                    <w:noBreakHyphen/>
                    <w:t>line</w:t>
                  </w:r>
                  <w:r>
                    <w:t xml:space="preserve"> and </w:t>
                  </w:r>
                  <w:proofErr w:type="spellStart"/>
                  <w:r>
                    <w:t>ESTA</w:t>
                  </w:r>
                  <w:proofErr w:type="spellEnd"/>
                  <w:r>
                    <w:t xml:space="preserve"> is in manual mode and there is an observed timestamp issue with the manual data, then that information is excluded from the calculations.</w:t>
                  </w:r>
                </w:p>
              </w:tc>
            </w:tr>
            <w:tr w:rsidR="00383A71" w:rsidTr="00476D7B">
              <w:tc>
                <w:tcPr>
                  <w:tcW w:w="700" w:type="dxa"/>
                </w:tcPr>
                <w:p w:rsidR="00383A71" w:rsidRDefault="00383A71" w:rsidP="00374023">
                  <w:pPr>
                    <w:pStyle w:val="DQIRowHeadings"/>
                    <w:ind w:left="-57" w:right="0"/>
                  </w:pPr>
                  <w:r>
                    <w:t>Qld</w:t>
                  </w:r>
                </w:p>
              </w:tc>
              <w:tc>
                <w:tcPr>
                  <w:tcW w:w="3389" w:type="dxa"/>
                </w:tcPr>
                <w:p w:rsidR="00383A71" w:rsidRPr="006F579F" w:rsidRDefault="00383A71" w:rsidP="00374023">
                  <w:pPr>
                    <w:pStyle w:val="DQITableText"/>
                    <w:ind w:left="-57"/>
                    <w:jc w:val="left"/>
                  </w:pPr>
                  <w:r>
                    <w:t>E</w:t>
                  </w:r>
                  <w:r w:rsidRPr="006F579F">
                    <w:t>xclusions include: structure fires outside the Urban Levy Boundary; delays due to extreme weather conditions or where the initial response was by another agency or brigade.</w:t>
                  </w:r>
                </w:p>
              </w:tc>
              <w:tc>
                <w:tcPr>
                  <w:tcW w:w="4398" w:type="dxa"/>
                </w:tcPr>
                <w:p w:rsidR="00383A71" w:rsidRDefault="00383A71" w:rsidP="00374023">
                  <w:pPr>
                    <w:pStyle w:val="DQITableText"/>
                    <w:ind w:left="-57"/>
                    <w:jc w:val="left"/>
                  </w:pPr>
                  <w:r>
                    <w:t>Outliers are not excluded.</w:t>
                  </w:r>
                </w:p>
              </w:tc>
            </w:tr>
            <w:tr w:rsidR="00383A71" w:rsidTr="00476D7B">
              <w:tc>
                <w:tcPr>
                  <w:tcW w:w="700" w:type="dxa"/>
                </w:tcPr>
                <w:p w:rsidR="00383A71" w:rsidRDefault="00383A71" w:rsidP="00374023">
                  <w:pPr>
                    <w:pStyle w:val="DQIRowHeadings"/>
                    <w:ind w:left="-57" w:right="0"/>
                  </w:pPr>
                  <w:r>
                    <w:t>WA</w:t>
                  </w:r>
                </w:p>
              </w:tc>
              <w:tc>
                <w:tcPr>
                  <w:tcW w:w="3389" w:type="dxa"/>
                </w:tcPr>
                <w:p w:rsidR="00383A71" w:rsidRDefault="00383A71" w:rsidP="00374023">
                  <w:pPr>
                    <w:pStyle w:val="DQITableText"/>
                    <w:ind w:left="-57"/>
                    <w:jc w:val="left"/>
                  </w:pPr>
                  <w:r>
                    <w:t>No</w:t>
                  </w:r>
                </w:p>
              </w:tc>
              <w:tc>
                <w:tcPr>
                  <w:tcW w:w="4398" w:type="dxa"/>
                </w:tcPr>
                <w:p w:rsidR="00383A71" w:rsidRDefault="00383A71" w:rsidP="00374023">
                  <w:pPr>
                    <w:pStyle w:val="DQITableText"/>
                    <w:ind w:left="-57"/>
                    <w:jc w:val="left"/>
                  </w:pPr>
                  <w:r>
                    <w:t>Outliers are not excluded.</w:t>
                  </w:r>
                </w:p>
              </w:tc>
            </w:tr>
            <w:tr w:rsidR="00383A71" w:rsidTr="00476D7B">
              <w:tc>
                <w:tcPr>
                  <w:tcW w:w="700" w:type="dxa"/>
                </w:tcPr>
                <w:p w:rsidR="00383A71" w:rsidRDefault="00383A71" w:rsidP="00374023">
                  <w:pPr>
                    <w:pStyle w:val="DQIRowHeadings"/>
                    <w:ind w:left="-57" w:right="0"/>
                  </w:pPr>
                  <w:r>
                    <w:t>SA</w:t>
                  </w:r>
                </w:p>
              </w:tc>
              <w:tc>
                <w:tcPr>
                  <w:tcW w:w="3389" w:type="dxa"/>
                </w:tcPr>
                <w:p w:rsidR="00383A71" w:rsidRDefault="00383A71" w:rsidP="00374023">
                  <w:pPr>
                    <w:pStyle w:val="DQITableText"/>
                    <w:ind w:left="-57"/>
                    <w:jc w:val="left"/>
                  </w:pPr>
                  <w:r>
                    <w:t>No</w:t>
                  </w:r>
                </w:p>
              </w:tc>
              <w:tc>
                <w:tcPr>
                  <w:tcW w:w="4398" w:type="dxa"/>
                </w:tcPr>
                <w:p w:rsidR="00383A71" w:rsidRDefault="00383A71" w:rsidP="00374023">
                  <w:pPr>
                    <w:pStyle w:val="DQITableText"/>
                    <w:ind w:left="-57"/>
                    <w:jc w:val="left"/>
                  </w:pPr>
                  <w:r>
                    <w:t>Outliers resulting from manual keying errors are excluded.</w:t>
                  </w:r>
                </w:p>
                <w:p w:rsidR="00383A71" w:rsidRDefault="00383A71" w:rsidP="00374023">
                  <w:pPr>
                    <w:pStyle w:val="DQITableText"/>
                    <w:ind w:left="-57"/>
                    <w:jc w:val="left"/>
                  </w:pPr>
                  <w:proofErr w:type="spellStart"/>
                  <w:r>
                    <w:t>MFS’s</w:t>
                  </w:r>
                  <w:proofErr w:type="spellEnd"/>
                  <w:r>
                    <w:t xml:space="preserve"> historic system did not use a standard data base date/time field. Rather, they used separate fields for dates and times, so the time field could not be assumed to relate to the recorded date (that is, if the dispatch occurred five minutes before midnight and the travel time was 10 minutes then the arrival time should be for the date of arrival (not the day beforehand). Therefore, we exclude records where apparent ‘response time’ exceeds 12 hours.</w:t>
                  </w:r>
                </w:p>
              </w:tc>
            </w:tr>
            <w:tr w:rsidR="00383A71" w:rsidTr="00476D7B">
              <w:tc>
                <w:tcPr>
                  <w:tcW w:w="700" w:type="dxa"/>
                </w:tcPr>
                <w:p w:rsidR="00383A71" w:rsidRDefault="00383A71" w:rsidP="00374023">
                  <w:pPr>
                    <w:pStyle w:val="DQIRowHeadings"/>
                    <w:ind w:left="-57" w:right="0"/>
                  </w:pPr>
                  <w:proofErr w:type="spellStart"/>
                  <w:r>
                    <w:t>Tas</w:t>
                  </w:r>
                  <w:proofErr w:type="spellEnd"/>
                </w:p>
              </w:tc>
              <w:tc>
                <w:tcPr>
                  <w:tcW w:w="3389" w:type="dxa"/>
                </w:tcPr>
                <w:p w:rsidR="00383A71" w:rsidRDefault="00383A71" w:rsidP="00374023">
                  <w:pPr>
                    <w:pStyle w:val="DQITableText"/>
                    <w:ind w:left="-57"/>
                    <w:jc w:val="left"/>
                  </w:pPr>
                  <w:r>
                    <w:t>No</w:t>
                  </w:r>
                </w:p>
              </w:tc>
              <w:tc>
                <w:tcPr>
                  <w:tcW w:w="4398" w:type="dxa"/>
                </w:tcPr>
                <w:p w:rsidR="00383A71" w:rsidRDefault="00383A71" w:rsidP="00374023">
                  <w:pPr>
                    <w:pStyle w:val="DQITableText"/>
                    <w:ind w:left="-57"/>
                    <w:jc w:val="left"/>
                  </w:pPr>
                  <w:r>
                    <w:t>Outliers are not excluded.</w:t>
                  </w:r>
                </w:p>
              </w:tc>
            </w:tr>
            <w:tr w:rsidR="00383A71" w:rsidTr="00476D7B">
              <w:tc>
                <w:tcPr>
                  <w:tcW w:w="700" w:type="dxa"/>
                </w:tcPr>
                <w:p w:rsidR="00383A71" w:rsidRDefault="00383A71" w:rsidP="00374023">
                  <w:pPr>
                    <w:pStyle w:val="DQIRowHeadings"/>
                    <w:ind w:left="-57" w:right="0"/>
                  </w:pPr>
                  <w:r>
                    <w:t>ACT</w:t>
                  </w:r>
                </w:p>
              </w:tc>
              <w:tc>
                <w:tcPr>
                  <w:tcW w:w="3389" w:type="dxa"/>
                </w:tcPr>
                <w:p w:rsidR="00383A71" w:rsidRDefault="00383A71" w:rsidP="00374023">
                  <w:pPr>
                    <w:pStyle w:val="DQITableText"/>
                    <w:ind w:left="-57"/>
                    <w:jc w:val="left"/>
                  </w:pPr>
                  <w:r>
                    <w:t>No</w:t>
                  </w:r>
                </w:p>
              </w:tc>
              <w:tc>
                <w:tcPr>
                  <w:tcW w:w="4398" w:type="dxa"/>
                </w:tcPr>
                <w:p w:rsidR="00383A71" w:rsidRDefault="00383A71" w:rsidP="00374023">
                  <w:pPr>
                    <w:pStyle w:val="DQITableText"/>
                    <w:ind w:left="-57"/>
                    <w:jc w:val="left"/>
                  </w:pPr>
                  <w:r>
                    <w:t>Outliers are not excluded.</w:t>
                  </w:r>
                </w:p>
              </w:tc>
            </w:tr>
            <w:tr w:rsidR="00383A71" w:rsidTr="00476D7B">
              <w:tc>
                <w:tcPr>
                  <w:tcW w:w="700" w:type="dxa"/>
                  <w:tcBorders>
                    <w:bottom w:val="single" w:sz="6" w:space="0" w:color="BFBFBF" w:themeColor="background2"/>
                  </w:tcBorders>
                  <w:shd w:val="clear" w:color="auto" w:fill="auto"/>
                </w:tcPr>
                <w:p w:rsidR="00383A71" w:rsidRDefault="00383A71" w:rsidP="00374023">
                  <w:pPr>
                    <w:pStyle w:val="DQIRowHeadings"/>
                    <w:ind w:left="-57" w:right="0"/>
                  </w:pPr>
                  <w:r>
                    <w:t>NT</w:t>
                  </w:r>
                </w:p>
              </w:tc>
              <w:tc>
                <w:tcPr>
                  <w:tcW w:w="3389" w:type="dxa"/>
                  <w:tcBorders>
                    <w:bottom w:val="single" w:sz="6" w:space="0" w:color="BFBFBF" w:themeColor="background2"/>
                  </w:tcBorders>
                  <w:shd w:val="clear" w:color="auto" w:fill="auto"/>
                </w:tcPr>
                <w:p w:rsidR="00383A71" w:rsidRDefault="00383A71" w:rsidP="00374023">
                  <w:pPr>
                    <w:pStyle w:val="DQITableText"/>
                    <w:ind w:left="-57"/>
                    <w:jc w:val="left"/>
                  </w:pPr>
                  <w:r>
                    <w:t>No</w:t>
                  </w:r>
                </w:p>
              </w:tc>
              <w:tc>
                <w:tcPr>
                  <w:tcW w:w="4398" w:type="dxa"/>
                  <w:tcBorders>
                    <w:bottom w:val="single" w:sz="6" w:space="0" w:color="BFBFBF" w:themeColor="background2"/>
                  </w:tcBorders>
                  <w:shd w:val="clear" w:color="auto" w:fill="auto"/>
                </w:tcPr>
                <w:p w:rsidR="00383A71" w:rsidRDefault="00383A71" w:rsidP="00374023">
                  <w:pPr>
                    <w:pStyle w:val="DQITableText"/>
                    <w:ind w:left="-57"/>
                    <w:jc w:val="left"/>
                  </w:pPr>
                  <w:r>
                    <w:t>Outliers are excluded.</w:t>
                  </w:r>
                </w:p>
                <w:p w:rsidR="00383A71" w:rsidRDefault="00383A71" w:rsidP="00374023">
                  <w:pPr>
                    <w:pStyle w:val="DQITableText"/>
                    <w:ind w:left="-57"/>
                    <w:jc w:val="left"/>
                  </w:pPr>
                  <w:r>
                    <w:t>Where it is clear by built</w:t>
                  </w:r>
                  <w:r>
                    <w:noBreakHyphen/>
                    <w:t>rules related to response type and reasonable response time within or outside Emergency Response Areas.</w:t>
                  </w:r>
                </w:p>
              </w:tc>
            </w:tr>
          </w:tbl>
          <w:p w:rsidR="00383A71" w:rsidRDefault="00383A71" w:rsidP="007511E6">
            <w:pPr>
              <w:pStyle w:val="Box"/>
            </w:pPr>
          </w:p>
        </w:tc>
      </w:tr>
      <w:tr w:rsidR="007511E6" w:rsidTr="007511E6">
        <w:trPr>
          <w:cantSplit/>
        </w:trPr>
        <w:tc>
          <w:tcPr>
            <w:tcW w:w="8771" w:type="dxa"/>
            <w:tcBorders>
              <w:top w:val="nil"/>
              <w:left w:val="nil"/>
              <w:bottom w:val="nil"/>
              <w:right w:val="nil"/>
            </w:tcBorders>
            <w:shd w:val="clear" w:color="auto" w:fill="auto"/>
          </w:tcPr>
          <w:p w:rsidR="007511E6" w:rsidRDefault="007511E6" w:rsidP="007511E6">
            <w:pPr>
              <w:pStyle w:val="Note"/>
              <w:rPr>
                <w:i/>
              </w:rPr>
            </w:pPr>
            <w:proofErr w:type="spellStart"/>
            <w:r w:rsidRPr="00AC36F5">
              <w:rPr>
                <w:rStyle w:val="NoteLabel"/>
              </w:rPr>
              <w:t>a</w:t>
            </w:r>
            <w:proofErr w:type="spellEnd"/>
            <w:r>
              <w:sym w:font="Symbol" w:char="F020"/>
            </w:r>
            <w:r>
              <w:t> </w:t>
            </w:r>
            <w:r w:rsidRPr="00680707">
              <w:t>There are various statistical methods implemented in different software for calculating percentiles which can result in different values being calculated.</w:t>
            </w:r>
          </w:p>
        </w:tc>
      </w:tr>
      <w:tr w:rsidR="00383A71" w:rsidTr="007511E6">
        <w:trPr>
          <w:cantSplit/>
        </w:trPr>
        <w:tc>
          <w:tcPr>
            <w:tcW w:w="8771" w:type="dxa"/>
            <w:tcBorders>
              <w:top w:val="nil"/>
              <w:left w:val="nil"/>
              <w:bottom w:val="nil"/>
              <w:right w:val="nil"/>
            </w:tcBorders>
            <w:shd w:val="clear" w:color="auto" w:fill="auto"/>
          </w:tcPr>
          <w:p w:rsidR="00383A71" w:rsidRDefault="00383A71" w:rsidP="007511E6">
            <w:pPr>
              <w:pStyle w:val="Source"/>
            </w:pPr>
            <w:r>
              <w:rPr>
                <w:i/>
              </w:rPr>
              <w:t>Source</w:t>
            </w:r>
            <w:r>
              <w:t>: State and Territory governments.</w:t>
            </w:r>
          </w:p>
        </w:tc>
      </w:tr>
      <w:tr w:rsidR="00383A71" w:rsidTr="007511E6">
        <w:trPr>
          <w:cantSplit/>
        </w:trPr>
        <w:tc>
          <w:tcPr>
            <w:tcW w:w="8771" w:type="dxa"/>
            <w:tcBorders>
              <w:top w:val="nil"/>
              <w:left w:val="nil"/>
              <w:bottom w:val="single" w:sz="6" w:space="0" w:color="78A22F"/>
              <w:right w:val="nil"/>
            </w:tcBorders>
            <w:shd w:val="clear" w:color="auto" w:fill="auto"/>
          </w:tcPr>
          <w:p w:rsidR="00383A71" w:rsidRDefault="00383A71" w:rsidP="007511E6">
            <w:pPr>
              <w:pStyle w:val="Box"/>
              <w:spacing w:before="0" w:line="120" w:lineRule="exact"/>
            </w:pPr>
          </w:p>
        </w:tc>
      </w:tr>
      <w:tr w:rsidR="00383A71" w:rsidRPr="000863A5" w:rsidTr="007511E6">
        <w:tc>
          <w:tcPr>
            <w:tcW w:w="8771" w:type="dxa"/>
            <w:tcBorders>
              <w:top w:val="single" w:sz="6" w:space="0" w:color="78A22F"/>
              <w:left w:val="nil"/>
              <w:bottom w:val="nil"/>
              <w:right w:val="nil"/>
            </w:tcBorders>
          </w:tcPr>
          <w:p w:rsidR="00383A71" w:rsidRPr="00626D32" w:rsidRDefault="00383A71" w:rsidP="007511E6">
            <w:pPr>
              <w:pStyle w:val="BoxSpaceBelow"/>
            </w:pPr>
          </w:p>
        </w:tc>
      </w:tr>
    </w:tbl>
    <w:p w:rsidR="007511E6" w:rsidRDefault="007511E6" w:rsidP="00BD19D0">
      <w:pPr>
        <w:pStyle w:val="Heading3"/>
        <w:spacing w:before="0"/>
      </w:pPr>
      <w:bookmarkStart w:id="56" w:name="_Toc398732475"/>
      <w:r>
        <w:br w:type="page"/>
      </w:r>
    </w:p>
    <w:p w:rsidR="007511E6" w:rsidRDefault="007511E6" w:rsidP="007511E6">
      <w:pPr>
        <w:pStyle w:val="Heading3"/>
      </w:pPr>
      <w:bookmarkStart w:id="57" w:name="_Toc405885739"/>
      <w:r w:rsidRPr="00BF1B7F">
        <w:lastRenderedPageBreak/>
        <w:t>Fire services expenditure per person</w:t>
      </w:r>
      <w:bookmarkEnd w:id="57"/>
    </w:p>
    <w:p w:rsidR="007511E6" w:rsidRPr="002301A7" w:rsidRDefault="007511E6" w:rsidP="007511E6">
      <w:pPr>
        <w:pStyle w:val="Box"/>
      </w:pPr>
      <w:r w:rsidRPr="0001794F">
        <w:t xml:space="preserve">Data quality </w:t>
      </w:r>
      <w:r w:rsidRPr="007511E6">
        <w:t>information</w:t>
      </w:r>
      <w:r w:rsidRPr="0001794F">
        <w:t xml:space="preserve"> for this indicator has been drafted by the Secretariat in consultation with </w:t>
      </w:r>
      <w:proofErr w:type="spellStart"/>
      <w:r w:rsidRPr="007E3FDC">
        <w:t>AFAC</w:t>
      </w:r>
      <w:proofErr w:type="spellEnd"/>
      <w:r w:rsidRPr="0001794F">
        <w:t>, with additional Steering Committee comments.</w:t>
      </w:r>
    </w:p>
    <w:tbl>
      <w:tblPr>
        <w:tblpPr w:leftFromText="180" w:rightFromText="180" w:vertAnchor="text" w:tblpXSpec="center" w:tblpY="1"/>
        <w:tblOverlap w:val="never"/>
        <w:tblW w:w="5000" w:type="pct"/>
        <w:tblLayout w:type="fixed"/>
        <w:tblCellMar>
          <w:top w:w="28" w:type="dxa"/>
          <w:left w:w="28" w:type="dxa"/>
          <w:bottom w:w="28" w:type="dxa"/>
          <w:right w:w="28" w:type="dxa"/>
        </w:tblCellMar>
        <w:tblLook w:val="01E0" w:firstRow="1" w:lastRow="1" w:firstColumn="1" w:lastColumn="1" w:noHBand="0" w:noVBand="0"/>
      </w:tblPr>
      <w:tblGrid>
        <w:gridCol w:w="1502"/>
        <w:gridCol w:w="7088"/>
      </w:tblGrid>
      <w:tr w:rsidR="007511E6" w:rsidRPr="001F3F80" w:rsidTr="002C6162">
        <w:tc>
          <w:tcPr>
            <w:tcW w:w="5000" w:type="pct"/>
            <w:gridSpan w:val="2"/>
          </w:tcPr>
          <w:p w:rsidR="007511E6" w:rsidRPr="003211C6" w:rsidRDefault="007511E6" w:rsidP="007511E6">
            <w:pPr>
              <w:pStyle w:val="DQIMainRowHeadings"/>
              <w:rPr>
                <w:rFonts w:cs="Arial"/>
                <w:sz w:val="22"/>
                <w:szCs w:val="22"/>
              </w:rPr>
            </w:pPr>
            <w:r w:rsidRPr="003211C6">
              <w:t>Indicator definition and description</w:t>
            </w:r>
          </w:p>
        </w:tc>
      </w:tr>
      <w:tr w:rsidR="007511E6" w:rsidRPr="001F3F80" w:rsidTr="002C6162">
        <w:tc>
          <w:tcPr>
            <w:tcW w:w="874" w:type="pct"/>
          </w:tcPr>
          <w:p w:rsidR="007511E6" w:rsidRPr="00A05229" w:rsidRDefault="007511E6" w:rsidP="007511E6">
            <w:pPr>
              <w:pStyle w:val="DQIRowHeadings"/>
            </w:pPr>
            <w:r w:rsidRPr="00A05229">
              <w:t>Element</w:t>
            </w:r>
          </w:p>
        </w:tc>
        <w:tc>
          <w:tcPr>
            <w:tcW w:w="4126" w:type="pct"/>
          </w:tcPr>
          <w:p w:rsidR="007511E6" w:rsidRPr="00BD6B0B" w:rsidRDefault="007511E6" w:rsidP="007511E6">
            <w:pPr>
              <w:pStyle w:val="TableBodyText"/>
              <w:jc w:val="left"/>
            </w:pPr>
            <w:r>
              <w:t>Efficiency</w:t>
            </w:r>
          </w:p>
        </w:tc>
      </w:tr>
      <w:tr w:rsidR="007511E6" w:rsidRPr="001F3F80" w:rsidTr="002C6162">
        <w:tc>
          <w:tcPr>
            <w:tcW w:w="874" w:type="pct"/>
          </w:tcPr>
          <w:p w:rsidR="007511E6" w:rsidRPr="00A05229" w:rsidRDefault="007511E6" w:rsidP="007511E6">
            <w:pPr>
              <w:pStyle w:val="DQIRowHeadings"/>
            </w:pPr>
            <w:r w:rsidRPr="00A05229">
              <w:t>Indicator</w:t>
            </w:r>
          </w:p>
        </w:tc>
        <w:tc>
          <w:tcPr>
            <w:tcW w:w="4126" w:type="pct"/>
          </w:tcPr>
          <w:p w:rsidR="007511E6" w:rsidRPr="00BD6B0B" w:rsidRDefault="007511E6" w:rsidP="00D20011">
            <w:pPr>
              <w:pStyle w:val="TableBodyText"/>
              <w:jc w:val="left"/>
            </w:pPr>
            <w:r w:rsidRPr="00BF1B7F">
              <w:t>Fire services expenditure per person</w:t>
            </w:r>
          </w:p>
        </w:tc>
      </w:tr>
      <w:tr w:rsidR="007511E6" w:rsidRPr="001F3F80" w:rsidTr="002C6162">
        <w:tc>
          <w:tcPr>
            <w:tcW w:w="874" w:type="pct"/>
          </w:tcPr>
          <w:p w:rsidR="007511E6" w:rsidRPr="00A05229" w:rsidRDefault="007511E6" w:rsidP="002C6162">
            <w:pPr>
              <w:pStyle w:val="DQIRowHeadings"/>
              <w:keepNext w:val="0"/>
            </w:pPr>
            <w:r w:rsidRPr="00A05229">
              <w:t>Measure (computation)</w:t>
            </w:r>
          </w:p>
        </w:tc>
        <w:tc>
          <w:tcPr>
            <w:tcW w:w="4126" w:type="pct"/>
          </w:tcPr>
          <w:p w:rsidR="007511E6" w:rsidRPr="00A01A3E" w:rsidRDefault="007511E6" w:rsidP="002C6162">
            <w:pPr>
              <w:pStyle w:val="DQITableText"/>
              <w:keepNext w:val="0"/>
              <w:rPr>
                <w:rFonts w:cs="Arial"/>
              </w:rPr>
            </w:pPr>
            <w:r w:rsidRPr="00A01A3E">
              <w:rPr>
                <w:rFonts w:cs="Arial"/>
              </w:rPr>
              <w:t>‘</w:t>
            </w:r>
            <w:r w:rsidRPr="00BF1B7F">
              <w:rPr>
                <w:rFonts w:cs="Arial"/>
              </w:rPr>
              <w:t>Fire services expenditure per person</w:t>
            </w:r>
            <w:r w:rsidRPr="00A01A3E">
              <w:rPr>
                <w:rFonts w:cs="Arial"/>
              </w:rPr>
              <w:t>’ is defined as the</w:t>
            </w:r>
            <w:r w:rsidRPr="002C5FB5">
              <w:t xml:space="preserve"> total fire service organisation expenditure per person in the population.</w:t>
            </w:r>
            <w:r>
              <w:t xml:space="preserve"> </w:t>
            </w:r>
          </w:p>
          <w:tbl>
            <w:tblPr>
              <w:tblStyle w:val="TableGrid"/>
              <w:tblpPr w:leftFromText="180" w:rightFromText="180" w:vertAnchor="text" w:horzAnchor="margin" w:tblpXSpec="right" w:tblpY="140"/>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More details can be found within the text surrounding this image."/>
            </w:tblPr>
            <w:tblGrid>
              <w:gridCol w:w="3685"/>
            </w:tblGrid>
            <w:tr w:rsidR="007511E6" w:rsidRPr="00A01A3E" w:rsidTr="007511E6">
              <w:trPr>
                <w:trHeight w:val="270"/>
              </w:trPr>
              <w:tc>
                <w:tcPr>
                  <w:tcW w:w="3685" w:type="dxa"/>
                  <w:tcBorders>
                    <w:bottom w:val="single" w:sz="4" w:space="0" w:color="auto"/>
                  </w:tcBorders>
                  <w:vAlign w:val="center"/>
                </w:tcPr>
                <w:p w:rsidR="007511E6" w:rsidRPr="00A01A3E" w:rsidRDefault="007511E6" w:rsidP="002C6162">
                  <w:pPr>
                    <w:pStyle w:val="DQITableText"/>
                    <w:keepNext w:val="0"/>
                    <w:rPr>
                      <w:rFonts w:cs="Arial"/>
                    </w:rPr>
                  </w:pPr>
                  <w:r>
                    <w:rPr>
                      <w:rFonts w:cs="Arial"/>
                    </w:rPr>
                    <w:t>Fire service organisation expenditure</w:t>
                  </w:r>
                </w:p>
              </w:tc>
            </w:tr>
            <w:tr w:rsidR="007511E6" w:rsidRPr="00A01A3E" w:rsidTr="007511E6">
              <w:trPr>
                <w:trHeight w:val="270"/>
              </w:trPr>
              <w:tc>
                <w:tcPr>
                  <w:tcW w:w="3685" w:type="dxa"/>
                  <w:tcBorders>
                    <w:top w:val="single" w:sz="4" w:space="0" w:color="auto"/>
                  </w:tcBorders>
                  <w:vAlign w:val="center"/>
                </w:tcPr>
                <w:p w:rsidR="007511E6" w:rsidRPr="00A01A3E" w:rsidRDefault="007511E6" w:rsidP="002C6162">
                  <w:pPr>
                    <w:pStyle w:val="DQITableText"/>
                    <w:keepNext w:val="0"/>
                    <w:rPr>
                      <w:rFonts w:cs="Arial"/>
                    </w:rPr>
                  </w:pPr>
                  <w:r>
                    <w:rPr>
                      <w:rFonts w:cs="Arial"/>
                    </w:rPr>
                    <w:t>Estimated resident population</w:t>
                  </w:r>
                </w:p>
              </w:tc>
            </w:tr>
          </w:tbl>
          <w:p w:rsidR="007511E6" w:rsidRPr="00A01A3E" w:rsidRDefault="007511E6" w:rsidP="002C6162">
            <w:pPr>
              <w:pStyle w:val="DQITableText"/>
              <w:keepNext w:val="0"/>
              <w:rPr>
                <w:rFonts w:cs="Arial"/>
              </w:rPr>
            </w:pPr>
          </w:p>
          <w:p w:rsidR="007511E6" w:rsidRPr="00A01A3E" w:rsidRDefault="007511E6" w:rsidP="002C6162">
            <w:pPr>
              <w:pStyle w:val="DQITableText"/>
              <w:keepNext w:val="0"/>
              <w:rPr>
                <w:rFonts w:cs="Arial"/>
              </w:rPr>
            </w:pPr>
            <w:r w:rsidRPr="00BF1B7F">
              <w:rPr>
                <w:rFonts w:cs="Arial"/>
              </w:rPr>
              <w:t>Fire services expenditure per person</w:t>
            </w:r>
            <w:r>
              <w:rPr>
                <w:rFonts w:cs="Arial"/>
              </w:rPr>
              <w:t xml:space="preserve"> </w:t>
            </w:r>
            <w:r w:rsidRPr="00A01A3E">
              <w:rPr>
                <w:rFonts w:cs="Arial"/>
              </w:rPr>
              <w:t>=</w:t>
            </w:r>
          </w:p>
          <w:p w:rsidR="007511E6" w:rsidRPr="00A01A3E" w:rsidRDefault="007511E6" w:rsidP="002C6162">
            <w:pPr>
              <w:pStyle w:val="DQITableText"/>
              <w:keepNext w:val="0"/>
              <w:rPr>
                <w:rFonts w:cs="Arial"/>
              </w:rPr>
            </w:pPr>
          </w:p>
          <w:p w:rsidR="007511E6" w:rsidRPr="00A01A3E" w:rsidRDefault="007511E6" w:rsidP="002C6162">
            <w:pPr>
              <w:pStyle w:val="DQITableText"/>
              <w:keepNext w:val="0"/>
              <w:rPr>
                <w:rFonts w:cs="Arial"/>
                <w:u w:val="single"/>
              </w:rPr>
            </w:pPr>
            <w:r w:rsidRPr="006D1008">
              <w:rPr>
                <w:rFonts w:cs="Arial"/>
                <w:u w:val="single"/>
              </w:rPr>
              <w:t>Fire service organisation expenditure</w:t>
            </w:r>
          </w:p>
          <w:p w:rsidR="007511E6" w:rsidRDefault="007511E6" w:rsidP="002C6162">
            <w:pPr>
              <w:pStyle w:val="DQITableText"/>
              <w:keepNext w:val="0"/>
            </w:pPr>
            <w:r>
              <w:t xml:space="preserve">Expenditure </w:t>
            </w:r>
            <w:r w:rsidRPr="00136E04">
              <w:t>includes all costs incurred by the fire service organisation, including:</w:t>
            </w:r>
          </w:p>
          <w:p w:rsidR="007511E6" w:rsidRDefault="007511E6" w:rsidP="0096477A">
            <w:pPr>
              <w:pStyle w:val="DQITableBullet"/>
            </w:pPr>
            <w:r w:rsidRPr="006D1008">
              <w:rPr>
                <w:i/>
              </w:rPr>
              <w:t>salaries and payments in the nature of salaries</w:t>
            </w:r>
            <w:r>
              <w:t xml:space="preserve"> — costs in relation to compensating staff (directly or indirectly) for their labour (excluding payroll tax)</w:t>
            </w:r>
          </w:p>
          <w:p w:rsidR="007511E6" w:rsidRDefault="007511E6" w:rsidP="00D20011">
            <w:pPr>
              <w:pStyle w:val="DQITableBullet"/>
            </w:pPr>
            <w:r w:rsidRPr="006D1008">
              <w:rPr>
                <w:i/>
              </w:rPr>
              <w:t>capital costs</w:t>
            </w:r>
            <w:r>
              <w:t xml:space="preserve"> — </w:t>
            </w:r>
            <w:r w:rsidRPr="005B2CEC">
              <w:t>costs associated with the with the use of non-current physical assets</w:t>
            </w:r>
            <w:r>
              <w:t>, including d</w:t>
            </w:r>
            <w:r w:rsidRPr="006D1008">
              <w:t>epreciation and the user cost of capital. The rate applied for the user cost of capital is currently 8 per cent.</w:t>
            </w:r>
            <w:r>
              <w:t xml:space="preserve"> Excluded are c</w:t>
            </w:r>
            <w:r w:rsidRPr="006D1008">
              <w:t>apital charges and interest on borrowings (to avoid double counting).</w:t>
            </w:r>
          </w:p>
          <w:p w:rsidR="007511E6" w:rsidRDefault="007511E6" w:rsidP="00D20011">
            <w:pPr>
              <w:pStyle w:val="DQITableBullet"/>
            </w:pPr>
            <w:r w:rsidRPr="00D27B2C">
              <w:rPr>
                <w:i/>
              </w:rPr>
              <w:t>other operating costs</w:t>
            </w:r>
            <w:r>
              <w:t xml:space="preserve"> — </w:t>
            </w:r>
            <w:r w:rsidRPr="00D27B2C">
              <w:t>other costs not counted in the categories above.</w:t>
            </w:r>
          </w:p>
          <w:p w:rsidR="007511E6" w:rsidRDefault="007511E6" w:rsidP="002C6162">
            <w:pPr>
              <w:pStyle w:val="DQITableText"/>
              <w:keepNext w:val="0"/>
            </w:pPr>
            <w:r>
              <w:t>A jurisdiction’s fire service organisation includes:</w:t>
            </w:r>
          </w:p>
          <w:p w:rsidR="007511E6" w:rsidRDefault="007511E6" w:rsidP="00D20011">
            <w:pPr>
              <w:pStyle w:val="DQITableBullet"/>
            </w:pPr>
            <w:r>
              <w:t xml:space="preserve">umbrella department — the department responsible for policy, planning, management and ensuring delivery of emergency services </w:t>
            </w:r>
          </w:p>
          <w:p w:rsidR="007511E6" w:rsidRDefault="007511E6" w:rsidP="00D20011">
            <w:pPr>
              <w:pStyle w:val="DQITableBullet"/>
            </w:pPr>
            <w:r>
              <w:t xml:space="preserve">fire service provider — the primary agencies involved in providing emergency management services for fire events </w:t>
            </w:r>
          </w:p>
          <w:p w:rsidR="007511E6" w:rsidRDefault="007511E6" w:rsidP="00D20011">
            <w:pPr>
              <w:pStyle w:val="DQITableBullet"/>
            </w:pPr>
            <w:r>
              <w:t>land management agency — government funded agencies that have an obligation to respond in the case of structure or landscape fires and typically provide fire services within designated areas.</w:t>
            </w:r>
          </w:p>
          <w:p w:rsidR="007511E6" w:rsidRPr="00A05229" w:rsidRDefault="007511E6" w:rsidP="002C6162">
            <w:pPr>
              <w:pStyle w:val="DQITableText"/>
              <w:keepNext w:val="0"/>
            </w:pPr>
            <w:r w:rsidRPr="00EA173D">
              <w:rPr>
                <w:u w:val="single"/>
              </w:rPr>
              <w:t>Estimated resident population</w:t>
            </w:r>
          </w:p>
          <w:p w:rsidR="007511E6" w:rsidRPr="00A01A3E" w:rsidRDefault="007511E6" w:rsidP="0096477A">
            <w:pPr>
              <w:pStyle w:val="DQITableText"/>
              <w:keepNext w:val="0"/>
            </w:pPr>
            <w:r w:rsidRPr="00A05229">
              <w:t>Population by State and Territory and Australian total</w:t>
            </w:r>
            <w:r>
              <w:t>.</w:t>
            </w:r>
            <w:r w:rsidRPr="00A05229">
              <w:t xml:space="preserve"> </w:t>
            </w:r>
            <w:r>
              <w:t>F</w:t>
            </w:r>
            <w:r w:rsidRPr="00A05229">
              <w:t xml:space="preserve">or more detail about the population data used in the Report see </w:t>
            </w:r>
            <w:proofErr w:type="spellStart"/>
            <w:r w:rsidRPr="00A05229">
              <w:t>RoGS</w:t>
            </w:r>
            <w:proofErr w:type="spellEnd"/>
            <w:r w:rsidRPr="00A05229">
              <w:t xml:space="preserve"> </w:t>
            </w:r>
            <w:r>
              <w:t xml:space="preserve">Statistical context (chapter 2, table </w:t>
            </w:r>
            <w:proofErr w:type="spellStart"/>
            <w:r>
              <w:t>2A.2</w:t>
            </w:r>
            <w:proofErr w:type="spellEnd"/>
            <w:r>
              <w:t>).</w:t>
            </w:r>
          </w:p>
        </w:tc>
      </w:tr>
      <w:tr w:rsidR="007511E6" w:rsidRPr="001F3F80" w:rsidTr="002C6162">
        <w:tc>
          <w:tcPr>
            <w:tcW w:w="874" w:type="pct"/>
          </w:tcPr>
          <w:p w:rsidR="007511E6" w:rsidRPr="00A05229" w:rsidRDefault="007511E6" w:rsidP="002C6162">
            <w:pPr>
              <w:pStyle w:val="DQIRowHeadings"/>
              <w:keepNext w:val="0"/>
            </w:pPr>
            <w:r w:rsidRPr="00A05229">
              <w:t>Data source</w:t>
            </w:r>
          </w:p>
        </w:tc>
        <w:tc>
          <w:tcPr>
            <w:tcW w:w="4126" w:type="pct"/>
          </w:tcPr>
          <w:p w:rsidR="007511E6" w:rsidRPr="00D20011" w:rsidRDefault="007511E6" w:rsidP="002C6162">
            <w:pPr>
              <w:pStyle w:val="DQITableText"/>
              <w:keepNext w:val="0"/>
              <w:rPr>
                <w:u w:val="single"/>
              </w:rPr>
            </w:pPr>
            <w:r w:rsidRPr="00D20011">
              <w:rPr>
                <w:u w:val="single"/>
              </w:rPr>
              <w:t>Fire service organisation expenditure</w:t>
            </w:r>
          </w:p>
          <w:p w:rsidR="007511E6" w:rsidRDefault="007511E6" w:rsidP="002C6162">
            <w:pPr>
              <w:pStyle w:val="DQITableText"/>
              <w:keepNext w:val="0"/>
            </w:pPr>
            <w:r>
              <w:t xml:space="preserve">State and Territory governments. The Secretariat collects data directly from all jurisdictions. Within each jurisdiction, fire service and emergency services organisations collect and compile data. </w:t>
            </w:r>
          </w:p>
          <w:p w:rsidR="007511E6" w:rsidRPr="00D20011" w:rsidRDefault="007511E6" w:rsidP="002C6162">
            <w:pPr>
              <w:pStyle w:val="DQITableText"/>
              <w:keepNext w:val="0"/>
              <w:rPr>
                <w:u w:val="single"/>
              </w:rPr>
            </w:pPr>
            <w:r w:rsidRPr="00D20011">
              <w:rPr>
                <w:u w:val="single"/>
              </w:rPr>
              <w:t>Estimated resident population</w:t>
            </w:r>
          </w:p>
          <w:p w:rsidR="007511E6" w:rsidRDefault="007511E6" w:rsidP="002C6162">
            <w:pPr>
              <w:pStyle w:val="DQITableText"/>
              <w:keepNext w:val="0"/>
            </w:pPr>
            <w:r>
              <w:rPr>
                <w:i/>
              </w:rPr>
              <w:t>Australian Demographic Statistics</w:t>
            </w:r>
            <w:r w:rsidR="00D20011">
              <w:t>, Cat. no. 3101.0 (table </w:t>
            </w:r>
            <w:proofErr w:type="spellStart"/>
            <w:r w:rsidR="00D20011">
              <w:t>2A.2</w:t>
            </w:r>
            <w:proofErr w:type="spellEnd"/>
            <w:r w:rsidR="00D20011">
              <w:t>)</w:t>
            </w:r>
          </w:p>
        </w:tc>
      </w:tr>
      <w:tr w:rsidR="007511E6" w:rsidRPr="000D7225" w:rsidTr="002C6162">
        <w:tc>
          <w:tcPr>
            <w:tcW w:w="5000" w:type="pct"/>
            <w:gridSpan w:val="2"/>
          </w:tcPr>
          <w:p w:rsidR="007511E6" w:rsidRPr="00CE3D86" w:rsidRDefault="007511E6" w:rsidP="002C6162">
            <w:pPr>
              <w:pStyle w:val="DQIMainRowHeadings"/>
              <w:keepNext w:val="0"/>
              <w:rPr>
                <w:rFonts w:cs="Arial"/>
                <w:sz w:val="22"/>
                <w:szCs w:val="22"/>
              </w:rPr>
            </w:pPr>
            <w:r>
              <w:rPr>
                <w:rFonts w:ascii="Times New Roman" w:hAnsi="Times New Roman"/>
                <w:sz w:val="24"/>
              </w:rPr>
              <w:br w:type="page"/>
            </w:r>
            <w:r>
              <w:rPr>
                <w:rFonts w:ascii="Times New Roman" w:hAnsi="Times New Roman"/>
                <w:sz w:val="24"/>
              </w:rPr>
              <w:br w:type="page"/>
            </w:r>
            <w:r w:rsidRPr="003211C6">
              <w:t>Data Quality Framework dimensions</w:t>
            </w:r>
          </w:p>
        </w:tc>
      </w:tr>
      <w:tr w:rsidR="007511E6" w:rsidRPr="00254F46" w:rsidTr="002C6162">
        <w:tc>
          <w:tcPr>
            <w:tcW w:w="874" w:type="pct"/>
          </w:tcPr>
          <w:p w:rsidR="007511E6" w:rsidRPr="00A05229" w:rsidRDefault="007511E6" w:rsidP="007511E6">
            <w:pPr>
              <w:pStyle w:val="DQIRowHeadings"/>
              <w:rPr>
                <w:szCs w:val="22"/>
              </w:rPr>
            </w:pPr>
            <w:r w:rsidRPr="00A05229">
              <w:rPr>
                <w:szCs w:val="22"/>
              </w:rPr>
              <w:t>Institutional environment</w:t>
            </w:r>
          </w:p>
        </w:tc>
        <w:tc>
          <w:tcPr>
            <w:tcW w:w="4126" w:type="pct"/>
          </w:tcPr>
          <w:p w:rsidR="007511E6" w:rsidRDefault="007511E6" w:rsidP="00D20011">
            <w:pPr>
              <w:pStyle w:val="DQITableText"/>
            </w:pPr>
            <w:r>
              <w:t xml:space="preserve">Data are provided by the fire and emergency service organisations in each State and Territory in accordance to the </w:t>
            </w:r>
            <w:proofErr w:type="spellStart"/>
            <w:r>
              <w:t>RoGS</w:t>
            </w:r>
            <w:proofErr w:type="spellEnd"/>
            <w:r>
              <w:t xml:space="preserve"> </w:t>
            </w:r>
            <w:r w:rsidRPr="00D27B2C">
              <w:t>Fire Services Financial and Staff Data Dictionary</w:t>
            </w:r>
            <w:r>
              <w:t>.</w:t>
            </w:r>
          </w:p>
          <w:p w:rsidR="007511E6" w:rsidRDefault="007511E6" w:rsidP="00D20011">
            <w:pPr>
              <w:pStyle w:val="DQITableText"/>
            </w:pPr>
            <w:r>
              <w:t xml:space="preserve">The </w:t>
            </w:r>
            <w:proofErr w:type="spellStart"/>
            <w:r>
              <w:t>RoGS</w:t>
            </w:r>
            <w:proofErr w:type="spellEnd"/>
            <w:r>
              <w:t xml:space="preserve"> </w:t>
            </w:r>
            <w:r w:rsidRPr="00D27B2C">
              <w:t>Fire Services Financial and Staff Data Dictionary</w:t>
            </w:r>
            <w:r>
              <w:t xml:space="preserve"> has been prepared by the Emergency Management Working Group (</w:t>
            </w:r>
            <w:proofErr w:type="spellStart"/>
            <w:r>
              <w:t>EMWG</w:t>
            </w:r>
            <w:proofErr w:type="spellEnd"/>
            <w:r>
              <w:t>),</w:t>
            </w:r>
            <w:r w:rsidR="006D45D4">
              <w:t xml:space="preserve"> </w:t>
            </w:r>
            <w:r>
              <w:t>with assistance from Australasian Fire Authorities Council (</w:t>
            </w:r>
            <w:proofErr w:type="spellStart"/>
            <w:r>
              <w:t>AFAC</w:t>
            </w:r>
            <w:proofErr w:type="spellEnd"/>
            <w:r>
              <w:t xml:space="preserve">) members. </w:t>
            </w:r>
          </w:p>
          <w:p w:rsidR="007511E6" w:rsidRDefault="007511E6" w:rsidP="00D20011">
            <w:pPr>
              <w:pStyle w:val="DQITableText"/>
            </w:pPr>
            <w:r>
              <w:t>The data are requested and submitted to the Secretariat in accordance with the authority of the terms of reference of the Review of Government Service Provision.</w:t>
            </w:r>
          </w:p>
        </w:tc>
      </w:tr>
    </w:tbl>
    <w:p w:rsidR="00E00641" w:rsidRDefault="00E00641" w:rsidP="00E00641">
      <w:pPr>
        <w:pStyle w:val="BodyText"/>
      </w:pPr>
    </w:p>
    <w:tbl>
      <w:tblPr>
        <w:tblpPr w:leftFromText="180" w:rightFromText="180" w:vertAnchor="text" w:tblpXSpec="center" w:tblpY="1"/>
        <w:tblOverlap w:val="never"/>
        <w:tblW w:w="5000" w:type="pct"/>
        <w:tblLayout w:type="fixed"/>
        <w:tblCellMar>
          <w:top w:w="28" w:type="dxa"/>
          <w:left w:w="28" w:type="dxa"/>
          <w:bottom w:w="28" w:type="dxa"/>
          <w:right w:w="28" w:type="dxa"/>
        </w:tblCellMar>
        <w:tblLook w:val="01E0" w:firstRow="1" w:lastRow="1" w:firstColumn="1" w:lastColumn="1" w:noHBand="0" w:noVBand="0"/>
      </w:tblPr>
      <w:tblGrid>
        <w:gridCol w:w="1502"/>
        <w:gridCol w:w="7088"/>
      </w:tblGrid>
      <w:tr w:rsidR="007511E6" w:rsidRPr="00254F46" w:rsidTr="002C6162">
        <w:tc>
          <w:tcPr>
            <w:tcW w:w="874" w:type="pct"/>
          </w:tcPr>
          <w:p w:rsidR="007511E6" w:rsidRPr="00A05229" w:rsidRDefault="007511E6" w:rsidP="007511E6">
            <w:pPr>
              <w:pStyle w:val="DQIRowHeadings"/>
              <w:rPr>
                <w:szCs w:val="22"/>
              </w:rPr>
            </w:pPr>
            <w:r w:rsidRPr="00A05229">
              <w:rPr>
                <w:szCs w:val="22"/>
              </w:rPr>
              <w:lastRenderedPageBreak/>
              <w:t>Relevance</w:t>
            </w:r>
          </w:p>
        </w:tc>
        <w:tc>
          <w:tcPr>
            <w:tcW w:w="4126" w:type="pct"/>
          </w:tcPr>
          <w:p w:rsidR="007511E6" w:rsidRDefault="007511E6" w:rsidP="00D20011">
            <w:pPr>
              <w:pStyle w:val="DQITableText"/>
            </w:pPr>
            <w:r w:rsidRPr="003363E5">
              <w:t xml:space="preserve">The indicator is available for all </w:t>
            </w:r>
            <w:r>
              <w:t xml:space="preserve">fire service organisations </w:t>
            </w:r>
            <w:r w:rsidRPr="003363E5">
              <w:t>in Australia</w:t>
            </w:r>
            <w:r>
              <w:t>, by State and Territory</w:t>
            </w:r>
            <w:r w:rsidRPr="003363E5">
              <w:t>.</w:t>
            </w:r>
          </w:p>
          <w:p w:rsidR="007511E6" w:rsidRDefault="007511E6" w:rsidP="00D20011">
            <w:pPr>
              <w:pStyle w:val="DQITableText"/>
            </w:pPr>
            <w:r>
              <w:t>All else being equal, lower expenditure per person represents greater efficiency. However, efficiency data are difficult to interpret. While high or increasing expenditure per person may reflect deteriorating efficiency, it may also reflect changes in aspects of the service (such as improved response) or the characteristics of fire events (such as more challenging fires). Similarly, low or declining expenditure per person may reflect improving efficiency or lower quality responses or less challenging fires.</w:t>
            </w:r>
          </w:p>
          <w:p w:rsidR="007511E6" w:rsidRDefault="007511E6" w:rsidP="00D20011">
            <w:pPr>
              <w:pStyle w:val="DQITableText"/>
            </w:pPr>
            <w:r>
              <w:t>Expenditure per person is employed as a proxy for efficiency. Expenditure per fire is not used as a proxy for fire service organisation efficiency because an organisation that applies more resources to the prevention and preparedness components to reduce the number of fire incidents could erroneously appear to be less efficient.</w:t>
            </w:r>
          </w:p>
          <w:p w:rsidR="007511E6" w:rsidRPr="00A05229" w:rsidRDefault="007511E6" w:rsidP="00D20011">
            <w:pPr>
              <w:pStyle w:val="DQITableText"/>
            </w:pPr>
            <w:r w:rsidRPr="00A57ABC">
              <w:t>Care needs to be taken when comparing efficiency data across jurisdictions because there are differences in the reporting of a range of cost items and funding arrangements (funding policies and taxing regimes). Within Australia different jurisdictions have selected different funding models to provide resourcing to fire service organisations.</w:t>
            </w:r>
            <w:r>
              <w:t xml:space="preserve"> F</w:t>
            </w:r>
            <w:r w:rsidRPr="00A57ABC">
              <w:t>or example, have a greater proportion of government funding relative to levies compared with other jurisdictions. Also, differences in geographic size, terrain, climate, and population dispersal may affect costs of infrastructure and numbers of service delivery locations per person.</w:t>
            </w:r>
          </w:p>
        </w:tc>
      </w:tr>
      <w:tr w:rsidR="007511E6" w:rsidRPr="00254F46" w:rsidTr="002C6162">
        <w:tc>
          <w:tcPr>
            <w:tcW w:w="874" w:type="pct"/>
          </w:tcPr>
          <w:p w:rsidR="007511E6" w:rsidRPr="00A05229" w:rsidRDefault="007511E6" w:rsidP="007511E6">
            <w:pPr>
              <w:pStyle w:val="DQIRowHeadings"/>
              <w:rPr>
                <w:szCs w:val="22"/>
              </w:rPr>
            </w:pPr>
            <w:r w:rsidRPr="00A05229">
              <w:rPr>
                <w:szCs w:val="22"/>
              </w:rPr>
              <w:t>Timeliness</w:t>
            </w:r>
          </w:p>
        </w:tc>
        <w:tc>
          <w:tcPr>
            <w:tcW w:w="4126" w:type="pct"/>
          </w:tcPr>
          <w:p w:rsidR="007511E6" w:rsidRPr="00E75549" w:rsidRDefault="007511E6" w:rsidP="007F6100">
            <w:pPr>
              <w:pStyle w:val="DQITableText"/>
            </w:pPr>
            <w:r w:rsidRPr="00BF1B7F">
              <w:t>Fire services expenditure per person</w:t>
            </w:r>
            <w:r>
              <w:t xml:space="preserve"> are published annually for the latest financial year preceding the January release of each </w:t>
            </w:r>
            <w:proofErr w:type="spellStart"/>
            <w:r>
              <w:t>R</w:t>
            </w:r>
            <w:r w:rsidR="007F6100">
              <w:t>o</w:t>
            </w:r>
            <w:r>
              <w:t>GS</w:t>
            </w:r>
            <w:proofErr w:type="spellEnd"/>
            <w:r w:rsidR="00D20011">
              <w:t>.</w:t>
            </w:r>
          </w:p>
        </w:tc>
      </w:tr>
      <w:tr w:rsidR="007511E6" w:rsidRPr="00254F46" w:rsidTr="002C6162">
        <w:tc>
          <w:tcPr>
            <w:tcW w:w="874" w:type="pct"/>
          </w:tcPr>
          <w:p w:rsidR="007511E6" w:rsidRPr="00A05229" w:rsidRDefault="007511E6" w:rsidP="007511E6">
            <w:pPr>
              <w:pStyle w:val="DQIRowHeadings"/>
              <w:rPr>
                <w:szCs w:val="22"/>
              </w:rPr>
            </w:pPr>
            <w:r w:rsidRPr="00A05229">
              <w:rPr>
                <w:szCs w:val="22"/>
              </w:rPr>
              <w:t>Accuracy</w:t>
            </w:r>
          </w:p>
        </w:tc>
        <w:tc>
          <w:tcPr>
            <w:tcW w:w="4126" w:type="pct"/>
            <w:shd w:val="clear" w:color="auto" w:fill="FFFFFF" w:themeFill="background1"/>
          </w:tcPr>
          <w:p w:rsidR="007511E6" w:rsidRDefault="007511E6" w:rsidP="00D20011">
            <w:pPr>
              <w:pStyle w:val="DQITableText"/>
            </w:pPr>
            <w:r>
              <w:t xml:space="preserve">Fire service organisation financial data are collected from all </w:t>
            </w:r>
            <w:r>
              <w:rPr>
                <w:lang w:val="en-GB"/>
              </w:rPr>
              <w:t xml:space="preserve">each fire service organisation </w:t>
            </w:r>
            <w:r w:rsidRPr="00CD72B9">
              <w:rPr>
                <w:lang w:val="en-GB"/>
              </w:rPr>
              <w:t>in Australia</w:t>
            </w:r>
            <w:r>
              <w:rPr>
                <w:lang w:val="en-GB"/>
              </w:rPr>
              <w:t xml:space="preserve"> </w:t>
            </w:r>
            <w:r>
              <w:t xml:space="preserve">according to agreed definitions. </w:t>
            </w:r>
          </w:p>
          <w:p w:rsidR="007511E6" w:rsidRDefault="007511E6" w:rsidP="00D20011">
            <w:pPr>
              <w:pStyle w:val="DQITableText"/>
            </w:pPr>
            <w:r>
              <w:t>Not all of the contributing fire service organisations collect all of the data because:</w:t>
            </w:r>
          </w:p>
          <w:p w:rsidR="007511E6" w:rsidRDefault="007511E6" w:rsidP="00D20011">
            <w:pPr>
              <w:pStyle w:val="DQITableBullet"/>
            </w:pPr>
            <w:r>
              <w:t>each fire service has different legislated roles and responsibilities, environments and history of reporting and therefore have developed processes relevant to their business</w:t>
            </w:r>
          </w:p>
          <w:p w:rsidR="007511E6" w:rsidRDefault="007511E6" w:rsidP="00D20011">
            <w:pPr>
              <w:pStyle w:val="DQITableBullet"/>
            </w:pPr>
            <w:r>
              <w:t xml:space="preserve">in several jurisdictions it is difficult to consolidate the financial arrangements of the umbrella departments, fire service providers, and </w:t>
            </w:r>
            <w:r w:rsidRPr="003A69D4">
              <w:t>land management agencies</w:t>
            </w:r>
            <w:r>
              <w:t xml:space="preserve">. A summary of the scope of each jurisdiction’s financial reporting is provided in table </w:t>
            </w:r>
            <w:proofErr w:type="spellStart"/>
            <w:r>
              <w:t>9A.3</w:t>
            </w:r>
            <w:proofErr w:type="spellEnd"/>
            <w:r>
              <w:t>.</w:t>
            </w:r>
          </w:p>
          <w:p w:rsidR="007511E6" w:rsidRPr="005D5688" w:rsidRDefault="007511E6" w:rsidP="00D20011">
            <w:pPr>
              <w:pStyle w:val="DQITableText"/>
            </w:pPr>
            <w:r w:rsidRPr="005D5688">
              <w:t xml:space="preserve">Jurisdictions have reported variations from the data dictionary </w:t>
            </w:r>
            <w:r>
              <w:t>with respect to:</w:t>
            </w:r>
            <w:r w:rsidRPr="005D5688">
              <w:t xml:space="preserve"> </w:t>
            </w:r>
          </w:p>
          <w:p w:rsidR="007511E6" w:rsidRDefault="007511E6" w:rsidP="00D20011">
            <w:pPr>
              <w:pStyle w:val="DQITableBullet"/>
            </w:pPr>
            <w:r w:rsidRPr="005D5688">
              <w:rPr>
                <w:i/>
              </w:rPr>
              <w:t>Umbrella departments</w:t>
            </w:r>
            <w:r w:rsidRPr="005D5688">
              <w:t xml:space="preserve"> — Only one jurisdiction (WA) have indicated that their financial data covers the fire events activities of their umbrella department. This is on account of the fact that in WA the Department of Fire and Emergency Services is both the fire service provider and the umbrella department. </w:t>
            </w:r>
          </w:p>
          <w:p w:rsidR="007511E6" w:rsidRPr="005D5688" w:rsidRDefault="007511E6" w:rsidP="007511E6">
            <w:pPr>
              <w:pStyle w:val="TableBullet"/>
              <w:numPr>
                <w:ilvl w:val="0"/>
                <w:numId w:val="0"/>
              </w:numPr>
              <w:ind w:left="170"/>
            </w:pPr>
            <w:r w:rsidRPr="005D5688">
              <w:t>No jurisdiction attempts to apportion the expenditure of the umbrella department to the fire service organisation.</w:t>
            </w:r>
          </w:p>
          <w:p w:rsidR="007511E6" w:rsidRDefault="007511E6" w:rsidP="00D20011">
            <w:pPr>
              <w:pStyle w:val="DQITableBullet"/>
            </w:pPr>
            <w:r w:rsidRPr="005D5688">
              <w:rPr>
                <w:i/>
              </w:rPr>
              <w:t>Fire service providers</w:t>
            </w:r>
            <w:r w:rsidRPr="005D5688">
              <w:t xml:space="preserve"> — All jurisdictions provide data on the expenditure of their fire service provider, which is assumed to be the largest component of fire service organisation expenditure. </w:t>
            </w:r>
          </w:p>
          <w:p w:rsidR="007511E6" w:rsidRPr="005D5688" w:rsidRDefault="007511E6" w:rsidP="007511E6">
            <w:pPr>
              <w:pStyle w:val="TableBullet"/>
              <w:numPr>
                <w:ilvl w:val="0"/>
                <w:numId w:val="0"/>
              </w:numPr>
              <w:ind w:left="170"/>
            </w:pPr>
            <w:r w:rsidRPr="005D5688">
              <w:t>However, due the different roles of fire service providers in each jurisdiction, differences are apparent in what activities the financial data cover. Variations from the data definitions scope include:</w:t>
            </w:r>
          </w:p>
          <w:p w:rsidR="007511E6" w:rsidRDefault="007511E6" w:rsidP="00D20011">
            <w:pPr>
              <w:pStyle w:val="DQITableBullet2"/>
            </w:pPr>
            <w:r w:rsidRPr="005D5688">
              <w:t xml:space="preserve">Vic: costs </w:t>
            </w:r>
            <w:r w:rsidRPr="005D5688">
              <w:rPr>
                <w:i/>
              </w:rPr>
              <w:t>exclude</w:t>
            </w:r>
            <w:r w:rsidRPr="005D5688">
              <w:t xml:space="preserve"> the activities of the Emergency Services Telecommunications Authority (which provide dispatch and other support services to Victorian emergency service providers).</w:t>
            </w:r>
          </w:p>
          <w:p w:rsidR="007511E6" w:rsidRDefault="007511E6" w:rsidP="00D20011">
            <w:pPr>
              <w:pStyle w:val="DQITableBullet2"/>
            </w:pPr>
            <w:r w:rsidRPr="005D5688">
              <w:t xml:space="preserve"> Qld: </w:t>
            </w:r>
          </w:p>
          <w:p w:rsidR="007511E6" w:rsidRPr="00D20011" w:rsidRDefault="007511E6" w:rsidP="007511E6">
            <w:pPr>
              <w:pStyle w:val="TableBullet3"/>
              <w:keepLines/>
              <w:numPr>
                <w:ilvl w:val="0"/>
                <w:numId w:val="32"/>
              </w:numPr>
              <w:spacing w:line="200" w:lineRule="atLeast"/>
              <w:ind w:left="1020" w:right="113" w:hanging="340"/>
              <w:rPr>
                <w:sz w:val="18"/>
              </w:rPr>
            </w:pPr>
            <w:r w:rsidRPr="00D20011">
              <w:rPr>
                <w:sz w:val="18"/>
              </w:rPr>
              <w:t xml:space="preserve">costs are likely to </w:t>
            </w:r>
            <w:r w:rsidRPr="00D20011">
              <w:rPr>
                <w:i/>
                <w:sz w:val="18"/>
              </w:rPr>
              <w:t xml:space="preserve">include </w:t>
            </w:r>
            <w:r w:rsidRPr="00D20011">
              <w:rPr>
                <w:sz w:val="18"/>
              </w:rPr>
              <w:t>the total costs of the Queensland Fire and Emergency Services (</w:t>
            </w:r>
            <w:proofErr w:type="spellStart"/>
            <w:r w:rsidRPr="00D20011">
              <w:rPr>
                <w:sz w:val="18"/>
              </w:rPr>
              <w:t>QFES</w:t>
            </w:r>
            <w:proofErr w:type="spellEnd"/>
            <w:r w:rsidRPr="00D20011">
              <w:rPr>
                <w:sz w:val="18"/>
              </w:rPr>
              <w:t xml:space="preserve">), which provides a wide range of emergency services under an integrated management structure. Data cannot be segregated by service and will include State Emergency Service and volunteer marine services as well as fire services. </w:t>
            </w:r>
          </w:p>
          <w:p w:rsidR="007511E6" w:rsidRPr="00D20011" w:rsidRDefault="007511E6" w:rsidP="007511E6">
            <w:pPr>
              <w:pStyle w:val="TableBullet3"/>
              <w:keepLines/>
              <w:numPr>
                <w:ilvl w:val="0"/>
                <w:numId w:val="32"/>
              </w:numPr>
              <w:spacing w:line="200" w:lineRule="atLeast"/>
              <w:ind w:left="1020" w:right="113" w:hanging="340"/>
              <w:rPr>
                <w:sz w:val="18"/>
              </w:rPr>
            </w:pPr>
            <w:r w:rsidRPr="00D20011">
              <w:rPr>
                <w:sz w:val="18"/>
              </w:rPr>
              <w:t xml:space="preserve">costs are likely to </w:t>
            </w:r>
            <w:r w:rsidRPr="00D20011">
              <w:rPr>
                <w:i/>
                <w:sz w:val="18"/>
              </w:rPr>
              <w:t>exclude</w:t>
            </w:r>
            <w:r w:rsidRPr="00D20011">
              <w:rPr>
                <w:sz w:val="18"/>
              </w:rPr>
              <w:t xml:space="preserve"> the Public Safety Business Agency (</w:t>
            </w:r>
            <w:proofErr w:type="spellStart"/>
            <w:r w:rsidRPr="00D20011">
              <w:rPr>
                <w:sz w:val="18"/>
              </w:rPr>
              <w:t>PSBA</w:t>
            </w:r>
            <w:proofErr w:type="spellEnd"/>
            <w:r w:rsidRPr="00D20011">
              <w:rPr>
                <w:sz w:val="18"/>
              </w:rPr>
              <w:t xml:space="preserve">), which provides support functions (business and corporate) to emergency service providers in including </w:t>
            </w:r>
            <w:proofErr w:type="spellStart"/>
            <w:r w:rsidRPr="00D20011">
              <w:rPr>
                <w:sz w:val="18"/>
              </w:rPr>
              <w:t>QFES</w:t>
            </w:r>
            <w:proofErr w:type="spellEnd"/>
            <w:r w:rsidRPr="00D20011">
              <w:rPr>
                <w:sz w:val="18"/>
              </w:rPr>
              <w:t>.</w:t>
            </w:r>
          </w:p>
          <w:p w:rsidR="007511E6" w:rsidRPr="00F565CD" w:rsidRDefault="007511E6" w:rsidP="00E00641">
            <w:pPr>
              <w:pStyle w:val="DQITableBullet"/>
              <w:numPr>
                <w:ilvl w:val="0"/>
                <w:numId w:val="0"/>
              </w:numPr>
              <w:ind w:left="340"/>
            </w:pPr>
          </w:p>
        </w:tc>
      </w:tr>
    </w:tbl>
    <w:p w:rsidR="00E00641" w:rsidRDefault="00E00641" w:rsidP="00E00641">
      <w:pPr>
        <w:pStyle w:val="FooterEnd"/>
      </w:pPr>
    </w:p>
    <w:tbl>
      <w:tblPr>
        <w:tblpPr w:leftFromText="180" w:rightFromText="180" w:vertAnchor="text" w:tblpXSpec="center" w:tblpY="1"/>
        <w:tblOverlap w:val="never"/>
        <w:tblW w:w="5000" w:type="pct"/>
        <w:tblLayout w:type="fixed"/>
        <w:tblCellMar>
          <w:top w:w="28" w:type="dxa"/>
          <w:left w:w="28" w:type="dxa"/>
          <w:bottom w:w="28" w:type="dxa"/>
          <w:right w:w="28" w:type="dxa"/>
        </w:tblCellMar>
        <w:tblLook w:val="01E0" w:firstRow="1" w:lastRow="1" w:firstColumn="1" w:lastColumn="1" w:noHBand="0" w:noVBand="0"/>
      </w:tblPr>
      <w:tblGrid>
        <w:gridCol w:w="1502"/>
        <w:gridCol w:w="7088"/>
      </w:tblGrid>
      <w:tr w:rsidR="00E00641" w:rsidRPr="00E57110" w:rsidTr="00180ECD">
        <w:tc>
          <w:tcPr>
            <w:tcW w:w="874" w:type="pct"/>
          </w:tcPr>
          <w:p w:rsidR="00E00641" w:rsidRPr="00A05229" w:rsidRDefault="00E00641" w:rsidP="00E00641">
            <w:pPr>
              <w:pStyle w:val="DQIRowHeadings"/>
              <w:rPr>
                <w:szCs w:val="22"/>
              </w:rPr>
            </w:pPr>
          </w:p>
        </w:tc>
        <w:tc>
          <w:tcPr>
            <w:tcW w:w="4126" w:type="pct"/>
          </w:tcPr>
          <w:p w:rsidR="00E00641" w:rsidRPr="005D5688" w:rsidRDefault="00E00641" w:rsidP="00E00641">
            <w:pPr>
              <w:pStyle w:val="DQITableBullet2"/>
            </w:pPr>
            <w:r w:rsidRPr="005D5688">
              <w:t xml:space="preserve">WA: the fire service provider costs </w:t>
            </w:r>
            <w:r w:rsidRPr="005D5688">
              <w:rPr>
                <w:i/>
              </w:rPr>
              <w:t xml:space="preserve">includes </w:t>
            </w:r>
            <w:r w:rsidRPr="005D5688">
              <w:t xml:space="preserve">the total costs of the DFES, which provides a wide range of emergency services under an integrated management structure. WA indicate that data cannot be segregated by service and includes State Emergency Service and volunteer marine services as well as fire services. </w:t>
            </w:r>
          </w:p>
          <w:p w:rsidR="00E00641" w:rsidRPr="005D5688" w:rsidRDefault="00E00641" w:rsidP="00E00641">
            <w:pPr>
              <w:pStyle w:val="DQITableBullet2"/>
            </w:pPr>
            <w:r w:rsidRPr="005D5688">
              <w:t xml:space="preserve">SA: the fire service provider costs </w:t>
            </w:r>
            <w:r w:rsidRPr="005D5688">
              <w:rPr>
                <w:i/>
              </w:rPr>
              <w:t>exclude</w:t>
            </w:r>
            <w:r w:rsidRPr="005D5688">
              <w:t xml:space="preserve"> the activities of the SA Fire and Emergency Services Commission, which provides fire support services.</w:t>
            </w:r>
          </w:p>
          <w:p w:rsidR="00E00641" w:rsidRPr="00A05229" w:rsidRDefault="00E00641" w:rsidP="00E00641">
            <w:pPr>
              <w:pStyle w:val="DQITableBullet"/>
            </w:pPr>
            <w:r w:rsidRPr="005D5688">
              <w:rPr>
                <w:i/>
              </w:rPr>
              <w:t>Land management agencies</w:t>
            </w:r>
            <w:r w:rsidRPr="005D5688">
              <w:t xml:space="preserve"> — only three jurisdictions (NSW, Victoria and the ACT) have indicated that their financial data covers the fire events activities of their land management agencies.</w:t>
            </w:r>
          </w:p>
        </w:tc>
      </w:tr>
      <w:tr w:rsidR="007511E6" w:rsidRPr="00E57110" w:rsidTr="002C6162">
        <w:tc>
          <w:tcPr>
            <w:tcW w:w="874" w:type="pct"/>
          </w:tcPr>
          <w:p w:rsidR="007511E6" w:rsidRPr="00A05229" w:rsidRDefault="007511E6" w:rsidP="007511E6">
            <w:pPr>
              <w:pStyle w:val="DQIRowHeadings"/>
              <w:rPr>
                <w:szCs w:val="22"/>
              </w:rPr>
            </w:pPr>
            <w:r w:rsidRPr="00A05229">
              <w:rPr>
                <w:szCs w:val="22"/>
              </w:rPr>
              <w:t>Coherence</w:t>
            </w:r>
          </w:p>
        </w:tc>
        <w:tc>
          <w:tcPr>
            <w:tcW w:w="4126" w:type="pct"/>
          </w:tcPr>
          <w:p w:rsidR="007511E6" w:rsidRDefault="007511E6" w:rsidP="00D20011">
            <w:pPr>
              <w:pStyle w:val="DQITableText"/>
            </w:pPr>
            <w:r>
              <w:t>Each State and Territory government maintain</w:t>
            </w:r>
            <w:r w:rsidR="00AD0494">
              <w:t>s</w:t>
            </w:r>
            <w:r>
              <w:t xml:space="preserve"> their own systems, processes, and training for estimation. </w:t>
            </w:r>
          </w:p>
          <w:p w:rsidR="007511E6" w:rsidRPr="00A05229" w:rsidRDefault="007511E6" w:rsidP="00D20011">
            <w:pPr>
              <w:pStyle w:val="DQITableText"/>
            </w:pPr>
            <w:r>
              <w:t>Any time series changes are identified with relevant footnotes.</w:t>
            </w:r>
          </w:p>
        </w:tc>
      </w:tr>
      <w:tr w:rsidR="007511E6" w:rsidRPr="00E57110" w:rsidTr="002C6162">
        <w:tc>
          <w:tcPr>
            <w:tcW w:w="874" w:type="pct"/>
          </w:tcPr>
          <w:p w:rsidR="007511E6" w:rsidRPr="00A05229" w:rsidRDefault="007511E6" w:rsidP="007511E6">
            <w:pPr>
              <w:pStyle w:val="DQIRowHeadings"/>
              <w:rPr>
                <w:szCs w:val="22"/>
              </w:rPr>
            </w:pPr>
            <w:r w:rsidRPr="00A05229">
              <w:rPr>
                <w:szCs w:val="22"/>
              </w:rPr>
              <w:t>Accessibility</w:t>
            </w:r>
          </w:p>
        </w:tc>
        <w:tc>
          <w:tcPr>
            <w:tcW w:w="4126" w:type="pct"/>
            <w:shd w:val="clear" w:color="auto" w:fill="FFFFFF" w:themeFill="background1"/>
          </w:tcPr>
          <w:p w:rsidR="007511E6" w:rsidRPr="00A05229" w:rsidRDefault="007511E6" w:rsidP="00D20011">
            <w:pPr>
              <w:pStyle w:val="DQITableText"/>
            </w:pPr>
            <w:r w:rsidRPr="00BF1B7F">
              <w:t>Fire services expenditure per person</w:t>
            </w:r>
            <w:r>
              <w:t xml:space="preserve"> data are publicly available on the Productivity Commission’s website from the time of </w:t>
            </w:r>
            <w:proofErr w:type="spellStart"/>
            <w:r>
              <w:t>RoGS</w:t>
            </w:r>
            <w:proofErr w:type="spellEnd"/>
            <w:r>
              <w:t xml:space="preserve"> publication. </w:t>
            </w:r>
          </w:p>
        </w:tc>
      </w:tr>
      <w:tr w:rsidR="007511E6" w:rsidRPr="00254F46" w:rsidTr="002C6162">
        <w:tc>
          <w:tcPr>
            <w:tcW w:w="874" w:type="pct"/>
          </w:tcPr>
          <w:p w:rsidR="007511E6" w:rsidRPr="00A05229" w:rsidRDefault="007511E6" w:rsidP="007511E6">
            <w:pPr>
              <w:pStyle w:val="DQIRowHeadings"/>
              <w:rPr>
                <w:szCs w:val="22"/>
              </w:rPr>
            </w:pPr>
            <w:r w:rsidRPr="00A05229">
              <w:rPr>
                <w:szCs w:val="22"/>
              </w:rPr>
              <w:t>Interpretability</w:t>
            </w:r>
          </w:p>
        </w:tc>
        <w:tc>
          <w:tcPr>
            <w:tcW w:w="4126" w:type="pct"/>
          </w:tcPr>
          <w:p w:rsidR="007511E6" w:rsidRDefault="007511E6" w:rsidP="00D20011">
            <w:pPr>
              <w:pStyle w:val="DQITableText"/>
            </w:pPr>
            <w:r>
              <w:t xml:space="preserve">Copies of the complete Fire Services Financial and Staff Data Dictionary are available upon request through the Secretariat. </w:t>
            </w:r>
          </w:p>
          <w:p w:rsidR="007511E6" w:rsidRDefault="007511E6" w:rsidP="00D20011">
            <w:pPr>
              <w:pStyle w:val="DQITableText"/>
            </w:pPr>
            <w:r>
              <w:t>Text caveats and chapter footnotes provide additional commentary on data quality, as do the footnotes in the relevant attachment tables.</w:t>
            </w:r>
          </w:p>
        </w:tc>
      </w:tr>
      <w:tr w:rsidR="007511E6" w:rsidRPr="00254F46" w:rsidTr="00D20011">
        <w:tc>
          <w:tcPr>
            <w:tcW w:w="5000" w:type="pct"/>
            <w:gridSpan w:val="2"/>
          </w:tcPr>
          <w:p w:rsidR="007511E6" w:rsidRPr="00CE3D86" w:rsidRDefault="007511E6" w:rsidP="00D20011">
            <w:pPr>
              <w:pStyle w:val="DQIMainRowHeadings"/>
            </w:pPr>
            <w:r w:rsidRPr="00C744E0">
              <w:t>Data Gaps/Issues Analysis</w:t>
            </w:r>
          </w:p>
        </w:tc>
      </w:tr>
      <w:tr w:rsidR="007511E6" w:rsidRPr="004F3342" w:rsidTr="00D20011">
        <w:trPr>
          <w:trHeight w:val="539"/>
        </w:trPr>
        <w:tc>
          <w:tcPr>
            <w:tcW w:w="874" w:type="pct"/>
            <w:shd w:val="clear" w:color="auto" w:fill="FFFFFF" w:themeFill="background1"/>
          </w:tcPr>
          <w:p w:rsidR="007511E6" w:rsidRPr="00A05229" w:rsidRDefault="007511E6" w:rsidP="00D20011">
            <w:pPr>
              <w:pStyle w:val="DQIRowHeadings"/>
            </w:pPr>
            <w:r w:rsidRPr="00A05229">
              <w:t>Key data gaps/issues</w:t>
            </w:r>
          </w:p>
        </w:tc>
        <w:tc>
          <w:tcPr>
            <w:tcW w:w="4126" w:type="pct"/>
            <w:shd w:val="clear" w:color="auto" w:fill="FFFFFF" w:themeFill="background1"/>
          </w:tcPr>
          <w:p w:rsidR="007511E6" w:rsidRPr="00620164" w:rsidRDefault="007511E6" w:rsidP="00D20011">
            <w:pPr>
              <w:pStyle w:val="DQITableText"/>
            </w:pPr>
            <w:r w:rsidRPr="00620164">
              <w:t>The Steering Committee notes the following issue:</w:t>
            </w:r>
          </w:p>
          <w:p w:rsidR="007511E6" w:rsidRDefault="007511E6" w:rsidP="00D20011">
            <w:pPr>
              <w:pStyle w:val="DQITableBullet"/>
            </w:pPr>
            <w:r w:rsidRPr="0044658B">
              <w:t xml:space="preserve">Expenditure per person is employed as a proxy for efficiency. </w:t>
            </w:r>
          </w:p>
          <w:p w:rsidR="007511E6" w:rsidRDefault="007511E6" w:rsidP="00D20011">
            <w:pPr>
              <w:pStyle w:val="DQITableBullet"/>
            </w:pPr>
            <w:r w:rsidRPr="00A57ABC">
              <w:t>Care needs to be taken when comparing efficiency data across jurisdictions because there are differences in the reporting of a range of cost items and funding arrangements (funding policies and taxing regimes).</w:t>
            </w:r>
          </w:p>
          <w:p w:rsidR="007511E6" w:rsidRDefault="007511E6" w:rsidP="00D20011">
            <w:pPr>
              <w:pStyle w:val="DQITableBullet"/>
            </w:pPr>
            <w:r>
              <w:t>Not all of the contributing fire service organisations collect all of the data because:</w:t>
            </w:r>
          </w:p>
          <w:p w:rsidR="007511E6" w:rsidRDefault="007511E6" w:rsidP="00D20011">
            <w:pPr>
              <w:pStyle w:val="DQITableBullet2"/>
            </w:pPr>
            <w:r>
              <w:t>each fire service has different legislated roles and responsibilities, environments and history of reporting and therefore have developed processes relevant to their business</w:t>
            </w:r>
          </w:p>
          <w:p w:rsidR="007511E6" w:rsidRPr="004F3342" w:rsidRDefault="007511E6" w:rsidP="00D20011">
            <w:pPr>
              <w:pStyle w:val="DQITableBullet2"/>
            </w:pPr>
            <w:r>
              <w:t xml:space="preserve">in several jurisdictions it is difficult to consolidate the financial arrangements of the umbrella departments, fire service providers, and </w:t>
            </w:r>
            <w:r w:rsidRPr="003A69D4">
              <w:t>land management agencies</w:t>
            </w:r>
            <w:r>
              <w:t xml:space="preserve">. A summary of the actual scope of jurisdiction’s financial reporting is provided in table </w:t>
            </w:r>
            <w:proofErr w:type="spellStart"/>
            <w:r>
              <w:t>9A.3</w:t>
            </w:r>
            <w:proofErr w:type="spellEnd"/>
            <w:r>
              <w:t>.</w:t>
            </w:r>
          </w:p>
        </w:tc>
      </w:tr>
    </w:tbl>
    <w:p w:rsidR="00D20011" w:rsidRDefault="00D20011" w:rsidP="00BD19D0">
      <w:pPr>
        <w:pStyle w:val="Heading3"/>
        <w:spacing w:before="0"/>
      </w:pPr>
      <w:r>
        <w:br w:type="page"/>
      </w:r>
    </w:p>
    <w:p w:rsidR="00BD19D0" w:rsidRDefault="00D20011" w:rsidP="00BD19D0">
      <w:pPr>
        <w:pStyle w:val="Heading3"/>
        <w:spacing w:before="0"/>
      </w:pPr>
      <w:bookmarkStart w:id="58" w:name="_Toc405885740"/>
      <w:r>
        <w:lastRenderedPageBreak/>
        <w:t>F</w:t>
      </w:r>
      <w:r w:rsidR="00BD19D0" w:rsidRPr="00A05229">
        <w:t>ire death</w:t>
      </w:r>
      <w:r w:rsidR="00BD19D0">
        <w:t xml:space="preserve"> rate</w:t>
      </w:r>
      <w:bookmarkEnd w:id="56"/>
      <w:bookmarkEnd w:id="58"/>
    </w:p>
    <w:p w:rsidR="00D20011" w:rsidRPr="00D20011" w:rsidRDefault="00D20011" w:rsidP="00D20011">
      <w:pPr>
        <w:pStyle w:val="Heading4"/>
      </w:pPr>
      <w:bookmarkStart w:id="59" w:name="_Toc405885741"/>
      <w:r>
        <w:t>Annual fire death rate</w:t>
      </w:r>
      <w:bookmarkEnd w:id="59"/>
    </w:p>
    <w:p w:rsidR="00BD19D0" w:rsidRPr="00A05229" w:rsidRDefault="00BD19D0" w:rsidP="00D20011">
      <w:pPr>
        <w:pStyle w:val="Box"/>
      </w:pPr>
      <w:r w:rsidRPr="00D20011">
        <w:t>Data</w:t>
      </w:r>
      <w:r w:rsidRPr="0001794F">
        <w:t xml:space="preserve"> quality information for this indicator has been drafted by the Secretariat in consultation with the ABS, with additional Steering Committee comments.</w:t>
      </w:r>
    </w:p>
    <w:tbl>
      <w:tblPr>
        <w:tblW w:w="8820" w:type="dxa"/>
        <w:jc w:val="center"/>
        <w:tblLook w:val="01E0" w:firstRow="1" w:lastRow="1" w:firstColumn="1" w:lastColumn="1" w:noHBand="0" w:noVBand="0"/>
      </w:tblPr>
      <w:tblGrid>
        <w:gridCol w:w="1633"/>
        <w:gridCol w:w="7187"/>
      </w:tblGrid>
      <w:tr w:rsidR="00BD19D0" w:rsidRPr="001F3F80" w:rsidTr="00D20011">
        <w:trPr>
          <w:jc w:val="center"/>
        </w:trPr>
        <w:tc>
          <w:tcPr>
            <w:tcW w:w="8820" w:type="dxa"/>
            <w:gridSpan w:val="2"/>
          </w:tcPr>
          <w:p w:rsidR="00BD19D0" w:rsidRPr="003211C6" w:rsidRDefault="00BD19D0" w:rsidP="00D20011">
            <w:pPr>
              <w:pStyle w:val="DQIMainRowHeadings"/>
              <w:rPr>
                <w:rFonts w:cs="Arial"/>
                <w:sz w:val="22"/>
                <w:szCs w:val="22"/>
              </w:rPr>
            </w:pPr>
            <w:r w:rsidRPr="003211C6">
              <w:t>Indicator definition and description</w:t>
            </w:r>
          </w:p>
        </w:tc>
      </w:tr>
      <w:tr w:rsidR="00BD19D0" w:rsidRPr="001F3F80" w:rsidTr="00D20011">
        <w:trPr>
          <w:jc w:val="center"/>
        </w:trPr>
        <w:tc>
          <w:tcPr>
            <w:tcW w:w="1633" w:type="dxa"/>
          </w:tcPr>
          <w:p w:rsidR="00BD19D0" w:rsidRPr="00A05229" w:rsidRDefault="00BD19D0" w:rsidP="00D20011">
            <w:pPr>
              <w:pStyle w:val="DQIRowHeadings"/>
            </w:pPr>
            <w:r w:rsidRPr="00A05229">
              <w:t>Element</w:t>
            </w:r>
          </w:p>
        </w:tc>
        <w:tc>
          <w:tcPr>
            <w:tcW w:w="7187" w:type="dxa"/>
          </w:tcPr>
          <w:p w:rsidR="00BD19D0" w:rsidRPr="00A05229" w:rsidRDefault="00BD19D0" w:rsidP="00D20011">
            <w:pPr>
              <w:pStyle w:val="DQITableText"/>
            </w:pPr>
            <w:r>
              <w:t>Outcomes</w:t>
            </w:r>
          </w:p>
        </w:tc>
      </w:tr>
      <w:tr w:rsidR="00BD19D0" w:rsidRPr="001F3F80" w:rsidTr="00332B70">
        <w:trPr>
          <w:jc w:val="center"/>
        </w:trPr>
        <w:tc>
          <w:tcPr>
            <w:tcW w:w="1633" w:type="dxa"/>
          </w:tcPr>
          <w:p w:rsidR="00BD19D0" w:rsidRPr="00A05229" w:rsidRDefault="00BD19D0" w:rsidP="00D20011">
            <w:pPr>
              <w:pStyle w:val="DQIRowHeadings"/>
            </w:pPr>
            <w:r w:rsidRPr="00A05229">
              <w:t>Indicator</w:t>
            </w:r>
          </w:p>
        </w:tc>
        <w:tc>
          <w:tcPr>
            <w:tcW w:w="7187" w:type="dxa"/>
          </w:tcPr>
          <w:p w:rsidR="00BD19D0" w:rsidRPr="00A05229" w:rsidRDefault="002235B6" w:rsidP="00D20011">
            <w:pPr>
              <w:pStyle w:val="DQITableText"/>
            </w:pPr>
            <w:r>
              <w:t>F</w:t>
            </w:r>
            <w:r w:rsidR="00BD19D0">
              <w:t>ire death rate</w:t>
            </w:r>
          </w:p>
        </w:tc>
      </w:tr>
      <w:tr w:rsidR="00BD19D0" w:rsidRPr="001F3F80" w:rsidTr="00332B70">
        <w:trPr>
          <w:jc w:val="center"/>
        </w:trPr>
        <w:tc>
          <w:tcPr>
            <w:tcW w:w="1633" w:type="dxa"/>
          </w:tcPr>
          <w:p w:rsidR="00BD19D0" w:rsidRPr="00A05229" w:rsidRDefault="00BD19D0" w:rsidP="00D20011">
            <w:pPr>
              <w:pStyle w:val="DQIRowHeadings"/>
            </w:pPr>
            <w:r w:rsidRPr="00A05229">
              <w:t>Measure (computation)</w:t>
            </w:r>
          </w:p>
        </w:tc>
        <w:tc>
          <w:tcPr>
            <w:tcW w:w="7187" w:type="dxa"/>
          </w:tcPr>
          <w:p w:rsidR="00BD19D0" w:rsidRPr="00A05229" w:rsidRDefault="00BD19D0" w:rsidP="00D20011">
            <w:pPr>
              <w:pStyle w:val="DQITableText"/>
            </w:pPr>
            <w:r w:rsidRPr="00A05229">
              <w:t xml:space="preserve">This indicator is defined as the number of deaths from fire: </w:t>
            </w:r>
          </w:p>
          <w:p w:rsidR="00BD19D0" w:rsidRPr="00D20011" w:rsidRDefault="00BD19D0" w:rsidP="00D20011">
            <w:pPr>
              <w:pStyle w:val="DQITableText"/>
              <w:rPr>
                <w:u w:val="single"/>
              </w:rPr>
            </w:pPr>
            <w:r w:rsidRPr="00D20011">
              <w:rPr>
                <w:u w:val="single"/>
              </w:rPr>
              <w:t>Numerator</w:t>
            </w:r>
          </w:p>
          <w:p w:rsidR="00BD19D0" w:rsidRPr="00A05229" w:rsidRDefault="00BD19D0" w:rsidP="00D20011">
            <w:pPr>
              <w:pStyle w:val="DQITableText"/>
            </w:pPr>
            <w:r w:rsidRPr="00A05229">
              <w:t>The following International Classification of Diseases (</w:t>
            </w:r>
            <w:proofErr w:type="spellStart"/>
            <w:r w:rsidRPr="00A05229">
              <w:t>ICD</w:t>
            </w:r>
            <w:proofErr w:type="spellEnd"/>
            <w:r w:rsidRPr="00A05229">
              <w:t>) codes are aggregated to define the data set:</w:t>
            </w:r>
          </w:p>
          <w:p w:rsidR="00BD19D0" w:rsidRPr="00A05229" w:rsidRDefault="00BD19D0" w:rsidP="00D20011">
            <w:pPr>
              <w:pStyle w:val="DQITableBullet"/>
            </w:pPr>
            <w:r w:rsidRPr="00A05229">
              <w:t>Exposure to smoke, fire and flames (</w:t>
            </w:r>
            <w:proofErr w:type="spellStart"/>
            <w:r w:rsidRPr="00A05229">
              <w:t>ICD</w:t>
            </w:r>
            <w:proofErr w:type="spellEnd"/>
            <w:r w:rsidRPr="00A05229">
              <w:t xml:space="preserve"> </w:t>
            </w:r>
            <w:proofErr w:type="spellStart"/>
            <w:r w:rsidRPr="00A05229">
              <w:t>X00</w:t>
            </w:r>
            <w:proofErr w:type="spellEnd"/>
            <w:r w:rsidR="009D2362">
              <w:t xml:space="preserve"> </w:t>
            </w:r>
            <w:r w:rsidRPr="00A05229">
              <w:t>—</w:t>
            </w:r>
            <w:r w:rsidR="009D2362">
              <w:t xml:space="preserve"> </w:t>
            </w:r>
            <w:proofErr w:type="spellStart"/>
            <w:r w:rsidRPr="00A05229">
              <w:t>X09</w:t>
            </w:r>
            <w:proofErr w:type="spellEnd"/>
            <w:r w:rsidRPr="00A05229">
              <w:t>) as follows:</w:t>
            </w:r>
          </w:p>
          <w:p w:rsidR="00BD19D0" w:rsidRPr="00A95BE1" w:rsidRDefault="00BD19D0" w:rsidP="00D20011">
            <w:pPr>
              <w:pStyle w:val="DQITableBullet2"/>
            </w:pPr>
            <w:proofErr w:type="spellStart"/>
            <w:r w:rsidRPr="00A95BE1">
              <w:t>ICD</w:t>
            </w:r>
            <w:proofErr w:type="spellEnd"/>
            <w:r w:rsidRPr="00A95BE1">
              <w:t xml:space="preserve"> </w:t>
            </w:r>
            <w:proofErr w:type="spellStart"/>
            <w:r w:rsidRPr="00A95BE1">
              <w:t>X00</w:t>
            </w:r>
            <w:proofErr w:type="spellEnd"/>
            <w:r w:rsidRPr="00A95BE1">
              <w:t xml:space="preserve"> Exposure to uncontrolled fire in building or structure</w:t>
            </w:r>
          </w:p>
          <w:p w:rsidR="00BD19D0" w:rsidRPr="00A05229" w:rsidRDefault="00BD19D0" w:rsidP="00D20011">
            <w:pPr>
              <w:pStyle w:val="DQITableBullet2"/>
            </w:pPr>
            <w:proofErr w:type="spellStart"/>
            <w:r w:rsidRPr="00A05229">
              <w:t>ICD</w:t>
            </w:r>
            <w:proofErr w:type="spellEnd"/>
            <w:r w:rsidRPr="00A05229">
              <w:t xml:space="preserve"> </w:t>
            </w:r>
            <w:proofErr w:type="spellStart"/>
            <w:r w:rsidRPr="00A05229">
              <w:t>X01</w:t>
            </w:r>
            <w:proofErr w:type="spellEnd"/>
            <w:r w:rsidRPr="00A05229">
              <w:t xml:space="preserve"> Exposure to uncontrolled fire, not in building or structure</w:t>
            </w:r>
          </w:p>
          <w:p w:rsidR="00BD19D0" w:rsidRPr="00A05229" w:rsidRDefault="00BD19D0" w:rsidP="00D20011">
            <w:pPr>
              <w:pStyle w:val="DQITableBullet2"/>
            </w:pPr>
            <w:proofErr w:type="spellStart"/>
            <w:r w:rsidRPr="00A05229">
              <w:t>ICD</w:t>
            </w:r>
            <w:proofErr w:type="spellEnd"/>
            <w:r w:rsidRPr="00A05229">
              <w:t xml:space="preserve"> </w:t>
            </w:r>
            <w:proofErr w:type="spellStart"/>
            <w:r w:rsidRPr="00A05229">
              <w:t>X02</w:t>
            </w:r>
            <w:proofErr w:type="spellEnd"/>
            <w:r w:rsidRPr="00A05229">
              <w:t xml:space="preserve"> Exposure to controlled fire in building or structure</w:t>
            </w:r>
          </w:p>
          <w:p w:rsidR="00BD19D0" w:rsidRPr="00A05229" w:rsidRDefault="00BD19D0" w:rsidP="00D20011">
            <w:pPr>
              <w:pStyle w:val="DQITableBullet2"/>
            </w:pPr>
            <w:proofErr w:type="spellStart"/>
            <w:r w:rsidRPr="00A05229">
              <w:t>ICD</w:t>
            </w:r>
            <w:proofErr w:type="spellEnd"/>
            <w:r w:rsidRPr="00A05229">
              <w:t xml:space="preserve"> </w:t>
            </w:r>
            <w:proofErr w:type="spellStart"/>
            <w:r w:rsidRPr="00A05229">
              <w:t>X03</w:t>
            </w:r>
            <w:proofErr w:type="spellEnd"/>
            <w:r w:rsidRPr="00A05229">
              <w:t xml:space="preserve"> Exposure to controlled fire, not in building or structure</w:t>
            </w:r>
          </w:p>
          <w:p w:rsidR="00BD19D0" w:rsidRPr="00A05229" w:rsidRDefault="00BD19D0" w:rsidP="00D20011">
            <w:pPr>
              <w:pStyle w:val="DQITableBullet2"/>
            </w:pPr>
            <w:proofErr w:type="spellStart"/>
            <w:r w:rsidRPr="00A05229">
              <w:t>ICD</w:t>
            </w:r>
            <w:proofErr w:type="spellEnd"/>
            <w:r w:rsidRPr="00A05229">
              <w:t xml:space="preserve"> </w:t>
            </w:r>
            <w:proofErr w:type="spellStart"/>
            <w:r w:rsidRPr="00A05229">
              <w:t>X04</w:t>
            </w:r>
            <w:proofErr w:type="spellEnd"/>
            <w:r w:rsidRPr="00A05229">
              <w:t xml:space="preserve"> Exposure to ignition of highly flammable material</w:t>
            </w:r>
          </w:p>
          <w:p w:rsidR="00BD19D0" w:rsidRPr="00A05229" w:rsidRDefault="00BD19D0" w:rsidP="00D20011">
            <w:pPr>
              <w:pStyle w:val="DQITableBullet2"/>
            </w:pPr>
            <w:proofErr w:type="spellStart"/>
            <w:r w:rsidRPr="00A05229">
              <w:t>ICD</w:t>
            </w:r>
            <w:proofErr w:type="spellEnd"/>
            <w:r w:rsidRPr="00A05229">
              <w:t xml:space="preserve"> </w:t>
            </w:r>
            <w:proofErr w:type="spellStart"/>
            <w:r w:rsidRPr="00A05229">
              <w:t>X05</w:t>
            </w:r>
            <w:proofErr w:type="spellEnd"/>
            <w:r w:rsidRPr="00A05229">
              <w:t xml:space="preserve"> Exposure to ignition or melting of nightwear</w:t>
            </w:r>
          </w:p>
          <w:p w:rsidR="00BD19D0" w:rsidRPr="00A05229" w:rsidRDefault="00BD19D0" w:rsidP="00D20011">
            <w:pPr>
              <w:pStyle w:val="DQITableBullet2"/>
            </w:pPr>
            <w:proofErr w:type="spellStart"/>
            <w:r w:rsidRPr="00A05229">
              <w:t>ICD</w:t>
            </w:r>
            <w:proofErr w:type="spellEnd"/>
            <w:r w:rsidRPr="00A05229">
              <w:t xml:space="preserve"> </w:t>
            </w:r>
            <w:proofErr w:type="spellStart"/>
            <w:r w:rsidRPr="00A05229">
              <w:t>X06</w:t>
            </w:r>
            <w:proofErr w:type="spellEnd"/>
            <w:r w:rsidRPr="00A05229">
              <w:t xml:space="preserve"> Exposure to ignition or melting of other clothing and apparel</w:t>
            </w:r>
          </w:p>
          <w:p w:rsidR="00BD19D0" w:rsidRPr="00A05229" w:rsidRDefault="00BD19D0" w:rsidP="00D20011">
            <w:pPr>
              <w:pStyle w:val="DQITableBullet2"/>
            </w:pPr>
            <w:proofErr w:type="spellStart"/>
            <w:r w:rsidRPr="00A05229">
              <w:t>ICD</w:t>
            </w:r>
            <w:proofErr w:type="spellEnd"/>
            <w:r w:rsidRPr="00A05229">
              <w:t xml:space="preserve"> </w:t>
            </w:r>
            <w:proofErr w:type="spellStart"/>
            <w:r w:rsidRPr="00A05229">
              <w:t>X08</w:t>
            </w:r>
            <w:proofErr w:type="spellEnd"/>
            <w:r w:rsidRPr="00A05229">
              <w:t xml:space="preserve"> Exposure to other specified smoke, fire and flames</w:t>
            </w:r>
          </w:p>
          <w:p w:rsidR="00BD19D0" w:rsidRPr="00A05229" w:rsidRDefault="00BD19D0" w:rsidP="00D20011">
            <w:pPr>
              <w:pStyle w:val="DQITableBullet2"/>
            </w:pPr>
            <w:proofErr w:type="spellStart"/>
            <w:r w:rsidRPr="00A05229">
              <w:t>ICD</w:t>
            </w:r>
            <w:proofErr w:type="spellEnd"/>
            <w:r w:rsidRPr="00A05229">
              <w:t xml:space="preserve"> </w:t>
            </w:r>
            <w:proofErr w:type="spellStart"/>
            <w:r w:rsidRPr="00A05229">
              <w:t>X09</w:t>
            </w:r>
            <w:proofErr w:type="spellEnd"/>
            <w:r w:rsidRPr="00A05229">
              <w:t xml:space="preserve"> Exposure to unspecified smoke, fire and flames</w:t>
            </w:r>
          </w:p>
          <w:p w:rsidR="00BD19D0" w:rsidRPr="00A05229" w:rsidRDefault="00BD19D0" w:rsidP="00D20011">
            <w:pPr>
              <w:pStyle w:val="DQITableBullet"/>
            </w:pPr>
            <w:r w:rsidRPr="00A05229">
              <w:t>Intentional self</w:t>
            </w:r>
            <w:r w:rsidR="009D2362">
              <w:noBreakHyphen/>
            </w:r>
            <w:r w:rsidRPr="00A05229">
              <w:t>harm by smoke, fire and flames (</w:t>
            </w:r>
            <w:proofErr w:type="spellStart"/>
            <w:r w:rsidRPr="00A05229">
              <w:t>ICD</w:t>
            </w:r>
            <w:proofErr w:type="spellEnd"/>
            <w:r w:rsidRPr="00A05229">
              <w:t xml:space="preserve"> </w:t>
            </w:r>
            <w:proofErr w:type="spellStart"/>
            <w:r w:rsidRPr="00A05229">
              <w:t>X76</w:t>
            </w:r>
            <w:proofErr w:type="spellEnd"/>
            <w:r w:rsidRPr="00A05229">
              <w:t xml:space="preserve">) </w:t>
            </w:r>
          </w:p>
          <w:p w:rsidR="00BD19D0" w:rsidRPr="00A05229" w:rsidRDefault="00BD19D0" w:rsidP="00D20011">
            <w:pPr>
              <w:pStyle w:val="DQITableBullet"/>
            </w:pPr>
            <w:r w:rsidRPr="00A05229">
              <w:t>Assault by smoke, fire and flames (</w:t>
            </w:r>
            <w:proofErr w:type="spellStart"/>
            <w:r w:rsidRPr="00A05229">
              <w:t>ICD</w:t>
            </w:r>
            <w:proofErr w:type="spellEnd"/>
            <w:r w:rsidRPr="00A05229">
              <w:t xml:space="preserve"> </w:t>
            </w:r>
            <w:proofErr w:type="spellStart"/>
            <w:r w:rsidRPr="00A05229">
              <w:t>X97</w:t>
            </w:r>
            <w:proofErr w:type="spellEnd"/>
            <w:r w:rsidRPr="00A05229">
              <w:t>)</w:t>
            </w:r>
          </w:p>
          <w:p w:rsidR="00BD19D0" w:rsidRPr="00A05229" w:rsidRDefault="00BD19D0" w:rsidP="00D20011">
            <w:pPr>
              <w:pStyle w:val="DQITableBullet"/>
            </w:pPr>
            <w:r w:rsidRPr="00A05229">
              <w:t>Exposure to smoke, fire and flames, undetermined intent (</w:t>
            </w:r>
            <w:proofErr w:type="spellStart"/>
            <w:r w:rsidRPr="00A05229">
              <w:t>ICD</w:t>
            </w:r>
            <w:proofErr w:type="spellEnd"/>
            <w:r w:rsidRPr="00A05229">
              <w:t xml:space="preserve"> </w:t>
            </w:r>
            <w:proofErr w:type="spellStart"/>
            <w:r w:rsidRPr="00A05229">
              <w:t>Y26</w:t>
            </w:r>
            <w:proofErr w:type="spellEnd"/>
            <w:r w:rsidRPr="00A05229">
              <w:t>)</w:t>
            </w:r>
          </w:p>
          <w:p w:rsidR="00BD19D0" w:rsidRPr="00D20011" w:rsidRDefault="00BD19D0" w:rsidP="00D20011">
            <w:pPr>
              <w:pStyle w:val="DQITableText"/>
              <w:rPr>
                <w:u w:val="single"/>
              </w:rPr>
            </w:pPr>
            <w:r w:rsidRPr="00D20011">
              <w:rPr>
                <w:u w:val="single"/>
              </w:rPr>
              <w:t>Denominator</w:t>
            </w:r>
          </w:p>
          <w:p w:rsidR="00BD19D0" w:rsidRDefault="00BD19D0" w:rsidP="00D20011">
            <w:pPr>
              <w:pStyle w:val="DQITableText"/>
            </w:pPr>
            <w:r w:rsidRPr="00A05229">
              <w:t xml:space="preserve">Population by State and Territory and Australian total </w:t>
            </w:r>
          </w:p>
          <w:p w:rsidR="00BD19D0" w:rsidRPr="00A05229" w:rsidRDefault="00BD19D0" w:rsidP="00D20011">
            <w:pPr>
              <w:pStyle w:val="DQITableText"/>
            </w:pPr>
            <w:r>
              <w:t xml:space="preserve">The measure </w:t>
            </w:r>
            <w:r w:rsidRPr="00A05229">
              <w:t xml:space="preserve">is expressed by State and Territory and Australian total, by </w:t>
            </w:r>
            <w:proofErr w:type="spellStart"/>
            <w:r w:rsidRPr="00A05229">
              <w:t>ICD</w:t>
            </w:r>
            <w:proofErr w:type="spellEnd"/>
            <w:r w:rsidRPr="00A05229">
              <w:t xml:space="preserve"> code detail and total, as an annual, and a three year rolling weighted average rate per million people.</w:t>
            </w:r>
          </w:p>
        </w:tc>
      </w:tr>
      <w:tr w:rsidR="00BD19D0" w:rsidRPr="001F3F80" w:rsidTr="00332B70">
        <w:trPr>
          <w:jc w:val="center"/>
        </w:trPr>
        <w:tc>
          <w:tcPr>
            <w:tcW w:w="1633" w:type="dxa"/>
          </w:tcPr>
          <w:p w:rsidR="00BD19D0" w:rsidRPr="00A05229" w:rsidRDefault="00BD19D0" w:rsidP="00D20011">
            <w:pPr>
              <w:pStyle w:val="DQIRowHeadings"/>
            </w:pPr>
            <w:r w:rsidRPr="00A05229">
              <w:t>Data source</w:t>
            </w:r>
          </w:p>
        </w:tc>
        <w:tc>
          <w:tcPr>
            <w:tcW w:w="7187" w:type="dxa"/>
          </w:tcPr>
          <w:p w:rsidR="00BD19D0" w:rsidRPr="00A05229" w:rsidRDefault="00BD19D0" w:rsidP="00D20011">
            <w:pPr>
              <w:pStyle w:val="DQITableText"/>
            </w:pPr>
            <w:r w:rsidRPr="00A05229">
              <w:rPr>
                <w:u w:val="single"/>
              </w:rPr>
              <w:t>Numerator</w:t>
            </w:r>
            <w:r w:rsidRPr="00A05229">
              <w:t xml:space="preserve"> </w:t>
            </w:r>
          </w:p>
          <w:p w:rsidR="00BD19D0" w:rsidRPr="00A05229" w:rsidRDefault="00BD19D0" w:rsidP="00D20011">
            <w:pPr>
              <w:pStyle w:val="DQITableText"/>
            </w:pPr>
            <w:r w:rsidRPr="00A05229">
              <w:t>ABS Causes of Death</w:t>
            </w:r>
            <w:r>
              <w:t>, Australia, Cat. no. </w:t>
            </w:r>
            <w:r w:rsidRPr="00A05229">
              <w:t>3303.0 (Underlying causes of death, State and Territory tables, published and unpublished data).</w:t>
            </w:r>
          </w:p>
          <w:p w:rsidR="00BD19D0" w:rsidRPr="00A05229" w:rsidRDefault="00BD19D0" w:rsidP="00D20011">
            <w:pPr>
              <w:pStyle w:val="DQITableText"/>
            </w:pPr>
            <w:r w:rsidRPr="00A05229">
              <w:rPr>
                <w:u w:val="single"/>
              </w:rPr>
              <w:t>Denominator</w:t>
            </w:r>
            <w:r w:rsidRPr="00A05229">
              <w:t xml:space="preserve"> </w:t>
            </w:r>
          </w:p>
          <w:p w:rsidR="00BD19D0" w:rsidRPr="00A05229" w:rsidRDefault="00BD19D0" w:rsidP="0096477A">
            <w:pPr>
              <w:pStyle w:val="DQITableText"/>
            </w:pPr>
            <w:r w:rsidRPr="00A05229">
              <w:t>ABS Estimated Residential Population</w:t>
            </w:r>
            <w:r>
              <w:t>, Cat. no.</w:t>
            </w:r>
            <w:r w:rsidR="009D2362">
              <w:t xml:space="preserve"> </w:t>
            </w:r>
            <w:r w:rsidRPr="00A05229">
              <w:t xml:space="preserve">3101.0 (for more detail about the population data used in the Report see </w:t>
            </w:r>
            <w:proofErr w:type="spellStart"/>
            <w:r w:rsidRPr="00A05229">
              <w:t>RoGS</w:t>
            </w:r>
            <w:proofErr w:type="spellEnd"/>
            <w:r w:rsidRPr="00A05229">
              <w:t xml:space="preserve"> </w:t>
            </w:r>
            <w:r w:rsidR="009D2362">
              <w:t>Statistical context (chapter 2</w:t>
            </w:r>
            <w:r w:rsidR="0096477A">
              <w:t>,</w:t>
            </w:r>
            <w:r>
              <w:t xml:space="preserve"> </w:t>
            </w:r>
            <w:r w:rsidR="009D2362">
              <w:t>t</w:t>
            </w:r>
            <w:r>
              <w:t>able</w:t>
            </w:r>
            <w:r w:rsidR="0096477A">
              <w:t> </w:t>
            </w:r>
            <w:proofErr w:type="spellStart"/>
            <w:r w:rsidR="0096477A">
              <w:t>2</w:t>
            </w:r>
            <w:r>
              <w:t>A</w:t>
            </w:r>
            <w:r w:rsidR="0096477A">
              <w:t>.</w:t>
            </w:r>
            <w:r>
              <w:t>2</w:t>
            </w:r>
            <w:proofErr w:type="spellEnd"/>
            <w:r>
              <w:t>).</w:t>
            </w:r>
          </w:p>
        </w:tc>
      </w:tr>
      <w:tr w:rsidR="00BD19D0" w:rsidRPr="000D7225" w:rsidTr="00BD19D0">
        <w:trPr>
          <w:cantSplit/>
          <w:jc w:val="center"/>
        </w:trPr>
        <w:tc>
          <w:tcPr>
            <w:tcW w:w="8820" w:type="dxa"/>
            <w:gridSpan w:val="2"/>
          </w:tcPr>
          <w:p w:rsidR="00BD19D0" w:rsidRPr="00CE3D86" w:rsidRDefault="00BD19D0" w:rsidP="00D20011">
            <w:pPr>
              <w:pStyle w:val="DQIMainRowHeadings"/>
              <w:rPr>
                <w:rFonts w:cs="Arial"/>
                <w:sz w:val="22"/>
                <w:szCs w:val="22"/>
              </w:rPr>
            </w:pPr>
            <w:r>
              <w:rPr>
                <w:rFonts w:ascii="Times New Roman" w:hAnsi="Times New Roman"/>
                <w:sz w:val="24"/>
                <w:lang w:eastAsia="en-US"/>
              </w:rPr>
              <w:br w:type="page"/>
            </w:r>
            <w:r>
              <w:rPr>
                <w:rFonts w:ascii="Times New Roman" w:hAnsi="Times New Roman"/>
                <w:sz w:val="24"/>
                <w:lang w:eastAsia="en-US"/>
              </w:rPr>
              <w:br w:type="page"/>
            </w:r>
            <w:r w:rsidRPr="003211C6">
              <w:t>Data Quality Framework dimensions</w:t>
            </w:r>
          </w:p>
        </w:tc>
      </w:tr>
      <w:tr w:rsidR="00BD19D0" w:rsidRPr="00254F46" w:rsidTr="00332B70">
        <w:trPr>
          <w:jc w:val="center"/>
        </w:trPr>
        <w:tc>
          <w:tcPr>
            <w:tcW w:w="1633" w:type="dxa"/>
          </w:tcPr>
          <w:p w:rsidR="00BD19D0" w:rsidRPr="00A05229" w:rsidRDefault="00BD19D0" w:rsidP="00D20011">
            <w:pPr>
              <w:pStyle w:val="DQIRowHeadings"/>
            </w:pPr>
            <w:r w:rsidRPr="00A05229">
              <w:t>Institutional environment</w:t>
            </w:r>
          </w:p>
        </w:tc>
        <w:tc>
          <w:tcPr>
            <w:tcW w:w="7187" w:type="dxa"/>
          </w:tcPr>
          <w:p w:rsidR="00BD19D0" w:rsidRPr="00A05229" w:rsidRDefault="00BD19D0" w:rsidP="00D20011">
            <w:pPr>
              <w:pStyle w:val="DQITableText"/>
            </w:pPr>
            <w:r w:rsidRPr="00A05229">
              <w:t xml:space="preserve">The Causes of Death collection is published by the Australian Bureau of Statistics (ABS), with data sourced from deaths registrations administered by the various State and Territory Registrars of Births, Deaths and Marriages. It is a legal requirement of each State and Territory that all deaths are registered. </w:t>
            </w:r>
          </w:p>
          <w:p w:rsidR="00BD19D0" w:rsidRPr="00A05229" w:rsidRDefault="00BD19D0" w:rsidP="00D20011">
            <w:pPr>
              <w:pStyle w:val="DQITableText"/>
            </w:pPr>
            <w:r w:rsidRPr="00A05229">
              <w:t xml:space="preserve">The ABS operates within a framework of the Census and Statistics Act 1905 and the Australian Bureau of Statistics Act 1975. These </w:t>
            </w:r>
            <w:r>
              <w:t xml:space="preserve">Acts </w:t>
            </w:r>
            <w:r w:rsidRPr="00A05229">
              <w:t xml:space="preserve">ensure the </w:t>
            </w:r>
            <w:r w:rsidRPr="003A11B8">
              <w:t>confidentiality of respondents and ABS</w:t>
            </w:r>
            <w:r w:rsidR="009D2362">
              <w:t>’</w:t>
            </w:r>
            <w:r w:rsidRPr="003A11B8">
              <w:t xml:space="preserve"> </w:t>
            </w:r>
            <w:r w:rsidRPr="00A05229">
              <w:t>independence and impartiality from political influence. For more information on the institutional environment of the ABS, including the legislative obligations of the ABS, financing and governance arrangements, and mechanisms for scrutiny of ABS operations, please see</w:t>
            </w:r>
            <w:r>
              <w:t xml:space="preserve"> ABS Institutional Environment.</w:t>
            </w:r>
          </w:p>
        </w:tc>
      </w:tr>
      <w:tr w:rsidR="00BD19D0" w:rsidRPr="00254F46" w:rsidTr="00332B70">
        <w:trPr>
          <w:cantSplit/>
          <w:jc w:val="center"/>
        </w:trPr>
        <w:tc>
          <w:tcPr>
            <w:tcW w:w="1633" w:type="dxa"/>
          </w:tcPr>
          <w:p w:rsidR="00BD19D0" w:rsidRPr="00A05229" w:rsidRDefault="00BD19D0" w:rsidP="00D20011">
            <w:pPr>
              <w:pStyle w:val="DQIRowHeadings"/>
            </w:pPr>
            <w:r w:rsidRPr="00A05229">
              <w:lastRenderedPageBreak/>
              <w:t>Relevance</w:t>
            </w:r>
          </w:p>
        </w:tc>
        <w:tc>
          <w:tcPr>
            <w:tcW w:w="7187" w:type="dxa"/>
          </w:tcPr>
          <w:p w:rsidR="00BD19D0" w:rsidRPr="00A05229" w:rsidRDefault="00BD19D0" w:rsidP="00D20011">
            <w:pPr>
              <w:pStyle w:val="DQITableText"/>
            </w:pPr>
            <w:r w:rsidRPr="00A05229">
              <w:t xml:space="preserve">The ABS Causes of Death collection includes all deaths that occurred and were registered in Australia, including deaths of persons whose usual residence is overseas. Deaths of Australian residents that occurred outside Australia may be registered by individual Registrars, but are not included in ABS deaths or causes of death statistics. </w:t>
            </w:r>
          </w:p>
          <w:p w:rsidR="00BD19D0" w:rsidRPr="00A05229" w:rsidRDefault="00BD19D0" w:rsidP="00B3059A">
            <w:pPr>
              <w:pStyle w:val="DQITableText"/>
            </w:pPr>
            <w:r w:rsidRPr="00A05229">
              <w:t xml:space="preserve">Data in the Causes of Death collection include demographic items, as well as Causes of Death information coded according to the </w:t>
            </w:r>
            <w:proofErr w:type="spellStart"/>
            <w:r w:rsidR="00B3059A">
              <w:t>ICD</w:t>
            </w:r>
            <w:proofErr w:type="spellEnd"/>
            <w:r w:rsidRPr="00A05229">
              <w:t xml:space="preserve">. The </w:t>
            </w:r>
            <w:proofErr w:type="spellStart"/>
            <w:r w:rsidRPr="00A05229">
              <w:t>ICD</w:t>
            </w:r>
            <w:proofErr w:type="spellEnd"/>
            <w:r w:rsidRPr="00A05229">
              <w:t xml:space="preserve"> is the international standard classification for epidemiological purposes and is designed to promote international comparability in the collection, processing, classification, and presentation of cause of death statistics. The classification is used to classify diseases and causes of disease or injury as recorded on many types of medical records as well as death records. The </w:t>
            </w:r>
            <w:proofErr w:type="spellStart"/>
            <w:r w:rsidRPr="00A05229">
              <w:t>ICD</w:t>
            </w:r>
            <w:proofErr w:type="spellEnd"/>
            <w:r w:rsidRPr="00A05229">
              <w:t xml:space="preserve"> has been revised periodically to incorporate changes in the medical field. The 10th revision of </w:t>
            </w:r>
            <w:proofErr w:type="spellStart"/>
            <w:r w:rsidRPr="00A05229">
              <w:t>ICD</w:t>
            </w:r>
            <w:proofErr w:type="spellEnd"/>
            <w:r w:rsidRPr="00A05229">
              <w:t xml:space="preserve"> (</w:t>
            </w:r>
            <w:proofErr w:type="spellStart"/>
            <w:r w:rsidRPr="00A05229">
              <w:t>IC</w:t>
            </w:r>
            <w:r>
              <w:t>D</w:t>
            </w:r>
            <w:proofErr w:type="spellEnd"/>
            <w:r w:rsidR="009D2362">
              <w:noBreakHyphen/>
            </w:r>
            <w:r>
              <w:t>10) has been used since 1997.</w:t>
            </w:r>
          </w:p>
        </w:tc>
      </w:tr>
      <w:tr w:rsidR="00BD19D0" w:rsidRPr="00254F46" w:rsidTr="00332B70">
        <w:trPr>
          <w:cantSplit/>
          <w:jc w:val="center"/>
        </w:trPr>
        <w:tc>
          <w:tcPr>
            <w:tcW w:w="1633" w:type="dxa"/>
          </w:tcPr>
          <w:p w:rsidR="00BD19D0" w:rsidRPr="00A05229" w:rsidRDefault="00BD19D0" w:rsidP="00D20011">
            <w:pPr>
              <w:pStyle w:val="DQIRowHeadings"/>
            </w:pPr>
            <w:r w:rsidRPr="00A05229">
              <w:t>Timeliness</w:t>
            </w:r>
          </w:p>
        </w:tc>
        <w:tc>
          <w:tcPr>
            <w:tcW w:w="7187" w:type="dxa"/>
          </w:tcPr>
          <w:p w:rsidR="00BD19D0" w:rsidRPr="00A05229" w:rsidRDefault="00BD19D0" w:rsidP="00D20011">
            <w:pPr>
              <w:pStyle w:val="DQITableText"/>
            </w:pPr>
            <w:r w:rsidRPr="00A05229">
              <w:t xml:space="preserve">Causes of Death data are published on an annual basis. </w:t>
            </w:r>
          </w:p>
          <w:p w:rsidR="00BD19D0" w:rsidRPr="00A05229" w:rsidRDefault="00BD19D0" w:rsidP="00D20011">
            <w:pPr>
              <w:pStyle w:val="DQITableText"/>
            </w:pPr>
            <w:r w:rsidRPr="00A05229">
              <w:t>Death records are provided electronically to the ABS by individual Registrars on a monthly basis for compilation into aggregate statistics on a quarterly and annual basis. One dimension of timeliness in death registrations data is the interval between the occurrence and registration</w:t>
            </w:r>
            <w:r w:rsidR="009D2362">
              <w:t xml:space="preserve"> </w:t>
            </w:r>
            <w:r w:rsidRPr="00A05229">
              <w:t xml:space="preserve">of a death. As a result, a small number of deaths occurring in one year are not registered until the following year or later. </w:t>
            </w:r>
          </w:p>
          <w:p w:rsidR="00BD19D0" w:rsidRPr="00A05229" w:rsidRDefault="00BD19D0" w:rsidP="00D20011">
            <w:pPr>
              <w:pStyle w:val="DQITableText"/>
            </w:pPr>
            <w:r w:rsidRPr="00A05229">
              <w:t xml:space="preserve">Preliminary </w:t>
            </w:r>
            <w:r w:rsidRPr="00DE399F">
              <w:t xml:space="preserve">Estimated Residential Population </w:t>
            </w:r>
            <w:r>
              <w:t>(</w:t>
            </w:r>
            <w:proofErr w:type="spellStart"/>
            <w:r w:rsidRPr="00A05229">
              <w:t>ERP</w:t>
            </w:r>
            <w:proofErr w:type="spellEnd"/>
            <w:r>
              <w:t>)</w:t>
            </w:r>
            <w:r w:rsidRPr="00A05229">
              <w:t xml:space="preserve"> data </w:t>
            </w:r>
            <w:r>
              <w:t>are</w:t>
            </w:r>
            <w:r w:rsidRPr="00A05229">
              <w:t xml:space="preserve"> compiled and published quarterly and </w:t>
            </w:r>
            <w:r>
              <w:t>are</w:t>
            </w:r>
            <w:r w:rsidRPr="00A05229">
              <w:t xml:space="preserve"> generally made available five to six months after the end of each reference quarter. Commencing with data for September quarter 2006, revised estimates are released annually and made available 21 months after the end of the reference period for the previous financial year, once more accurate births, deaths and net overseas migration data becomes available. In the case of births and deaths, the revised data are compiled on a date of occurrence basis. In the case of net overseas migration, final data are based on actual traveller behaviour. Final estimates are made available every 5 years after a census and revisions are made to the previous inter</w:t>
            </w:r>
            <w:r w:rsidR="009D2362">
              <w:noBreakHyphen/>
            </w:r>
            <w:proofErr w:type="spellStart"/>
            <w:r w:rsidRPr="00A05229">
              <w:t>censal</w:t>
            </w:r>
            <w:proofErr w:type="spellEnd"/>
            <w:r w:rsidRPr="00A05229">
              <w:t xml:space="preserve"> period. </w:t>
            </w:r>
            <w:proofErr w:type="spellStart"/>
            <w:r w:rsidRPr="00A05229">
              <w:t>ERP</w:t>
            </w:r>
            <w:proofErr w:type="spellEnd"/>
            <w:r w:rsidRPr="00A05229">
              <w:t xml:space="preserve"> data are not changed once finalised. Releasing preliminary, revised and final </w:t>
            </w:r>
            <w:proofErr w:type="spellStart"/>
            <w:r w:rsidRPr="00A05229">
              <w:t>ERP</w:t>
            </w:r>
            <w:proofErr w:type="spellEnd"/>
            <w:r w:rsidRPr="00A05229">
              <w:t xml:space="preserve"> involves a balance between timeliness and accuracy.</w:t>
            </w:r>
          </w:p>
        </w:tc>
      </w:tr>
      <w:tr w:rsidR="00BD19D0" w:rsidRPr="00254F46" w:rsidTr="00332B70">
        <w:trPr>
          <w:jc w:val="center"/>
        </w:trPr>
        <w:tc>
          <w:tcPr>
            <w:tcW w:w="1633" w:type="dxa"/>
          </w:tcPr>
          <w:p w:rsidR="00BD19D0" w:rsidRPr="00A05229" w:rsidRDefault="00BD19D0" w:rsidP="00D20011">
            <w:pPr>
              <w:pStyle w:val="DQIRowHeadings"/>
            </w:pPr>
            <w:r w:rsidRPr="00A05229">
              <w:t>Accuracy</w:t>
            </w:r>
          </w:p>
        </w:tc>
        <w:tc>
          <w:tcPr>
            <w:tcW w:w="7187" w:type="dxa"/>
          </w:tcPr>
          <w:p w:rsidR="00BD19D0" w:rsidRDefault="00BD19D0" w:rsidP="00D20011">
            <w:pPr>
              <w:pStyle w:val="DQITableText"/>
            </w:pPr>
            <w:r w:rsidRPr="00A05229">
              <w:t xml:space="preserve">All </w:t>
            </w:r>
            <w:proofErr w:type="spellStart"/>
            <w:r w:rsidRPr="00A05229">
              <w:t>ERP</w:t>
            </w:r>
            <w:proofErr w:type="spellEnd"/>
            <w:r w:rsidRPr="00A05229">
              <w:t xml:space="preserve"> data sources are subject to non</w:t>
            </w:r>
            <w:r w:rsidR="009D2362">
              <w:noBreakHyphen/>
            </w:r>
            <w:r w:rsidRPr="00A05229">
              <w:t>sampling error. Non</w:t>
            </w:r>
            <w:r w:rsidR="009D2362">
              <w:noBreakHyphen/>
            </w:r>
            <w:r w:rsidRPr="00A05229">
              <w:t>sampling error can arise from inaccuracies in collecting, recording and processing the data. In the case of Census and Post Enumeration Survey (</w:t>
            </w:r>
            <w:proofErr w:type="spellStart"/>
            <w:r w:rsidRPr="00A05229">
              <w:t>PES</w:t>
            </w:r>
            <w:proofErr w:type="spellEnd"/>
            <w:r w:rsidRPr="00A05229">
              <w:t xml:space="preserve">) data, every effort is made to minimise reporting error by the careful design of questionnaires, intensive training and supervision of interviewers, and efficient data processing procedures. </w:t>
            </w:r>
          </w:p>
          <w:p w:rsidR="006032E2" w:rsidRDefault="006032E2" w:rsidP="00677CAA">
            <w:pPr>
              <w:pStyle w:val="DQITableText"/>
            </w:pPr>
            <w:r>
              <w:t xml:space="preserve">For </w:t>
            </w:r>
            <w:r w:rsidRPr="006032E2">
              <w:t>the Causes of Death collection</w:t>
            </w:r>
            <w:r>
              <w:t xml:space="preserve">, </w:t>
            </w:r>
            <w:r w:rsidRPr="006032E2">
              <w:t>which constitute</w:t>
            </w:r>
            <w:r>
              <w:t>s</w:t>
            </w:r>
            <w:r w:rsidRPr="006032E2">
              <w:t xml:space="preserve"> a complete census of the population</w:t>
            </w:r>
            <w:r>
              <w:t>, n</w:t>
            </w:r>
            <w:r w:rsidRPr="006032E2">
              <w:t>on-sample errors are most likely to influence accuracy. Non-sample error arises from inaccuracies in collecting, recording and processing the data. The most significant of these errors are: misreported data items; deficiencies in coverage; incomplete records; and processing errors. Every effort is made to minimise non</w:t>
            </w:r>
            <w:r>
              <w:noBreakHyphen/>
            </w:r>
            <w:r w:rsidRPr="006032E2">
              <w:t>sample error by working closely with data providers, running quality checks throughout the data processing cycle, training of processing staff, and efficient data processing procedures.</w:t>
            </w:r>
          </w:p>
          <w:p w:rsidR="00BD19D0" w:rsidRPr="00A05229" w:rsidRDefault="006032E2" w:rsidP="00677CAA">
            <w:pPr>
              <w:pStyle w:val="DQITableText"/>
            </w:pPr>
            <w:r w:rsidRPr="006032E2">
              <w:t xml:space="preserve">The ABS has implemented a new revisions process that applies to all coroner certified deaths registered after 1 January 2006. This is a change from previous years where all ABS processing of causes of death data for a particular reference period was finalised approximately 13 months after the end of the reference period. The revisions process enables the use of additional information relating to coroner certified deaths as it becomes available over time, resulting in increased specificity of the assigned </w:t>
            </w:r>
            <w:proofErr w:type="spellStart"/>
            <w:r w:rsidRPr="006032E2">
              <w:t>ICD</w:t>
            </w:r>
            <w:proofErr w:type="spellEnd"/>
            <w:r w:rsidRPr="006032E2">
              <w:t xml:space="preserve">-10 codes. See Explanatory Notes 29-33 and Technical Notes, Causes of Death Revisions, 2006 in </w:t>
            </w:r>
            <w:r w:rsidRPr="006032E2">
              <w:rPr>
                <w:i/>
              </w:rPr>
              <w:t>Causes of Death, Australia</w:t>
            </w:r>
            <w:r w:rsidRPr="006032E2">
              <w:t xml:space="preserve">, 2010 (cat. no. 3303.0) and Causes of Death Revisions, 2010 and 2011 in </w:t>
            </w:r>
            <w:r w:rsidRPr="006032E2">
              <w:rPr>
                <w:i/>
              </w:rPr>
              <w:t>Causes of Death, Australia, 2012</w:t>
            </w:r>
            <w:r w:rsidRPr="006032E2">
              <w:t xml:space="preserve"> (cat. no. 3303.0), for further information on the revision process.</w:t>
            </w:r>
          </w:p>
          <w:p w:rsidR="00BD19D0" w:rsidRPr="00A05229" w:rsidRDefault="00BD19D0" w:rsidP="00D20011">
            <w:pPr>
              <w:pStyle w:val="DQITableText"/>
            </w:pPr>
            <w:r w:rsidRPr="00A05229">
              <w:t>Some rates are unreliable due to small numbers of deaths over the reference period. All rates in this indica</w:t>
            </w:r>
            <w:r>
              <w:t>tor must be used with caution.</w:t>
            </w:r>
          </w:p>
        </w:tc>
      </w:tr>
      <w:tr w:rsidR="00BD19D0" w:rsidRPr="00E57110" w:rsidTr="00332B70">
        <w:trPr>
          <w:cantSplit/>
          <w:jc w:val="center"/>
        </w:trPr>
        <w:tc>
          <w:tcPr>
            <w:tcW w:w="1633" w:type="dxa"/>
          </w:tcPr>
          <w:p w:rsidR="00BD19D0" w:rsidRPr="00A05229" w:rsidRDefault="00BD19D0" w:rsidP="00D20011">
            <w:pPr>
              <w:pStyle w:val="DQIRowHeadings"/>
            </w:pPr>
            <w:r w:rsidRPr="00A05229">
              <w:t>Coherence</w:t>
            </w:r>
          </w:p>
        </w:tc>
        <w:tc>
          <w:tcPr>
            <w:tcW w:w="7187" w:type="dxa"/>
          </w:tcPr>
          <w:p w:rsidR="00BD19D0" w:rsidRPr="00A05229" w:rsidRDefault="00BD19D0" w:rsidP="00D20011">
            <w:pPr>
              <w:pStyle w:val="DQITableText"/>
            </w:pPr>
            <w:r w:rsidRPr="00A05229">
              <w:t xml:space="preserve">The ABS provide source data for the numerator and </w:t>
            </w:r>
            <w:r>
              <w:t>denominator for this indicator.</w:t>
            </w:r>
          </w:p>
        </w:tc>
      </w:tr>
      <w:tr w:rsidR="00BD19D0" w:rsidRPr="00E57110" w:rsidTr="00332B70">
        <w:trPr>
          <w:cantSplit/>
          <w:jc w:val="center"/>
        </w:trPr>
        <w:tc>
          <w:tcPr>
            <w:tcW w:w="1633" w:type="dxa"/>
          </w:tcPr>
          <w:p w:rsidR="00BD19D0" w:rsidRPr="00A05229" w:rsidRDefault="00BD19D0" w:rsidP="00D20011">
            <w:pPr>
              <w:pStyle w:val="DQIRowHeadings"/>
            </w:pPr>
            <w:r w:rsidRPr="00A05229">
              <w:lastRenderedPageBreak/>
              <w:t>Accessibility</w:t>
            </w:r>
          </w:p>
          <w:p w:rsidR="00BD19D0" w:rsidRPr="00A05229" w:rsidRDefault="00BD19D0" w:rsidP="00D20011">
            <w:pPr>
              <w:pStyle w:val="DQIRowHeadings"/>
            </w:pPr>
          </w:p>
        </w:tc>
        <w:tc>
          <w:tcPr>
            <w:tcW w:w="7187" w:type="dxa"/>
          </w:tcPr>
          <w:p w:rsidR="00BD19D0" w:rsidRPr="00A05229" w:rsidRDefault="00BD19D0" w:rsidP="00D20011">
            <w:pPr>
              <w:pStyle w:val="DQITableText"/>
            </w:pPr>
            <w:r w:rsidRPr="003A11B8">
              <w:t xml:space="preserve">Causes of Death data are available in a variety of formats on the ABS website, </w:t>
            </w:r>
            <w:proofErr w:type="spellStart"/>
            <w:r w:rsidRPr="003A11B8">
              <w:t>www.abs.gov.au</w:t>
            </w:r>
            <w:proofErr w:type="spellEnd"/>
            <w:r w:rsidRPr="003A11B8">
              <w:t>, under Causes of Death, Australia (</w:t>
            </w:r>
            <w:r>
              <w:t>Cat. no </w:t>
            </w:r>
            <w:r w:rsidRPr="003A11B8">
              <w:t>3303.0</w:t>
            </w:r>
            <w:r>
              <w:t>).</w:t>
            </w:r>
            <w:r w:rsidRPr="00A05229">
              <w:t xml:space="preserve"> </w:t>
            </w:r>
          </w:p>
          <w:p w:rsidR="00BD19D0" w:rsidRPr="00A05229" w:rsidRDefault="00BD19D0" w:rsidP="00D20011">
            <w:pPr>
              <w:pStyle w:val="DQITableText"/>
            </w:pPr>
            <w:proofErr w:type="spellStart"/>
            <w:r w:rsidRPr="00A05229">
              <w:t>ERP</w:t>
            </w:r>
            <w:proofErr w:type="spellEnd"/>
            <w:r w:rsidRPr="00A05229">
              <w:t xml:space="preserve"> data </w:t>
            </w:r>
            <w:r>
              <w:t>are</w:t>
            </w:r>
            <w:r w:rsidRPr="00A05229">
              <w:t xml:space="preserve"> available in a variety of formats on the ABS website, </w:t>
            </w:r>
            <w:proofErr w:type="spellStart"/>
            <w:r w:rsidRPr="00A05229">
              <w:t>www.abs.gov.au</w:t>
            </w:r>
            <w:proofErr w:type="spellEnd"/>
            <w:r w:rsidRPr="00A05229">
              <w:t xml:space="preserve">, under the 3101.0 and 3201.0 product families. </w:t>
            </w:r>
          </w:p>
          <w:p w:rsidR="00BD19D0" w:rsidRPr="00A05229" w:rsidRDefault="00BD19D0" w:rsidP="00D20011">
            <w:pPr>
              <w:pStyle w:val="DQITableText"/>
            </w:pPr>
            <w:r w:rsidRPr="00A05229">
              <w:t>Further information on deaths and mortality may be available on request. The ABS observes strict confidentiality protocols as required by the Census and Statistics Act (1905). This may restrict access to data at a very detailed level.</w:t>
            </w:r>
          </w:p>
        </w:tc>
      </w:tr>
      <w:tr w:rsidR="00BD19D0" w:rsidRPr="00254F46" w:rsidTr="00332B70">
        <w:trPr>
          <w:cantSplit/>
          <w:jc w:val="center"/>
        </w:trPr>
        <w:tc>
          <w:tcPr>
            <w:tcW w:w="1633" w:type="dxa"/>
          </w:tcPr>
          <w:p w:rsidR="00BD19D0" w:rsidRPr="00A05229" w:rsidRDefault="00BD19D0" w:rsidP="00D20011">
            <w:pPr>
              <w:pStyle w:val="DQIRowHeadings"/>
            </w:pPr>
            <w:r w:rsidRPr="00A05229">
              <w:t>Interpretability</w:t>
            </w:r>
          </w:p>
        </w:tc>
        <w:tc>
          <w:tcPr>
            <w:tcW w:w="7187" w:type="dxa"/>
          </w:tcPr>
          <w:p w:rsidR="00BD19D0" w:rsidRPr="00CE3D86" w:rsidRDefault="00BD19D0" w:rsidP="00D20011">
            <w:pPr>
              <w:pStyle w:val="DQITableText"/>
            </w:pPr>
            <w:r w:rsidRPr="00CE3D86">
              <w:t>Data for this indicator are presented as crude rates, per million estimated resident population, and as three year rolling averages due to volatility of the small numbers involved.</w:t>
            </w:r>
          </w:p>
          <w:p w:rsidR="00BD19D0" w:rsidRDefault="00BD19D0" w:rsidP="00D20011">
            <w:pPr>
              <w:pStyle w:val="DQITableText"/>
            </w:pPr>
            <w:r w:rsidRPr="003A11B8">
              <w:t xml:space="preserve">Information on how to interpret and use the </w:t>
            </w:r>
            <w:r>
              <w:t>c</w:t>
            </w:r>
            <w:r w:rsidRPr="003A11B8">
              <w:t xml:space="preserve">ause of </w:t>
            </w:r>
            <w:r>
              <w:t>d</w:t>
            </w:r>
            <w:r w:rsidRPr="003A11B8">
              <w:t xml:space="preserve">eath data is available from the Explanatory Notes in Causes of Death, Australia </w:t>
            </w:r>
            <w:r w:rsidRPr="00CE3D86">
              <w:t>(</w:t>
            </w:r>
            <w:r>
              <w:t>Cat. no </w:t>
            </w:r>
            <w:r w:rsidRPr="00CE3D86">
              <w:t>3303.0).</w:t>
            </w:r>
          </w:p>
          <w:p w:rsidR="00BD19D0" w:rsidRPr="00680707" w:rsidRDefault="00BD19D0" w:rsidP="00D20011">
            <w:pPr>
              <w:pStyle w:val="DQITableText"/>
            </w:pPr>
            <w:r w:rsidRPr="00680707">
              <w:t>Small value data are randomly adjusted to avoid the release of confidential data.</w:t>
            </w:r>
          </w:p>
          <w:p w:rsidR="00BD19D0" w:rsidRDefault="00BD19D0" w:rsidP="00D20011">
            <w:pPr>
              <w:pStyle w:val="DQITableText"/>
            </w:pPr>
            <w:r w:rsidRPr="00FF7981">
              <w:t xml:space="preserve">Causes of death statistics for states and territories have been compiled in respect of the state or territory of usual residence of the deceased, regardless of where in Australia the death occurred and was registered. </w:t>
            </w:r>
          </w:p>
          <w:p w:rsidR="00BD19D0" w:rsidRPr="00FF7981" w:rsidRDefault="00BD19D0" w:rsidP="00D20011">
            <w:pPr>
              <w:pStyle w:val="DQITableText"/>
            </w:pPr>
            <w:r>
              <w:t xml:space="preserve">The </w:t>
            </w:r>
            <w:proofErr w:type="spellStart"/>
            <w:r w:rsidRPr="00DE399F">
              <w:t>ERP</w:t>
            </w:r>
            <w:proofErr w:type="spellEnd"/>
            <w:r w:rsidRPr="00DE399F">
              <w:t xml:space="preserve"> is Australia</w:t>
            </w:r>
            <w:r w:rsidR="009D2362">
              <w:t>’</w:t>
            </w:r>
            <w:r w:rsidRPr="00DE399F">
              <w:t>s population reported by state and territory and by place of usual residence</w:t>
            </w:r>
            <w:r>
              <w:t xml:space="preserve">. </w:t>
            </w:r>
          </w:p>
        </w:tc>
      </w:tr>
      <w:tr w:rsidR="00BD19D0" w:rsidRPr="00254F46" w:rsidTr="00E36D6E">
        <w:trPr>
          <w:cantSplit/>
          <w:jc w:val="center"/>
        </w:trPr>
        <w:tc>
          <w:tcPr>
            <w:tcW w:w="8820" w:type="dxa"/>
            <w:gridSpan w:val="2"/>
          </w:tcPr>
          <w:p w:rsidR="00BD19D0" w:rsidRPr="00CE3D86" w:rsidRDefault="00BD19D0" w:rsidP="00D20011">
            <w:pPr>
              <w:pStyle w:val="DQIMainRowHeadings"/>
            </w:pPr>
            <w:r w:rsidRPr="00C744E0">
              <w:t>Data Gaps/Issues Analysis</w:t>
            </w:r>
          </w:p>
        </w:tc>
      </w:tr>
      <w:tr w:rsidR="00BD19D0" w:rsidRPr="004F3342" w:rsidTr="00E36D6E">
        <w:trPr>
          <w:cantSplit/>
          <w:jc w:val="center"/>
        </w:trPr>
        <w:tc>
          <w:tcPr>
            <w:tcW w:w="1633" w:type="dxa"/>
          </w:tcPr>
          <w:p w:rsidR="00BD19D0" w:rsidRPr="00A05229" w:rsidRDefault="00BD19D0" w:rsidP="00D20011">
            <w:pPr>
              <w:pStyle w:val="DQIRowHeadings"/>
            </w:pPr>
            <w:r w:rsidRPr="00A05229">
              <w:t>Key data gaps/issues</w:t>
            </w:r>
          </w:p>
        </w:tc>
        <w:tc>
          <w:tcPr>
            <w:tcW w:w="7187" w:type="dxa"/>
          </w:tcPr>
          <w:p w:rsidR="00BD19D0" w:rsidRPr="00CE3D86" w:rsidRDefault="00BD19D0" w:rsidP="00D20011">
            <w:pPr>
              <w:pStyle w:val="DQITableText"/>
            </w:pPr>
            <w:r w:rsidRPr="00CE3D86">
              <w:t xml:space="preserve">The Steering Committee notes the following key data gaps/issues: </w:t>
            </w:r>
          </w:p>
          <w:p w:rsidR="00BD19D0" w:rsidRPr="00CE3D86" w:rsidRDefault="00BD19D0" w:rsidP="00D20011">
            <w:pPr>
              <w:pStyle w:val="DQITableBullet"/>
            </w:pPr>
            <w:r w:rsidRPr="00CE3D86">
              <w:t xml:space="preserve">Timeliness </w:t>
            </w:r>
            <w:r>
              <w:t>—</w:t>
            </w:r>
            <w:r w:rsidRPr="00CE3D86">
              <w:t xml:space="preserve"> data available for the Report on Government </w:t>
            </w:r>
            <w:r>
              <w:t>S</w:t>
            </w:r>
            <w:r w:rsidRPr="00CE3D86">
              <w:t xml:space="preserve">ervices are delayed by one reference year. This is due to a </w:t>
            </w:r>
            <w:proofErr w:type="spellStart"/>
            <w:r w:rsidR="000C4518" w:rsidRPr="00CE3D86">
              <w:t>trade-off</w:t>
            </w:r>
            <w:proofErr w:type="spellEnd"/>
            <w:r w:rsidRPr="00CE3D86">
              <w:t xml:space="preserve"> between accuracy and timeliness.</w:t>
            </w:r>
          </w:p>
          <w:p w:rsidR="00BD19D0" w:rsidRDefault="00BD19D0" w:rsidP="00D20011">
            <w:pPr>
              <w:pStyle w:val="DQITableBullet"/>
            </w:pPr>
            <w:r w:rsidRPr="00CE3D86">
              <w:t xml:space="preserve">Volatility </w:t>
            </w:r>
            <w:r>
              <w:t>—</w:t>
            </w:r>
            <w:r w:rsidRPr="00CE3D86">
              <w:t xml:space="preserve"> due to the small numbers of fire deaths annually, there is a high level of volatility in reported indicator rates. It is important therefore to assess longer term trends where data are available.</w:t>
            </w:r>
          </w:p>
          <w:p w:rsidR="006032E2" w:rsidRDefault="006032E2" w:rsidP="00677CAA">
            <w:pPr>
              <w:pStyle w:val="DQITableBullet"/>
            </w:pPr>
            <w:r>
              <w:t xml:space="preserve">Completeness — </w:t>
            </w:r>
          </w:p>
          <w:p w:rsidR="006032E2" w:rsidRDefault="00677CAA" w:rsidP="00677CAA">
            <w:pPr>
              <w:pStyle w:val="DQITableBullet2"/>
            </w:pPr>
            <w:r>
              <w:t xml:space="preserve">Due </w:t>
            </w:r>
            <w:r w:rsidR="006032E2">
              <w:t>to the impact of registration lags, processing lags and duplicate records</w:t>
            </w:r>
            <w:r>
              <w:t>.</w:t>
            </w:r>
          </w:p>
          <w:p w:rsidR="006032E2" w:rsidRDefault="006032E2" w:rsidP="00677CAA">
            <w:pPr>
              <w:pStyle w:val="DQITableBullet2"/>
            </w:pPr>
            <w:r>
              <w:t xml:space="preserve">Extent of coverage of the population (while all deaths are legally required to be registered some cases may not be registered for an extended time, if at all). </w:t>
            </w:r>
          </w:p>
          <w:p w:rsidR="006032E2" w:rsidRDefault="006032E2" w:rsidP="00677CAA">
            <w:pPr>
              <w:pStyle w:val="DQITableBullet"/>
            </w:pPr>
            <w:r>
              <w:t xml:space="preserve">Accuracy — </w:t>
            </w:r>
          </w:p>
          <w:p w:rsidR="006032E2" w:rsidRDefault="006032E2" w:rsidP="00677CAA">
            <w:pPr>
              <w:pStyle w:val="DQITableBullet2"/>
              <w:ind w:left="510" w:hanging="170"/>
            </w:pPr>
            <w:r>
              <w:t xml:space="preserve">Some lack of consistency in the application of questions or forms used by administrative data providers. </w:t>
            </w:r>
          </w:p>
          <w:p w:rsidR="006032E2" w:rsidRDefault="006032E2" w:rsidP="00677CAA">
            <w:pPr>
              <w:pStyle w:val="DQITableBullet2"/>
              <w:ind w:left="510" w:hanging="170"/>
            </w:pPr>
            <w:r>
              <w:t xml:space="preserve">The level of specificity and completeness in coronial reports or doctor's findings on the Medical Certificate of Cause of Death. </w:t>
            </w:r>
          </w:p>
          <w:p w:rsidR="006032E2" w:rsidRDefault="006032E2" w:rsidP="00677CAA">
            <w:pPr>
              <w:pStyle w:val="DQITableBullet2"/>
              <w:ind w:left="510" w:hanging="170"/>
            </w:pPr>
            <w:r>
              <w:t xml:space="preserve">Errors in the coding of the causes of a death to </w:t>
            </w:r>
            <w:proofErr w:type="spellStart"/>
            <w:r>
              <w:t>ICD</w:t>
            </w:r>
            <w:proofErr w:type="spellEnd"/>
            <w:r>
              <w:t xml:space="preserve">-10. The majority of cause of death coding is undertaken through an automated coding process, which is estimated to have a very high level of accuracy. Human coding can be subject to error, however the ABS mitigates this risk through rigorous coder training, detailed documentation and instructions for coding complex or difficult cases, and extensive data quality checks. </w:t>
            </w:r>
          </w:p>
          <w:p w:rsidR="006032E2" w:rsidRDefault="006032E2" w:rsidP="00677CAA">
            <w:pPr>
              <w:pStyle w:val="DQITableBullet2"/>
              <w:ind w:left="510" w:hanging="170"/>
            </w:pPr>
            <w:r>
              <w:t xml:space="preserve">Cases where coronial proceedings remain open at the end of ABS processing for a reference period are potentially assigned a less specific </w:t>
            </w:r>
            <w:proofErr w:type="spellStart"/>
            <w:r>
              <w:t>ICD</w:t>
            </w:r>
            <w:proofErr w:type="spellEnd"/>
            <w:r>
              <w:t xml:space="preserve">-10 cause of death code. </w:t>
            </w:r>
          </w:p>
          <w:p w:rsidR="006032E2" w:rsidRPr="004F3342" w:rsidRDefault="006032E2" w:rsidP="00677CAA">
            <w:pPr>
              <w:pStyle w:val="DQITableBullet2"/>
              <w:ind w:left="510" w:hanging="170"/>
            </w:pPr>
            <w:r>
              <w:t>Where coroner certified deaths become closed during the revisions process, additional information is often made available, making more specific coding possible</w:t>
            </w:r>
            <w:r w:rsidR="00677CAA">
              <w:t>.</w:t>
            </w:r>
          </w:p>
        </w:tc>
      </w:tr>
    </w:tbl>
    <w:p w:rsidR="00D20011" w:rsidRDefault="00D20011" w:rsidP="00BD19D0">
      <w:pPr>
        <w:pStyle w:val="Heading3"/>
      </w:pPr>
      <w:bookmarkStart w:id="60" w:name="_Toc398732476"/>
      <w:r>
        <w:br w:type="page"/>
      </w:r>
    </w:p>
    <w:p w:rsidR="00BD19D0" w:rsidRDefault="00BD19D0" w:rsidP="00D20011">
      <w:pPr>
        <w:pStyle w:val="Heading4"/>
      </w:pPr>
      <w:bookmarkStart w:id="61" w:name="_Toc405885742"/>
      <w:r>
        <w:lastRenderedPageBreak/>
        <w:t>Landscape fire death rate</w:t>
      </w:r>
      <w:bookmarkEnd w:id="60"/>
      <w:bookmarkEnd w:id="61"/>
    </w:p>
    <w:p w:rsidR="00BD19D0" w:rsidRDefault="00BD19D0" w:rsidP="00D20011">
      <w:pPr>
        <w:pStyle w:val="Box"/>
      </w:pPr>
      <w:r w:rsidRPr="0001794F">
        <w:t xml:space="preserve">Data quality </w:t>
      </w:r>
      <w:r w:rsidRPr="00D20011">
        <w:t>information</w:t>
      </w:r>
      <w:r w:rsidRPr="0001794F">
        <w:t xml:space="preserve"> for this indicator has been drafted by the Secretariat in consultation with </w:t>
      </w:r>
      <w:proofErr w:type="spellStart"/>
      <w:r>
        <w:t>AFAC</w:t>
      </w:r>
      <w:proofErr w:type="spellEnd"/>
      <w:r w:rsidRPr="0001794F">
        <w:t>, with additional Steering Committee comments.</w:t>
      </w:r>
      <w:r w:rsidRPr="00AA443A">
        <w:t xml:space="preserve"> </w:t>
      </w:r>
    </w:p>
    <w:p w:rsidR="004802C9" w:rsidRDefault="004802C9" w:rsidP="00D20011">
      <w:pPr>
        <w:pStyle w:val="Box"/>
      </w:pPr>
    </w:p>
    <w:tbl>
      <w:tblPr>
        <w:tblW w:w="8820" w:type="dxa"/>
        <w:jc w:val="center"/>
        <w:tblLook w:val="01E0" w:firstRow="1" w:lastRow="1" w:firstColumn="1" w:lastColumn="1" w:noHBand="0" w:noVBand="0"/>
      </w:tblPr>
      <w:tblGrid>
        <w:gridCol w:w="1586"/>
        <w:gridCol w:w="7234"/>
      </w:tblGrid>
      <w:tr w:rsidR="00BD19D0" w:rsidRPr="001F3F80" w:rsidTr="004802C9">
        <w:trPr>
          <w:jc w:val="center"/>
        </w:trPr>
        <w:tc>
          <w:tcPr>
            <w:tcW w:w="8820" w:type="dxa"/>
            <w:gridSpan w:val="2"/>
          </w:tcPr>
          <w:p w:rsidR="00BD19D0" w:rsidRPr="003211C6" w:rsidRDefault="00BD19D0" w:rsidP="004802C9">
            <w:pPr>
              <w:pStyle w:val="DQIMainRowHeadings"/>
              <w:rPr>
                <w:rFonts w:cs="Arial"/>
                <w:sz w:val="22"/>
                <w:szCs w:val="22"/>
              </w:rPr>
            </w:pPr>
            <w:r w:rsidRPr="003211C6">
              <w:t xml:space="preserve">Indicator definition and </w:t>
            </w:r>
            <w:r w:rsidRPr="004802C9">
              <w:t>description</w:t>
            </w:r>
          </w:p>
        </w:tc>
      </w:tr>
      <w:tr w:rsidR="00BD19D0" w:rsidRPr="001F3F80" w:rsidTr="004802C9">
        <w:trPr>
          <w:jc w:val="center"/>
        </w:trPr>
        <w:tc>
          <w:tcPr>
            <w:tcW w:w="1576" w:type="dxa"/>
          </w:tcPr>
          <w:p w:rsidR="00BD19D0" w:rsidRPr="00A05229" w:rsidRDefault="00BD19D0" w:rsidP="00D20011">
            <w:pPr>
              <w:pStyle w:val="DQIRowHeadings"/>
            </w:pPr>
            <w:r w:rsidRPr="00A05229">
              <w:t>Element</w:t>
            </w:r>
          </w:p>
        </w:tc>
        <w:tc>
          <w:tcPr>
            <w:tcW w:w="7244" w:type="dxa"/>
          </w:tcPr>
          <w:p w:rsidR="00BD19D0" w:rsidRPr="008760DC" w:rsidRDefault="00BD19D0" w:rsidP="00D20011">
            <w:pPr>
              <w:pStyle w:val="DQITableText"/>
            </w:pPr>
            <w:r>
              <w:t>Outcomes</w:t>
            </w:r>
          </w:p>
        </w:tc>
      </w:tr>
      <w:tr w:rsidR="00BD19D0" w:rsidRPr="001F3F80" w:rsidTr="00332B70">
        <w:trPr>
          <w:jc w:val="center"/>
        </w:trPr>
        <w:tc>
          <w:tcPr>
            <w:tcW w:w="1576" w:type="dxa"/>
          </w:tcPr>
          <w:p w:rsidR="00BD19D0" w:rsidRPr="00A05229" w:rsidRDefault="00BD19D0" w:rsidP="00D20011">
            <w:pPr>
              <w:pStyle w:val="DQIRowHeadings"/>
            </w:pPr>
            <w:r w:rsidRPr="00A05229">
              <w:t>Indicator</w:t>
            </w:r>
          </w:p>
        </w:tc>
        <w:tc>
          <w:tcPr>
            <w:tcW w:w="7244" w:type="dxa"/>
          </w:tcPr>
          <w:p w:rsidR="00BD19D0" w:rsidRPr="008760DC" w:rsidRDefault="002235B6" w:rsidP="00D20011">
            <w:pPr>
              <w:pStyle w:val="DQITableText"/>
            </w:pPr>
            <w:r>
              <w:t>F</w:t>
            </w:r>
            <w:r w:rsidR="00BD19D0">
              <w:t>ire death rate</w:t>
            </w:r>
          </w:p>
        </w:tc>
      </w:tr>
      <w:tr w:rsidR="00BD19D0" w:rsidRPr="001F3F80" w:rsidTr="00332B70">
        <w:trPr>
          <w:jc w:val="center"/>
        </w:trPr>
        <w:tc>
          <w:tcPr>
            <w:tcW w:w="1576" w:type="dxa"/>
          </w:tcPr>
          <w:p w:rsidR="00BD19D0" w:rsidRPr="00A05229" w:rsidRDefault="00BD19D0" w:rsidP="00D20011">
            <w:pPr>
              <w:pStyle w:val="DQIRowHeadings"/>
            </w:pPr>
            <w:r w:rsidRPr="00A05229">
              <w:t>Measure (computation)</w:t>
            </w:r>
          </w:p>
        </w:tc>
        <w:tc>
          <w:tcPr>
            <w:tcW w:w="7244" w:type="dxa"/>
          </w:tcPr>
          <w:p w:rsidR="00BD19D0" w:rsidRPr="00AA443A" w:rsidRDefault="00BD19D0" w:rsidP="00D20011">
            <w:pPr>
              <w:pStyle w:val="DQITableText"/>
              <w:rPr>
                <w:u w:val="single"/>
              </w:rPr>
            </w:pPr>
            <w:r>
              <w:rPr>
                <w:u w:val="single"/>
              </w:rPr>
              <w:t>Numerator</w:t>
            </w:r>
          </w:p>
          <w:p w:rsidR="00BD19D0" w:rsidRDefault="00BD19D0" w:rsidP="00D20011">
            <w:pPr>
              <w:pStyle w:val="DQITableText"/>
            </w:pPr>
            <w:r>
              <w:t>The number of people killed by landscape fires in the jurisdiction during the defined period times one million.</w:t>
            </w:r>
          </w:p>
          <w:p w:rsidR="00BD19D0" w:rsidRPr="00AA443A" w:rsidRDefault="00BD19D0" w:rsidP="00D20011">
            <w:pPr>
              <w:pStyle w:val="DQITableText"/>
              <w:rPr>
                <w:u w:val="single"/>
              </w:rPr>
            </w:pPr>
            <w:r w:rsidRPr="00AA443A">
              <w:rPr>
                <w:u w:val="single"/>
              </w:rPr>
              <w:t>Denominator:</w:t>
            </w:r>
          </w:p>
          <w:p w:rsidR="00BD19D0" w:rsidRPr="00A05229" w:rsidRDefault="00BD19D0" w:rsidP="00D20011">
            <w:pPr>
              <w:pStyle w:val="DQITableText"/>
            </w:pPr>
            <w:r>
              <w:t>The estimated resident population for the jurisdiction on 31 December during the defined period.</w:t>
            </w:r>
          </w:p>
        </w:tc>
      </w:tr>
      <w:tr w:rsidR="00BD19D0" w:rsidRPr="001F3F80" w:rsidTr="00332B70">
        <w:trPr>
          <w:jc w:val="center"/>
        </w:trPr>
        <w:tc>
          <w:tcPr>
            <w:tcW w:w="1576" w:type="dxa"/>
          </w:tcPr>
          <w:p w:rsidR="00BD19D0" w:rsidRPr="00A05229" w:rsidRDefault="00BD19D0" w:rsidP="00D20011">
            <w:pPr>
              <w:pStyle w:val="DQIRowHeadings"/>
            </w:pPr>
            <w:r w:rsidRPr="00A05229">
              <w:t>Data source</w:t>
            </w:r>
          </w:p>
        </w:tc>
        <w:tc>
          <w:tcPr>
            <w:tcW w:w="7244" w:type="dxa"/>
          </w:tcPr>
          <w:p w:rsidR="00BD19D0" w:rsidRPr="00AA443A" w:rsidRDefault="00BD19D0" w:rsidP="00D20011">
            <w:pPr>
              <w:pStyle w:val="DQITableText"/>
              <w:rPr>
                <w:u w:val="single"/>
              </w:rPr>
            </w:pPr>
            <w:r w:rsidRPr="00AA443A">
              <w:rPr>
                <w:u w:val="single"/>
              </w:rPr>
              <w:t xml:space="preserve">Numerator </w:t>
            </w:r>
          </w:p>
          <w:p w:rsidR="00BD19D0" w:rsidRDefault="00BD19D0" w:rsidP="00D20011">
            <w:pPr>
              <w:pStyle w:val="DQITableText"/>
            </w:pPr>
            <w:proofErr w:type="spellStart"/>
            <w:r>
              <w:t>AFAC</w:t>
            </w:r>
            <w:proofErr w:type="spellEnd"/>
            <w:r>
              <w:t xml:space="preserve"> Landscape Fire Deaths Database [Dated] that contains data sourced from media reports, agency reports, </w:t>
            </w:r>
            <w:proofErr w:type="spellStart"/>
            <w:r>
              <w:t>PerilAus</w:t>
            </w:r>
            <w:proofErr w:type="spellEnd"/>
            <w:r>
              <w:t xml:space="preserve"> from Risk Frontiers and </w:t>
            </w:r>
            <w:proofErr w:type="spellStart"/>
            <w:r>
              <w:t>NCIS</w:t>
            </w:r>
            <w:proofErr w:type="spellEnd"/>
            <w:r>
              <w:t xml:space="preserve"> records.</w:t>
            </w:r>
          </w:p>
          <w:p w:rsidR="00BD19D0" w:rsidRPr="00AA443A" w:rsidRDefault="00BD19D0" w:rsidP="00D20011">
            <w:pPr>
              <w:pStyle w:val="DQITableText"/>
              <w:rPr>
                <w:u w:val="single"/>
              </w:rPr>
            </w:pPr>
            <w:r>
              <w:rPr>
                <w:u w:val="single"/>
              </w:rPr>
              <w:t>Denominator</w:t>
            </w:r>
            <w:r w:rsidRPr="00AA443A">
              <w:rPr>
                <w:u w:val="single"/>
              </w:rPr>
              <w:t xml:space="preserve"> </w:t>
            </w:r>
          </w:p>
          <w:p w:rsidR="00BD19D0" w:rsidRPr="008760DC" w:rsidRDefault="00BD19D0" w:rsidP="0096477A">
            <w:pPr>
              <w:pStyle w:val="DQITableText"/>
            </w:pPr>
            <w:r>
              <w:t>ABS Estimated Residential Population (</w:t>
            </w:r>
            <w:proofErr w:type="spellStart"/>
            <w:r>
              <w:t>ERP</w:t>
            </w:r>
            <w:proofErr w:type="spellEnd"/>
            <w:r>
              <w:t xml:space="preserve">) 3101.0 (for more detail about the population data used in the Report see </w:t>
            </w:r>
            <w:proofErr w:type="spellStart"/>
            <w:r>
              <w:t>RoGS</w:t>
            </w:r>
            <w:proofErr w:type="spellEnd"/>
            <w:r>
              <w:t xml:space="preserve"> </w:t>
            </w:r>
            <w:r w:rsidR="009D2362">
              <w:t>Statistical context (chapter 2</w:t>
            </w:r>
            <w:r>
              <w:t xml:space="preserve">, </w:t>
            </w:r>
            <w:r w:rsidR="009D2362">
              <w:t>t</w:t>
            </w:r>
            <w:r>
              <w:t>able</w:t>
            </w:r>
            <w:r w:rsidR="0096477A">
              <w:t> </w:t>
            </w:r>
            <w:proofErr w:type="spellStart"/>
            <w:r w:rsidR="0096477A">
              <w:t>2</w:t>
            </w:r>
            <w:r>
              <w:t>A</w:t>
            </w:r>
            <w:r w:rsidR="0096477A">
              <w:t>.</w:t>
            </w:r>
            <w:r>
              <w:t>2</w:t>
            </w:r>
            <w:proofErr w:type="spellEnd"/>
            <w:r>
              <w:t>).</w:t>
            </w:r>
          </w:p>
        </w:tc>
      </w:tr>
      <w:tr w:rsidR="00BD19D0" w:rsidRPr="000D7225" w:rsidTr="00A05A81">
        <w:trPr>
          <w:jc w:val="center"/>
        </w:trPr>
        <w:tc>
          <w:tcPr>
            <w:tcW w:w="8820" w:type="dxa"/>
            <w:gridSpan w:val="2"/>
          </w:tcPr>
          <w:p w:rsidR="00BD19D0" w:rsidRPr="00CE3D86" w:rsidRDefault="00BD19D0" w:rsidP="004802C9">
            <w:pPr>
              <w:pStyle w:val="DQIMainRowHeadings"/>
              <w:rPr>
                <w:rFonts w:cs="Arial"/>
                <w:sz w:val="22"/>
                <w:szCs w:val="22"/>
              </w:rPr>
            </w:pPr>
            <w:r>
              <w:rPr>
                <w:rFonts w:ascii="Times New Roman" w:hAnsi="Times New Roman"/>
                <w:sz w:val="24"/>
                <w:lang w:eastAsia="en-US"/>
              </w:rPr>
              <w:br w:type="page"/>
            </w:r>
            <w:r>
              <w:rPr>
                <w:rFonts w:ascii="Times New Roman" w:hAnsi="Times New Roman"/>
                <w:sz w:val="24"/>
                <w:lang w:eastAsia="en-US"/>
              </w:rPr>
              <w:br w:type="page"/>
            </w:r>
            <w:r w:rsidRPr="003211C6">
              <w:t>Data Quality Framework dimensions</w:t>
            </w:r>
          </w:p>
        </w:tc>
      </w:tr>
      <w:tr w:rsidR="00BD19D0" w:rsidRPr="00254F46" w:rsidTr="00332B70">
        <w:trPr>
          <w:jc w:val="center"/>
        </w:trPr>
        <w:tc>
          <w:tcPr>
            <w:tcW w:w="1576" w:type="dxa"/>
          </w:tcPr>
          <w:p w:rsidR="00BD19D0" w:rsidRPr="00A05229" w:rsidRDefault="00BD19D0" w:rsidP="004802C9">
            <w:pPr>
              <w:pStyle w:val="DQIRowHeadings"/>
            </w:pPr>
            <w:r w:rsidRPr="00A05229">
              <w:t>Institutional environment</w:t>
            </w:r>
          </w:p>
        </w:tc>
        <w:tc>
          <w:tcPr>
            <w:tcW w:w="7244" w:type="dxa"/>
          </w:tcPr>
          <w:p w:rsidR="00BD19D0" w:rsidRDefault="00BD19D0" w:rsidP="004802C9">
            <w:pPr>
              <w:pStyle w:val="DQITableText"/>
            </w:pPr>
            <w:proofErr w:type="spellStart"/>
            <w:r>
              <w:t>AFAC</w:t>
            </w:r>
            <w:proofErr w:type="spellEnd"/>
            <w:r>
              <w:t xml:space="preserve"> maintains the Landscape Fire Deaths database on behalf of its members. It has a formal data access agreement with the Victorian Institute of Forensic Medicine to use records in the National Coroners Information System. Data sharing arrangements are in place with the Bushfire CRC that first compiled the data from the </w:t>
            </w:r>
            <w:proofErr w:type="spellStart"/>
            <w:r>
              <w:t>PerilAus</w:t>
            </w:r>
            <w:proofErr w:type="spellEnd"/>
            <w:r>
              <w:t xml:space="preserve"> data held by Risk Frontiers. The original data has been modified for Bushfire CRC research objectives and more recently for the Landscape Fire Performance Measures project. There is no legislative framework for the existence of the data.</w:t>
            </w:r>
          </w:p>
          <w:p w:rsidR="00BD19D0" w:rsidRPr="00A05229" w:rsidRDefault="00BD19D0" w:rsidP="0096477A">
            <w:pPr>
              <w:pStyle w:val="DQITableText"/>
            </w:pPr>
            <w:r>
              <w:t xml:space="preserve">The estimated resident data </w:t>
            </w:r>
            <w:r w:rsidR="0096477A">
              <w:t>are</w:t>
            </w:r>
            <w:r>
              <w:t xml:space="preserve"> from the ABS that operates within a framework of the Census and Statistics Act 1905 and the Australian Bureau of Statistics Act 1975. These ensure the independence and impartiality from political influence of the ABS, and the confidentiality of respondents.</w:t>
            </w:r>
          </w:p>
        </w:tc>
      </w:tr>
      <w:tr w:rsidR="00BD19D0" w:rsidRPr="00254F46" w:rsidTr="00332B70">
        <w:trPr>
          <w:jc w:val="center"/>
        </w:trPr>
        <w:tc>
          <w:tcPr>
            <w:tcW w:w="1576" w:type="dxa"/>
          </w:tcPr>
          <w:p w:rsidR="00BD19D0" w:rsidRPr="00A05229" w:rsidRDefault="00BD19D0" w:rsidP="004802C9">
            <w:pPr>
              <w:pStyle w:val="DQIRowHeadings"/>
            </w:pPr>
            <w:r w:rsidRPr="00A05229">
              <w:t>Relevance</w:t>
            </w:r>
          </w:p>
        </w:tc>
        <w:tc>
          <w:tcPr>
            <w:tcW w:w="7244" w:type="dxa"/>
          </w:tcPr>
          <w:p w:rsidR="00BD19D0" w:rsidRDefault="00BD19D0" w:rsidP="004802C9">
            <w:pPr>
              <w:pStyle w:val="DQITableText"/>
            </w:pPr>
            <w:r>
              <w:t xml:space="preserve">The Landscape Fire Deaths Database contains records of every death that has been attributed to a landscape fire. </w:t>
            </w:r>
          </w:p>
          <w:p w:rsidR="00BD19D0" w:rsidRDefault="00BD19D0" w:rsidP="004802C9">
            <w:pPr>
              <w:pStyle w:val="DQITableText"/>
            </w:pPr>
            <w:r>
              <w:t>Landscape fires include all planned and unplanned fires burning outside in vegetation fuels. They exclude campfires and receptacle fires.</w:t>
            </w:r>
          </w:p>
          <w:p w:rsidR="00BD19D0" w:rsidRDefault="00BD19D0" w:rsidP="004802C9">
            <w:pPr>
              <w:pStyle w:val="DQITableText"/>
            </w:pPr>
            <w:r>
              <w:t xml:space="preserve">A death that is attributed to a landscape fire as confirmed by a coroner or inquest or provisionally by the incident controller. Unconfirmed deaths are recorded as provisional until an inquest or finding is completed. Included are deaths travelling to and from fires and the full range of causes not just heat, fire and smoke. Unborn babies are excluded as are intentional </w:t>
            </w:r>
            <w:r w:rsidR="000C4518">
              <w:t>self-harm</w:t>
            </w:r>
            <w:r>
              <w:t>, assault or murder.</w:t>
            </w:r>
          </w:p>
          <w:p w:rsidR="00BD19D0" w:rsidRDefault="00BD19D0" w:rsidP="004802C9">
            <w:pPr>
              <w:pStyle w:val="DQITableText"/>
            </w:pPr>
            <w:r>
              <w:t>The data contain other data elements that allow for analysis of the reasons, background and activities associated with the incident.</w:t>
            </w:r>
          </w:p>
          <w:p w:rsidR="00BD19D0" w:rsidRDefault="00BD19D0" w:rsidP="004802C9">
            <w:pPr>
              <w:pStyle w:val="DQITableText"/>
            </w:pPr>
            <w:r>
              <w:t>The data contains all known records back to July 2003 and all known civilian deaths back to 1900.</w:t>
            </w:r>
          </w:p>
          <w:p w:rsidR="00BD19D0" w:rsidRDefault="00BD19D0" w:rsidP="004802C9">
            <w:pPr>
              <w:pStyle w:val="DQITableText"/>
            </w:pPr>
            <w:r>
              <w:t>The indicator is titled Landscape fire death rate because although the term bushfire is more recognisable than Landscape fire the former has the correct technical meaning. Bushfires are an entire sub set of Landscape fires which also includes planned fires. Deaths from planned fires are included in the deaths data.</w:t>
            </w:r>
          </w:p>
          <w:p w:rsidR="00E00641" w:rsidRPr="00A05229" w:rsidRDefault="00E00641" w:rsidP="004802C9">
            <w:pPr>
              <w:pStyle w:val="DQITableText"/>
            </w:pPr>
          </w:p>
        </w:tc>
      </w:tr>
      <w:tr w:rsidR="00BD19D0" w:rsidRPr="00254F46" w:rsidTr="00332B70">
        <w:trPr>
          <w:jc w:val="center"/>
        </w:trPr>
        <w:tc>
          <w:tcPr>
            <w:tcW w:w="1576" w:type="dxa"/>
          </w:tcPr>
          <w:p w:rsidR="00BD19D0" w:rsidRPr="00A05229" w:rsidRDefault="00BD19D0" w:rsidP="004802C9">
            <w:pPr>
              <w:pStyle w:val="DQIRowHeadings"/>
            </w:pPr>
            <w:r w:rsidRPr="00A05229">
              <w:lastRenderedPageBreak/>
              <w:t>Timeliness</w:t>
            </w:r>
          </w:p>
        </w:tc>
        <w:tc>
          <w:tcPr>
            <w:tcW w:w="7244" w:type="dxa"/>
          </w:tcPr>
          <w:p w:rsidR="00BD19D0" w:rsidRDefault="00BD19D0" w:rsidP="004802C9">
            <w:pPr>
              <w:pStyle w:val="DQITableText"/>
            </w:pPr>
            <w:r>
              <w:t xml:space="preserve">The data </w:t>
            </w:r>
            <w:r w:rsidR="0096477A">
              <w:t>are</w:t>
            </w:r>
            <w:r>
              <w:t xml:space="preserve"> added periodically and continually. The </w:t>
            </w:r>
            <w:proofErr w:type="spellStart"/>
            <w:r>
              <w:t>NCIS</w:t>
            </w:r>
            <w:proofErr w:type="spellEnd"/>
            <w:r>
              <w:t xml:space="preserve"> is interrogated annually to find any additional records and to confirm the status of any provisional records.</w:t>
            </w:r>
          </w:p>
          <w:p w:rsidR="00BD19D0" w:rsidRDefault="00BD19D0" w:rsidP="004802C9">
            <w:pPr>
              <w:pStyle w:val="DQITableText"/>
            </w:pPr>
            <w:r>
              <w:t>Historic records are periodically reviewed to add known firefighter deaths.</w:t>
            </w:r>
          </w:p>
          <w:p w:rsidR="00BD19D0" w:rsidRPr="00A05229" w:rsidRDefault="00BD19D0" w:rsidP="004802C9">
            <w:pPr>
              <w:pStyle w:val="DQITableText"/>
            </w:pPr>
            <w:r>
              <w:t xml:space="preserve">Releasing preliminary, revised and final </w:t>
            </w:r>
            <w:proofErr w:type="spellStart"/>
            <w:r>
              <w:t>ERP</w:t>
            </w:r>
            <w:proofErr w:type="spellEnd"/>
            <w:r>
              <w:t xml:space="preserve"> involves a balance between timeliness and accuracy.</w:t>
            </w:r>
          </w:p>
        </w:tc>
      </w:tr>
      <w:tr w:rsidR="00BD19D0" w:rsidRPr="00254F46" w:rsidTr="00332B70">
        <w:trPr>
          <w:jc w:val="center"/>
        </w:trPr>
        <w:tc>
          <w:tcPr>
            <w:tcW w:w="1576" w:type="dxa"/>
          </w:tcPr>
          <w:p w:rsidR="00BD19D0" w:rsidRPr="00A05229" w:rsidRDefault="00BD19D0" w:rsidP="004802C9">
            <w:pPr>
              <w:pStyle w:val="DQIRowHeadings"/>
            </w:pPr>
            <w:r w:rsidRPr="00A05229">
              <w:t>Accuracy</w:t>
            </w:r>
          </w:p>
        </w:tc>
        <w:tc>
          <w:tcPr>
            <w:tcW w:w="7244" w:type="dxa"/>
          </w:tcPr>
          <w:p w:rsidR="00BD19D0" w:rsidRPr="00AA443A" w:rsidRDefault="00BD19D0" w:rsidP="004802C9">
            <w:pPr>
              <w:pStyle w:val="DQITableText"/>
            </w:pPr>
            <w:r w:rsidRPr="00AA443A">
              <w:t xml:space="preserve">The deaths data </w:t>
            </w:r>
            <w:r w:rsidR="0096477A">
              <w:t>are</w:t>
            </w:r>
            <w:r w:rsidRPr="00AA443A">
              <w:t xml:space="preserve"> considered accurate although it has many sources and contains both provisional and confirmed records. The number of deaths from landscape fires is well known within the industry and each record can be confirmed from multiple sources.</w:t>
            </w:r>
          </w:p>
          <w:p w:rsidR="00BD19D0" w:rsidRPr="00AA443A" w:rsidRDefault="00BD19D0" w:rsidP="004802C9">
            <w:pPr>
              <w:pStyle w:val="DQITableText"/>
            </w:pPr>
            <w:r w:rsidRPr="00AA443A">
              <w:t xml:space="preserve">All </w:t>
            </w:r>
            <w:proofErr w:type="spellStart"/>
            <w:r w:rsidRPr="00AA443A">
              <w:t>ERP</w:t>
            </w:r>
            <w:proofErr w:type="spellEnd"/>
            <w:r w:rsidRPr="00AA443A">
              <w:t xml:space="preserve"> data sources are subject to non</w:t>
            </w:r>
            <w:r w:rsidR="009D2362">
              <w:noBreakHyphen/>
            </w:r>
            <w:r w:rsidRPr="00AA443A">
              <w:t>sampling error. Non</w:t>
            </w:r>
            <w:r w:rsidR="009D2362">
              <w:noBreakHyphen/>
            </w:r>
            <w:r w:rsidRPr="00AA443A">
              <w:t>sampling error can arise from inaccuracies in collecting, recording and processing the data. In the case of Census and Post Enumeration Survey (</w:t>
            </w:r>
            <w:proofErr w:type="spellStart"/>
            <w:r w:rsidRPr="00AA443A">
              <w:t>PES</w:t>
            </w:r>
            <w:proofErr w:type="spellEnd"/>
            <w:r w:rsidRPr="00AA443A">
              <w:t xml:space="preserve">) data, every effort is made to minimise reporting error by the careful design of questionnaires, intensive training and supervision of interviewers, and efficient data processing procedures. </w:t>
            </w:r>
          </w:p>
          <w:p w:rsidR="00BD19D0" w:rsidRPr="00AA443A" w:rsidRDefault="00BD19D0" w:rsidP="004802C9">
            <w:pPr>
              <w:pStyle w:val="DQITableText"/>
            </w:pPr>
            <w:r w:rsidRPr="00AA443A">
              <w:t>The records will change over time as there can be a two year delay between the death and the coronial finding. Provisional records may be later eliminated and new records added for deaths that were unknown to incident controllers.</w:t>
            </w:r>
          </w:p>
          <w:p w:rsidR="00BD19D0" w:rsidRPr="00AA443A" w:rsidRDefault="00BD19D0" w:rsidP="004802C9">
            <w:pPr>
              <w:pStyle w:val="DQITableText"/>
            </w:pPr>
            <w:r w:rsidRPr="00AA443A">
              <w:t>The actual numbers can be reported and there is no requirement to randomise small numbers.</w:t>
            </w:r>
          </w:p>
          <w:p w:rsidR="00BD19D0" w:rsidRPr="00AA443A" w:rsidRDefault="00BD19D0" w:rsidP="004802C9">
            <w:pPr>
              <w:pStyle w:val="DQITableText"/>
            </w:pPr>
            <w:r w:rsidRPr="00AA443A">
              <w:t>The data back to 2003 has been thoroughly researched and most records are confirmed from multiple sources.</w:t>
            </w:r>
          </w:p>
          <w:p w:rsidR="00BD19D0" w:rsidRPr="00AA443A" w:rsidRDefault="00BD19D0" w:rsidP="004802C9">
            <w:pPr>
              <w:pStyle w:val="DQITableText"/>
            </w:pPr>
            <w:r w:rsidRPr="00AA443A">
              <w:t>The same data for civilian deaths from a previous source was submitted as evidence to the Victorian Bushfire Royal Commission.</w:t>
            </w:r>
          </w:p>
        </w:tc>
      </w:tr>
      <w:tr w:rsidR="00BD19D0" w:rsidRPr="00E57110" w:rsidTr="00332B70">
        <w:trPr>
          <w:jc w:val="center"/>
        </w:trPr>
        <w:tc>
          <w:tcPr>
            <w:tcW w:w="1576" w:type="dxa"/>
          </w:tcPr>
          <w:p w:rsidR="00BD19D0" w:rsidRPr="00A05229" w:rsidRDefault="00BD19D0" w:rsidP="004802C9">
            <w:pPr>
              <w:pStyle w:val="DQIRowHeadings"/>
              <w:rPr>
                <w:szCs w:val="22"/>
              </w:rPr>
            </w:pPr>
            <w:r w:rsidRPr="00A05229">
              <w:rPr>
                <w:szCs w:val="22"/>
              </w:rPr>
              <w:t>Coherence</w:t>
            </w:r>
          </w:p>
          <w:p w:rsidR="00BD19D0" w:rsidRPr="00A05229" w:rsidRDefault="00BD19D0" w:rsidP="004802C9">
            <w:pPr>
              <w:pStyle w:val="DQIRowHeadings"/>
              <w:rPr>
                <w:szCs w:val="22"/>
              </w:rPr>
            </w:pPr>
          </w:p>
        </w:tc>
        <w:tc>
          <w:tcPr>
            <w:tcW w:w="7244" w:type="dxa"/>
          </w:tcPr>
          <w:p w:rsidR="00BD19D0" w:rsidRDefault="00BD19D0" w:rsidP="004802C9">
            <w:pPr>
              <w:pStyle w:val="DQITableText"/>
            </w:pPr>
            <w:r>
              <w:t xml:space="preserve">The management of the database by </w:t>
            </w:r>
            <w:proofErr w:type="spellStart"/>
            <w:r>
              <w:t>AFAC</w:t>
            </w:r>
            <w:proofErr w:type="spellEnd"/>
            <w:r>
              <w:t xml:space="preserve"> on behalf of 29 contributing agencies provides coherence.</w:t>
            </w:r>
          </w:p>
          <w:p w:rsidR="00BD19D0" w:rsidRPr="00A05229" w:rsidRDefault="00BD19D0" w:rsidP="004802C9">
            <w:pPr>
              <w:pStyle w:val="DQITableText"/>
            </w:pPr>
            <w:r>
              <w:t>The ABS provides the denominator for this indicator with reliable coherence.</w:t>
            </w:r>
          </w:p>
        </w:tc>
      </w:tr>
      <w:tr w:rsidR="00BD19D0" w:rsidRPr="00E57110" w:rsidTr="00332B70">
        <w:trPr>
          <w:jc w:val="center"/>
        </w:trPr>
        <w:tc>
          <w:tcPr>
            <w:tcW w:w="1576" w:type="dxa"/>
          </w:tcPr>
          <w:p w:rsidR="00BD19D0" w:rsidRPr="00A05229" w:rsidRDefault="00BD19D0" w:rsidP="004802C9">
            <w:pPr>
              <w:pStyle w:val="DQIRowHeadings"/>
              <w:rPr>
                <w:szCs w:val="22"/>
              </w:rPr>
            </w:pPr>
            <w:r w:rsidRPr="00A05229">
              <w:rPr>
                <w:szCs w:val="22"/>
              </w:rPr>
              <w:t>Accessibility</w:t>
            </w:r>
          </w:p>
          <w:p w:rsidR="00BD19D0" w:rsidRPr="00A05229" w:rsidRDefault="00BD19D0" w:rsidP="004802C9">
            <w:pPr>
              <w:pStyle w:val="DQIRowHeadings"/>
              <w:rPr>
                <w:szCs w:val="22"/>
              </w:rPr>
            </w:pPr>
          </w:p>
        </w:tc>
        <w:tc>
          <w:tcPr>
            <w:tcW w:w="7244" w:type="dxa"/>
          </w:tcPr>
          <w:p w:rsidR="00BD19D0" w:rsidRDefault="00BD19D0" w:rsidP="004802C9">
            <w:pPr>
              <w:pStyle w:val="DQITableText"/>
            </w:pPr>
            <w:r>
              <w:t xml:space="preserve">The Landscape Fire Deaths Database contains personal identification information. This is essential in being able to eliminate potential duplicate records from different sources for the same death. There are privacy issues in being able to access the </w:t>
            </w:r>
            <w:proofErr w:type="spellStart"/>
            <w:r>
              <w:t>NCIS</w:t>
            </w:r>
            <w:proofErr w:type="spellEnd"/>
            <w:r>
              <w:t xml:space="preserve"> and all reported uses of the data must be de</w:t>
            </w:r>
            <w:r w:rsidR="009D2362">
              <w:noBreakHyphen/>
            </w:r>
            <w:r>
              <w:t>identified. The privacy concerns are managed by restricting access to the data with the identities retained. Analysed and de</w:t>
            </w:r>
            <w:r w:rsidR="009D2362">
              <w:noBreakHyphen/>
            </w:r>
            <w:r>
              <w:t>identified data can be freely accessed although its uses must be reported to the Victorian Institute of Forensic Medicine.</w:t>
            </w:r>
          </w:p>
          <w:p w:rsidR="00BD19D0" w:rsidRPr="00A05229" w:rsidRDefault="00BD19D0" w:rsidP="0096477A">
            <w:pPr>
              <w:pStyle w:val="DQITableText"/>
            </w:pPr>
            <w:proofErr w:type="spellStart"/>
            <w:r>
              <w:t>ERP</w:t>
            </w:r>
            <w:proofErr w:type="spellEnd"/>
            <w:r>
              <w:t xml:space="preserve"> data </w:t>
            </w:r>
            <w:r w:rsidR="0096477A">
              <w:t>are</w:t>
            </w:r>
            <w:r>
              <w:t xml:space="preserve"> available in a variety of formats on the ABS website, </w:t>
            </w:r>
            <w:proofErr w:type="spellStart"/>
            <w:r>
              <w:t>www.abs.gov.au</w:t>
            </w:r>
            <w:proofErr w:type="spellEnd"/>
            <w:r>
              <w:t xml:space="preserve">, under the 3101.0 and 3201.0 product families. </w:t>
            </w:r>
          </w:p>
        </w:tc>
      </w:tr>
      <w:tr w:rsidR="00BD19D0" w:rsidRPr="00254F46" w:rsidTr="00332B70">
        <w:trPr>
          <w:jc w:val="center"/>
        </w:trPr>
        <w:tc>
          <w:tcPr>
            <w:tcW w:w="1576" w:type="dxa"/>
          </w:tcPr>
          <w:p w:rsidR="00BD19D0" w:rsidRPr="00A05229" w:rsidRDefault="00BD19D0" w:rsidP="004802C9">
            <w:pPr>
              <w:pStyle w:val="DQIRowHeadings"/>
              <w:rPr>
                <w:szCs w:val="22"/>
              </w:rPr>
            </w:pPr>
            <w:r w:rsidRPr="00A05229">
              <w:rPr>
                <w:szCs w:val="22"/>
              </w:rPr>
              <w:t>Interpretability</w:t>
            </w:r>
          </w:p>
        </w:tc>
        <w:tc>
          <w:tcPr>
            <w:tcW w:w="7244" w:type="dxa"/>
          </w:tcPr>
          <w:p w:rsidR="00BD19D0" w:rsidRDefault="00BD19D0" w:rsidP="004802C9">
            <w:pPr>
              <w:pStyle w:val="DQITableText"/>
            </w:pPr>
            <w:r>
              <w:t xml:space="preserve">Data for this indicator are controlled by a comprehensive Data Dictionary. Every element is defined as fully as possible. There are still some interpretations required to record a death. The degree to which the fire contributed to the death is interpreted by the coroner and then again at the time of data entry. </w:t>
            </w:r>
          </w:p>
          <w:p w:rsidR="00BD19D0" w:rsidRPr="006C2C6E" w:rsidRDefault="00BD19D0" w:rsidP="004802C9">
            <w:pPr>
              <w:pStyle w:val="DQITableText"/>
            </w:pPr>
            <w:r>
              <w:t xml:space="preserve">Data are reported by jurisdiction of the incident irrespective of the home location of the deceased. </w:t>
            </w:r>
          </w:p>
        </w:tc>
      </w:tr>
      <w:tr w:rsidR="00BD19D0" w:rsidRPr="00254F46" w:rsidTr="004802C9">
        <w:trPr>
          <w:jc w:val="center"/>
        </w:trPr>
        <w:tc>
          <w:tcPr>
            <w:tcW w:w="8820" w:type="dxa"/>
            <w:gridSpan w:val="2"/>
          </w:tcPr>
          <w:p w:rsidR="00BD19D0" w:rsidRPr="00CE3D86" w:rsidRDefault="00BD19D0" w:rsidP="004802C9">
            <w:pPr>
              <w:pStyle w:val="DQIMainRowHeadings"/>
            </w:pPr>
            <w:r w:rsidRPr="00C744E0">
              <w:t>Data Gaps/Issues Analysis</w:t>
            </w:r>
          </w:p>
        </w:tc>
      </w:tr>
      <w:tr w:rsidR="00BD19D0" w:rsidRPr="004F3342" w:rsidTr="004802C9">
        <w:trPr>
          <w:jc w:val="center"/>
        </w:trPr>
        <w:tc>
          <w:tcPr>
            <w:tcW w:w="1576" w:type="dxa"/>
          </w:tcPr>
          <w:p w:rsidR="00BD19D0" w:rsidRPr="00A05229" w:rsidRDefault="00BD19D0" w:rsidP="004802C9">
            <w:pPr>
              <w:pStyle w:val="DQIRowHeadings"/>
            </w:pPr>
            <w:r w:rsidRPr="00A05229">
              <w:t>Key data gaps/issues</w:t>
            </w:r>
          </w:p>
        </w:tc>
        <w:tc>
          <w:tcPr>
            <w:tcW w:w="7244" w:type="dxa"/>
          </w:tcPr>
          <w:p w:rsidR="00BD19D0" w:rsidRPr="0077499F" w:rsidRDefault="00BD19D0" w:rsidP="004802C9">
            <w:pPr>
              <w:pStyle w:val="DQITableText"/>
            </w:pPr>
            <w:r w:rsidRPr="0077499F">
              <w:t xml:space="preserve">The Steering Committee notes the following key data gaps/issues: </w:t>
            </w:r>
          </w:p>
          <w:p w:rsidR="00BD19D0" w:rsidRPr="004F3342" w:rsidRDefault="00BD19D0" w:rsidP="004802C9">
            <w:pPr>
              <w:pStyle w:val="DQITableBullet"/>
            </w:pPr>
            <w:r w:rsidRPr="00D321A0">
              <w:t xml:space="preserve">Volatility </w:t>
            </w:r>
            <w:r>
              <w:t>—</w:t>
            </w:r>
            <w:r w:rsidRPr="00D321A0">
              <w:t xml:space="preserve"> due to the small numbers of fire deaths annually, there is a high level of volatility in reported indicator rates. It is important therefore to assess longer term trends where data are available. A five year rolling average will be investigated. The impact of the Black Saturday fires will remain as a spike in the data for a number of years. Spikes in the trends have occurred on about a 30 year cycle. Longer term trends can also be investigated. Recent research has indicated that the 1939 fires killed more people per population than Black Saturday 2009 so there may be a long term downward trend.</w:t>
            </w:r>
          </w:p>
        </w:tc>
      </w:tr>
    </w:tbl>
    <w:p w:rsidR="00A03085" w:rsidRDefault="00A03085" w:rsidP="00BD19D0">
      <w:pPr>
        <w:pStyle w:val="BodyText"/>
      </w:pPr>
    </w:p>
    <w:p w:rsidR="00A03085" w:rsidRPr="00A03085" w:rsidRDefault="004802C9" w:rsidP="003C7A62">
      <w:pPr>
        <w:pStyle w:val="Heading3"/>
      </w:pPr>
      <w:bookmarkStart w:id="62" w:name="_Toc398732477"/>
      <w:bookmarkStart w:id="63" w:name="_Toc405885743"/>
      <w:r>
        <w:lastRenderedPageBreak/>
        <w:t>F</w:t>
      </w:r>
      <w:r w:rsidR="00A03085">
        <w:t xml:space="preserve">ire </w:t>
      </w:r>
      <w:r>
        <w:t xml:space="preserve">injury </w:t>
      </w:r>
      <w:r w:rsidR="00A03085">
        <w:t>rate</w:t>
      </w:r>
      <w:bookmarkEnd w:id="62"/>
      <w:bookmarkEnd w:id="63"/>
    </w:p>
    <w:p w:rsidR="004802C9" w:rsidRPr="00A03085" w:rsidRDefault="004802C9" w:rsidP="004802C9">
      <w:pPr>
        <w:pStyle w:val="Heading4"/>
      </w:pPr>
      <w:bookmarkStart w:id="64" w:name="_Toc405885744"/>
      <w:r>
        <w:t>Annual fire hospitalisation rate</w:t>
      </w:r>
      <w:bookmarkEnd w:id="64"/>
    </w:p>
    <w:p w:rsidR="00A03085" w:rsidRPr="00A03085" w:rsidRDefault="00A03085" w:rsidP="004802C9">
      <w:pPr>
        <w:pStyle w:val="Box"/>
      </w:pPr>
      <w:r w:rsidRPr="00A03085">
        <w:t xml:space="preserve">Data quality information for this indicator </w:t>
      </w:r>
      <w:r w:rsidRPr="004802C9">
        <w:t>has</w:t>
      </w:r>
      <w:r w:rsidRPr="00A03085">
        <w:t xml:space="preserve"> been sourced from the </w:t>
      </w:r>
      <w:proofErr w:type="spellStart"/>
      <w:r w:rsidRPr="00A03085">
        <w:t>AIHW</w:t>
      </w:r>
      <w:proofErr w:type="spellEnd"/>
      <w:r w:rsidRPr="00A03085">
        <w:t xml:space="preserve"> with additional Steering Committee comments.</w:t>
      </w:r>
    </w:p>
    <w:tbl>
      <w:tblPr>
        <w:tblW w:w="8820" w:type="dxa"/>
        <w:tblInd w:w="108" w:type="dxa"/>
        <w:tblLayout w:type="fixed"/>
        <w:tblLook w:val="01E0" w:firstRow="1" w:lastRow="1" w:firstColumn="1" w:lastColumn="1" w:noHBand="0" w:noVBand="0"/>
      </w:tblPr>
      <w:tblGrid>
        <w:gridCol w:w="1800"/>
        <w:gridCol w:w="7020"/>
      </w:tblGrid>
      <w:tr w:rsidR="00A03085" w:rsidRPr="00A03085" w:rsidTr="004802C9">
        <w:tc>
          <w:tcPr>
            <w:tcW w:w="8820" w:type="dxa"/>
            <w:gridSpan w:val="2"/>
            <w:tcBorders>
              <w:left w:val="nil"/>
              <w:right w:val="nil"/>
            </w:tcBorders>
            <w:shd w:val="clear" w:color="auto" w:fill="auto"/>
          </w:tcPr>
          <w:p w:rsidR="00A03085" w:rsidRPr="00A03085" w:rsidRDefault="00A03085" w:rsidP="004802C9">
            <w:pPr>
              <w:pStyle w:val="DQIMainRowHeadings"/>
              <w:rPr>
                <w:rFonts w:cs="Arial"/>
              </w:rPr>
            </w:pPr>
            <w:r w:rsidRPr="00A03085">
              <w:t>Indicator definition and description</w:t>
            </w:r>
          </w:p>
        </w:tc>
      </w:tr>
      <w:tr w:rsidR="00A03085" w:rsidRPr="00A03085" w:rsidTr="004802C9">
        <w:tc>
          <w:tcPr>
            <w:tcW w:w="1800" w:type="dxa"/>
            <w:tcBorders>
              <w:left w:val="nil"/>
              <w:bottom w:val="nil"/>
              <w:right w:val="nil"/>
            </w:tcBorders>
            <w:shd w:val="clear" w:color="auto" w:fill="auto"/>
          </w:tcPr>
          <w:p w:rsidR="00A03085" w:rsidRPr="003C7A62" w:rsidRDefault="00A03085" w:rsidP="004802C9">
            <w:pPr>
              <w:pStyle w:val="DQIRowHeadings"/>
            </w:pPr>
            <w:r w:rsidRPr="003C7A62">
              <w:t>Element</w:t>
            </w:r>
          </w:p>
        </w:tc>
        <w:tc>
          <w:tcPr>
            <w:tcW w:w="7020" w:type="dxa"/>
            <w:tcBorders>
              <w:left w:val="nil"/>
              <w:bottom w:val="nil"/>
              <w:right w:val="nil"/>
            </w:tcBorders>
            <w:shd w:val="clear" w:color="auto" w:fill="auto"/>
          </w:tcPr>
          <w:p w:rsidR="00A03085" w:rsidRPr="00A03085" w:rsidRDefault="00A03085" w:rsidP="004802C9">
            <w:pPr>
              <w:pStyle w:val="DQITableText"/>
            </w:pPr>
            <w:r w:rsidRPr="00A03085">
              <w:t>Outcome</w:t>
            </w:r>
            <w:r w:rsidR="00180ECD">
              <w:t>s</w:t>
            </w:r>
          </w:p>
        </w:tc>
      </w:tr>
      <w:tr w:rsidR="00A03085" w:rsidRPr="00A03085" w:rsidTr="00A03085">
        <w:tc>
          <w:tcPr>
            <w:tcW w:w="1800" w:type="dxa"/>
            <w:tcBorders>
              <w:top w:val="nil"/>
              <w:left w:val="nil"/>
              <w:bottom w:val="nil"/>
              <w:right w:val="nil"/>
            </w:tcBorders>
            <w:shd w:val="clear" w:color="auto" w:fill="auto"/>
          </w:tcPr>
          <w:p w:rsidR="00A03085" w:rsidRPr="003C7A62" w:rsidRDefault="00A03085" w:rsidP="004802C9">
            <w:pPr>
              <w:pStyle w:val="DQIRowHeadings"/>
            </w:pPr>
            <w:r w:rsidRPr="003C7A62">
              <w:t>Indicator</w:t>
            </w:r>
          </w:p>
        </w:tc>
        <w:tc>
          <w:tcPr>
            <w:tcW w:w="7020" w:type="dxa"/>
            <w:tcBorders>
              <w:top w:val="nil"/>
              <w:left w:val="nil"/>
              <w:bottom w:val="nil"/>
              <w:right w:val="nil"/>
            </w:tcBorders>
            <w:shd w:val="clear" w:color="auto" w:fill="auto"/>
          </w:tcPr>
          <w:p w:rsidR="00A03085" w:rsidRPr="00A03085" w:rsidRDefault="00A03085" w:rsidP="004802C9">
            <w:pPr>
              <w:pStyle w:val="DQITableText"/>
            </w:pPr>
            <w:r>
              <w:t>Annual fire hospitalisation rate</w:t>
            </w:r>
          </w:p>
        </w:tc>
      </w:tr>
      <w:tr w:rsidR="00A03085" w:rsidRPr="00A03085" w:rsidTr="00A03085">
        <w:tc>
          <w:tcPr>
            <w:tcW w:w="1800" w:type="dxa"/>
            <w:tcBorders>
              <w:top w:val="nil"/>
              <w:left w:val="nil"/>
              <w:bottom w:val="nil"/>
              <w:right w:val="nil"/>
            </w:tcBorders>
            <w:shd w:val="clear" w:color="auto" w:fill="auto"/>
          </w:tcPr>
          <w:p w:rsidR="00A03085" w:rsidRPr="003C7A62" w:rsidRDefault="00A03085" w:rsidP="004802C9">
            <w:pPr>
              <w:pStyle w:val="DQIRowHeadings"/>
            </w:pPr>
            <w:r w:rsidRPr="00A03085">
              <w:t>Measures (computation)</w:t>
            </w:r>
          </w:p>
        </w:tc>
        <w:tc>
          <w:tcPr>
            <w:tcW w:w="7020" w:type="dxa"/>
            <w:tcBorders>
              <w:top w:val="nil"/>
              <w:left w:val="nil"/>
              <w:bottom w:val="nil"/>
              <w:right w:val="nil"/>
            </w:tcBorders>
            <w:shd w:val="clear" w:color="auto" w:fill="auto"/>
          </w:tcPr>
          <w:p w:rsidR="00A03085" w:rsidRDefault="00A03085" w:rsidP="004802C9">
            <w:pPr>
              <w:pStyle w:val="DQITableText"/>
              <w:rPr>
                <w:lang w:eastAsia="en-US"/>
              </w:rPr>
            </w:pPr>
            <w:r w:rsidRPr="00A03085">
              <w:rPr>
                <w:lang w:eastAsia="en-US"/>
              </w:rPr>
              <w:t xml:space="preserve">The </w:t>
            </w:r>
            <w:r w:rsidRPr="00A03085">
              <w:rPr>
                <w:i/>
                <w:lang w:eastAsia="en-US"/>
              </w:rPr>
              <w:t xml:space="preserve">numerator </w:t>
            </w:r>
            <w:r w:rsidRPr="00A03085">
              <w:rPr>
                <w:lang w:eastAsia="en-US"/>
              </w:rPr>
              <w:t>is the number of hospital</w:t>
            </w:r>
            <w:r>
              <w:rPr>
                <w:lang w:eastAsia="en-US"/>
              </w:rPr>
              <w:t xml:space="preserve"> separations for people who sustained injuries from smoke, fire or flames</w:t>
            </w:r>
            <w:r w:rsidRPr="00A03085">
              <w:rPr>
                <w:lang w:eastAsia="en-US"/>
              </w:rPr>
              <w:t xml:space="preserve">. </w:t>
            </w:r>
          </w:p>
          <w:p w:rsidR="00A03085" w:rsidRPr="00A05229" w:rsidRDefault="00A03085" w:rsidP="004802C9">
            <w:pPr>
              <w:pStyle w:val="DQITableText"/>
            </w:pPr>
            <w:r w:rsidRPr="00A05229">
              <w:t>The following International Classification of Diseases (</w:t>
            </w:r>
            <w:proofErr w:type="spellStart"/>
            <w:r w:rsidRPr="00A05229">
              <w:t>ICD</w:t>
            </w:r>
            <w:proofErr w:type="spellEnd"/>
            <w:r w:rsidRPr="00A05229">
              <w:t>) codes are aggregated to define the data set:</w:t>
            </w:r>
          </w:p>
          <w:p w:rsidR="00A03085" w:rsidRPr="00A05229" w:rsidRDefault="00A03085" w:rsidP="004802C9">
            <w:pPr>
              <w:pStyle w:val="DQITableBullet"/>
            </w:pPr>
            <w:r w:rsidRPr="00A05229">
              <w:t>Exposure to smoke, fire and flames (</w:t>
            </w:r>
            <w:proofErr w:type="spellStart"/>
            <w:r w:rsidRPr="00A05229">
              <w:t>ICD</w:t>
            </w:r>
            <w:proofErr w:type="spellEnd"/>
            <w:r w:rsidRPr="00A05229">
              <w:t xml:space="preserve"> </w:t>
            </w:r>
            <w:proofErr w:type="spellStart"/>
            <w:r w:rsidRPr="00A05229">
              <w:t>X00</w:t>
            </w:r>
            <w:proofErr w:type="spellEnd"/>
            <w:r w:rsidR="009D2362">
              <w:t xml:space="preserve"> </w:t>
            </w:r>
            <w:r w:rsidRPr="00A05229">
              <w:t>—</w:t>
            </w:r>
            <w:r w:rsidR="009D2362">
              <w:t xml:space="preserve"> </w:t>
            </w:r>
            <w:proofErr w:type="spellStart"/>
            <w:r w:rsidRPr="00A05229">
              <w:t>X09</w:t>
            </w:r>
            <w:proofErr w:type="spellEnd"/>
            <w:r w:rsidRPr="00A05229">
              <w:t>) as follows:</w:t>
            </w:r>
          </w:p>
          <w:p w:rsidR="00A03085" w:rsidRPr="00A95BE1" w:rsidRDefault="00A03085" w:rsidP="004802C9">
            <w:pPr>
              <w:pStyle w:val="DQITableBullet2"/>
            </w:pPr>
            <w:proofErr w:type="spellStart"/>
            <w:r w:rsidRPr="00A95BE1">
              <w:t>ICD</w:t>
            </w:r>
            <w:proofErr w:type="spellEnd"/>
            <w:r w:rsidRPr="00A95BE1">
              <w:t xml:space="preserve"> </w:t>
            </w:r>
            <w:proofErr w:type="spellStart"/>
            <w:r w:rsidRPr="00A95BE1">
              <w:t>X00</w:t>
            </w:r>
            <w:proofErr w:type="spellEnd"/>
            <w:r w:rsidRPr="00A95BE1">
              <w:t xml:space="preserve"> Exposure to uncontrolled fire in building or structure</w:t>
            </w:r>
          </w:p>
          <w:p w:rsidR="00A03085" w:rsidRPr="00A05229" w:rsidRDefault="00A03085" w:rsidP="004802C9">
            <w:pPr>
              <w:pStyle w:val="DQITableBullet2"/>
            </w:pPr>
            <w:proofErr w:type="spellStart"/>
            <w:r w:rsidRPr="00A05229">
              <w:t>ICD</w:t>
            </w:r>
            <w:proofErr w:type="spellEnd"/>
            <w:r w:rsidRPr="00A05229">
              <w:t xml:space="preserve"> </w:t>
            </w:r>
            <w:proofErr w:type="spellStart"/>
            <w:r w:rsidRPr="00A05229">
              <w:t>X01</w:t>
            </w:r>
            <w:proofErr w:type="spellEnd"/>
            <w:r w:rsidRPr="00A05229">
              <w:t xml:space="preserve"> Exposure to uncontrolled fire, not in building or structure</w:t>
            </w:r>
          </w:p>
          <w:p w:rsidR="00A03085" w:rsidRPr="00A05229" w:rsidRDefault="00A03085" w:rsidP="004802C9">
            <w:pPr>
              <w:pStyle w:val="DQITableBullet2"/>
            </w:pPr>
            <w:proofErr w:type="spellStart"/>
            <w:r w:rsidRPr="00A05229">
              <w:t>ICD</w:t>
            </w:r>
            <w:proofErr w:type="spellEnd"/>
            <w:r w:rsidRPr="00A05229">
              <w:t xml:space="preserve"> </w:t>
            </w:r>
            <w:proofErr w:type="spellStart"/>
            <w:r w:rsidRPr="00A05229">
              <w:t>X02</w:t>
            </w:r>
            <w:proofErr w:type="spellEnd"/>
            <w:r w:rsidRPr="00A05229">
              <w:t xml:space="preserve"> Exposure to controlled fire in building or structure</w:t>
            </w:r>
          </w:p>
          <w:p w:rsidR="00A03085" w:rsidRPr="00A05229" w:rsidRDefault="00A03085" w:rsidP="004802C9">
            <w:pPr>
              <w:pStyle w:val="DQITableBullet2"/>
            </w:pPr>
            <w:proofErr w:type="spellStart"/>
            <w:r w:rsidRPr="00A05229">
              <w:t>ICD</w:t>
            </w:r>
            <w:proofErr w:type="spellEnd"/>
            <w:r w:rsidRPr="00A05229">
              <w:t xml:space="preserve"> </w:t>
            </w:r>
            <w:proofErr w:type="spellStart"/>
            <w:r w:rsidRPr="00A05229">
              <w:t>X03</w:t>
            </w:r>
            <w:proofErr w:type="spellEnd"/>
            <w:r w:rsidRPr="00A05229">
              <w:t xml:space="preserve"> Exposure to controlled fire, not in building or structure</w:t>
            </w:r>
          </w:p>
          <w:p w:rsidR="00A03085" w:rsidRPr="00A05229" w:rsidRDefault="00A03085" w:rsidP="004802C9">
            <w:pPr>
              <w:pStyle w:val="DQITableBullet2"/>
            </w:pPr>
            <w:proofErr w:type="spellStart"/>
            <w:r w:rsidRPr="00A05229">
              <w:t>ICD</w:t>
            </w:r>
            <w:proofErr w:type="spellEnd"/>
            <w:r w:rsidRPr="00A05229">
              <w:t xml:space="preserve"> </w:t>
            </w:r>
            <w:proofErr w:type="spellStart"/>
            <w:r w:rsidRPr="00A05229">
              <w:t>X04</w:t>
            </w:r>
            <w:proofErr w:type="spellEnd"/>
            <w:r w:rsidRPr="00A05229">
              <w:t xml:space="preserve"> Exposure to ignition of highly flammable material</w:t>
            </w:r>
          </w:p>
          <w:p w:rsidR="00A03085" w:rsidRPr="00A05229" w:rsidRDefault="00A03085" w:rsidP="004802C9">
            <w:pPr>
              <w:pStyle w:val="DQITableBullet2"/>
            </w:pPr>
            <w:proofErr w:type="spellStart"/>
            <w:r w:rsidRPr="00A05229">
              <w:t>ICD</w:t>
            </w:r>
            <w:proofErr w:type="spellEnd"/>
            <w:r w:rsidRPr="00A05229">
              <w:t xml:space="preserve"> </w:t>
            </w:r>
            <w:proofErr w:type="spellStart"/>
            <w:r w:rsidRPr="00A05229">
              <w:t>X05</w:t>
            </w:r>
            <w:proofErr w:type="spellEnd"/>
            <w:r w:rsidRPr="00A05229">
              <w:t xml:space="preserve"> Exposure to ignition or melting of nightwear</w:t>
            </w:r>
          </w:p>
          <w:p w:rsidR="00A03085" w:rsidRPr="00A05229" w:rsidRDefault="00A03085" w:rsidP="004802C9">
            <w:pPr>
              <w:pStyle w:val="DQITableBullet2"/>
            </w:pPr>
            <w:proofErr w:type="spellStart"/>
            <w:r w:rsidRPr="00A05229">
              <w:t>ICD</w:t>
            </w:r>
            <w:proofErr w:type="spellEnd"/>
            <w:r w:rsidRPr="00A05229">
              <w:t xml:space="preserve"> </w:t>
            </w:r>
            <w:proofErr w:type="spellStart"/>
            <w:r w:rsidRPr="00A05229">
              <w:t>X06</w:t>
            </w:r>
            <w:proofErr w:type="spellEnd"/>
            <w:r w:rsidRPr="00A05229">
              <w:t xml:space="preserve"> Exposure to ignition or melting of other clothing and apparel</w:t>
            </w:r>
          </w:p>
          <w:p w:rsidR="00A03085" w:rsidRPr="00A05229" w:rsidRDefault="00A03085" w:rsidP="004802C9">
            <w:pPr>
              <w:pStyle w:val="DQITableBullet2"/>
            </w:pPr>
            <w:proofErr w:type="spellStart"/>
            <w:r w:rsidRPr="00A05229">
              <w:t>ICD</w:t>
            </w:r>
            <w:proofErr w:type="spellEnd"/>
            <w:r w:rsidRPr="00A05229">
              <w:t xml:space="preserve"> </w:t>
            </w:r>
            <w:proofErr w:type="spellStart"/>
            <w:r w:rsidRPr="00A05229">
              <w:t>X08</w:t>
            </w:r>
            <w:proofErr w:type="spellEnd"/>
            <w:r w:rsidRPr="00A05229">
              <w:t xml:space="preserve"> Exposure to other specified smoke, fire and flames</w:t>
            </w:r>
          </w:p>
          <w:p w:rsidR="00A03085" w:rsidRPr="00A05229" w:rsidRDefault="00A03085" w:rsidP="004802C9">
            <w:pPr>
              <w:pStyle w:val="DQITableBullet2"/>
            </w:pPr>
            <w:proofErr w:type="spellStart"/>
            <w:r w:rsidRPr="00A05229">
              <w:t>ICD</w:t>
            </w:r>
            <w:proofErr w:type="spellEnd"/>
            <w:r w:rsidRPr="00A05229">
              <w:t xml:space="preserve"> </w:t>
            </w:r>
            <w:proofErr w:type="spellStart"/>
            <w:r w:rsidRPr="00A05229">
              <w:t>X09</w:t>
            </w:r>
            <w:proofErr w:type="spellEnd"/>
            <w:r w:rsidRPr="00A05229">
              <w:t xml:space="preserve"> Exposure to unspecified smoke, fire and flames</w:t>
            </w:r>
          </w:p>
          <w:p w:rsidR="00A03085" w:rsidRPr="00A05229" w:rsidRDefault="00A03085" w:rsidP="004802C9">
            <w:pPr>
              <w:pStyle w:val="DQITableText"/>
            </w:pPr>
            <w:r w:rsidRPr="00A05229">
              <w:t>Intentional self</w:t>
            </w:r>
            <w:r w:rsidR="009D2362">
              <w:noBreakHyphen/>
            </w:r>
            <w:r w:rsidRPr="00A05229">
              <w:t>harm by smoke, fire and flames (</w:t>
            </w:r>
            <w:proofErr w:type="spellStart"/>
            <w:r w:rsidRPr="00A05229">
              <w:t>ICD</w:t>
            </w:r>
            <w:proofErr w:type="spellEnd"/>
            <w:r w:rsidRPr="00A05229">
              <w:t xml:space="preserve"> </w:t>
            </w:r>
            <w:proofErr w:type="spellStart"/>
            <w:r w:rsidRPr="00A05229">
              <w:t>X76</w:t>
            </w:r>
            <w:proofErr w:type="spellEnd"/>
            <w:r w:rsidRPr="00A05229">
              <w:t xml:space="preserve">) </w:t>
            </w:r>
          </w:p>
          <w:p w:rsidR="00A03085" w:rsidRPr="00A05229" w:rsidRDefault="00A03085" w:rsidP="004802C9">
            <w:pPr>
              <w:pStyle w:val="DQITableBullet"/>
            </w:pPr>
            <w:r w:rsidRPr="00A05229">
              <w:t>Assault by smoke, fire and flames (</w:t>
            </w:r>
            <w:proofErr w:type="spellStart"/>
            <w:r w:rsidRPr="00A05229">
              <w:t>ICD</w:t>
            </w:r>
            <w:proofErr w:type="spellEnd"/>
            <w:r w:rsidRPr="00A05229">
              <w:t xml:space="preserve"> </w:t>
            </w:r>
            <w:proofErr w:type="spellStart"/>
            <w:r w:rsidRPr="00A05229">
              <w:t>X97</w:t>
            </w:r>
            <w:proofErr w:type="spellEnd"/>
            <w:r w:rsidRPr="00A05229">
              <w:t>)</w:t>
            </w:r>
          </w:p>
          <w:p w:rsidR="00A03085" w:rsidRPr="00A05229" w:rsidRDefault="00A03085" w:rsidP="004802C9">
            <w:pPr>
              <w:pStyle w:val="DQITableBullet"/>
            </w:pPr>
            <w:r w:rsidRPr="00A05229">
              <w:t>Exposure to smoke, fire and flames, undetermined intent (</w:t>
            </w:r>
            <w:proofErr w:type="spellStart"/>
            <w:r w:rsidRPr="00A05229">
              <w:t>ICD</w:t>
            </w:r>
            <w:proofErr w:type="spellEnd"/>
            <w:r w:rsidRPr="00A05229">
              <w:t xml:space="preserve"> </w:t>
            </w:r>
            <w:proofErr w:type="spellStart"/>
            <w:r w:rsidRPr="00A05229">
              <w:t>Y26</w:t>
            </w:r>
            <w:proofErr w:type="spellEnd"/>
            <w:r w:rsidRPr="00A05229">
              <w:t>)</w:t>
            </w:r>
          </w:p>
          <w:p w:rsidR="00A03085" w:rsidRPr="00A03085" w:rsidRDefault="00A03085" w:rsidP="00EE3F05">
            <w:pPr>
              <w:pStyle w:val="DQITableText"/>
              <w:rPr>
                <w:lang w:eastAsia="en-US"/>
              </w:rPr>
            </w:pPr>
            <w:r w:rsidRPr="00A03085">
              <w:rPr>
                <w:lang w:eastAsia="en-US"/>
              </w:rPr>
              <w:t xml:space="preserve">The </w:t>
            </w:r>
            <w:r w:rsidRPr="00A03085">
              <w:rPr>
                <w:i/>
                <w:lang w:eastAsia="en-US"/>
              </w:rPr>
              <w:t>denominator</w:t>
            </w:r>
            <w:r w:rsidRPr="00A03085">
              <w:rPr>
                <w:lang w:eastAsia="en-US"/>
              </w:rPr>
              <w:t xml:space="preserve"> is the </w:t>
            </w:r>
            <w:r w:rsidRPr="00EE3F05">
              <w:t>Estimated</w:t>
            </w:r>
            <w:r w:rsidRPr="00A03085">
              <w:rPr>
                <w:lang w:eastAsia="en-US"/>
              </w:rPr>
              <w:t xml:space="preserve"> Resident Population.</w:t>
            </w:r>
          </w:p>
          <w:p w:rsidR="00A03085" w:rsidRPr="00A03085" w:rsidRDefault="00A03085" w:rsidP="004802C9">
            <w:pPr>
              <w:pStyle w:val="DQITableText"/>
              <w:rPr>
                <w:lang w:eastAsia="en-US"/>
              </w:rPr>
            </w:pPr>
            <w:r w:rsidRPr="00A03085">
              <w:rPr>
                <w:lang w:eastAsia="en-US"/>
              </w:rPr>
              <w:t xml:space="preserve">A separation is an episode of care for an admitted patient, which can be a total </w:t>
            </w:r>
            <w:r w:rsidRPr="003C7A62">
              <w:t>hospital</w:t>
            </w:r>
            <w:r w:rsidRPr="00A03085">
              <w:rPr>
                <w:lang w:eastAsia="en-US"/>
              </w:rPr>
              <w:t xml:space="preserve"> stay (from admission to discharge, transfer or death), or a portion of a hospital stay beginning or ending in a change of type of care (for example, from acute care to rehabilitation).</w:t>
            </w:r>
          </w:p>
          <w:p w:rsidR="00A03085" w:rsidRPr="00A03085" w:rsidRDefault="00A03085" w:rsidP="004802C9">
            <w:pPr>
              <w:pStyle w:val="DQITableText"/>
              <w:rPr>
                <w:lang w:eastAsia="en-US"/>
              </w:rPr>
            </w:pPr>
            <w:r w:rsidRPr="00A03085">
              <w:t>Calculation</w:t>
            </w:r>
            <w:r w:rsidRPr="00A03085">
              <w:rPr>
                <w:lang w:eastAsia="en-US"/>
              </w:rPr>
              <w:t xml:space="preserve"> is 100</w:t>
            </w:r>
            <w:r>
              <w:rPr>
                <w:lang w:eastAsia="en-US"/>
              </w:rPr>
              <w:t> 000</w:t>
            </w:r>
            <w:r w:rsidRPr="00A03085">
              <w:rPr>
                <w:lang w:eastAsia="en-US"/>
              </w:rPr>
              <w:t xml:space="preserve"> × (Numerator ÷ Denominator), presented as a number per 100</w:t>
            </w:r>
            <w:r>
              <w:rPr>
                <w:lang w:eastAsia="en-US"/>
              </w:rPr>
              <w:t> 000</w:t>
            </w:r>
            <w:r w:rsidRPr="00A03085">
              <w:rPr>
                <w:lang w:eastAsia="en-US"/>
              </w:rPr>
              <w:t>.</w:t>
            </w:r>
          </w:p>
        </w:tc>
      </w:tr>
      <w:tr w:rsidR="00A03085" w:rsidRPr="00A03085" w:rsidTr="00A03085">
        <w:tc>
          <w:tcPr>
            <w:tcW w:w="1800" w:type="dxa"/>
            <w:tcBorders>
              <w:top w:val="nil"/>
              <w:left w:val="nil"/>
              <w:bottom w:val="nil"/>
              <w:right w:val="nil"/>
            </w:tcBorders>
            <w:shd w:val="clear" w:color="auto" w:fill="auto"/>
          </w:tcPr>
          <w:p w:rsidR="00A03085" w:rsidRPr="003C7A62" w:rsidRDefault="00A03085" w:rsidP="004802C9">
            <w:pPr>
              <w:pStyle w:val="DQIRowHeadings"/>
            </w:pPr>
            <w:r w:rsidRPr="00A03085">
              <w:t>Data source</w:t>
            </w:r>
          </w:p>
        </w:tc>
        <w:tc>
          <w:tcPr>
            <w:tcW w:w="7020" w:type="dxa"/>
            <w:tcBorders>
              <w:top w:val="nil"/>
              <w:left w:val="nil"/>
              <w:bottom w:val="nil"/>
              <w:right w:val="nil"/>
            </w:tcBorders>
            <w:shd w:val="clear" w:color="auto" w:fill="auto"/>
          </w:tcPr>
          <w:p w:rsidR="00A03085" w:rsidRPr="00A03085" w:rsidRDefault="00A03085" w:rsidP="004802C9">
            <w:pPr>
              <w:pStyle w:val="DQITableText"/>
            </w:pPr>
            <w:r w:rsidRPr="00A03085">
              <w:rPr>
                <w:u w:val="single"/>
              </w:rPr>
              <w:t>Numerator</w:t>
            </w:r>
            <w:r w:rsidRPr="00A03085">
              <w:t xml:space="preserve">: This indicator is calculated using data from the </w:t>
            </w:r>
            <w:proofErr w:type="spellStart"/>
            <w:r w:rsidRPr="00A03085">
              <w:t>NHMD</w:t>
            </w:r>
            <w:proofErr w:type="spellEnd"/>
            <w:r w:rsidRPr="00A03085">
              <w:t xml:space="preserve">, based on the National </w:t>
            </w:r>
            <w:r w:rsidRPr="003C7A62">
              <w:t>Minimum</w:t>
            </w:r>
            <w:r w:rsidRPr="00A03085">
              <w:t xml:space="preserve"> Data Set for Admitted Patient Care.</w:t>
            </w:r>
          </w:p>
          <w:p w:rsidR="00A03085" w:rsidRPr="00A03085" w:rsidRDefault="00A03085" w:rsidP="004802C9">
            <w:pPr>
              <w:pStyle w:val="DQITableText"/>
              <w:rPr>
                <w:sz w:val="20"/>
              </w:rPr>
            </w:pPr>
            <w:r w:rsidRPr="00A03085">
              <w:rPr>
                <w:sz w:val="20"/>
                <w:u w:val="single"/>
              </w:rPr>
              <w:t>Denominator</w:t>
            </w:r>
            <w:r w:rsidRPr="00A03085">
              <w:rPr>
                <w:sz w:val="20"/>
              </w:rPr>
              <w:t>:</w:t>
            </w:r>
          </w:p>
          <w:p w:rsidR="00A03085" w:rsidRPr="00A03085" w:rsidRDefault="00A03085" w:rsidP="004802C9">
            <w:pPr>
              <w:pStyle w:val="DQITableText"/>
              <w:rPr>
                <w:lang w:eastAsia="en-US"/>
              </w:rPr>
            </w:pPr>
            <w:r w:rsidRPr="00A03085">
              <w:rPr>
                <w:lang w:eastAsia="en-US"/>
              </w:rPr>
              <w:t xml:space="preserve">For total population: Australian Bureau of Statistics (ABS) Estimated Resident </w:t>
            </w:r>
            <w:r w:rsidRPr="003C7A62">
              <w:t>Population</w:t>
            </w:r>
            <w:r w:rsidRPr="00A03085">
              <w:rPr>
                <w:lang w:eastAsia="en-US"/>
              </w:rPr>
              <w:t xml:space="preserve"> (</w:t>
            </w:r>
            <w:proofErr w:type="spellStart"/>
            <w:r w:rsidRPr="00A03085">
              <w:rPr>
                <w:lang w:eastAsia="en-US"/>
              </w:rPr>
              <w:t>ERP</w:t>
            </w:r>
            <w:proofErr w:type="spellEnd"/>
            <w:r w:rsidRPr="00A03085">
              <w:rPr>
                <w:lang w:eastAsia="en-US"/>
              </w:rPr>
              <w:t>) as at 3</w:t>
            </w:r>
            <w:r w:rsidR="003C7A62">
              <w:rPr>
                <w:lang w:eastAsia="en-US"/>
              </w:rPr>
              <w:t>1</w:t>
            </w:r>
            <w:r w:rsidRPr="00A03085">
              <w:rPr>
                <w:lang w:eastAsia="en-US"/>
              </w:rPr>
              <w:t xml:space="preserve"> </w:t>
            </w:r>
            <w:r w:rsidR="003C7A62">
              <w:rPr>
                <w:lang w:eastAsia="en-US"/>
              </w:rPr>
              <w:t xml:space="preserve">December as a midpoint of </w:t>
            </w:r>
            <w:r w:rsidRPr="00A03085">
              <w:rPr>
                <w:lang w:eastAsia="en-US"/>
              </w:rPr>
              <w:t>the reference period.</w:t>
            </w:r>
          </w:p>
          <w:p w:rsidR="00A03085" w:rsidRPr="00A03085" w:rsidRDefault="00A03085" w:rsidP="004802C9">
            <w:pPr>
              <w:pStyle w:val="DQITableText"/>
              <w:rPr>
                <w:sz w:val="20"/>
              </w:rPr>
            </w:pPr>
            <w:r w:rsidRPr="00A03085">
              <w:rPr>
                <w:sz w:val="20"/>
                <w:u w:val="single"/>
              </w:rPr>
              <w:t>Computation</w:t>
            </w:r>
            <w:r w:rsidRPr="00A03085">
              <w:rPr>
                <w:sz w:val="20"/>
              </w:rPr>
              <w:t>:</w:t>
            </w:r>
          </w:p>
          <w:p w:rsidR="00A03085" w:rsidRPr="00A03085" w:rsidRDefault="00A03085" w:rsidP="004802C9">
            <w:pPr>
              <w:pStyle w:val="DQITableText"/>
              <w:rPr>
                <w:lang w:eastAsia="en-US"/>
              </w:rPr>
            </w:pPr>
            <w:r w:rsidRPr="00A03085">
              <w:rPr>
                <w:lang w:eastAsia="en-US"/>
              </w:rPr>
              <w:t xml:space="preserve">1000 × (Numerator ÷ </w:t>
            </w:r>
            <w:r w:rsidRPr="00A03085">
              <w:t>Denominator</w:t>
            </w:r>
            <w:r w:rsidRPr="00A03085">
              <w:rPr>
                <w:lang w:eastAsia="en-US"/>
              </w:rPr>
              <w:t>), presented as a rate.</w:t>
            </w:r>
          </w:p>
        </w:tc>
      </w:tr>
      <w:tr w:rsidR="006B7F7F" w:rsidRPr="00A03085" w:rsidTr="00A03085">
        <w:tc>
          <w:tcPr>
            <w:tcW w:w="8820" w:type="dxa"/>
            <w:gridSpan w:val="2"/>
            <w:tcBorders>
              <w:top w:val="nil"/>
              <w:left w:val="nil"/>
              <w:bottom w:val="nil"/>
              <w:right w:val="nil"/>
            </w:tcBorders>
            <w:shd w:val="clear" w:color="auto" w:fill="auto"/>
          </w:tcPr>
          <w:p w:rsidR="006B7F7F" w:rsidRPr="00CE3D86" w:rsidRDefault="006B7F7F" w:rsidP="004802C9">
            <w:pPr>
              <w:pStyle w:val="DQIMainRowHeadings"/>
              <w:rPr>
                <w:rFonts w:cs="Arial"/>
                <w:sz w:val="22"/>
                <w:szCs w:val="22"/>
              </w:rPr>
            </w:pPr>
            <w:r>
              <w:rPr>
                <w:rFonts w:ascii="Times New Roman" w:hAnsi="Times New Roman"/>
                <w:sz w:val="24"/>
                <w:lang w:eastAsia="en-US"/>
              </w:rPr>
              <w:br w:type="page"/>
            </w:r>
            <w:r>
              <w:rPr>
                <w:rFonts w:ascii="Times New Roman" w:hAnsi="Times New Roman"/>
                <w:sz w:val="24"/>
                <w:lang w:eastAsia="en-US"/>
              </w:rPr>
              <w:br w:type="page"/>
            </w:r>
            <w:r w:rsidRPr="003211C6">
              <w:t>Data Quality Framework dimensions</w:t>
            </w:r>
          </w:p>
        </w:tc>
      </w:tr>
      <w:tr w:rsidR="006B7F7F" w:rsidRPr="00A03085" w:rsidTr="00A03085">
        <w:tc>
          <w:tcPr>
            <w:tcW w:w="1800" w:type="dxa"/>
            <w:tcBorders>
              <w:top w:val="nil"/>
              <w:left w:val="nil"/>
              <w:bottom w:val="nil"/>
              <w:right w:val="nil"/>
            </w:tcBorders>
            <w:shd w:val="clear" w:color="auto" w:fill="auto"/>
          </w:tcPr>
          <w:p w:rsidR="006B7F7F" w:rsidRPr="00A03085" w:rsidRDefault="006B7F7F" w:rsidP="004802C9">
            <w:pPr>
              <w:pStyle w:val="DQIRowHeadings"/>
            </w:pPr>
            <w:r w:rsidRPr="00A03085">
              <w:t>Institutional environment</w:t>
            </w:r>
          </w:p>
        </w:tc>
        <w:tc>
          <w:tcPr>
            <w:tcW w:w="7020" w:type="dxa"/>
            <w:tcBorders>
              <w:top w:val="nil"/>
              <w:left w:val="nil"/>
              <w:bottom w:val="nil"/>
              <w:right w:val="nil"/>
            </w:tcBorders>
            <w:shd w:val="clear" w:color="auto" w:fill="auto"/>
          </w:tcPr>
          <w:p w:rsidR="006B7F7F" w:rsidRPr="00A03085" w:rsidRDefault="006B7F7F" w:rsidP="004802C9">
            <w:pPr>
              <w:pStyle w:val="DQITableText"/>
              <w:rPr>
                <w:lang w:eastAsia="en-US"/>
              </w:rPr>
            </w:pPr>
            <w:r w:rsidRPr="00A03085">
              <w:rPr>
                <w:lang w:eastAsia="en-US"/>
              </w:rPr>
              <w:t>The Australian Institute of Health and Welfare (</w:t>
            </w:r>
            <w:proofErr w:type="spellStart"/>
            <w:r w:rsidRPr="00A03085">
              <w:rPr>
                <w:lang w:eastAsia="en-US"/>
              </w:rPr>
              <w:t>AIHW</w:t>
            </w:r>
            <w:proofErr w:type="spellEnd"/>
            <w:r w:rsidRPr="00A03085">
              <w:rPr>
                <w:lang w:eastAsia="en-US"/>
              </w:rPr>
              <w:t>) has calculated this indicator.</w:t>
            </w:r>
          </w:p>
          <w:p w:rsidR="006B7F7F" w:rsidRPr="00A03085" w:rsidRDefault="006B7F7F" w:rsidP="004802C9">
            <w:pPr>
              <w:pStyle w:val="DQITableText"/>
              <w:rPr>
                <w:lang w:eastAsia="en-US"/>
              </w:rPr>
            </w:pPr>
            <w:r w:rsidRPr="00A03085">
              <w:rPr>
                <w:lang w:eastAsia="en-US"/>
              </w:rPr>
              <w:t xml:space="preserve">The Institute is an independent statutory authority within the Health and Ageing portfolio, which is </w:t>
            </w:r>
            <w:r w:rsidRPr="003C7A62">
              <w:t>accountable</w:t>
            </w:r>
            <w:r w:rsidRPr="00A03085">
              <w:rPr>
                <w:lang w:eastAsia="en-US"/>
              </w:rPr>
              <w:t xml:space="preserve"> to the Parliament of Australia through the Minister for Health. For further information see the </w:t>
            </w:r>
            <w:proofErr w:type="spellStart"/>
            <w:r w:rsidRPr="00A03085">
              <w:rPr>
                <w:lang w:eastAsia="en-US"/>
              </w:rPr>
              <w:t>AIHW</w:t>
            </w:r>
            <w:proofErr w:type="spellEnd"/>
            <w:r w:rsidRPr="00A03085">
              <w:rPr>
                <w:lang w:eastAsia="en-US"/>
              </w:rPr>
              <w:t xml:space="preserve"> website.</w:t>
            </w:r>
          </w:p>
          <w:p w:rsidR="006B7F7F" w:rsidRPr="00A03085" w:rsidRDefault="006B7F7F" w:rsidP="004802C9">
            <w:pPr>
              <w:pStyle w:val="DQITableText"/>
              <w:rPr>
                <w:lang w:eastAsia="en-US"/>
              </w:rPr>
            </w:pPr>
            <w:r w:rsidRPr="00A03085">
              <w:rPr>
                <w:lang w:eastAsia="en-US"/>
              </w:rPr>
              <w:t xml:space="preserve">The data were supplied to the Institute by state and territory health authorities. The state and territory health authorities received these data from public hospitals. States and territories use these data for service planning, monitoring and internal and public reporting. Hospitals may be required to provide data to states and territories through </w:t>
            </w:r>
            <w:r w:rsidRPr="00A03085">
              <w:rPr>
                <w:lang w:eastAsia="en-US"/>
              </w:rPr>
              <w:lastRenderedPageBreak/>
              <w:t xml:space="preserve">a variety of administrative arrangements, </w:t>
            </w:r>
            <w:proofErr w:type="spellStart"/>
            <w:r w:rsidRPr="00A03085">
              <w:rPr>
                <w:lang w:eastAsia="en-US"/>
              </w:rPr>
              <w:t>contractual</w:t>
            </w:r>
            <w:proofErr w:type="spellEnd"/>
            <w:r w:rsidRPr="00A03085">
              <w:rPr>
                <w:lang w:eastAsia="en-US"/>
              </w:rPr>
              <w:t xml:space="preserve"> requirements or legislation.</w:t>
            </w:r>
          </w:p>
          <w:p w:rsidR="006B7F7F" w:rsidRPr="00A03085" w:rsidRDefault="006B7F7F" w:rsidP="004802C9">
            <w:pPr>
              <w:pStyle w:val="DQITableText"/>
              <w:rPr>
                <w:lang w:eastAsia="en-US"/>
              </w:rPr>
            </w:pPr>
            <w:r w:rsidRPr="00A03085">
              <w:rPr>
                <w:lang w:eastAsia="en-US"/>
              </w:rPr>
              <w:t xml:space="preserve">States and territories supplied these data under the terms of the National Health </w:t>
            </w:r>
            <w:r w:rsidRPr="003C7A62">
              <w:t>Information</w:t>
            </w:r>
            <w:r w:rsidRPr="00A03085">
              <w:rPr>
                <w:lang w:eastAsia="en-US"/>
              </w:rPr>
              <w:t xml:space="preserve"> Agreement, available online at:</w:t>
            </w:r>
          </w:p>
          <w:p w:rsidR="006B7F7F" w:rsidRPr="00A03085" w:rsidRDefault="006B7F7F" w:rsidP="004802C9">
            <w:pPr>
              <w:pStyle w:val="DQITableText"/>
              <w:rPr>
                <w:lang w:eastAsia="en-US"/>
              </w:rPr>
            </w:pPr>
            <w:proofErr w:type="spellStart"/>
            <w:r w:rsidRPr="00A03085">
              <w:rPr>
                <w:rFonts w:cs="Arial"/>
                <w:lang w:eastAsia="en-US"/>
              </w:rPr>
              <w:t>www.aihw.gov.</w:t>
            </w:r>
            <w:r w:rsidRPr="003C7A62">
              <w:t>au</w:t>
            </w:r>
            <w:proofErr w:type="spellEnd"/>
            <w:r w:rsidRPr="00A03085">
              <w:rPr>
                <w:rFonts w:cs="Arial"/>
                <w:lang w:eastAsia="en-US"/>
              </w:rPr>
              <w:t>/</w:t>
            </w:r>
            <w:proofErr w:type="spellStart"/>
            <w:r w:rsidRPr="00A03085">
              <w:rPr>
                <w:rFonts w:cs="Arial"/>
                <w:lang w:eastAsia="en-US"/>
              </w:rPr>
              <w:t>WorkArea</w:t>
            </w:r>
            <w:proofErr w:type="spellEnd"/>
            <w:r w:rsidRPr="00A03085">
              <w:rPr>
                <w:rFonts w:cs="Arial"/>
                <w:lang w:eastAsia="en-US"/>
              </w:rPr>
              <w:t>/</w:t>
            </w:r>
            <w:proofErr w:type="spellStart"/>
            <w:r w:rsidRPr="00A03085">
              <w:rPr>
                <w:rFonts w:cs="Arial"/>
                <w:lang w:eastAsia="en-US"/>
              </w:rPr>
              <w:t>DownloadAsset.aspx?id</w:t>
            </w:r>
            <w:proofErr w:type="spellEnd"/>
            <w:r w:rsidRPr="00A03085">
              <w:rPr>
                <w:rFonts w:cs="Arial"/>
                <w:lang w:eastAsia="en-US"/>
              </w:rPr>
              <w:t>=</w:t>
            </w:r>
            <w:proofErr w:type="spellStart"/>
            <w:r w:rsidRPr="00A03085">
              <w:rPr>
                <w:rFonts w:cs="Arial"/>
                <w:lang w:eastAsia="en-US"/>
              </w:rPr>
              <w:t>6442472807&amp;libID</w:t>
            </w:r>
            <w:proofErr w:type="spellEnd"/>
            <w:r w:rsidRPr="00A03085">
              <w:rPr>
                <w:lang w:eastAsia="en-US"/>
              </w:rPr>
              <w:br/>
              <w:t>=6442472788</w:t>
            </w:r>
          </w:p>
        </w:tc>
      </w:tr>
      <w:tr w:rsidR="006B7F7F" w:rsidRPr="00A03085" w:rsidTr="00A03085">
        <w:tc>
          <w:tcPr>
            <w:tcW w:w="1800" w:type="dxa"/>
            <w:tcBorders>
              <w:top w:val="nil"/>
              <w:left w:val="nil"/>
              <w:bottom w:val="nil"/>
              <w:right w:val="nil"/>
            </w:tcBorders>
            <w:shd w:val="clear" w:color="auto" w:fill="auto"/>
          </w:tcPr>
          <w:p w:rsidR="006B7F7F" w:rsidRPr="006B7F7F" w:rsidRDefault="006B7F7F" w:rsidP="004802C9">
            <w:pPr>
              <w:pStyle w:val="DQIRowHeadings"/>
            </w:pPr>
            <w:r w:rsidRPr="00A03085">
              <w:lastRenderedPageBreak/>
              <w:t>Relevance</w:t>
            </w:r>
          </w:p>
        </w:tc>
        <w:tc>
          <w:tcPr>
            <w:tcW w:w="7020" w:type="dxa"/>
            <w:tcBorders>
              <w:top w:val="nil"/>
              <w:left w:val="nil"/>
              <w:bottom w:val="nil"/>
              <w:right w:val="nil"/>
            </w:tcBorders>
            <w:shd w:val="clear" w:color="auto" w:fill="auto"/>
          </w:tcPr>
          <w:p w:rsidR="006B7F7F" w:rsidRPr="00A03085" w:rsidRDefault="006B7F7F" w:rsidP="004802C9">
            <w:pPr>
              <w:pStyle w:val="DQITableText"/>
              <w:rPr>
                <w:lang w:eastAsia="en-US"/>
              </w:rPr>
            </w:pPr>
            <w:r w:rsidRPr="00A03085">
              <w:rPr>
                <w:lang w:eastAsia="en-US"/>
              </w:rPr>
              <w:t xml:space="preserve">The purpose of the </w:t>
            </w:r>
            <w:proofErr w:type="spellStart"/>
            <w:r w:rsidRPr="00A03085">
              <w:rPr>
                <w:lang w:eastAsia="en-US"/>
              </w:rPr>
              <w:t>NMDS</w:t>
            </w:r>
            <w:proofErr w:type="spellEnd"/>
            <w:r w:rsidRPr="00A03085">
              <w:rPr>
                <w:lang w:eastAsia="en-US"/>
              </w:rPr>
              <w:t xml:space="preserve"> for Admitted patient care is to collect information about care provided to admitted patients in Australian hospitals. The scope of the </w:t>
            </w:r>
            <w:proofErr w:type="spellStart"/>
            <w:r w:rsidRPr="00A03085">
              <w:rPr>
                <w:lang w:eastAsia="en-US"/>
              </w:rPr>
              <w:t>NMDS</w:t>
            </w:r>
            <w:proofErr w:type="spellEnd"/>
            <w:r w:rsidRPr="00A03085">
              <w:rPr>
                <w:lang w:eastAsia="en-US"/>
              </w:rPr>
              <w:t xml:space="preserve"> is </w:t>
            </w:r>
            <w:r w:rsidRPr="003C7A62">
              <w:t>episodes</w:t>
            </w:r>
            <w:r w:rsidRPr="00A03085">
              <w:rPr>
                <w:lang w:eastAsia="en-US"/>
              </w:rPr>
              <w:t xml:space="preserve"> of care for admitted patients in essentially all hospitals in Australia, including public and private acute and psychiatric hospitals, free</w:t>
            </w:r>
            <w:r w:rsidR="009D2362">
              <w:rPr>
                <w:lang w:eastAsia="en-US"/>
              </w:rPr>
              <w:noBreakHyphen/>
            </w:r>
            <w:r w:rsidRPr="00A03085">
              <w:rPr>
                <w:lang w:eastAsia="en-US"/>
              </w:rPr>
              <w:t>standing day hospital facilities, alcohol and drug treatment hospitals and dental hospitals. Hospitals operated by the Australian Defence Force, corrections authorities and in Australia</w:t>
            </w:r>
            <w:r w:rsidR="009D2362">
              <w:rPr>
                <w:lang w:eastAsia="en-US"/>
              </w:rPr>
              <w:t>’</w:t>
            </w:r>
            <w:r w:rsidRPr="00A03085">
              <w:rPr>
                <w:lang w:eastAsia="en-US"/>
              </w:rPr>
              <w:t xml:space="preserve">s </w:t>
            </w:r>
            <w:proofErr w:type="spellStart"/>
            <w:r w:rsidRPr="00A03085">
              <w:rPr>
                <w:lang w:eastAsia="en-US"/>
              </w:rPr>
              <w:t>off</w:t>
            </w:r>
            <w:r w:rsidR="009D2362">
              <w:rPr>
                <w:lang w:eastAsia="en-US"/>
              </w:rPr>
              <w:noBreakHyphen/>
            </w:r>
            <w:r w:rsidRPr="00A03085">
              <w:rPr>
                <w:lang w:eastAsia="en-US"/>
              </w:rPr>
              <w:t>shore</w:t>
            </w:r>
            <w:proofErr w:type="spellEnd"/>
            <w:r w:rsidRPr="00A03085">
              <w:rPr>
                <w:lang w:eastAsia="en-US"/>
              </w:rPr>
              <w:t xml:space="preserve"> territories are not included. Hospitals specialising in ophthalmic aids and other specialised acute medical or surgical care are included.</w:t>
            </w:r>
          </w:p>
          <w:p w:rsidR="006B7F7F" w:rsidRDefault="006B7F7F" w:rsidP="004802C9">
            <w:pPr>
              <w:pStyle w:val="DQITableText"/>
              <w:rPr>
                <w:lang w:eastAsia="en-US"/>
              </w:rPr>
            </w:pPr>
            <w:r w:rsidRPr="00A03085">
              <w:rPr>
                <w:lang w:eastAsia="en-US"/>
              </w:rPr>
              <w:t xml:space="preserve">The hospital </w:t>
            </w:r>
            <w:r w:rsidRPr="003C7A62">
              <w:t>separations</w:t>
            </w:r>
            <w:r w:rsidRPr="00A03085">
              <w:rPr>
                <w:lang w:eastAsia="en-US"/>
              </w:rPr>
              <w:t xml:space="preserve"> data do not include episodes of non</w:t>
            </w:r>
            <w:r w:rsidR="009D2362">
              <w:rPr>
                <w:lang w:eastAsia="en-US"/>
              </w:rPr>
              <w:noBreakHyphen/>
            </w:r>
            <w:r w:rsidRPr="00A03085">
              <w:rPr>
                <w:lang w:eastAsia="en-US"/>
              </w:rPr>
              <w:t>admitted patient care provided in outpatient clinics or emergency departments.</w:t>
            </w:r>
          </w:p>
          <w:p w:rsidR="00DA3B9D" w:rsidRPr="00DA3B9D" w:rsidRDefault="00DA3B9D" w:rsidP="004802C9">
            <w:pPr>
              <w:pStyle w:val="DQITableText"/>
              <w:rPr>
                <w:lang w:eastAsia="en-US"/>
              </w:rPr>
            </w:pPr>
            <w:r>
              <w:rPr>
                <w:lang w:eastAsia="en-US"/>
              </w:rPr>
              <w:t>T</w:t>
            </w:r>
            <w:r w:rsidRPr="00DA3B9D">
              <w:rPr>
                <w:lang w:eastAsia="en-US"/>
              </w:rPr>
              <w:t xml:space="preserve">here are a range of </w:t>
            </w:r>
            <w:r>
              <w:rPr>
                <w:lang w:eastAsia="en-US"/>
              </w:rPr>
              <w:t xml:space="preserve">other burn related </w:t>
            </w:r>
            <w:r w:rsidRPr="00DA3B9D">
              <w:rPr>
                <w:lang w:eastAsia="en-US"/>
              </w:rPr>
              <w:t>injuries excluded</w:t>
            </w:r>
            <w:r>
              <w:rPr>
                <w:lang w:eastAsia="en-US"/>
              </w:rPr>
              <w:t xml:space="preserve"> from the fire injuries data</w:t>
            </w:r>
            <w:r w:rsidRPr="00DA3B9D">
              <w:rPr>
                <w:lang w:eastAsia="en-US"/>
              </w:rPr>
              <w:t>. Thes</w:t>
            </w:r>
            <w:r>
              <w:rPr>
                <w:lang w:eastAsia="en-US"/>
              </w:rPr>
              <w:t>e include</w:t>
            </w:r>
            <w:r w:rsidRPr="00DA3B9D">
              <w:rPr>
                <w:lang w:eastAsia="en-US"/>
              </w:rPr>
              <w:t>:</w:t>
            </w:r>
          </w:p>
          <w:p w:rsidR="00DA3B9D" w:rsidRPr="00DA3B9D" w:rsidRDefault="00DA3B9D" w:rsidP="004802C9">
            <w:pPr>
              <w:pStyle w:val="DQITableBullet"/>
              <w:rPr>
                <w:lang w:eastAsia="en-US"/>
              </w:rPr>
            </w:pPr>
            <w:r w:rsidRPr="00DA3B9D">
              <w:rPr>
                <w:lang w:eastAsia="en-US"/>
              </w:rPr>
              <w:t>Contact with heat and hot substances.</w:t>
            </w:r>
          </w:p>
          <w:p w:rsidR="00DA3B9D" w:rsidRPr="00A03085" w:rsidRDefault="00DA3B9D" w:rsidP="004802C9">
            <w:pPr>
              <w:pStyle w:val="DQITableBullet"/>
              <w:rPr>
                <w:lang w:eastAsia="en-US"/>
              </w:rPr>
            </w:pPr>
            <w:r w:rsidRPr="00DA3B9D">
              <w:rPr>
                <w:lang w:eastAsia="en-US"/>
              </w:rPr>
              <w:t>Injuries due to Explosion and rupture of boilers, Explosion and rupture of gas cylinder, Discharge of fireworks, Explosion of other materials (for example, munitions, blasting material), Exposure to electric current, Exposure to excessive heat of man</w:t>
            </w:r>
            <w:r w:rsidR="009D2362">
              <w:rPr>
                <w:lang w:eastAsia="en-US"/>
              </w:rPr>
              <w:noBreakHyphen/>
            </w:r>
            <w:r w:rsidRPr="00DA3B9D">
              <w:rPr>
                <w:lang w:eastAsia="en-US"/>
              </w:rPr>
              <w:t>made origin, Exposure to sunlight, or Exposure to lightning, Intentional self</w:t>
            </w:r>
            <w:r w:rsidR="009D2362">
              <w:rPr>
                <w:lang w:eastAsia="en-US"/>
              </w:rPr>
              <w:noBreakHyphen/>
            </w:r>
            <w:r w:rsidRPr="00DA3B9D">
              <w:rPr>
                <w:lang w:eastAsia="en-US"/>
              </w:rPr>
              <w:t>harm by steam, hot vapours and hot objects, Assault by means of explosive material, Assault by steam, hot vapours and hot objects.</w:t>
            </w:r>
          </w:p>
        </w:tc>
      </w:tr>
      <w:tr w:rsidR="006B7F7F" w:rsidRPr="00A03085" w:rsidTr="00A03085">
        <w:tc>
          <w:tcPr>
            <w:tcW w:w="1800" w:type="dxa"/>
            <w:tcBorders>
              <w:top w:val="nil"/>
              <w:left w:val="nil"/>
              <w:bottom w:val="nil"/>
              <w:right w:val="nil"/>
            </w:tcBorders>
            <w:shd w:val="clear" w:color="auto" w:fill="auto"/>
          </w:tcPr>
          <w:p w:rsidR="006B7F7F" w:rsidRPr="00A03085" w:rsidRDefault="006B7F7F" w:rsidP="004802C9">
            <w:pPr>
              <w:pStyle w:val="DQIRowHeadings"/>
            </w:pPr>
            <w:r w:rsidRPr="00A03085">
              <w:t>Timeliness</w:t>
            </w:r>
          </w:p>
        </w:tc>
        <w:tc>
          <w:tcPr>
            <w:tcW w:w="7020" w:type="dxa"/>
            <w:tcBorders>
              <w:top w:val="nil"/>
              <w:left w:val="nil"/>
              <w:bottom w:val="nil"/>
              <w:right w:val="nil"/>
            </w:tcBorders>
            <w:shd w:val="clear" w:color="auto" w:fill="auto"/>
          </w:tcPr>
          <w:p w:rsidR="008F368F" w:rsidRPr="002A2033" w:rsidRDefault="006B7F7F" w:rsidP="004802C9">
            <w:pPr>
              <w:pStyle w:val="DQITableText"/>
              <w:rPr>
                <w:shd w:val="clear" w:color="auto" w:fill="FFFF00"/>
                <w:lang w:eastAsia="en-US"/>
              </w:rPr>
            </w:pPr>
            <w:r w:rsidRPr="00677CAA">
              <w:rPr>
                <w:lang w:eastAsia="en-US"/>
              </w:rPr>
              <w:t>The reference periods for this data set are 200</w:t>
            </w:r>
            <w:r w:rsidR="002A2033" w:rsidRPr="00677CAA">
              <w:rPr>
                <w:lang w:eastAsia="en-US"/>
              </w:rPr>
              <w:t>3</w:t>
            </w:r>
            <w:r w:rsidR="009D2362" w:rsidRPr="00677CAA">
              <w:rPr>
                <w:lang w:eastAsia="en-US"/>
              </w:rPr>
              <w:noBreakHyphen/>
            </w:r>
            <w:r w:rsidRPr="00677CAA">
              <w:rPr>
                <w:lang w:eastAsia="en-US"/>
              </w:rPr>
              <w:t>0</w:t>
            </w:r>
            <w:r w:rsidR="002A2033" w:rsidRPr="00677CAA">
              <w:rPr>
                <w:lang w:eastAsia="en-US"/>
              </w:rPr>
              <w:t>4</w:t>
            </w:r>
            <w:r w:rsidRPr="00677CAA">
              <w:rPr>
                <w:lang w:eastAsia="en-US"/>
              </w:rPr>
              <w:t xml:space="preserve"> to 201</w:t>
            </w:r>
            <w:r w:rsidR="002A2033" w:rsidRPr="00677CAA">
              <w:rPr>
                <w:lang w:eastAsia="en-US"/>
              </w:rPr>
              <w:t>2</w:t>
            </w:r>
            <w:r w:rsidR="009D2362" w:rsidRPr="00677CAA">
              <w:rPr>
                <w:lang w:eastAsia="en-US"/>
              </w:rPr>
              <w:noBreakHyphen/>
            </w:r>
            <w:r w:rsidRPr="00677CAA">
              <w:rPr>
                <w:lang w:eastAsia="en-US"/>
              </w:rPr>
              <w:t>1</w:t>
            </w:r>
            <w:r w:rsidR="002A2033" w:rsidRPr="00677CAA">
              <w:rPr>
                <w:lang w:eastAsia="en-US"/>
              </w:rPr>
              <w:t>3</w:t>
            </w:r>
            <w:r w:rsidRPr="00A03085">
              <w:rPr>
                <w:lang w:eastAsia="en-US"/>
              </w:rPr>
              <w:t>.</w:t>
            </w:r>
          </w:p>
        </w:tc>
      </w:tr>
      <w:tr w:rsidR="006B7F7F" w:rsidRPr="00A03085" w:rsidTr="00A03085">
        <w:tc>
          <w:tcPr>
            <w:tcW w:w="1800" w:type="dxa"/>
            <w:tcBorders>
              <w:top w:val="nil"/>
              <w:left w:val="nil"/>
              <w:bottom w:val="nil"/>
              <w:right w:val="nil"/>
            </w:tcBorders>
            <w:shd w:val="clear" w:color="auto" w:fill="auto"/>
          </w:tcPr>
          <w:p w:rsidR="006B7F7F" w:rsidRPr="00A03085" w:rsidRDefault="006B7F7F" w:rsidP="004802C9">
            <w:pPr>
              <w:pStyle w:val="DQIRowHeadings"/>
            </w:pPr>
            <w:r w:rsidRPr="00A03085">
              <w:t>Accuracy</w:t>
            </w:r>
          </w:p>
        </w:tc>
        <w:tc>
          <w:tcPr>
            <w:tcW w:w="7020" w:type="dxa"/>
            <w:tcBorders>
              <w:top w:val="nil"/>
              <w:left w:val="nil"/>
              <w:bottom w:val="nil"/>
              <w:right w:val="nil"/>
            </w:tcBorders>
            <w:shd w:val="clear" w:color="auto" w:fill="auto"/>
          </w:tcPr>
          <w:p w:rsidR="006B7F7F" w:rsidRPr="00A03085" w:rsidRDefault="002A2033" w:rsidP="004802C9">
            <w:pPr>
              <w:pStyle w:val="DQITableText"/>
              <w:rPr>
                <w:lang w:eastAsia="en-US"/>
              </w:rPr>
            </w:pPr>
            <w:r w:rsidRPr="00677CAA">
              <w:rPr>
                <w:lang w:eastAsia="en-US"/>
              </w:rPr>
              <w:t xml:space="preserve">For most years the coverage of the </w:t>
            </w:r>
            <w:proofErr w:type="spellStart"/>
            <w:r w:rsidRPr="00677CAA">
              <w:rPr>
                <w:lang w:eastAsia="en-US"/>
              </w:rPr>
              <w:t>NHMD</w:t>
            </w:r>
            <w:proofErr w:type="spellEnd"/>
            <w:r w:rsidRPr="00677CAA">
              <w:rPr>
                <w:lang w:eastAsia="en-US"/>
              </w:rPr>
              <w:t xml:space="preserve"> is essentially complete. Data are not available for some years for a few small public hospitals in some jurisdictions. For 2012-13, all public hospitals were included except for a small mothercraft hospital in the Australian Capital Territory. Private hospital data were not provided for private free-standing day hospital facilities in the Australian Capital Territory, the Northern Territory and a private free-standing day hospital in Victoria. (Information on the coverage of the </w:t>
            </w:r>
            <w:proofErr w:type="spellStart"/>
            <w:r w:rsidRPr="00677CAA">
              <w:rPr>
                <w:lang w:eastAsia="en-US"/>
              </w:rPr>
              <w:t>NHMD</w:t>
            </w:r>
            <w:proofErr w:type="spellEnd"/>
            <w:r w:rsidRPr="00677CAA">
              <w:rPr>
                <w:lang w:eastAsia="en-US"/>
              </w:rPr>
              <w:t xml:space="preserve"> in other years is available online at </w:t>
            </w:r>
            <w:r w:rsidRPr="004A1422">
              <w:rPr>
                <w:lang w:eastAsia="en-US"/>
              </w:rPr>
              <w:t>www.aihw.gov.au/hospitals-data/national-hospital-morbidity-database/</w:t>
            </w:r>
            <w:r w:rsidRPr="00677CAA">
              <w:rPr>
                <w:lang w:eastAsia="en-US"/>
              </w:rPr>
              <w:t xml:space="preserve"> for details).</w:t>
            </w:r>
          </w:p>
          <w:p w:rsidR="006B7F7F" w:rsidRPr="00A03085" w:rsidRDefault="006B7F7F" w:rsidP="004802C9">
            <w:pPr>
              <w:pStyle w:val="DQITableText"/>
              <w:rPr>
                <w:lang w:eastAsia="en-US"/>
              </w:rPr>
            </w:pPr>
            <w:r w:rsidRPr="00A03085">
              <w:rPr>
                <w:lang w:eastAsia="en-US"/>
              </w:rPr>
              <w:t xml:space="preserve">Variations in admission </w:t>
            </w:r>
            <w:r w:rsidRPr="003C7A62">
              <w:t>practices</w:t>
            </w:r>
            <w:r w:rsidRPr="00A03085">
              <w:rPr>
                <w:lang w:eastAsia="en-US"/>
              </w:rPr>
              <w:t xml:space="preserve"> and policies lead to variation among providers in the number of admissions for some conditions.</w:t>
            </w:r>
          </w:p>
          <w:p w:rsidR="006B7F7F" w:rsidRPr="00A03085" w:rsidRDefault="006B7F7F" w:rsidP="004802C9">
            <w:pPr>
              <w:pStyle w:val="DQITableText"/>
              <w:rPr>
                <w:lang w:eastAsia="en-US"/>
              </w:rPr>
            </w:pPr>
            <w:r w:rsidRPr="00A03085">
              <w:rPr>
                <w:lang w:eastAsia="en-US"/>
              </w:rPr>
              <w:t xml:space="preserve">Cells have been suppressed to protect confidentiality (where the presentation could identify a </w:t>
            </w:r>
            <w:r w:rsidRPr="003C7A62">
              <w:t>patient</w:t>
            </w:r>
            <w:r w:rsidRPr="00A03085">
              <w:rPr>
                <w:lang w:eastAsia="en-US"/>
              </w:rPr>
              <w:t xml:space="preserve"> or a single service provider) or where rates are likely to be highly volatile (for example, the denominator is very small).</w:t>
            </w:r>
          </w:p>
        </w:tc>
      </w:tr>
      <w:tr w:rsidR="006B7F7F" w:rsidRPr="00A03085" w:rsidTr="00A03085">
        <w:tc>
          <w:tcPr>
            <w:tcW w:w="1800" w:type="dxa"/>
            <w:tcBorders>
              <w:top w:val="nil"/>
              <w:left w:val="nil"/>
              <w:bottom w:val="nil"/>
              <w:right w:val="nil"/>
            </w:tcBorders>
            <w:shd w:val="clear" w:color="auto" w:fill="auto"/>
          </w:tcPr>
          <w:p w:rsidR="006B7F7F" w:rsidRPr="00A03085" w:rsidRDefault="006B7F7F" w:rsidP="004802C9">
            <w:pPr>
              <w:pStyle w:val="DQIRowHeadings"/>
            </w:pPr>
            <w:r w:rsidRPr="00A03085">
              <w:t>Coherence</w:t>
            </w:r>
          </w:p>
        </w:tc>
        <w:tc>
          <w:tcPr>
            <w:tcW w:w="7020" w:type="dxa"/>
            <w:tcBorders>
              <w:top w:val="nil"/>
              <w:left w:val="nil"/>
              <w:bottom w:val="nil"/>
              <w:right w:val="nil"/>
            </w:tcBorders>
            <w:shd w:val="clear" w:color="auto" w:fill="auto"/>
          </w:tcPr>
          <w:p w:rsidR="006B7F7F" w:rsidRPr="00A03085" w:rsidRDefault="006B7F7F" w:rsidP="004802C9">
            <w:pPr>
              <w:pStyle w:val="DQITableText"/>
              <w:rPr>
                <w:lang w:eastAsia="en-US"/>
              </w:rPr>
            </w:pPr>
            <w:r w:rsidRPr="00A03085">
              <w:t>For 2010</w:t>
            </w:r>
            <w:r w:rsidR="009D2362">
              <w:noBreakHyphen/>
            </w:r>
            <w:r w:rsidRPr="00A03085">
              <w:t xml:space="preserve">11, NT data are </w:t>
            </w:r>
            <w:r w:rsidRPr="003C7A62">
              <w:t>not</w:t>
            </w:r>
            <w:r w:rsidRPr="00A03085">
              <w:t xml:space="preserve"> available and are excluded from the Australian total. With this exception, data for this indicator are comparable over time.</w:t>
            </w:r>
          </w:p>
        </w:tc>
      </w:tr>
      <w:tr w:rsidR="006B7F7F" w:rsidRPr="00A03085" w:rsidTr="00A03085">
        <w:tc>
          <w:tcPr>
            <w:tcW w:w="1800" w:type="dxa"/>
            <w:tcBorders>
              <w:top w:val="nil"/>
              <w:left w:val="nil"/>
              <w:bottom w:val="nil"/>
              <w:right w:val="nil"/>
            </w:tcBorders>
            <w:shd w:val="clear" w:color="auto" w:fill="auto"/>
          </w:tcPr>
          <w:p w:rsidR="006B7F7F" w:rsidRPr="00A03085" w:rsidRDefault="006B7F7F" w:rsidP="004802C9">
            <w:pPr>
              <w:pStyle w:val="DQIRowHeadings"/>
            </w:pPr>
            <w:r w:rsidRPr="00A03085">
              <w:t>Accessibility</w:t>
            </w:r>
          </w:p>
        </w:tc>
        <w:tc>
          <w:tcPr>
            <w:tcW w:w="7020" w:type="dxa"/>
            <w:tcBorders>
              <w:top w:val="nil"/>
              <w:left w:val="nil"/>
              <w:bottom w:val="nil"/>
              <w:right w:val="nil"/>
            </w:tcBorders>
            <w:shd w:val="clear" w:color="auto" w:fill="auto"/>
          </w:tcPr>
          <w:p w:rsidR="006B7F7F" w:rsidRPr="00A03085" w:rsidRDefault="006B7F7F" w:rsidP="004802C9">
            <w:pPr>
              <w:pStyle w:val="DQITableText"/>
            </w:pPr>
            <w:r w:rsidRPr="00A03085">
              <w:t xml:space="preserve">The </w:t>
            </w:r>
            <w:proofErr w:type="spellStart"/>
            <w:r w:rsidRPr="00A03085">
              <w:t>AIHW</w:t>
            </w:r>
            <w:proofErr w:type="spellEnd"/>
            <w:r w:rsidRPr="00A03085">
              <w:t xml:space="preserve"> provides a variety of products that draw upon the </w:t>
            </w:r>
            <w:proofErr w:type="spellStart"/>
            <w:r w:rsidRPr="00A03085">
              <w:t>NHMD</w:t>
            </w:r>
            <w:proofErr w:type="spellEnd"/>
            <w:r w:rsidRPr="00A03085">
              <w:t xml:space="preserve">. Published products available on the </w:t>
            </w:r>
            <w:proofErr w:type="spellStart"/>
            <w:r w:rsidRPr="00A03085">
              <w:t>AIHW</w:t>
            </w:r>
            <w:proofErr w:type="spellEnd"/>
            <w:r w:rsidRPr="00A03085">
              <w:t xml:space="preserve"> website are: </w:t>
            </w:r>
          </w:p>
          <w:p w:rsidR="006B7F7F" w:rsidRPr="00A03085" w:rsidRDefault="006B7F7F" w:rsidP="004802C9">
            <w:pPr>
              <w:pStyle w:val="DQITableBullet"/>
            </w:pPr>
            <w:r w:rsidRPr="00B17DB9">
              <w:rPr>
                <w:i/>
              </w:rPr>
              <w:t>Australian hospital statistics</w:t>
            </w:r>
            <w:r w:rsidRPr="00A03085">
              <w:t xml:space="preserve"> with associated Excel tables. </w:t>
            </w:r>
          </w:p>
          <w:p w:rsidR="006B7F7F" w:rsidRPr="00A03085" w:rsidRDefault="006B7F7F" w:rsidP="004802C9">
            <w:pPr>
              <w:pStyle w:val="DQITableBullet"/>
            </w:pPr>
            <w:r w:rsidRPr="00A03085">
              <w:t>Interactive data cube for Admitted patient care (for Principal diagnoses, Procedures and Diagnosis Related Groups).</w:t>
            </w:r>
          </w:p>
          <w:p w:rsidR="006B7F7F" w:rsidRPr="00A03085" w:rsidRDefault="006B7F7F" w:rsidP="004802C9">
            <w:pPr>
              <w:pStyle w:val="DQITableText"/>
              <w:rPr>
                <w:color w:val="000000"/>
              </w:rPr>
            </w:pPr>
            <w:r w:rsidRPr="00A03085">
              <w:rPr>
                <w:lang w:eastAsia="en-US"/>
              </w:rPr>
              <w:t xml:space="preserve">Some data are also included on the </w:t>
            </w:r>
            <w:proofErr w:type="spellStart"/>
            <w:r w:rsidRPr="00A03085">
              <w:rPr>
                <w:lang w:eastAsia="en-US"/>
              </w:rPr>
              <w:t>MyHospitals</w:t>
            </w:r>
            <w:proofErr w:type="spellEnd"/>
            <w:r w:rsidRPr="00A03085">
              <w:rPr>
                <w:lang w:eastAsia="en-US"/>
              </w:rPr>
              <w:t xml:space="preserve"> website.</w:t>
            </w:r>
          </w:p>
        </w:tc>
      </w:tr>
      <w:tr w:rsidR="006B7F7F" w:rsidRPr="00A03085" w:rsidTr="00A03085">
        <w:tc>
          <w:tcPr>
            <w:tcW w:w="1800" w:type="dxa"/>
            <w:tcBorders>
              <w:top w:val="nil"/>
              <w:left w:val="nil"/>
              <w:bottom w:val="nil"/>
              <w:right w:val="nil"/>
            </w:tcBorders>
            <w:shd w:val="clear" w:color="auto" w:fill="auto"/>
          </w:tcPr>
          <w:p w:rsidR="006B7F7F" w:rsidRPr="00A03085" w:rsidRDefault="006B7F7F" w:rsidP="004802C9">
            <w:pPr>
              <w:pStyle w:val="DQIRowHeadings"/>
            </w:pPr>
            <w:r w:rsidRPr="00A03085">
              <w:t>Interpretability</w:t>
            </w:r>
          </w:p>
        </w:tc>
        <w:tc>
          <w:tcPr>
            <w:tcW w:w="7020" w:type="dxa"/>
            <w:tcBorders>
              <w:top w:val="nil"/>
              <w:left w:val="nil"/>
              <w:bottom w:val="nil"/>
              <w:right w:val="nil"/>
            </w:tcBorders>
            <w:shd w:val="clear" w:color="auto" w:fill="auto"/>
          </w:tcPr>
          <w:p w:rsidR="006B7F7F" w:rsidRDefault="006B7F7F" w:rsidP="004802C9">
            <w:pPr>
              <w:pStyle w:val="DQITableText"/>
            </w:pPr>
            <w:r w:rsidRPr="00A03085">
              <w:t xml:space="preserve">Supporting information on the quality and use of the </w:t>
            </w:r>
            <w:proofErr w:type="spellStart"/>
            <w:r w:rsidRPr="00A03085">
              <w:t>NHMD</w:t>
            </w:r>
            <w:proofErr w:type="spellEnd"/>
            <w:r w:rsidRPr="00A03085">
              <w:t xml:space="preserve"> are published annually in </w:t>
            </w:r>
            <w:r w:rsidRPr="00B17DB9">
              <w:rPr>
                <w:i/>
              </w:rPr>
              <w:t>Australian hospital statistics</w:t>
            </w:r>
            <w:r w:rsidRPr="00A03085">
              <w:t xml:space="preserve"> (technical appendixes), available in hard copy or on the </w:t>
            </w:r>
            <w:proofErr w:type="spellStart"/>
            <w:r w:rsidRPr="00A03085">
              <w:t>AIHW</w:t>
            </w:r>
            <w:proofErr w:type="spellEnd"/>
            <w:r w:rsidRPr="00A03085">
              <w:t xml:space="preserve"> website. Readers are advised to read caveat information to ensure appropriate interpretation of the performance indicator. Supporting information includes discussion of coverage, completeness of coding, the quality of Indigenous data, and changes in service delivery that might affect interpretation of the published data. Metadata information for the </w:t>
            </w:r>
            <w:proofErr w:type="spellStart"/>
            <w:r w:rsidRPr="00A03085">
              <w:t>NMDS</w:t>
            </w:r>
            <w:proofErr w:type="spellEnd"/>
            <w:r w:rsidRPr="00A03085">
              <w:t xml:space="preserve"> for Admitted patient care are published in the </w:t>
            </w:r>
            <w:proofErr w:type="spellStart"/>
            <w:r w:rsidRPr="00A03085">
              <w:t>AIHW’s</w:t>
            </w:r>
            <w:proofErr w:type="spellEnd"/>
            <w:r w:rsidRPr="00A03085">
              <w:t xml:space="preserve"> online metadata repository — </w:t>
            </w:r>
            <w:proofErr w:type="spellStart"/>
            <w:r w:rsidRPr="00A03085">
              <w:t>METeOR</w:t>
            </w:r>
            <w:proofErr w:type="spellEnd"/>
            <w:r w:rsidRPr="00A03085">
              <w:t>, and the National health data dictionary.</w:t>
            </w:r>
          </w:p>
          <w:p w:rsidR="00E00641" w:rsidRPr="00A03085" w:rsidRDefault="00E00641" w:rsidP="004802C9">
            <w:pPr>
              <w:pStyle w:val="DQITableText"/>
              <w:rPr>
                <w:lang w:eastAsia="en-US"/>
              </w:rPr>
            </w:pPr>
          </w:p>
        </w:tc>
      </w:tr>
      <w:tr w:rsidR="006B7F7F" w:rsidRPr="00A03085" w:rsidTr="00E36D6E">
        <w:tc>
          <w:tcPr>
            <w:tcW w:w="8820" w:type="dxa"/>
            <w:gridSpan w:val="2"/>
            <w:tcBorders>
              <w:top w:val="nil"/>
              <w:left w:val="nil"/>
              <w:right w:val="nil"/>
            </w:tcBorders>
            <w:shd w:val="clear" w:color="auto" w:fill="auto"/>
          </w:tcPr>
          <w:p w:rsidR="006B7F7F" w:rsidRPr="00A03085" w:rsidRDefault="006B7F7F" w:rsidP="006126DB">
            <w:pPr>
              <w:pStyle w:val="DQIMainRowHeadings"/>
            </w:pPr>
            <w:r w:rsidRPr="00A03085">
              <w:lastRenderedPageBreak/>
              <w:t>Data Gaps/Issues Analysis</w:t>
            </w:r>
          </w:p>
        </w:tc>
      </w:tr>
      <w:tr w:rsidR="006B7F7F" w:rsidRPr="00A03085" w:rsidTr="00E36D6E">
        <w:tc>
          <w:tcPr>
            <w:tcW w:w="1800" w:type="dxa"/>
            <w:tcBorders>
              <w:top w:val="nil"/>
              <w:left w:val="nil"/>
              <w:right w:val="nil"/>
            </w:tcBorders>
            <w:shd w:val="clear" w:color="auto" w:fill="auto"/>
          </w:tcPr>
          <w:p w:rsidR="006B7F7F" w:rsidRPr="00A03085" w:rsidRDefault="006B7F7F" w:rsidP="006126DB">
            <w:pPr>
              <w:pStyle w:val="DQIRowHeadings"/>
              <w:rPr>
                <w:rFonts w:cs="Arial"/>
              </w:rPr>
            </w:pPr>
            <w:r w:rsidRPr="006B7F7F">
              <w:t>Key data gaps /issues</w:t>
            </w:r>
          </w:p>
        </w:tc>
        <w:tc>
          <w:tcPr>
            <w:tcW w:w="7020" w:type="dxa"/>
            <w:tcBorders>
              <w:top w:val="nil"/>
              <w:left w:val="nil"/>
              <w:right w:val="nil"/>
            </w:tcBorders>
            <w:shd w:val="clear" w:color="auto" w:fill="auto"/>
          </w:tcPr>
          <w:p w:rsidR="006B7F7F" w:rsidRPr="00A03085" w:rsidRDefault="006B7F7F" w:rsidP="006126DB">
            <w:pPr>
              <w:pStyle w:val="DQITableText"/>
            </w:pPr>
            <w:r w:rsidRPr="00A03085">
              <w:t>The Steering Committee notes the following issues:</w:t>
            </w:r>
          </w:p>
          <w:p w:rsidR="006B7F7F" w:rsidRPr="00A03085" w:rsidRDefault="006B7F7F" w:rsidP="004802C9">
            <w:pPr>
              <w:pStyle w:val="DQITableBullet"/>
              <w:rPr>
                <w:rFonts w:cs="Arial"/>
              </w:rPr>
            </w:pPr>
            <w:r w:rsidRPr="006B7F7F">
              <w:t>The hospital separations data do not include episodes of non</w:t>
            </w:r>
            <w:r w:rsidR="009D2362">
              <w:noBreakHyphen/>
            </w:r>
            <w:r w:rsidRPr="006B7F7F">
              <w:t>admitted patient</w:t>
            </w:r>
            <w:r w:rsidRPr="00A03085">
              <w:rPr>
                <w:rFonts w:cs="Arial"/>
              </w:rPr>
              <w:t xml:space="preserve"> care provided in outpatient clinics or emergency departments.</w:t>
            </w:r>
          </w:p>
        </w:tc>
      </w:tr>
    </w:tbl>
    <w:p w:rsidR="004A38B5" w:rsidRDefault="004A38B5" w:rsidP="003C7A62">
      <w:pPr>
        <w:pStyle w:val="FootnoteText"/>
      </w:pPr>
      <w:r>
        <w:br w:type="page"/>
      </w:r>
    </w:p>
    <w:p w:rsidR="004A38B5" w:rsidRDefault="004A38B5" w:rsidP="004A38B5">
      <w:pPr>
        <w:pStyle w:val="Heading3"/>
      </w:pPr>
      <w:bookmarkStart w:id="65" w:name="_Toc398732478"/>
      <w:bookmarkStart w:id="66" w:name="_Toc405885745"/>
      <w:r w:rsidRPr="00706570">
        <w:lastRenderedPageBreak/>
        <w:t>Confinement to room/object of origin</w:t>
      </w:r>
      <w:bookmarkEnd w:id="65"/>
      <w:bookmarkEnd w:id="66"/>
      <w:r w:rsidRPr="00706570">
        <w:t xml:space="preserve"> </w:t>
      </w:r>
    </w:p>
    <w:p w:rsidR="004A38B5" w:rsidRDefault="004A38B5" w:rsidP="004A38B5">
      <w:pPr>
        <w:pStyle w:val="Box"/>
      </w:pPr>
      <w:r w:rsidRPr="0001794F">
        <w:t xml:space="preserve">Data quality information for this indicator has been drafted by the </w:t>
      </w:r>
      <w:r>
        <w:t>Emergency Management Working Group</w:t>
      </w:r>
      <w:r w:rsidRPr="0001794F">
        <w:t xml:space="preserve"> in consultation with </w:t>
      </w:r>
      <w:r w:rsidRPr="007E3FDC">
        <w:t>the Australasian Fire and Emergency Service Authorities Council (</w:t>
      </w:r>
      <w:proofErr w:type="spellStart"/>
      <w:r w:rsidRPr="007E3FDC">
        <w:t>AFAC</w:t>
      </w:r>
      <w:proofErr w:type="spellEnd"/>
      <w:r w:rsidRPr="007E3FDC">
        <w:t>)</w:t>
      </w:r>
      <w:r w:rsidRPr="0001794F">
        <w:t>, with additional Steering Committee comments.</w:t>
      </w:r>
    </w:p>
    <w:tbl>
      <w:tblPr>
        <w:tblW w:w="5000" w:type="pct"/>
        <w:jc w:val="center"/>
        <w:tblLayout w:type="fixed"/>
        <w:tblCellMar>
          <w:top w:w="28" w:type="dxa"/>
          <w:left w:w="28" w:type="dxa"/>
          <w:bottom w:w="28" w:type="dxa"/>
          <w:right w:w="28" w:type="dxa"/>
        </w:tblCellMar>
        <w:tblLook w:val="01E0" w:firstRow="1" w:lastRow="1" w:firstColumn="1" w:lastColumn="1" w:noHBand="0" w:noVBand="0"/>
      </w:tblPr>
      <w:tblGrid>
        <w:gridCol w:w="1404"/>
        <w:gridCol w:w="98"/>
        <w:gridCol w:w="7088"/>
      </w:tblGrid>
      <w:tr w:rsidR="004A38B5" w:rsidRPr="001F3F80" w:rsidTr="00EA60AD">
        <w:trPr>
          <w:jc w:val="center"/>
        </w:trPr>
        <w:tc>
          <w:tcPr>
            <w:tcW w:w="5000" w:type="pct"/>
            <w:gridSpan w:val="3"/>
          </w:tcPr>
          <w:p w:rsidR="004A38B5" w:rsidRPr="003211C6" w:rsidRDefault="004A38B5" w:rsidP="00EA60AD">
            <w:pPr>
              <w:pStyle w:val="DQIMainRowHeadings"/>
              <w:rPr>
                <w:rFonts w:cs="Arial"/>
                <w:sz w:val="22"/>
                <w:szCs w:val="22"/>
              </w:rPr>
            </w:pPr>
            <w:r w:rsidRPr="003211C6">
              <w:t>Indicator definition and description</w:t>
            </w:r>
          </w:p>
        </w:tc>
      </w:tr>
      <w:tr w:rsidR="004A38B5" w:rsidRPr="001F3F80" w:rsidTr="00EA60AD">
        <w:trPr>
          <w:jc w:val="center"/>
        </w:trPr>
        <w:tc>
          <w:tcPr>
            <w:tcW w:w="874" w:type="pct"/>
            <w:gridSpan w:val="2"/>
          </w:tcPr>
          <w:p w:rsidR="004A38B5" w:rsidRPr="00A05229" w:rsidRDefault="004A38B5" w:rsidP="00EA60AD">
            <w:pPr>
              <w:pStyle w:val="DQIRowHeadings"/>
            </w:pPr>
            <w:r w:rsidRPr="00A05229">
              <w:t>Element</w:t>
            </w:r>
          </w:p>
        </w:tc>
        <w:tc>
          <w:tcPr>
            <w:tcW w:w="4126" w:type="pct"/>
          </w:tcPr>
          <w:p w:rsidR="004A38B5" w:rsidRPr="00BD6B0B" w:rsidRDefault="004A38B5" w:rsidP="00EA60AD">
            <w:pPr>
              <w:pStyle w:val="DQITableText"/>
            </w:pPr>
            <w:r>
              <w:t>Outcomes</w:t>
            </w:r>
          </w:p>
        </w:tc>
      </w:tr>
      <w:tr w:rsidR="004A38B5" w:rsidRPr="001F3F80" w:rsidTr="00030E96">
        <w:trPr>
          <w:jc w:val="center"/>
        </w:trPr>
        <w:tc>
          <w:tcPr>
            <w:tcW w:w="874" w:type="pct"/>
            <w:gridSpan w:val="2"/>
          </w:tcPr>
          <w:p w:rsidR="004A38B5" w:rsidRPr="00A05229" w:rsidRDefault="004A38B5" w:rsidP="00EA60AD">
            <w:pPr>
              <w:pStyle w:val="DQIRowHeadings"/>
            </w:pPr>
            <w:r w:rsidRPr="00A05229">
              <w:t>Indicator</w:t>
            </w:r>
          </w:p>
        </w:tc>
        <w:tc>
          <w:tcPr>
            <w:tcW w:w="4126" w:type="pct"/>
          </w:tcPr>
          <w:p w:rsidR="004A38B5" w:rsidRPr="00BD6B0B" w:rsidRDefault="004A38B5" w:rsidP="00EA60AD">
            <w:pPr>
              <w:pStyle w:val="DQITableText"/>
            </w:pPr>
            <w:r>
              <w:t>Confinement to room/object of origin</w:t>
            </w:r>
          </w:p>
        </w:tc>
      </w:tr>
      <w:tr w:rsidR="004A38B5" w:rsidRPr="001F3F80" w:rsidTr="00030E96">
        <w:trPr>
          <w:jc w:val="center"/>
        </w:trPr>
        <w:tc>
          <w:tcPr>
            <w:tcW w:w="874" w:type="pct"/>
            <w:gridSpan w:val="2"/>
          </w:tcPr>
          <w:p w:rsidR="004A38B5" w:rsidRPr="00A05229" w:rsidRDefault="004A38B5" w:rsidP="00EA60AD">
            <w:pPr>
              <w:pStyle w:val="DQIRowHeadings"/>
            </w:pPr>
            <w:r w:rsidRPr="00A05229">
              <w:t>Measure (computation)</w:t>
            </w:r>
          </w:p>
        </w:tc>
        <w:tc>
          <w:tcPr>
            <w:tcW w:w="4126" w:type="pct"/>
          </w:tcPr>
          <w:p w:rsidR="004A38B5" w:rsidRDefault="004A38B5" w:rsidP="00EA60AD">
            <w:pPr>
              <w:pStyle w:val="DQITableText"/>
            </w:pPr>
            <w:r>
              <w:t xml:space="preserve">There are two measures of Confinement to room/object of origin: </w:t>
            </w:r>
          </w:p>
          <w:p w:rsidR="004A38B5" w:rsidRDefault="004A38B5" w:rsidP="00EA60AD">
            <w:pPr>
              <w:pStyle w:val="DQITableBullet"/>
            </w:pPr>
            <w:r w:rsidRPr="00706570">
              <w:t>confinement of building fires to room of origin</w:t>
            </w:r>
            <w:r>
              <w:t xml:space="preserve"> </w:t>
            </w:r>
          </w:p>
          <w:p w:rsidR="004A38B5" w:rsidRDefault="004A38B5" w:rsidP="00EA60AD">
            <w:pPr>
              <w:pStyle w:val="DQITableBullet"/>
            </w:pPr>
            <w:r w:rsidRPr="00706570">
              <w:t>confinement of building and other structure fires to room/object of origin</w:t>
            </w:r>
            <w:r>
              <w:t>.</w:t>
            </w:r>
          </w:p>
          <w:p w:rsidR="004A38B5" w:rsidRPr="00EA60AD" w:rsidRDefault="004A38B5" w:rsidP="00EA60AD">
            <w:pPr>
              <w:pStyle w:val="DQITableText"/>
              <w:rPr>
                <w:u w:val="single"/>
              </w:rPr>
            </w:pPr>
            <w:r w:rsidRPr="00EA60AD">
              <w:rPr>
                <w:u w:val="single"/>
              </w:rPr>
              <w:t xml:space="preserve">(1) Confinement of building fires to room of origin </w:t>
            </w:r>
          </w:p>
          <w:p w:rsidR="004A38B5" w:rsidRDefault="004A38B5" w:rsidP="00E94E06">
            <w:pPr>
              <w:pStyle w:val="DQITableText"/>
              <w:spacing w:after="120"/>
            </w:pPr>
            <w:r w:rsidRPr="00153801">
              <w:t>Confinement of building fires to room of origin is a measure of the proportion of building fires confined to the room in which the fire originated</w:t>
            </w:r>
            <w:r>
              <w:t>, calculated as:</w:t>
            </w:r>
          </w:p>
          <w:tbl>
            <w:tblPr>
              <w:tblStyle w:val="TableGrid"/>
              <w:tblW w:w="4677" w:type="pct"/>
              <w:tblInd w:w="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28" w:type="dxa"/>
                <w:bottom w:w="28" w:type="dxa"/>
                <w:right w:w="28" w:type="dxa"/>
              </w:tblCellMar>
              <w:tblLook w:val="01E0" w:firstRow="1" w:lastRow="1" w:firstColumn="1" w:lastColumn="1" w:noHBand="0" w:noVBand="0"/>
              <w:tblDescription w:val="More details can be found within the text surrounding this image."/>
            </w:tblPr>
            <w:tblGrid>
              <w:gridCol w:w="1456"/>
              <w:gridCol w:w="5122"/>
            </w:tblGrid>
            <w:tr w:rsidR="004A38B5" w:rsidTr="00030E96">
              <w:tc>
                <w:tcPr>
                  <w:tcW w:w="1107" w:type="pct"/>
                  <w:vAlign w:val="center"/>
                </w:tcPr>
                <w:p w:rsidR="004A38B5" w:rsidRPr="0098142B" w:rsidRDefault="004A38B5" w:rsidP="00030E96">
                  <w:pPr>
                    <w:pStyle w:val="TableBodyText"/>
                    <w:jc w:val="left"/>
                    <w:rPr>
                      <w:b/>
                    </w:rPr>
                  </w:pPr>
                  <w:r w:rsidRPr="0098142B">
                    <w:rPr>
                      <w:b/>
                    </w:rPr>
                    <w:t>Numerator:</w:t>
                  </w:r>
                </w:p>
              </w:tc>
              <w:tc>
                <w:tcPr>
                  <w:tcW w:w="3893" w:type="pct"/>
                  <w:vAlign w:val="bottom"/>
                </w:tcPr>
                <w:p w:rsidR="004A38B5" w:rsidRPr="0098142B" w:rsidRDefault="004A38B5" w:rsidP="00030E96">
                  <w:pPr>
                    <w:pStyle w:val="TableBodyText"/>
                    <w:jc w:val="center"/>
                    <w:rPr>
                      <w:b/>
                    </w:rPr>
                  </w:pPr>
                  <w:r w:rsidRPr="0098142B">
                    <w:rPr>
                      <w:b/>
                    </w:rPr>
                    <w:t>the number of building fires* confined to the object, part room and room of origin</w:t>
                  </w:r>
                </w:p>
              </w:tc>
            </w:tr>
            <w:tr w:rsidR="004A38B5" w:rsidTr="00030E96">
              <w:trPr>
                <w:trHeight w:hRule="exact" w:val="170"/>
              </w:trPr>
              <w:tc>
                <w:tcPr>
                  <w:tcW w:w="1107" w:type="pct"/>
                  <w:vAlign w:val="center"/>
                </w:tcPr>
                <w:p w:rsidR="004A38B5" w:rsidRPr="0098142B" w:rsidRDefault="004A38B5" w:rsidP="00030E96">
                  <w:pPr>
                    <w:pStyle w:val="TableBodyText"/>
                    <w:jc w:val="center"/>
                    <w:rPr>
                      <w:b/>
                    </w:rPr>
                  </w:pPr>
                </w:p>
              </w:tc>
              <w:tc>
                <w:tcPr>
                  <w:tcW w:w="3893" w:type="pct"/>
                </w:tcPr>
                <w:p w:rsidR="004A38B5" w:rsidRPr="0098142B" w:rsidRDefault="004A38B5" w:rsidP="00030E96">
                  <w:pPr>
                    <w:pStyle w:val="TableBodyText"/>
                    <w:jc w:val="center"/>
                    <w:rPr>
                      <w:b/>
                    </w:rPr>
                  </w:pPr>
                  <w:r w:rsidRPr="0098142B">
                    <w:rPr>
                      <w:b/>
                    </w:rPr>
                    <w:t>——————————————————————————</w:t>
                  </w:r>
                </w:p>
              </w:tc>
            </w:tr>
            <w:tr w:rsidR="004A38B5" w:rsidTr="00030E96">
              <w:tc>
                <w:tcPr>
                  <w:tcW w:w="1107" w:type="pct"/>
                  <w:vAlign w:val="center"/>
                </w:tcPr>
                <w:p w:rsidR="004A38B5" w:rsidRPr="0098142B" w:rsidRDefault="004A38B5" w:rsidP="00030E96">
                  <w:pPr>
                    <w:pStyle w:val="TableBodyText"/>
                    <w:ind w:right="-24"/>
                    <w:jc w:val="left"/>
                    <w:rPr>
                      <w:b/>
                    </w:rPr>
                  </w:pPr>
                  <w:r w:rsidRPr="0098142B">
                    <w:rPr>
                      <w:b/>
                    </w:rPr>
                    <w:t>Denominator:</w:t>
                  </w:r>
                </w:p>
              </w:tc>
              <w:tc>
                <w:tcPr>
                  <w:tcW w:w="3893" w:type="pct"/>
                </w:tcPr>
                <w:p w:rsidR="004A38B5" w:rsidRPr="0098142B" w:rsidRDefault="004A38B5" w:rsidP="00E94E06">
                  <w:pPr>
                    <w:pStyle w:val="TableBodyText"/>
                    <w:spacing w:before="40"/>
                    <w:jc w:val="center"/>
                    <w:rPr>
                      <w:b/>
                    </w:rPr>
                  </w:pPr>
                  <w:r w:rsidRPr="0098142B">
                    <w:rPr>
                      <w:b/>
                    </w:rPr>
                    <w:t>the number of building fires attributed to confinement</w:t>
                  </w:r>
                </w:p>
              </w:tc>
            </w:tr>
          </w:tbl>
          <w:p w:rsidR="004A38B5" w:rsidRPr="00153801" w:rsidRDefault="00EA60AD" w:rsidP="00EA60AD">
            <w:pPr>
              <w:pStyle w:val="DQITableBullet2"/>
              <w:numPr>
                <w:ilvl w:val="0"/>
                <w:numId w:val="0"/>
              </w:numPr>
              <w:ind w:left="510"/>
            </w:pPr>
            <w:r>
              <w:t>*</w:t>
            </w:r>
            <w:r w:rsidR="004A38B5" w:rsidRPr="00153801">
              <w:t xml:space="preserve">A </w:t>
            </w:r>
            <w:r w:rsidR="004A38B5" w:rsidRPr="007E1849">
              <w:t>building</w:t>
            </w:r>
            <w:r w:rsidR="004A38B5" w:rsidRPr="00153801">
              <w:t xml:space="preserve"> fire is a fire that has caused some damage to a building structure (such as a house).</w:t>
            </w:r>
          </w:p>
          <w:p w:rsidR="004A38B5" w:rsidRPr="00E07FDB" w:rsidRDefault="004A38B5" w:rsidP="00E94E06">
            <w:pPr>
              <w:pStyle w:val="DQITableText"/>
              <w:spacing w:after="120"/>
            </w:pPr>
            <w:r>
              <w:t xml:space="preserve">According to the </w:t>
            </w:r>
            <w:r w:rsidRPr="00153801">
              <w:t>Austra</w:t>
            </w:r>
            <w:r>
              <w:t>lian Incident Reporting System</w:t>
            </w:r>
            <w:r w:rsidRPr="00153801">
              <w:t xml:space="preserve"> </w:t>
            </w:r>
            <w:r>
              <w:t>(AIRS) classification this is:</w:t>
            </w:r>
          </w:p>
          <w:tbl>
            <w:tblPr>
              <w:tblStyle w:val="TableGrid"/>
              <w:tblW w:w="5954" w:type="dxa"/>
              <w:tblInd w:w="4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Description w:val="More details can be found within the text surrounding this image."/>
            </w:tblPr>
            <w:tblGrid>
              <w:gridCol w:w="5104"/>
              <w:gridCol w:w="850"/>
            </w:tblGrid>
            <w:tr w:rsidR="004A38B5" w:rsidTr="00030E96">
              <w:tc>
                <w:tcPr>
                  <w:tcW w:w="4286" w:type="pct"/>
                  <w:tcBorders>
                    <w:bottom w:val="single" w:sz="4" w:space="0" w:color="auto"/>
                  </w:tcBorders>
                </w:tcPr>
                <w:p w:rsidR="004A38B5" w:rsidRPr="00153801" w:rsidRDefault="004A38B5" w:rsidP="00B65787">
                  <w:pPr>
                    <w:pStyle w:val="TableBodyText"/>
                    <w:jc w:val="center"/>
                  </w:pPr>
                  <w:proofErr w:type="spellStart"/>
                  <w:r w:rsidRPr="00153801">
                    <w:t>A23</w:t>
                  </w:r>
                  <w:proofErr w:type="spellEnd"/>
                  <w:r w:rsidRPr="00153801">
                    <w:t xml:space="preserve"> Type of Incident 110 – 119 </w:t>
                  </w:r>
                  <w:r w:rsidRPr="00153801">
                    <w:br/>
                    <w:t xml:space="preserve">where </w:t>
                  </w:r>
                  <w:proofErr w:type="spellStart"/>
                  <w:r w:rsidRPr="00153801">
                    <w:t>K20</w:t>
                  </w:r>
                  <w:proofErr w:type="spellEnd"/>
                  <w:r w:rsidRPr="00153801">
                    <w:t xml:space="preserve"> Extent of Flame Damage is (1,2,3)</w:t>
                  </w:r>
                </w:p>
              </w:tc>
              <w:tc>
                <w:tcPr>
                  <w:tcW w:w="714" w:type="pct"/>
                  <w:vMerge w:val="restart"/>
                  <w:vAlign w:val="center"/>
                </w:tcPr>
                <w:p w:rsidR="004A38B5" w:rsidRPr="00153801" w:rsidRDefault="004A38B5" w:rsidP="00030E96">
                  <w:pPr>
                    <w:pStyle w:val="TableBodyText"/>
                    <w:jc w:val="left"/>
                  </w:pPr>
                  <w:r w:rsidRPr="00153801">
                    <w:t>* 100</w:t>
                  </w:r>
                </w:p>
              </w:tc>
            </w:tr>
            <w:tr w:rsidR="004A38B5" w:rsidTr="00030E96">
              <w:tc>
                <w:tcPr>
                  <w:tcW w:w="4286" w:type="pct"/>
                  <w:tcBorders>
                    <w:top w:val="single" w:sz="4" w:space="0" w:color="auto"/>
                  </w:tcBorders>
                </w:tcPr>
                <w:p w:rsidR="004A38B5" w:rsidRPr="00153801" w:rsidRDefault="004A38B5" w:rsidP="00E94E06">
                  <w:pPr>
                    <w:pStyle w:val="TableBodyText"/>
                    <w:spacing w:before="40"/>
                    <w:jc w:val="center"/>
                  </w:pPr>
                  <w:proofErr w:type="spellStart"/>
                  <w:r w:rsidRPr="00153801">
                    <w:t>A23</w:t>
                  </w:r>
                  <w:proofErr w:type="spellEnd"/>
                  <w:r w:rsidRPr="00153801">
                    <w:t xml:space="preserve"> Type of Incident 110 – 119 </w:t>
                  </w:r>
                  <w:r w:rsidRPr="00153801">
                    <w:br/>
                    <w:t xml:space="preserve">where </w:t>
                  </w:r>
                  <w:proofErr w:type="spellStart"/>
                  <w:r w:rsidRPr="00153801">
                    <w:t>K20</w:t>
                  </w:r>
                  <w:proofErr w:type="spellEnd"/>
                  <w:r w:rsidRPr="00153801">
                    <w:t xml:space="preserve"> Extent of Flame Damage is (1 to 7)</w:t>
                  </w:r>
                </w:p>
              </w:tc>
              <w:tc>
                <w:tcPr>
                  <w:tcW w:w="714" w:type="pct"/>
                  <w:vMerge/>
                </w:tcPr>
                <w:p w:rsidR="004A38B5" w:rsidRPr="00153801" w:rsidRDefault="004A38B5" w:rsidP="00030E96">
                  <w:pPr>
                    <w:pStyle w:val="TableBodyText"/>
                    <w:jc w:val="left"/>
                  </w:pPr>
                </w:p>
              </w:tc>
            </w:tr>
          </w:tbl>
          <w:p w:rsidR="004A38B5" w:rsidRDefault="004A38B5" w:rsidP="00030E96">
            <w:pPr>
              <w:pStyle w:val="TableBodyText"/>
              <w:jc w:val="left"/>
              <w:rPr>
                <w:u w:val="single"/>
              </w:rPr>
            </w:pPr>
          </w:p>
          <w:p w:rsidR="004A38B5" w:rsidRPr="00EA60AD" w:rsidRDefault="004A38B5" w:rsidP="00EA60AD">
            <w:pPr>
              <w:pStyle w:val="DQITableText"/>
              <w:rPr>
                <w:u w:val="single"/>
              </w:rPr>
            </w:pPr>
            <w:r w:rsidRPr="00EA60AD">
              <w:rPr>
                <w:u w:val="single"/>
              </w:rPr>
              <w:t>(2) Confinement of building and other structure fires to room/object of origin</w:t>
            </w:r>
          </w:p>
          <w:p w:rsidR="004A38B5" w:rsidRDefault="004A38B5" w:rsidP="00E94E06">
            <w:pPr>
              <w:pStyle w:val="DQITableText"/>
              <w:spacing w:after="120"/>
            </w:pPr>
            <w:r w:rsidRPr="0098142B">
              <w:t>Confinement of building and other structure fires to room/object of origin</w:t>
            </w:r>
            <w:r>
              <w:t xml:space="preserve"> </w:t>
            </w:r>
            <w:r w:rsidRPr="004437EA">
              <w:t>is a measure of the both the proportion of building fires and</w:t>
            </w:r>
            <w:r w:rsidRPr="004437EA">
              <w:rPr>
                <w:b/>
              </w:rPr>
              <w:t xml:space="preserve"> </w:t>
            </w:r>
            <w:r w:rsidRPr="004437EA">
              <w:t>other structure fires</w:t>
            </w:r>
            <w:r>
              <w:t>*</w:t>
            </w:r>
            <w:r w:rsidRPr="004437EA">
              <w:t xml:space="preserve"> confined to the room/object from which the fire originated</w:t>
            </w:r>
            <w:r>
              <w:t>, calculated as:</w:t>
            </w:r>
          </w:p>
          <w:tbl>
            <w:tblPr>
              <w:tblStyle w:val="TableGrid"/>
              <w:tblW w:w="4677" w:type="pct"/>
              <w:tblInd w:w="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28" w:type="dxa"/>
                <w:bottom w:w="28" w:type="dxa"/>
                <w:right w:w="28" w:type="dxa"/>
              </w:tblCellMar>
              <w:tblLook w:val="01E0" w:firstRow="1" w:lastRow="1" w:firstColumn="1" w:lastColumn="1" w:noHBand="0" w:noVBand="0"/>
              <w:tblDescription w:val="More details can be found within the text surrounding this image."/>
            </w:tblPr>
            <w:tblGrid>
              <w:gridCol w:w="1456"/>
              <w:gridCol w:w="5122"/>
            </w:tblGrid>
            <w:tr w:rsidR="004A38B5" w:rsidTr="00030E96">
              <w:tc>
                <w:tcPr>
                  <w:tcW w:w="1107" w:type="pct"/>
                  <w:vAlign w:val="center"/>
                </w:tcPr>
                <w:p w:rsidR="004A38B5" w:rsidRPr="0098142B" w:rsidRDefault="004A38B5" w:rsidP="00030E96">
                  <w:pPr>
                    <w:pStyle w:val="TableBodyText"/>
                    <w:ind w:right="0"/>
                    <w:jc w:val="left"/>
                    <w:rPr>
                      <w:b/>
                    </w:rPr>
                  </w:pPr>
                  <w:r w:rsidRPr="0098142B">
                    <w:rPr>
                      <w:b/>
                    </w:rPr>
                    <w:t>Numerator:</w:t>
                  </w:r>
                </w:p>
              </w:tc>
              <w:tc>
                <w:tcPr>
                  <w:tcW w:w="3893" w:type="pct"/>
                  <w:vAlign w:val="bottom"/>
                </w:tcPr>
                <w:p w:rsidR="004A38B5" w:rsidRPr="0098142B" w:rsidRDefault="004A38B5" w:rsidP="00030E96">
                  <w:pPr>
                    <w:pStyle w:val="TableBodyText"/>
                    <w:jc w:val="center"/>
                    <w:rPr>
                      <w:b/>
                    </w:rPr>
                  </w:pPr>
                  <w:r w:rsidRPr="0098142B">
                    <w:rPr>
                      <w:b/>
                    </w:rPr>
                    <w:t xml:space="preserve">the number of building </w:t>
                  </w:r>
                  <w:r>
                    <w:rPr>
                      <w:b/>
                    </w:rPr>
                    <w:t xml:space="preserve">and other structure </w:t>
                  </w:r>
                  <w:r w:rsidRPr="0098142B">
                    <w:rPr>
                      <w:b/>
                    </w:rPr>
                    <w:t>fires* confined to the object, part room and room of origin</w:t>
                  </w:r>
                </w:p>
              </w:tc>
            </w:tr>
            <w:tr w:rsidR="004A38B5" w:rsidTr="00030E96">
              <w:trPr>
                <w:trHeight w:hRule="exact" w:val="170"/>
              </w:trPr>
              <w:tc>
                <w:tcPr>
                  <w:tcW w:w="1107" w:type="pct"/>
                  <w:vAlign w:val="center"/>
                </w:tcPr>
                <w:p w:rsidR="004A38B5" w:rsidRPr="0098142B" w:rsidRDefault="004A38B5" w:rsidP="00030E96">
                  <w:pPr>
                    <w:pStyle w:val="TableBodyText"/>
                    <w:jc w:val="left"/>
                    <w:rPr>
                      <w:b/>
                    </w:rPr>
                  </w:pPr>
                </w:p>
              </w:tc>
              <w:tc>
                <w:tcPr>
                  <w:tcW w:w="3893" w:type="pct"/>
                </w:tcPr>
                <w:p w:rsidR="004A38B5" w:rsidRPr="0098142B" w:rsidRDefault="004A38B5" w:rsidP="00030E96">
                  <w:pPr>
                    <w:pStyle w:val="TableBodyText"/>
                    <w:jc w:val="center"/>
                    <w:rPr>
                      <w:b/>
                    </w:rPr>
                  </w:pPr>
                  <w:r w:rsidRPr="0098142B">
                    <w:rPr>
                      <w:b/>
                    </w:rPr>
                    <w:t>——————————————————————————</w:t>
                  </w:r>
                </w:p>
              </w:tc>
            </w:tr>
            <w:tr w:rsidR="004A38B5" w:rsidTr="00030E96">
              <w:tc>
                <w:tcPr>
                  <w:tcW w:w="1107" w:type="pct"/>
                  <w:vAlign w:val="center"/>
                </w:tcPr>
                <w:p w:rsidR="004A38B5" w:rsidRPr="0098142B" w:rsidRDefault="004A38B5" w:rsidP="00030E96">
                  <w:pPr>
                    <w:pStyle w:val="TableBodyText"/>
                    <w:ind w:right="-24"/>
                    <w:jc w:val="left"/>
                    <w:rPr>
                      <w:b/>
                    </w:rPr>
                  </w:pPr>
                  <w:r w:rsidRPr="0098142B">
                    <w:rPr>
                      <w:b/>
                    </w:rPr>
                    <w:t>Denominator:</w:t>
                  </w:r>
                </w:p>
              </w:tc>
              <w:tc>
                <w:tcPr>
                  <w:tcW w:w="3893" w:type="pct"/>
                </w:tcPr>
                <w:p w:rsidR="004A38B5" w:rsidRPr="0098142B" w:rsidRDefault="004A38B5" w:rsidP="00E94E06">
                  <w:pPr>
                    <w:pStyle w:val="TableBodyText"/>
                    <w:spacing w:before="40"/>
                    <w:jc w:val="center"/>
                    <w:rPr>
                      <w:b/>
                    </w:rPr>
                  </w:pPr>
                  <w:r w:rsidRPr="0098142B">
                    <w:rPr>
                      <w:b/>
                    </w:rPr>
                    <w:t>the number of building fires attributed to confinement</w:t>
                  </w:r>
                </w:p>
              </w:tc>
            </w:tr>
          </w:tbl>
          <w:p w:rsidR="004A38B5" w:rsidRPr="00153801" w:rsidRDefault="00EA60AD" w:rsidP="00EA60AD">
            <w:pPr>
              <w:pStyle w:val="DQITableBullet2"/>
              <w:numPr>
                <w:ilvl w:val="0"/>
                <w:numId w:val="0"/>
              </w:numPr>
              <w:ind w:left="510"/>
            </w:pPr>
            <w:r>
              <w:t>*</w:t>
            </w:r>
            <w:r w:rsidR="004A38B5" w:rsidRPr="00153801">
              <w:t>Other structure fires are fires within a building structure (such as fires confined to rubbish bins, burnt foodstuffs and fires confined to cooking equipment) that requires a fire service response.</w:t>
            </w:r>
          </w:p>
          <w:p w:rsidR="004A38B5" w:rsidRPr="00E07FDB" w:rsidRDefault="004A38B5" w:rsidP="00E94E06">
            <w:pPr>
              <w:pStyle w:val="DQITableText"/>
              <w:spacing w:after="120"/>
            </w:pPr>
            <w:r>
              <w:t>According to the AIRS classification this is:</w:t>
            </w:r>
          </w:p>
          <w:tbl>
            <w:tblPr>
              <w:tblStyle w:val="TableGrid"/>
              <w:tblW w:w="5954" w:type="dxa"/>
              <w:tblInd w:w="4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Description w:val="More details can be found within the text surrounding this image."/>
            </w:tblPr>
            <w:tblGrid>
              <w:gridCol w:w="5134"/>
              <w:gridCol w:w="820"/>
            </w:tblGrid>
            <w:tr w:rsidR="004A38B5" w:rsidTr="00030E96">
              <w:tc>
                <w:tcPr>
                  <w:tcW w:w="4311" w:type="pct"/>
                  <w:tcBorders>
                    <w:bottom w:val="single" w:sz="4" w:space="0" w:color="auto"/>
                  </w:tcBorders>
                </w:tcPr>
                <w:p w:rsidR="004A38B5" w:rsidRPr="00153801" w:rsidRDefault="004A38B5" w:rsidP="00030E96">
                  <w:pPr>
                    <w:pStyle w:val="TableBodyText"/>
                    <w:jc w:val="center"/>
                  </w:pPr>
                  <w:proofErr w:type="spellStart"/>
                  <w:r w:rsidRPr="00153801">
                    <w:t>A23</w:t>
                  </w:r>
                  <w:proofErr w:type="spellEnd"/>
                  <w:r w:rsidRPr="00153801">
                    <w:t xml:space="preserve"> Type of Incident 110 – 1</w:t>
                  </w:r>
                  <w:r>
                    <w:t>2</w:t>
                  </w:r>
                  <w:r w:rsidRPr="00153801">
                    <w:t xml:space="preserve">9 </w:t>
                  </w:r>
                  <w:r w:rsidRPr="00153801">
                    <w:br/>
                    <w:t xml:space="preserve">where </w:t>
                  </w:r>
                  <w:proofErr w:type="spellStart"/>
                  <w:r w:rsidRPr="00153801">
                    <w:t>K20</w:t>
                  </w:r>
                  <w:proofErr w:type="spellEnd"/>
                  <w:r w:rsidRPr="00153801">
                    <w:t xml:space="preserve"> Extent of Flame Damage is (1,2,3)</w:t>
                  </w:r>
                </w:p>
              </w:tc>
              <w:tc>
                <w:tcPr>
                  <w:tcW w:w="689" w:type="pct"/>
                  <w:vMerge w:val="restart"/>
                  <w:vAlign w:val="center"/>
                </w:tcPr>
                <w:p w:rsidR="004A38B5" w:rsidRPr="00153801" w:rsidRDefault="004A38B5" w:rsidP="00030E96">
                  <w:pPr>
                    <w:pStyle w:val="TableBodyText"/>
                    <w:jc w:val="left"/>
                  </w:pPr>
                  <w:r w:rsidRPr="00153801">
                    <w:t>* 100</w:t>
                  </w:r>
                </w:p>
              </w:tc>
            </w:tr>
            <w:tr w:rsidR="004A38B5" w:rsidTr="00030E96">
              <w:tc>
                <w:tcPr>
                  <w:tcW w:w="4311" w:type="pct"/>
                  <w:tcBorders>
                    <w:top w:val="single" w:sz="4" w:space="0" w:color="auto"/>
                  </w:tcBorders>
                </w:tcPr>
                <w:p w:rsidR="004A38B5" w:rsidRPr="00153801" w:rsidRDefault="004A38B5" w:rsidP="00E94E06">
                  <w:pPr>
                    <w:pStyle w:val="TableBodyText"/>
                    <w:spacing w:before="40"/>
                    <w:jc w:val="center"/>
                  </w:pPr>
                  <w:proofErr w:type="spellStart"/>
                  <w:r w:rsidRPr="00153801">
                    <w:t>A23</w:t>
                  </w:r>
                  <w:proofErr w:type="spellEnd"/>
                  <w:r w:rsidRPr="00153801">
                    <w:t xml:space="preserve"> Type of Incident 110 – 1</w:t>
                  </w:r>
                  <w:r>
                    <w:t>2</w:t>
                  </w:r>
                  <w:r w:rsidRPr="00153801">
                    <w:t xml:space="preserve">9 </w:t>
                  </w:r>
                  <w:r w:rsidRPr="00153801">
                    <w:br/>
                    <w:t xml:space="preserve">where </w:t>
                  </w:r>
                  <w:proofErr w:type="spellStart"/>
                  <w:r w:rsidRPr="00153801">
                    <w:t>K20</w:t>
                  </w:r>
                  <w:proofErr w:type="spellEnd"/>
                  <w:r w:rsidRPr="00153801">
                    <w:t xml:space="preserve"> Extent of Flame Damage is (1 to 7)</w:t>
                  </w:r>
                </w:p>
              </w:tc>
              <w:tc>
                <w:tcPr>
                  <w:tcW w:w="689" w:type="pct"/>
                  <w:vMerge/>
                </w:tcPr>
                <w:p w:rsidR="004A38B5" w:rsidRPr="00153801" w:rsidRDefault="004A38B5" w:rsidP="00030E96">
                  <w:pPr>
                    <w:pStyle w:val="TableBodyText"/>
                    <w:jc w:val="left"/>
                  </w:pPr>
                </w:p>
              </w:tc>
            </w:tr>
          </w:tbl>
          <w:p w:rsidR="004A38B5" w:rsidRPr="00A05229" w:rsidRDefault="004A38B5" w:rsidP="00030E96">
            <w:pPr>
              <w:pStyle w:val="TableBodyText"/>
              <w:jc w:val="left"/>
            </w:pPr>
          </w:p>
        </w:tc>
      </w:tr>
      <w:tr w:rsidR="004A38B5" w:rsidRPr="001F3F80" w:rsidTr="00030E96">
        <w:trPr>
          <w:cantSplit/>
          <w:jc w:val="center"/>
        </w:trPr>
        <w:tc>
          <w:tcPr>
            <w:tcW w:w="874" w:type="pct"/>
            <w:gridSpan w:val="2"/>
          </w:tcPr>
          <w:p w:rsidR="004A38B5" w:rsidRPr="00A05229" w:rsidRDefault="004A38B5" w:rsidP="00EA60AD">
            <w:pPr>
              <w:pStyle w:val="DQIRowHeadings"/>
              <w:keepNext w:val="0"/>
            </w:pPr>
            <w:r w:rsidRPr="00A05229">
              <w:t>Data source</w:t>
            </w:r>
          </w:p>
        </w:tc>
        <w:tc>
          <w:tcPr>
            <w:tcW w:w="4126" w:type="pct"/>
          </w:tcPr>
          <w:p w:rsidR="004A38B5" w:rsidRDefault="004A38B5" w:rsidP="00EA60AD">
            <w:pPr>
              <w:pStyle w:val="DQITableText"/>
              <w:keepNext w:val="0"/>
            </w:pPr>
            <w:r>
              <w:t>State and Territory governments. T</w:t>
            </w:r>
            <w:r w:rsidRPr="00270F18">
              <w:t xml:space="preserve">he Secretariat </w:t>
            </w:r>
            <w:r>
              <w:t xml:space="preserve">collects </w:t>
            </w:r>
            <w:r w:rsidRPr="00270F18">
              <w:t xml:space="preserve">data </w:t>
            </w:r>
            <w:r>
              <w:t xml:space="preserve">directly from </w:t>
            </w:r>
            <w:r w:rsidRPr="00270F18">
              <w:t>all jurisdictions</w:t>
            </w:r>
            <w:r>
              <w:t xml:space="preserve">. </w:t>
            </w:r>
          </w:p>
          <w:p w:rsidR="004A38B5" w:rsidRPr="00A05229" w:rsidRDefault="004A38B5" w:rsidP="00EA60AD">
            <w:pPr>
              <w:pStyle w:val="DQITableText"/>
              <w:keepNext w:val="0"/>
            </w:pPr>
            <w:r>
              <w:t xml:space="preserve">Within each jurisdiction, fire service </w:t>
            </w:r>
            <w:r w:rsidRPr="001847BB">
              <w:t xml:space="preserve">and emergency services </w:t>
            </w:r>
            <w:r>
              <w:t xml:space="preserve">organisations collect and compile data. </w:t>
            </w:r>
          </w:p>
        </w:tc>
      </w:tr>
      <w:tr w:rsidR="004A38B5" w:rsidRPr="000D7225" w:rsidTr="00030E96">
        <w:trPr>
          <w:cantSplit/>
          <w:jc w:val="center"/>
        </w:trPr>
        <w:tc>
          <w:tcPr>
            <w:tcW w:w="5000" w:type="pct"/>
            <w:gridSpan w:val="3"/>
          </w:tcPr>
          <w:p w:rsidR="004A38B5" w:rsidRPr="00CE3D86" w:rsidRDefault="004A38B5" w:rsidP="00EA60AD">
            <w:pPr>
              <w:pStyle w:val="DQIMainRowHeadings"/>
              <w:rPr>
                <w:rFonts w:cs="Arial"/>
                <w:sz w:val="22"/>
                <w:szCs w:val="22"/>
              </w:rPr>
            </w:pPr>
            <w:r>
              <w:rPr>
                <w:rFonts w:ascii="Times New Roman" w:hAnsi="Times New Roman"/>
                <w:sz w:val="24"/>
              </w:rPr>
              <w:lastRenderedPageBreak/>
              <w:br w:type="page"/>
            </w:r>
            <w:r>
              <w:rPr>
                <w:rFonts w:ascii="Times New Roman" w:hAnsi="Times New Roman"/>
                <w:sz w:val="24"/>
              </w:rPr>
              <w:br w:type="page"/>
            </w:r>
            <w:r w:rsidRPr="003211C6">
              <w:t>Data Quality Framework dimensions</w:t>
            </w:r>
          </w:p>
        </w:tc>
      </w:tr>
      <w:tr w:rsidR="004A38B5" w:rsidRPr="00254F46" w:rsidTr="00332B70">
        <w:trPr>
          <w:cantSplit/>
          <w:jc w:val="center"/>
        </w:trPr>
        <w:tc>
          <w:tcPr>
            <w:tcW w:w="817" w:type="pct"/>
          </w:tcPr>
          <w:p w:rsidR="004A38B5" w:rsidRPr="00A05229" w:rsidRDefault="004A38B5" w:rsidP="00EA60AD">
            <w:pPr>
              <w:pStyle w:val="DQIRowHeadings"/>
            </w:pPr>
            <w:r w:rsidRPr="00A05229">
              <w:t>Institutional environment</w:t>
            </w:r>
          </w:p>
        </w:tc>
        <w:tc>
          <w:tcPr>
            <w:tcW w:w="4183" w:type="pct"/>
            <w:gridSpan w:val="2"/>
          </w:tcPr>
          <w:p w:rsidR="004A38B5" w:rsidRDefault="004A38B5" w:rsidP="00EA60AD">
            <w:pPr>
              <w:pStyle w:val="DQITableText"/>
            </w:pPr>
            <w:r>
              <w:t>Confinement data are collected by fire and emergency service organisations in each State and Territory according to the AIRS.</w:t>
            </w:r>
          </w:p>
          <w:p w:rsidR="004A38B5" w:rsidRDefault="004A38B5" w:rsidP="00EA60AD">
            <w:pPr>
              <w:pStyle w:val="DQITableText"/>
            </w:pPr>
            <w:r>
              <w:t>The AIRS</w:t>
            </w:r>
            <w:r w:rsidRPr="00A06320">
              <w:t xml:space="preserve"> is a nationally agreed data standard</w:t>
            </w:r>
            <w:r>
              <w:t>.</w:t>
            </w:r>
            <w:r w:rsidRPr="00A06320">
              <w:t xml:space="preserve"> </w:t>
            </w:r>
            <w:r>
              <w:t xml:space="preserve">It </w:t>
            </w:r>
            <w:r w:rsidRPr="00A06320">
              <w:t>takes a systematic approach to collecting, recording and reporting information about responses to incidents and emergencies attended primarily by fire services. It provides a standard for the structure, definitions and integrity of the data collected.</w:t>
            </w:r>
          </w:p>
          <w:p w:rsidR="004A38B5" w:rsidRDefault="004A38B5" w:rsidP="00EA60AD">
            <w:pPr>
              <w:pStyle w:val="DQITableText"/>
            </w:pPr>
            <w:r w:rsidRPr="008760DC">
              <w:t xml:space="preserve">The </w:t>
            </w:r>
            <w:proofErr w:type="spellStart"/>
            <w:r w:rsidR="00123F82">
              <w:t>AFAC</w:t>
            </w:r>
            <w:proofErr w:type="spellEnd"/>
            <w:r w:rsidR="00123F82">
              <w:t xml:space="preserve"> </w:t>
            </w:r>
            <w:r w:rsidR="003D0EC2" w:rsidRPr="003D0EC2">
              <w:t xml:space="preserve">Australian Incident Reporting System </w:t>
            </w:r>
            <w:r w:rsidR="003D0EC2">
              <w:t>(</w:t>
            </w:r>
            <w:r w:rsidR="00123F82">
              <w:t>AIRS</w:t>
            </w:r>
            <w:r w:rsidR="003D0EC2">
              <w:t xml:space="preserve">) </w:t>
            </w:r>
            <w:r w:rsidR="00123F82">
              <w:t>User Network</w:t>
            </w:r>
            <w:r w:rsidRPr="008760DC">
              <w:t xml:space="preserve"> is responsible for </w:t>
            </w:r>
            <w:r w:rsidR="003D0EC2">
              <w:t>su</w:t>
            </w:r>
            <w:r w:rsidRPr="008760DC">
              <w:t xml:space="preserve">staining the production and currency of </w:t>
            </w:r>
            <w:r>
              <w:t xml:space="preserve">AIRS data </w:t>
            </w:r>
            <w:r w:rsidRPr="008760DC">
              <w:t xml:space="preserve">and support the continued development of data requirements to ensure consistent and reliable methods of data collection, compilation and analysis can be applied throughout member agencies. For further information about the </w:t>
            </w:r>
            <w:proofErr w:type="spellStart"/>
            <w:r w:rsidRPr="008760DC">
              <w:t>AFAC</w:t>
            </w:r>
            <w:proofErr w:type="spellEnd"/>
            <w:r w:rsidRPr="008760DC">
              <w:t xml:space="preserve"> knowledge data base see the </w:t>
            </w:r>
            <w:proofErr w:type="spellStart"/>
            <w:r w:rsidRPr="008760DC">
              <w:t>AFAC</w:t>
            </w:r>
            <w:proofErr w:type="spellEnd"/>
            <w:r w:rsidRPr="008760DC">
              <w:t xml:space="preserve"> </w:t>
            </w:r>
            <w:r w:rsidRPr="004A1422">
              <w:t>National Data and Glossary</w:t>
            </w:r>
            <w:r w:rsidRPr="008760DC">
              <w:t>.</w:t>
            </w:r>
          </w:p>
          <w:p w:rsidR="004A38B5" w:rsidRPr="001847BB" w:rsidRDefault="004A38B5" w:rsidP="00EA60AD">
            <w:pPr>
              <w:pStyle w:val="DQITableText"/>
            </w:pPr>
            <w:r w:rsidRPr="001847BB">
              <w:t xml:space="preserve">Not all of the contributing fire and emergency services collect all of the data because each fire service has different legislated roles and responsibilities, environments and history of reporting and therefore have developed processes relevant to their </w:t>
            </w:r>
            <w:r>
              <w:t>business</w:t>
            </w:r>
            <w:r w:rsidRPr="001847BB">
              <w:t>.</w:t>
            </w:r>
          </w:p>
          <w:p w:rsidR="004A38B5" w:rsidRPr="00A05229" w:rsidRDefault="004A38B5" w:rsidP="00EA60AD">
            <w:pPr>
              <w:pStyle w:val="DQITableText"/>
            </w:pPr>
            <w:r>
              <w:t>The data are requested and submitted to the Secretariat in accordance with the authority of the terms of reference of the Review of Government Service Provision.</w:t>
            </w:r>
          </w:p>
        </w:tc>
      </w:tr>
      <w:tr w:rsidR="004A38B5" w:rsidRPr="00254F46" w:rsidTr="00332B70">
        <w:trPr>
          <w:cantSplit/>
          <w:jc w:val="center"/>
        </w:trPr>
        <w:tc>
          <w:tcPr>
            <w:tcW w:w="817" w:type="pct"/>
          </w:tcPr>
          <w:p w:rsidR="004A38B5" w:rsidRPr="00A05229" w:rsidRDefault="004A38B5" w:rsidP="00EA60AD">
            <w:pPr>
              <w:pStyle w:val="DQIRowHeadings"/>
            </w:pPr>
            <w:r w:rsidRPr="00A05229">
              <w:t>Relevance</w:t>
            </w:r>
          </w:p>
        </w:tc>
        <w:tc>
          <w:tcPr>
            <w:tcW w:w="4183" w:type="pct"/>
            <w:gridSpan w:val="2"/>
          </w:tcPr>
          <w:p w:rsidR="004A38B5" w:rsidRDefault="004A38B5" w:rsidP="00EA60AD">
            <w:pPr>
              <w:pStyle w:val="DQITableText"/>
            </w:pPr>
            <w:r w:rsidRPr="0035568B">
              <w:t>Confinement of building fires to room of origin is reflective of the response strategies of the fire services to extinguish structure fires before they cause extensive building damage. It also reflective of the community’s overall mitigation and preparedness strategies such as constructing buildings that are fire resistant, installing and maintaining operational smoke alarms, and other fire safety practises.</w:t>
            </w:r>
          </w:p>
          <w:p w:rsidR="004A38B5" w:rsidRPr="00A05229" w:rsidRDefault="004A38B5" w:rsidP="00EA60AD">
            <w:pPr>
              <w:pStyle w:val="DQITableText"/>
            </w:pPr>
            <w:r w:rsidRPr="0035568B">
              <w:t>Other structure fires confined to object of origin is reflective of the community’s overall mitigation and preparedness strategies such as constructing ‘objects’ (such as electronic appliances, cooking equipment, and chimneys) that are fire resistant. It is also reflective of the community’s response abilities to contain a fire by having working fire alarms, fire extinguishers and/or fire blankets.</w:t>
            </w:r>
          </w:p>
        </w:tc>
      </w:tr>
      <w:tr w:rsidR="004A38B5" w:rsidRPr="00254F46" w:rsidTr="00332B70">
        <w:trPr>
          <w:cantSplit/>
          <w:jc w:val="center"/>
        </w:trPr>
        <w:tc>
          <w:tcPr>
            <w:tcW w:w="817" w:type="pct"/>
          </w:tcPr>
          <w:p w:rsidR="004A38B5" w:rsidRPr="00A05229" w:rsidRDefault="004A38B5" w:rsidP="00EA60AD">
            <w:pPr>
              <w:pStyle w:val="DQIRowHeadings"/>
            </w:pPr>
            <w:r w:rsidRPr="00A05229">
              <w:t>Timeliness</w:t>
            </w:r>
          </w:p>
        </w:tc>
        <w:tc>
          <w:tcPr>
            <w:tcW w:w="4183" w:type="pct"/>
            <w:gridSpan w:val="2"/>
          </w:tcPr>
          <w:p w:rsidR="004A38B5" w:rsidRPr="00A05229" w:rsidRDefault="004A38B5" w:rsidP="007F6100">
            <w:pPr>
              <w:pStyle w:val="DQITableText"/>
            </w:pPr>
            <w:r>
              <w:t>Confinement to room/object of origin</w:t>
            </w:r>
            <w:r w:rsidRPr="00270F18">
              <w:t xml:space="preserve"> data are published annually for the latest financial year preceding the January release of each </w:t>
            </w:r>
            <w:proofErr w:type="spellStart"/>
            <w:r w:rsidRPr="00270F18">
              <w:t>R</w:t>
            </w:r>
            <w:r w:rsidR="007F6100">
              <w:t>o</w:t>
            </w:r>
            <w:r w:rsidRPr="00270F18">
              <w:t>GS</w:t>
            </w:r>
            <w:proofErr w:type="spellEnd"/>
            <w:r w:rsidRPr="00270F18">
              <w:t>.</w:t>
            </w:r>
          </w:p>
        </w:tc>
      </w:tr>
      <w:tr w:rsidR="004A38B5" w:rsidRPr="00254F46" w:rsidTr="00332B70">
        <w:trPr>
          <w:jc w:val="center"/>
        </w:trPr>
        <w:tc>
          <w:tcPr>
            <w:tcW w:w="817" w:type="pct"/>
          </w:tcPr>
          <w:p w:rsidR="004A38B5" w:rsidRPr="00A05229" w:rsidRDefault="004A38B5" w:rsidP="00EA60AD">
            <w:pPr>
              <w:pStyle w:val="DQIRowHeadings"/>
            </w:pPr>
            <w:r w:rsidRPr="00A05229">
              <w:t>Accuracy</w:t>
            </w:r>
          </w:p>
        </w:tc>
        <w:tc>
          <w:tcPr>
            <w:tcW w:w="4183" w:type="pct"/>
            <w:gridSpan w:val="2"/>
          </w:tcPr>
          <w:p w:rsidR="004A38B5" w:rsidRDefault="00AD0494" w:rsidP="00EA60AD">
            <w:pPr>
              <w:pStyle w:val="DQITableText"/>
            </w:pPr>
            <w:r>
              <w:t xml:space="preserve">Text caveats in the </w:t>
            </w:r>
            <w:proofErr w:type="spellStart"/>
            <w:r>
              <w:t>RoGS</w:t>
            </w:r>
            <w:proofErr w:type="spellEnd"/>
            <w:r>
              <w:t xml:space="preserve"> provide generalised advice </w:t>
            </w:r>
            <w:r w:rsidR="004A38B5" w:rsidRPr="00270F18">
              <w:t xml:space="preserve">that data are not strictly comparable and cite a number of physical, operational and data collection system factors that influence </w:t>
            </w:r>
            <w:r w:rsidR="004A38B5">
              <w:t>confinement data:</w:t>
            </w:r>
          </w:p>
          <w:p w:rsidR="004A38B5" w:rsidRDefault="004A38B5" w:rsidP="00EA60AD">
            <w:pPr>
              <w:pStyle w:val="DQITableBullet"/>
            </w:pPr>
            <w:r>
              <w:t>Confinement</w:t>
            </w:r>
            <w:r w:rsidRPr="009A5121">
              <w:t xml:space="preserve"> </w:t>
            </w:r>
            <w:r>
              <w:t xml:space="preserve">data are </w:t>
            </w:r>
            <w:r w:rsidRPr="009A5121">
              <w:t>not collected for all incident responses</w:t>
            </w:r>
            <w:r>
              <w:t xml:space="preserve"> and excludes records where the extent of flame damage is not recorded or </w:t>
            </w:r>
            <w:r w:rsidRPr="00BE06CF">
              <w:t>zero</w:t>
            </w:r>
            <w:r>
              <w:t>.</w:t>
            </w:r>
          </w:p>
          <w:p w:rsidR="004A38B5" w:rsidRDefault="004A38B5" w:rsidP="00EA60AD">
            <w:pPr>
              <w:pStyle w:val="DQITableBullet"/>
            </w:pPr>
            <w:r w:rsidRPr="0035568B">
              <w:t xml:space="preserve">The calculation of this measure has </w:t>
            </w:r>
            <w:r>
              <w:t xml:space="preserve">been amended over time and </w:t>
            </w:r>
            <w:r w:rsidRPr="0035568B">
              <w:t xml:space="preserve">therefore the results are not </w:t>
            </w:r>
            <w:r>
              <w:t xml:space="preserve">fully </w:t>
            </w:r>
            <w:r w:rsidRPr="0035568B">
              <w:t>comparable</w:t>
            </w:r>
            <w:r>
              <w:t xml:space="preserve"> between years</w:t>
            </w:r>
            <w:r w:rsidRPr="0035568B">
              <w:t>.</w:t>
            </w:r>
          </w:p>
          <w:p w:rsidR="004A38B5" w:rsidRDefault="004A38B5" w:rsidP="00EA60AD">
            <w:pPr>
              <w:pStyle w:val="DQITableBullet"/>
            </w:pPr>
            <w:r>
              <w:t>Confinement data a collected s</w:t>
            </w:r>
            <w:r w:rsidRPr="009A5121">
              <w:t>eparate</w:t>
            </w:r>
            <w:r>
              <w:t>ly by most jurisdictions’</w:t>
            </w:r>
            <w:r w:rsidRPr="009A5121">
              <w:t xml:space="preserve"> urban and rural fire service organisations</w:t>
            </w:r>
            <w:r>
              <w:t xml:space="preserve"> — which also consist of </w:t>
            </w:r>
            <w:r w:rsidRPr="009A5121">
              <w:t xml:space="preserve">volunteer and career/permanent personnel. </w:t>
            </w:r>
          </w:p>
          <w:p w:rsidR="004A38B5" w:rsidRDefault="004A38B5" w:rsidP="00EA60AD">
            <w:pPr>
              <w:pStyle w:val="DQITableBullet"/>
            </w:pPr>
            <w:r>
              <w:t>Confinement data from rural/volunteer fire services are not available in all jurisdictions.</w:t>
            </w:r>
          </w:p>
          <w:p w:rsidR="004A38B5" w:rsidRDefault="004A38B5" w:rsidP="00EA60AD">
            <w:pPr>
              <w:pStyle w:val="DQITableText"/>
            </w:pPr>
            <w:r>
              <w:t>In practice there are d</w:t>
            </w:r>
            <w:r w:rsidRPr="009A5121">
              <w:t xml:space="preserve">ifferences in the </w:t>
            </w:r>
            <w:r>
              <w:t xml:space="preserve">method between (and within) jurisdictions to estimate confinement of structure fire data. Each jurisdiction’s approach is </w:t>
            </w:r>
            <w:r w:rsidRPr="009A5121">
              <w:t xml:space="preserve">summarised </w:t>
            </w:r>
            <w:r>
              <w:t>in the confinement of structure fire appendix, including approaches to:</w:t>
            </w:r>
          </w:p>
          <w:p w:rsidR="004A38B5" w:rsidRDefault="004A38B5" w:rsidP="00EA60AD">
            <w:pPr>
              <w:pStyle w:val="DQITableBullet"/>
            </w:pPr>
            <w:r>
              <w:t>confinement rate</w:t>
            </w:r>
            <w:r w:rsidRPr="00F648B6">
              <w:t xml:space="preserve"> </w:t>
            </w:r>
            <w:r>
              <w:t>calculation</w:t>
            </w:r>
            <w:r w:rsidRPr="00F648B6">
              <w:t xml:space="preserve"> </w:t>
            </w:r>
            <w:r>
              <w:t>(</w:t>
            </w:r>
            <w:r w:rsidRPr="00F648B6">
              <w:t>table</w:t>
            </w:r>
            <w:r w:rsidR="009D2362">
              <w:t> </w:t>
            </w:r>
            <w:r w:rsidR="00887AA8">
              <w:t>11</w:t>
            </w:r>
            <w:r>
              <w:t>)</w:t>
            </w:r>
          </w:p>
          <w:p w:rsidR="004A38B5" w:rsidRPr="00F648B6" w:rsidRDefault="004A38B5" w:rsidP="00EA60AD">
            <w:pPr>
              <w:pStyle w:val="DQITableBullet"/>
            </w:pPr>
            <w:r w:rsidRPr="00F648B6">
              <w:t xml:space="preserve">data completeness </w:t>
            </w:r>
            <w:r>
              <w:t>(t</w:t>
            </w:r>
            <w:r w:rsidRPr="00F648B6">
              <w:t>able</w:t>
            </w:r>
            <w:r w:rsidR="009D2362">
              <w:t> </w:t>
            </w:r>
            <w:r w:rsidR="00887AA8">
              <w:t>12</w:t>
            </w:r>
            <w:r>
              <w:t>)</w:t>
            </w:r>
          </w:p>
          <w:p w:rsidR="004A38B5" w:rsidRPr="00F5464E" w:rsidRDefault="004A38B5" w:rsidP="00887AA8">
            <w:pPr>
              <w:pStyle w:val="DQITableBullet"/>
            </w:pPr>
            <w:r w:rsidRPr="00F648B6">
              <w:t xml:space="preserve">extrapolation and estimation </w:t>
            </w:r>
            <w:r>
              <w:t>(t</w:t>
            </w:r>
            <w:r w:rsidRPr="00F648B6">
              <w:t>able</w:t>
            </w:r>
            <w:r w:rsidR="009D2362">
              <w:t> </w:t>
            </w:r>
            <w:r w:rsidR="00887AA8">
              <w:t>13</w:t>
            </w:r>
            <w:r>
              <w:t>)</w:t>
            </w:r>
            <w:r w:rsidRPr="00F5464E">
              <w:t>.</w:t>
            </w:r>
          </w:p>
        </w:tc>
      </w:tr>
      <w:tr w:rsidR="004A38B5" w:rsidRPr="00E57110" w:rsidTr="00332B70">
        <w:trPr>
          <w:cantSplit/>
          <w:jc w:val="center"/>
        </w:trPr>
        <w:tc>
          <w:tcPr>
            <w:tcW w:w="817" w:type="pct"/>
          </w:tcPr>
          <w:p w:rsidR="004A38B5" w:rsidRPr="00A05229" w:rsidRDefault="004A38B5" w:rsidP="00EA60AD">
            <w:pPr>
              <w:pStyle w:val="DQIRowHeadings"/>
            </w:pPr>
            <w:r w:rsidRPr="00A05229">
              <w:t>Coherence</w:t>
            </w:r>
          </w:p>
        </w:tc>
        <w:tc>
          <w:tcPr>
            <w:tcW w:w="4183" w:type="pct"/>
            <w:gridSpan w:val="2"/>
          </w:tcPr>
          <w:p w:rsidR="004A38B5" w:rsidRDefault="004A38B5" w:rsidP="00EA60AD">
            <w:pPr>
              <w:pStyle w:val="DQITableText"/>
            </w:pPr>
            <w:r>
              <w:t>Each State and Territory government maintain</w:t>
            </w:r>
            <w:r w:rsidR="00AD0494">
              <w:t>s</w:t>
            </w:r>
            <w:r>
              <w:t xml:space="preserve"> their own systems, processes, and training for estimation </w:t>
            </w:r>
            <w:r w:rsidRPr="00EA60AD">
              <w:t>of</w:t>
            </w:r>
            <w:r>
              <w:t xml:space="preserve"> confinement to room/object of origin in accordance with AIRS.</w:t>
            </w:r>
          </w:p>
          <w:p w:rsidR="004A38B5" w:rsidRPr="00A05229" w:rsidRDefault="004A38B5" w:rsidP="00030E96">
            <w:pPr>
              <w:pStyle w:val="TableBodyText"/>
              <w:jc w:val="left"/>
            </w:pPr>
            <w:r w:rsidRPr="0077499F">
              <w:t>Any time series changes are identified with relevant footnotes.</w:t>
            </w:r>
          </w:p>
        </w:tc>
      </w:tr>
      <w:tr w:rsidR="004A38B5" w:rsidRPr="00E57110" w:rsidTr="00332B70">
        <w:trPr>
          <w:cantSplit/>
          <w:jc w:val="center"/>
        </w:trPr>
        <w:tc>
          <w:tcPr>
            <w:tcW w:w="817" w:type="pct"/>
          </w:tcPr>
          <w:p w:rsidR="004A38B5" w:rsidRPr="00A05229" w:rsidRDefault="004A38B5" w:rsidP="00EA60AD">
            <w:pPr>
              <w:pStyle w:val="DQIRowHeadings"/>
            </w:pPr>
            <w:r w:rsidRPr="00A05229">
              <w:lastRenderedPageBreak/>
              <w:t>Accessibility</w:t>
            </w:r>
          </w:p>
          <w:p w:rsidR="004A38B5" w:rsidRPr="00A05229" w:rsidRDefault="004A38B5" w:rsidP="00EA60AD">
            <w:pPr>
              <w:pStyle w:val="DQIRowHeadings"/>
            </w:pPr>
          </w:p>
        </w:tc>
        <w:tc>
          <w:tcPr>
            <w:tcW w:w="4183" w:type="pct"/>
            <w:gridSpan w:val="2"/>
          </w:tcPr>
          <w:p w:rsidR="004A38B5" w:rsidRDefault="004A38B5" w:rsidP="00EA60AD">
            <w:pPr>
              <w:pStyle w:val="DQITableText"/>
            </w:pPr>
            <w:r w:rsidRPr="0077499F">
              <w:t xml:space="preserve">Structure fire </w:t>
            </w:r>
            <w:r>
              <w:t xml:space="preserve">confinement rate </w:t>
            </w:r>
            <w:r w:rsidRPr="0077499F">
              <w:t xml:space="preserve">data are publicly available on the Productivity Commission’s website from the time of </w:t>
            </w:r>
            <w:proofErr w:type="spellStart"/>
            <w:r>
              <w:t>RoGS</w:t>
            </w:r>
            <w:proofErr w:type="spellEnd"/>
            <w:r>
              <w:t xml:space="preserve"> </w:t>
            </w:r>
            <w:r w:rsidRPr="0077499F">
              <w:t>publication.</w:t>
            </w:r>
            <w:r w:rsidRPr="008760DC">
              <w:t xml:space="preserve"> </w:t>
            </w:r>
          </w:p>
          <w:p w:rsidR="004A38B5" w:rsidRPr="00A05229" w:rsidRDefault="004A38B5" w:rsidP="00EA60AD">
            <w:pPr>
              <w:pStyle w:val="DQITableText"/>
            </w:pPr>
            <w:r w:rsidRPr="008760DC">
              <w:t xml:space="preserve">Interested parties, particularly researchers, may request access to unpublished portions of the </w:t>
            </w:r>
            <w:proofErr w:type="spellStart"/>
            <w:r w:rsidRPr="008760DC">
              <w:t>AFAC</w:t>
            </w:r>
            <w:proofErr w:type="spellEnd"/>
            <w:r w:rsidRPr="008760DC">
              <w:t xml:space="preserve"> Knowledge data base’s Core Data (de</w:t>
            </w:r>
            <w:r>
              <w:noBreakHyphen/>
            </w:r>
            <w:r w:rsidRPr="008760DC">
              <w:t xml:space="preserve">identified unit record data) to undertake their own statistical analysis for particular research and/or projects. For more information about access to national data see </w:t>
            </w:r>
            <w:proofErr w:type="spellStart"/>
            <w:r w:rsidRPr="004A1422">
              <w:t>AFAC</w:t>
            </w:r>
            <w:proofErr w:type="spellEnd"/>
            <w:r w:rsidRPr="004A1422">
              <w:t xml:space="preserve"> data requests</w:t>
            </w:r>
            <w:r>
              <w:t xml:space="preserve">. </w:t>
            </w:r>
          </w:p>
        </w:tc>
      </w:tr>
      <w:tr w:rsidR="004A38B5" w:rsidRPr="00254F46" w:rsidTr="00332B70">
        <w:trPr>
          <w:cantSplit/>
          <w:jc w:val="center"/>
        </w:trPr>
        <w:tc>
          <w:tcPr>
            <w:tcW w:w="817" w:type="pct"/>
          </w:tcPr>
          <w:p w:rsidR="004A38B5" w:rsidRPr="00A05229" w:rsidRDefault="004A38B5" w:rsidP="00EA60AD">
            <w:pPr>
              <w:pStyle w:val="DQIRowHeadings"/>
            </w:pPr>
            <w:r w:rsidRPr="00A05229">
              <w:t>Interpret</w:t>
            </w:r>
            <w:r w:rsidR="00332B70">
              <w:softHyphen/>
            </w:r>
            <w:r w:rsidRPr="00A05229">
              <w:t>ability</w:t>
            </w:r>
          </w:p>
        </w:tc>
        <w:tc>
          <w:tcPr>
            <w:tcW w:w="4183" w:type="pct"/>
            <w:gridSpan w:val="2"/>
          </w:tcPr>
          <w:p w:rsidR="004A38B5" w:rsidRDefault="004A38B5" w:rsidP="00EA60AD">
            <w:pPr>
              <w:pStyle w:val="DQITableText"/>
            </w:pPr>
            <w:r>
              <w:t xml:space="preserve">Copies of the complete </w:t>
            </w:r>
            <w:proofErr w:type="spellStart"/>
            <w:r>
              <w:t>AFAC</w:t>
            </w:r>
            <w:proofErr w:type="spellEnd"/>
            <w:r>
              <w:t xml:space="preserve"> AIRS data standard, 1997, are available upon request through </w:t>
            </w:r>
            <w:proofErr w:type="spellStart"/>
            <w:r>
              <w:t>AFAC</w:t>
            </w:r>
            <w:proofErr w:type="spellEnd"/>
            <w:r>
              <w:t xml:space="preserve">. </w:t>
            </w:r>
          </w:p>
          <w:p w:rsidR="004A38B5" w:rsidRDefault="004A38B5" w:rsidP="00EA60AD">
            <w:pPr>
              <w:pStyle w:val="DQITableText"/>
            </w:pPr>
            <w:r>
              <w:t xml:space="preserve">The </w:t>
            </w:r>
            <w:proofErr w:type="spellStart"/>
            <w:r>
              <w:t>AFAC</w:t>
            </w:r>
            <w:proofErr w:type="spellEnd"/>
            <w:r>
              <w:t xml:space="preserve"> knowledge web provides links to a range of related statistics to enable a better understanding of how interrelationships between socio</w:t>
            </w:r>
            <w:r>
              <w:noBreakHyphen/>
              <w:t>demographic, economic, geographic and environmental factors influence emergency incidents.</w:t>
            </w:r>
          </w:p>
          <w:p w:rsidR="004A38B5" w:rsidRPr="006C2C6E" w:rsidRDefault="004A38B5" w:rsidP="00030E96">
            <w:pPr>
              <w:pStyle w:val="TableBodyText"/>
              <w:jc w:val="left"/>
            </w:pPr>
            <w:r w:rsidRPr="0077499F">
              <w:t>Text caveats and chapter footnotes provide additional commentary on data quality, as do the footnotes in the relevant attachment tables.</w:t>
            </w:r>
          </w:p>
        </w:tc>
      </w:tr>
      <w:tr w:rsidR="004A38B5" w:rsidRPr="00254F46" w:rsidTr="00E36D6E">
        <w:trPr>
          <w:cantSplit/>
          <w:jc w:val="center"/>
        </w:trPr>
        <w:tc>
          <w:tcPr>
            <w:tcW w:w="5000" w:type="pct"/>
            <w:gridSpan w:val="3"/>
          </w:tcPr>
          <w:p w:rsidR="004A38B5" w:rsidRPr="00CE3D86" w:rsidRDefault="004A38B5" w:rsidP="00EA60AD">
            <w:pPr>
              <w:pStyle w:val="DQIMainRowHeadings"/>
            </w:pPr>
            <w:r w:rsidRPr="00C744E0">
              <w:t>Data Gaps/Issues Analysis</w:t>
            </w:r>
          </w:p>
        </w:tc>
      </w:tr>
      <w:tr w:rsidR="004A38B5" w:rsidRPr="004F3342" w:rsidTr="00E36D6E">
        <w:trPr>
          <w:cantSplit/>
          <w:jc w:val="center"/>
        </w:trPr>
        <w:tc>
          <w:tcPr>
            <w:tcW w:w="874" w:type="pct"/>
            <w:gridSpan w:val="2"/>
          </w:tcPr>
          <w:p w:rsidR="004A38B5" w:rsidRPr="00A05229" w:rsidRDefault="004A38B5" w:rsidP="00EA60AD">
            <w:pPr>
              <w:pStyle w:val="DQIRowHeadings"/>
            </w:pPr>
            <w:r w:rsidRPr="00A05229">
              <w:t>Key data gaps/issues</w:t>
            </w:r>
          </w:p>
        </w:tc>
        <w:tc>
          <w:tcPr>
            <w:tcW w:w="4126" w:type="pct"/>
          </w:tcPr>
          <w:p w:rsidR="004A38B5" w:rsidRPr="0077499F" w:rsidRDefault="004A38B5" w:rsidP="00EA60AD">
            <w:pPr>
              <w:pStyle w:val="DQITableText"/>
            </w:pPr>
            <w:r w:rsidRPr="0077499F">
              <w:t xml:space="preserve">The Steering Committee notes the following key data gaps/issues: </w:t>
            </w:r>
          </w:p>
          <w:p w:rsidR="004A38B5" w:rsidRPr="0077499F" w:rsidRDefault="004A38B5" w:rsidP="00EA60AD">
            <w:pPr>
              <w:pStyle w:val="DQITableBullet"/>
            </w:pPr>
            <w:r>
              <w:t xml:space="preserve">Confinement of structure fires to room/object of origin is </w:t>
            </w:r>
            <w:r w:rsidRPr="0077499F">
              <w:t>identified on the three point comparability scale as</w:t>
            </w:r>
            <w:r>
              <w:t xml:space="preserve"> ‘n</w:t>
            </w:r>
            <w:r w:rsidRPr="0077499F">
              <w:t>ot complete or not directly comparable</w:t>
            </w:r>
            <w:r>
              <w:t>’</w:t>
            </w:r>
            <w:r w:rsidRPr="0077499F">
              <w:t>.</w:t>
            </w:r>
          </w:p>
          <w:p w:rsidR="004A38B5" w:rsidRDefault="004A38B5" w:rsidP="00EA60AD">
            <w:pPr>
              <w:pStyle w:val="DQITableBullet"/>
            </w:pPr>
            <w:r w:rsidRPr="0077499F">
              <w:t xml:space="preserve">Text caveats note the need for </w:t>
            </w:r>
            <w:r>
              <w:t xml:space="preserve">of confinement to room/object of origin </w:t>
            </w:r>
            <w:r w:rsidRPr="0077499F">
              <w:t>to be ‘interpreted with caution because the data are not strictly co</w:t>
            </w:r>
            <w:r>
              <w:t>mparable across jurisdictions.’</w:t>
            </w:r>
          </w:p>
          <w:p w:rsidR="004A38B5" w:rsidRPr="004F3342" w:rsidRDefault="004A38B5" w:rsidP="00EA60AD">
            <w:pPr>
              <w:pStyle w:val="DQITableText"/>
            </w:pPr>
            <w:r w:rsidRPr="0077499F">
              <w:t>A number of factors are identified as contributing to this lack of comparability, but without detailed analysis of such factors.</w:t>
            </w:r>
          </w:p>
        </w:tc>
      </w:tr>
    </w:tbl>
    <w:p w:rsidR="008E555D" w:rsidRDefault="004A38B5" w:rsidP="004A38B5">
      <w:pPr>
        <w:pStyle w:val="Box"/>
      </w:pPr>
      <w:r w:rsidRPr="00D166B4">
        <w:t xml:space="preserve">The following tables are a summary of each jurisdiction’s compliance in calculating the </w:t>
      </w:r>
      <w:r>
        <w:t xml:space="preserve">of confinement of </w:t>
      </w:r>
      <w:r w:rsidRPr="00D166B4">
        <w:t xml:space="preserve">structure fires </w:t>
      </w:r>
      <w:r>
        <w:t>to room/object of origin</w:t>
      </w:r>
      <w:r w:rsidRPr="00D166B4">
        <w:t>.</w:t>
      </w:r>
      <w:r w:rsidR="008E555D">
        <w:br w:type="page"/>
      </w:r>
    </w:p>
    <w:p w:rsidR="008E555D" w:rsidRDefault="008E555D" w:rsidP="0083205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654"/>
      </w:tblGrid>
      <w:tr w:rsidR="008E555D" w:rsidTr="0083205B">
        <w:tc>
          <w:tcPr>
            <w:tcW w:w="8771" w:type="dxa"/>
            <w:tcBorders>
              <w:top w:val="single" w:sz="6" w:space="0" w:color="78A22F"/>
              <w:left w:val="nil"/>
              <w:bottom w:val="nil"/>
              <w:right w:val="nil"/>
            </w:tcBorders>
            <w:shd w:val="clear" w:color="auto" w:fill="auto"/>
          </w:tcPr>
          <w:p w:rsidR="008E555D" w:rsidRPr="00784A05" w:rsidRDefault="008E555D" w:rsidP="008E555D">
            <w:pPr>
              <w:pStyle w:val="TableTitle"/>
            </w:pPr>
            <w:r w:rsidRPr="003424A1">
              <w:rPr>
                <w:b w:val="0"/>
              </w:rPr>
              <w:t xml:space="preserve">Table </w:t>
            </w:r>
            <w:bookmarkStart w:id="67" w:name="OLE_LINK11"/>
            <w:r w:rsidR="00B560A0">
              <w:rPr>
                <w:b w:val="0"/>
                <w:noProof/>
              </w:rPr>
              <w:t>11</w:t>
            </w:r>
            <w:bookmarkEnd w:id="67"/>
            <w:r>
              <w:tab/>
              <w:t>Confinement rate calculation</w:t>
            </w:r>
          </w:p>
        </w:tc>
      </w:tr>
      <w:tr w:rsidR="008E555D" w:rsidTr="0083205B">
        <w:trPr>
          <w:cantSplit/>
        </w:trPr>
        <w:tc>
          <w:tcPr>
            <w:tcW w:w="8771" w:type="dxa"/>
            <w:tcBorders>
              <w:top w:val="nil"/>
              <w:left w:val="nil"/>
              <w:bottom w:val="nil"/>
              <w:right w:val="nil"/>
            </w:tcBorders>
            <w:shd w:val="clear" w:color="auto" w:fill="auto"/>
          </w:tcPr>
          <w:tbl>
            <w:tblPr>
              <w:tblW w:w="5000" w:type="pct"/>
              <w:tblCellMar>
                <w:left w:w="85" w:type="dxa"/>
                <w:right w:w="57" w:type="dxa"/>
              </w:tblCellMar>
              <w:tblLook w:val="0000" w:firstRow="0" w:lastRow="0" w:firstColumn="0" w:lastColumn="0" w:noHBand="0" w:noVBand="0"/>
            </w:tblPr>
            <w:tblGrid>
              <w:gridCol w:w="674"/>
              <w:gridCol w:w="1681"/>
              <w:gridCol w:w="6015"/>
            </w:tblGrid>
            <w:tr w:rsidR="008E555D" w:rsidTr="00B65787">
              <w:tc>
                <w:tcPr>
                  <w:tcW w:w="403" w:type="pct"/>
                  <w:tcBorders>
                    <w:top w:val="single" w:sz="6" w:space="0" w:color="BFBFBF" w:themeColor="background2"/>
                    <w:bottom w:val="single" w:sz="6" w:space="0" w:color="BFBFBF" w:themeColor="background2"/>
                  </w:tcBorders>
                </w:tcPr>
                <w:p w:rsidR="008E555D" w:rsidRPr="00B65787" w:rsidRDefault="00EE3F05" w:rsidP="001F6175">
                  <w:pPr>
                    <w:pStyle w:val="TableColumnHeading"/>
                    <w:jc w:val="left"/>
                  </w:pPr>
                  <w:r w:rsidRPr="00B65787">
                    <w:t xml:space="preserve"> </w:t>
                  </w:r>
                </w:p>
              </w:tc>
              <w:tc>
                <w:tcPr>
                  <w:tcW w:w="1004" w:type="pct"/>
                  <w:tcBorders>
                    <w:top w:val="single" w:sz="6" w:space="0" w:color="BFBFBF" w:themeColor="background2"/>
                    <w:bottom w:val="single" w:sz="6" w:space="0" w:color="BFBFBF" w:themeColor="background2"/>
                  </w:tcBorders>
                </w:tcPr>
                <w:p w:rsidR="008E555D" w:rsidRPr="00B65787" w:rsidRDefault="008E555D" w:rsidP="001F6175">
                  <w:pPr>
                    <w:pStyle w:val="DQIMainRowHeadings"/>
                    <w:spacing w:before="80" w:after="80"/>
                    <w:ind w:left="-85" w:right="0"/>
                    <w:rPr>
                      <w:b w:val="0"/>
                      <w:i/>
                      <w:u w:val="none"/>
                    </w:rPr>
                  </w:pPr>
                  <w:r w:rsidRPr="00B65787">
                    <w:rPr>
                      <w:b w:val="0"/>
                      <w:i/>
                      <w:u w:val="none"/>
                    </w:rPr>
                    <w:t>Complies with definition</w:t>
                  </w:r>
                </w:p>
              </w:tc>
              <w:tc>
                <w:tcPr>
                  <w:tcW w:w="3593" w:type="pct"/>
                  <w:tcBorders>
                    <w:top w:val="single" w:sz="6" w:space="0" w:color="BFBFBF" w:themeColor="background2"/>
                    <w:bottom w:val="single" w:sz="6" w:space="0" w:color="BFBFBF" w:themeColor="background2"/>
                  </w:tcBorders>
                </w:tcPr>
                <w:p w:rsidR="008E555D" w:rsidRPr="00B65787" w:rsidRDefault="008E555D" w:rsidP="001F6175">
                  <w:pPr>
                    <w:pStyle w:val="DQIMainRowHeadings"/>
                    <w:spacing w:before="80" w:after="80"/>
                    <w:ind w:left="-85" w:right="0"/>
                    <w:rPr>
                      <w:b w:val="0"/>
                      <w:i/>
                      <w:u w:val="none"/>
                    </w:rPr>
                  </w:pPr>
                  <w:r w:rsidRPr="00B65787">
                    <w:rPr>
                      <w:b w:val="0"/>
                      <w:i/>
                      <w:u w:val="none"/>
                    </w:rPr>
                    <w:t>Jurisdiction’s interpretation and/or application of definition that may impact on comparability</w:t>
                  </w:r>
                </w:p>
              </w:tc>
            </w:tr>
            <w:tr w:rsidR="008E555D" w:rsidTr="00B65787">
              <w:tc>
                <w:tcPr>
                  <w:tcW w:w="403" w:type="pct"/>
                  <w:tcBorders>
                    <w:top w:val="single" w:sz="6" w:space="0" w:color="BFBFBF" w:themeColor="background2"/>
                  </w:tcBorders>
                </w:tcPr>
                <w:p w:rsidR="008E555D" w:rsidRDefault="008E555D" w:rsidP="00B65787">
                  <w:pPr>
                    <w:pStyle w:val="DQIRowHeadings"/>
                    <w:ind w:left="-85" w:right="0"/>
                  </w:pPr>
                  <w:r>
                    <w:t>NSW</w:t>
                  </w:r>
                </w:p>
              </w:tc>
              <w:tc>
                <w:tcPr>
                  <w:tcW w:w="1004" w:type="pct"/>
                  <w:tcBorders>
                    <w:top w:val="single" w:sz="6" w:space="0" w:color="BFBFBF" w:themeColor="background2"/>
                  </w:tcBorders>
                </w:tcPr>
                <w:p w:rsidR="008E555D" w:rsidRDefault="008E555D" w:rsidP="00B65787">
                  <w:pPr>
                    <w:pStyle w:val="DQITableText"/>
                    <w:ind w:left="-85"/>
                    <w:jc w:val="left"/>
                  </w:pPr>
                  <w:r>
                    <w:t>Yes</w:t>
                  </w:r>
                </w:p>
              </w:tc>
              <w:tc>
                <w:tcPr>
                  <w:tcW w:w="3593" w:type="pct"/>
                  <w:tcBorders>
                    <w:top w:val="single" w:sz="6" w:space="0" w:color="BFBFBF" w:themeColor="background2"/>
                  </w:tcBorders>
                  <w:vAlign w:val="center"/>
                </w:tcPr>
                <w:p w:rsidR="008E555D" w:rsidRPr="00326D72" w:rsidRDefault="008E555D" w:rsidP="00B65787">
                  <w:pPr>
                    <w:pStyle w:val="DQITableText"/>
                    <w:ind w:left="-85"/>
                    <w:jc w:val="left"/>
                    <w:rPr>
                      <w:rStyle w:val="DraftingNote"/>
                      <w:b w:val="0"/>
                      <w:color w:val="auto"/>
                    </w:rPr>
                  </w:pPr>
                  <w:r w:rsidRPr="004B4B63">
                    <w:t>No further information.</w:t>
                  </w:r>
                </w:p>
              </w:tc>
            </w:tr>
            <w:tr w:rsidR="008E555D" w:rsidTr="00B65787">
              <w:tc>
                <w:tcPr>
                  <w:tcW w:w="403" w:type="pct"/>
                  <w:shd w:val="clear" w:color="auto" w:fill="auto"/>
                </w:tcPr>
                <w:p w:rsidR="008E555D" w:rsidRDefault="008E555D" w:rsidP="00B65787">
                  <w:pPr>
                    <w:pStyle w:val="DQIRowHeadings"/>
                    <w:ind w:left="-85" w:right="0"/>
                  </w:pPr>
                  <w:r>
                    <w:t>Vic</w:t>
                  </w:r>
                </w:p>
              </w:tc>
              <w:tc>
                <w:tcPr>
                  <w:tcW w:w="1004" w:type="pct"/>
                  <w:shd w:val="clear" w:color="auto" w:fill="auto"/>
                </w:tcPr>
                <w:p w:rsidR="008E555D" w:rsidRDefault="0075208F" w:rsidP="0075208F">
                  <w:pPr>
                    <w:pStyle w:val="DQITableText"/>
                    <w:ind w:left="-85"/>
                    <w:jc w:val="left"/>
                  </w:pPr>
                  <w:r>
                    <w:t>Yes</w:t>
                  </w:r>
                </w:p>
              </w:tc>
              <w:tc>
                <w:tcPr>
                  <w:tcW w:w="3593" w:type="pct"/>
                  <w:shd w:val="clear" w:color="auto" w:fill="auto"/>
                </w:tcPr>
                <w:p w:rsidR="008E555D" w:rsidRDefault="00A36B79" w:rsidP="00B65787">
                  <w:pPr>
                    <w:pStyle w:val="DQITableText"/>
                    <w:ind w:left="-85"/>
                    <w:jc w:val="left"/>
                  </w:pPr>
                  <w:r>
                    <w:t>No further information</w:t>
                  </w:r>
                  <w:r w:rsidR="006F62F7">
                    <w:t>.</w:t>
                  </w:r>
                </w:p>
              </w:tc>
            </w:tr>
            <w:tr w:rsidR="008E555D" w:rsidTr="00B65787">
              <w:tc>
                <w:tcPr>
                  <w:tcW w:w="403" w:type="pct"/>
                </w:tcPr>
                <w:p w:rsidR="008E555D" w:rsidRDefault="008E555D" w:rsidP="00B65787">
                  <w:pPr>
                    <w:pStyle w:val="DQIRowHeadings"/>
                    <w:ind w:left="-85" w:right="0"/>
                  </w:pPr>
                  <w:r>
                    <w:t>Qld</w:t>
                  </w:r>
                </w:p>
              </w:tc>
              <w:tc>
                <w:tcPr>
                  <w:tcW w:w="1004" w:type="pct"/>
                </w:tcPr>
                <w:p w:rsidR="008E555D" w:rsidRDefault="008E555D" w:rsidP="00B65787">
                  <w:pPr>
                    <w:pStyle w:val="DQITableText"/>
                    <w:ind w:left="-85"/>
                    <w:jc w:val="left"/>
                  </w:pPr>
                  <w:r>
                    <w:t>Yes</w:t>
                  </w:r>
                </w:p>
              </w:tc>
              <w:tc>
                <w:tcPr>
                  <w:tcW w:w="3593" w:type="pct"/>
                </w:tcPr>
                <w:p w:rsidR="008E555D" w:rsidRDefault="008E555D" w:rsidP="00B65787">
                  <w:pPr>
                    <w:pStyle w:val="DQITableText"/>
                    <w:ind w:left="-85"/>
                    <w:jc w:val="left"/>
                  </w:pPr>
                  <w:r w:rsidRPr="00326D72">
                    <w:t xml:space="preserve">Structure fires </w:t>
                  </w:r>
                  <w:r w:rsidRPr="00326D72">
                    <w:rPr>
                      <w:i/>
                    </w:rPr>
                    <w:t>within</w:t>
                  </w:r>
                  <w:r w:rsidRPr="00326D72">
                    <w:t xml:space="preserve"> the Urban Levy Boundary are </w:t>
                  </w:r>
                  <w:r>
                    <w:t>i</w:t>
                  </w:r>
                  <w:r w:rsidRPr="00326D72">
                    <w:t>ncluded.</w:t>
                  </w:r>
                </w:p>
                <w:p w:rsidR="008E555D" w:rsidRDefault="008E555D" w:rsidP="00B65787">
                  <w:pPr>
                    <w:pStyle w:val="DQITableText"/>
                    <w:ind w:left="-85"/>
                    <w:jc w:val="left"/>
                  </w:pPr>
                  <w:r w:rsidRPr="00326D72">
                    <w:t>Excluded are non</w:t>
                  </w:r>
                  <w:r>
                    <w:noBreakHyphen/>
                  </w:r>
                  <w:r w:rsidRPr="00326D72">
                    <w:t xml:space="preserve">emergency calls and those where </w:t>
                  </w:r>
                  <w:proofErr w:type="spellStart"/>
                  <w:r w:rsidR="00B113A4">
                    <w:t>QFES</w:t>
                  </w:r>
                  <w:proofErr w:type="spellEnd"/>
                  <w:r w:rsidRPr="00326D72">
                    <w:t xml:space="preserve"> experience delays due to either extreme weather conditions or where the initial response was by another agency or brigade</w:t>
                  </w:r>
                  <w:r>
                    <w:t>.</w:t>
                  </w:r>
                </w:p>
              </w:tc>
            </w:tr>
            <w:tr w:rsidR="008E555D" w:rsidTr="00B65787">
              <w:tc>
                <w:tcPr>
                  <w:tcW w:w="403" w:type="pct"/>
                </w:tcPr>
                <w:p w:rsidR="008E555D" w:rsidRDefault="008E555D" w:rsidP="00B65787">
                  <w:pPr>
                    <w:pStyle w:val="DQIRowHeadings"/>
                    <w:ind w:left="-85" w:right="0"/>
                  </w:pPr>
                  <w:r>
                    <w:t>WA</w:t>
                  </w:r>
                </w:p>
              </w:tc>
              <w:tc>
                <w:tcPr>
                  <w:tcW w:w="1004" w:type="pct"/>
                </w:tcPr>
                <w:p w:rsidR="008E555D" w:rsidRDefault="008E555D" w:rsidP="00B65787">
                  <w:pPr>
                    <w:pStyle w:val="DQITableText"/>
                    <w:ind w:left="-85"/>
                    <w:jc w:val="left"/>
                  </w:pPr>
                  <w:r>
                    <w:t>Yes</w:t>
                  </w:r>
                </w:p>
              </w:tc>
              <w:tc>
                <w:tcPr>
                  <w:tcW w:w="3593" w:type="pct"/>
                </w:tcPr>
                <w:p w:rsidR="008E555D" w:rsidRDefault="008E555D" w:rsidP="00B65787">
                  <w:pPr>
                    <w:pStyle w:val="DQITableText"/>
                    <w:ind w:left="-85"/>
                    <w:jc w:val="left"/>
                  </w:pPr>
                  <w:r>
                    <w:t xml:space="preserve">Blanks </w:t>
                  </w:r>
                  <w:r w:rsidRPr="00DC040E">
                    <w:t xml:space="preserve">in both the numerator and denominator are </w:t>
                  </w:r>
                  <w:r>
                    <w:t>ex</w:t>
                  </w:r>
                  <w:r w:rsidRPr="00DC040E">
                    <w:t>cluded.</w:t>
                  </w:r>
                  <w:r>
                    <w:t xml:space="preserve"> </w:t>
                  </w:r>
                  <w:r w:rsidRPr="009D395A">
                    <w:t>Only structure fires originating inside a building are included in the calculation.</w:t>
                  </w:r>
                </w:p>
              </w:tc>
            </w:tr>
            <w:tr w:rsidR="008E555D" w:rsidTr="00B65787">
              <w:tc>
                <w:tcPr>
                  <w:tcW w:w="403" w:type="pct"/>
                  <w:shd w:val="clear" w:color="auto" w:fill="auto"/>
                </w:tcPr>
                <w:p w:rsidR="008E555D" w:rsidRDefault="008E555D" w:rsidP="00B65787">
                  <w:pPr>
                    <w:pStyle w:val="DQIRowHeadings"/>
                    <w:ind w:left="-85" w:right="0"/>
                  </w:pPr>
                  <w:r>
                    <w:t>SA</w:t>
                  </w:r>
                </w:p>
              </w:tc>
              <w:tc>
                <w:tcPr>
                  <w:tcW w:w="1004" w:type="pct"/>
                  <w:shd w:val="clear" w:color="auto" w:fill="auto"/>
                </w:tcPr>
                <w:p w:rsidR="008E555D" w:rsidRDefault="008E555D" w:rsidP="00B65787">
                  <w:pPr>
                    <w:pStyle w:val="DQITableText"/>
                    <w:ind w:left="-85"/>
                    <w:jc w:val="left"/>
                  </w:pPr>
                  <w:proofErr w:type="spellStart"/>
                  <w:r>
                    <w:t>na</w:t>
                  </w:r>
                  <w:proofErr w:type="spellEnd"/>
                </w:p>
              </w:tc>
              <w:tc>
                <w:tcPr>
                  <w:tcW w:w="3593" w:type="pct"/>
                  <w:shd w:val="clear" w:color="auto" w:fill="auto"/>
                </w:tcPr>
                <w:p w:rsidR="008E555D" w:rsidRDefault="008E555D" w:rsidP="00B65787">
                  <w:pPr>
                    <w:pStyle w:val="DQITableText"/>
                    <w:ind w:left="-85"/>
                    <w:jc w:val="left"/>
                  </w:pPr>
                  <w:proofErr w:type="spellStart"/>
                  <w:r>
                    <w:t>na</w:t>
                  </w:r>
                  <w:proofErr w:type="spellEnd"/>
                </w:p>
              </w:tc>
            </w:tr>
            <w:tr w:rsidR="008E555D" w:rsidTr="00B65787">
              <w:tc>
                <w:tcPr>
                  <w:tcW w:w="403" w:type="pct"/>
                </w:tcPr>
                <w:p w:rsidR="008E555D" w:rsidRDefault="008E555D" w:rsidP="00B65787">
                  <w:pPr>
                    <w:pStyle w:val="DQIRowHeadings"/>
                    <w:ind w:left="-85" w:right="0"/>
                  </w:pPr>
                  <w:proofErr w:type="spellStart"/>
                  <w:r>
                    <w:t>Tas</w:t>
                  </w:r>
                  <w:proofErr w:type="spellEnd"/>
                </w:p>
              </w:tc>
              <w:tc>
                <w:tcPr>
                  <w:tcW w:w="1004" w:type="pct"/>
                </w:tcPr>
                <w:p w:rsidR="008E555D" w:rsidRDefault="008E555D" w:rsidP="00B65787">
                  <w:pPr>
                    <w:pStyle w:val="DQITableText"/>
                    <w:ind w:left="-85"/>
                    <w:jc w:val="left"/>
                  </w:pPr>
                  <w:r>
                    <w:t>Yes</w:t>
                  </w:r>
                </w:p>
              </w:tc>
              <w:tc>
                <w:tcPr>
                  <w:tcW w:w="3593" w:type="pct"/>
                </w:tcPr>
                <w:p w:rsidR="008E555D" w:rsidRDefault="008E555D" w:rsidP="00B65787">
                  <w:pPr>
                    <w:pStyle w:val="DQITableText"/>
                    <w:ind w:left="-85"/>
                    <w:jc w:val="left"/>
                  </w:pPr>
                  <w:r>
                    <w:t xml:space="preserve">All fires coded as a ‘building fire’ (AIRS code </w:t>
                  </w:r>
                  <w:proofErr w:type="spellStart"/>
                  <w:r>
                    <w:t>A23</w:t>
                  </w:r>
                  <w:proofErr w:type="spellEnd"/>
                  <w:r>
                    <w:t xml:space="preserve"> Type of Incident 110 – 119) </w:t>
                  </w:r>
                </w:p>
                <w:p w:rsidR="008E555D" w:rsidRDefault="008E555D" w:rsidP="00B65787">
                  <w:pPr>
                    <w:pStyle w:val="DQITableText"/>
                    <w:ind w:left="-85"/>
                    <w:jc w:val="left"/>
                  </w:pPr>
                  <w:r>
                    <w:t>are included.</w:t>
                  </w:r>
                </w:p>
                <w:p w:rsidR="008E555D" w:rsidRDefault="008E555D" w:rsidP="00B65787">
                  <w:pPr>
                    <w:pStyle w:val="DQITableText"/>
                    <w:ind w:left="-85"/>
                    <w:jc w:val="left"/>
                  </w:pPr>
                  <w:r>
                    <w:t xml:space="preserve">Blanks </w:t>
                  </w:r>
                  <w:r w:rsidRPr="00DC040E">
                    <w:t xml:space="preserve">in both the numerator and denominator are </w:t>
                  </w:r>
                  <w:r>
                    <w:t>ex</w:t>
                  </w:r>
                  <w:r w:rsidRPr="00DC040E">
                    <w:t>cluded.</w:t>
                  </w:r>
                </w:p>
              </w:tc>
            </w:tr>
            <w:tr w:rsidR="008E555D" w:rsidTr="00B65787">
              <w:tc>
                <w:tcPr>
                  <w:tcW w:w="403" w:type="pct"/>
                </w:tcPr>
                <w:p w:rsidR="008E555D" w:rsidRPr="00436941" w:rsidRDefault="008E555D" w:rsidP="00B65787">
                  <w:pPr>
                    <w:pStyle w:val="DQIRowHeadings"/>
                    <w:ind w:left="-85" w:right="0"/>
                  </w:pPr>
                  <w:r w:rsidRPr="00436941">
                    <w:t>ACT</w:t>
                  </w:r>
                </w:p>
              </w:tc>
              <w:tc>
                <w:tcPr>
                  <w:tcW w:w="1004" w:type="pct"/>
                </w:tcPr>
                <w:p w:rsidR="008E555D" w:rsidRDefault="008E555D" w:rsidP="00B65787">
                  <w:pPr>
                    <w:pStyle w:val="DQITableText"/>
                    <w:ind w:left="-85"/>
                    <w:jc w:val="left"/>
                  </w:pPr>
                  <w:r>
                    <w:t>Yes</w:t>
                  </w:r>
                </w:p>
              </w:tc>
              <w:tc>
                <w:tcPr>
                  <w:tcW w:w="3593" w:type="pct"/>
                </w:tcPr>
                <w:p w:rsidR="008E555D" w:rsidRDefault="008E555D" w:rsidP="00B65787">
                  <w:pPr>
                    <w:pStyle w:val="DQITableText"/>
                    <w:ind w:left="-85"/>
                    <w:jc w:val="left"/>
                  </w:pPr>
                  <w:r w:rsidRPr="00DC040E">
                    <w:t xml:space="preserve">Blanks in both the numerator and denominator are </w:t>
                  </w:r>
                  <w:r>
                    <w:t>ex</w:t>
                  </w:r>
                  <w:r w:rsidRPr="00DC040E">
                    <w:t>cluded.</w:t>
                  </w:r>
                </w:p>
              </w:tc>
            </w:tr>
            <w:tr w:rsidR="008E555D" w:rsidTr="00B65787">
              <w:tc>
                <w:tcPr>
                  <w:tcW w:w="403" w:type="pct"/>
                  <w:tcBorders>
                    <w:bottom w:val="single" w:sz="6" w:space="0" w:color="BFBFBF" w:themeColor="background2"/>
                  </w:tcBorders>
                  <w:shd w:val="clear" w:color="auto" w:fill="auto"/>
                </w:tcPr>
                <w:p w:rsidR="008E555D" w:rsidRDefault="008E555D" w:rsidP="00B65787">
                  <w:pPr>
                    <w:pStyle w:val="DQIRowHeadings"/>
                    <w:ind w:left="-85" w:right="0"/>
                  </w:pPr>
                  <w:r>
                    <w:t>NT</w:t>
                  </w:r>
                </w:p>
              </w:tc>
              <w:tc>
                <w:tcPr>
                  <w:tcW w:w="1004" w:type="pct"/>
                  <w:tcBorders>
                    <w:bottom w:val="single" w:sz="6" w:space="0" w:color="BFBFBF" w:themeColor="background2"/>
                  </w:tcBorders>
                  <w:shd w:val="clear" w:color="auto" w:fill="auto"/>
                </w:tcPr>
                <w:p w:rsidR="008E555D" w:rsidRDefault="008E555D" w:rsidP="00B65787">
                  <w:pPr>
                    <w:pStyle w:val="DQITableText"/>
                    <w:ind w:left="-85"/>
                    <w:jc w:val="left"/>
                  </w:pPr>
                  <w:proofErr w:type="spellStart"/>
                  <w:r>
                    <w:t>na</w:t>
                  </w:r>
                  <w:proofErr w:type="spellEnd"/>
                </w:p>
              </w:tc>
              <w:tc>
                <w:tcPr>
                  <w:tcW w:w="3593" w:type="pct"/>
                  <w:tcBorders>
                    <w:bottom w:val="single" w:sz="6" w:space="0" w:color="BFBFBF" w:themeColor="background2"/>
                  </w:tcBorders>
                  <w:shd w:val="clear" w:color="auto" w:fill="auto"/>
                </w:tcPr>
                <w:p w:rsidR="008E555D" w:rsidRDefault="008E555D" w:rsidP="00B65787">
                  <w:pPr>
                    <w:pStyle w:val="DQITableText"/>
                    <w:ind w:left="-85"/>
                    <w:jc w:val="left"/>
                  </w:pPr>
                  <w:proofErr w:type="spellStart"/>
                  <w:r>
                    <w:t>na</w:t>
                  </w:r>
                  <w:proofErr w:type="spellEnd"/>
                </w:p>
              </w:tc>
            </w:tr>
          </w:tbl>
          <w:p w:rsidR="008E555D" w:rsidRDefault="008E555D" w:rsidP="0083205B">
            <w:pPr>
              <w:pStyle w:val="Box"/>
            </w:pPr>
          </w:p>
        </w:tc>
      </w:tr>
      <w:tr w:rsidR="009B76BC" w:rsidTr="00EF3552">
        <w:trPr>
          <w:cantSplit/>
        </w:trPr>
        <w:tc>
          <w:tcPr>
            <w:tcW w:w="8771" w:type="dxa"/>
            <w:tcBorders>
              <w:top w:val="nil"/>
              <w:left w:val="nil"/>
              <w:bottom w:val="nil"/>
              <w:right w:val="nil"/>
            </w:tcBorders>
            <w:shd w:val="clear" w:color="auto" w:fill="auto"/>
          </w:tcPr>
          <w:p w:rsidR="009B76BC" w:rsidRPr="00521B8E" w:rsidRDefault="009B76BC" w:rsidP="00EF3552">
            <w:pPr>
              <w:pStyle w:val="Note"/>
              <w:rPr>
                <w:b/>
              </w:rPr>
            </w:pPr>
            <w:proofErr w:type="spellStart"/>
            <w:r w:rsidRPr="00521B8E">
              <w:rPr>
                <w:b/>
              </w:rPr>
              <w:t>na</w:t>
            </w:r>
            <w:proofErr w:type="spellEnd"/>
            <w:r w:rsidRPr="00521B8E">
              <w:rPr>
                <w:b/>
              </w:rPr>
              <w:t xml:space="preserve"> </w:t>
            </w:r>
            <w:r w:rsidRPr="00521B8E">
              <w:t>Not available.</w:t>
            </w:r>
          </w:p>
        </w:tc>
      </w:tr>
      <w:tr w:rsidR="008E555D" w:rsidTr="0083205B">
        <w:trPr>
          <w:cantSplit/>
        </w:trPr>
        <w:tc>
          <w:tcPr>
            <w:tcW w:w="8771" w:type="dxa"/>
            <w:tcBorders>
              <w:top w:val="nil"/>
              <w:left w:val="nil"/>
              <w:bottom w:val="nil"/>
              <w:right w:val="nil"/>
            </w:tcBorders>
            <w:shd w:val="clear" w:color="auto" w:fill="auto"/>
          </w:tcPr>
          <w:p w:rsidR="008E555D" w:rsidRDefault="008E555D" w:rsidP="008E555D">
            <w:pPr>
              <w:pStyle w:val="Source"/>
              <w:keepNext/>
            </w:pPr>
            <w:r>
              <w:rPr>
                <w:i/>
              </w:rPr>
              <w:t>Source</w:t>
            </w:r>
            <w:r>
              <w:t>: State and Territory governments.</w:t>
            </w:r>
          </w:p>
        </w:tc>
      </w:tr>
      <w:tr w:rsidR="008E555D" w:rsidTr="0083205B">
        <w:trPr>
          <w:cantSplit/>
        </w:trPr>
        <w:tc>
          <w:tcPr>
            <w:tcW w:w="8771" w:type="dxa"/>
            <w:tcBorders>
              <w:top w:val="nil"/>
              <w:left w:val="nil"/>
              <w:bottom w:val="single" w:sz="6" w:space="0" w:color="78A22F"/>
              <w:right w:val="nil"/>
            </w:tcBorders>
            <w:shd w:val="clear" w:color="auto" w:fill="auto"/>
          </w:tcPr>
          <w:p w:rsidR="008E555D" w:rsidRDefault="008E555D" w:rsidP="0083205B">
            <w:pPr>
              <w:pStyle w:val="Box"/>
              <w:spacing w:before="0" w:line="120" w:lineRule="exact"/>
            </w:pPr>
          </w:p>
        </w:tc>
      </w:tr>
      <w:tr w:rsidR="008E555D" w:rsidRPr="000863A5" w:rsidTr="0083205B">
        <w:tc>
          <w:tcPr>
            <w:tcW w:w="8771" w:type="dxa"/>
            <w:tcBorders>
              <w:top w:val="single" w:sz="6" w:space="0" w:color="78A22F"/>
              <w:left w:val="nil"/>
              <w:bottom w:val="nil"/>
              <w:right w:val="nil"/>
            </w:tcBorders>
          </w:tcPr>
          <w:p w:rsidR="008E555D" w:rsidRPr="00626D32" w:rsidRDefault="008E555D" w:rsidP="0083205B">
            <w:pPr>
              <w:pStyle w:val="BoxSpaceBelow"/>
            </w:pPr>
          </w:p>
        </w:tc>
      </w:tr>
    </w:tbl>
    <w:p w:rsidR="0071317D" w:rsidRDefault="0071317D" w:rsidP="0083205B">
      <w:pPr>
        <w:pStyle w:val="BoxSpaceAbove"/>
      </w:pPr>
    </w:p>
    <w:tbl>
      <w:tblPr>
        <w:tblW w:w="8786"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6"/>
      </w:tblGrid>
      <w:tr w:rsidR="0071317D" w:rsidTr="00B65787">
        <w:tc>
          <w:tcPr>
            <w:tcW w:w="8786" w:type="dxa"/>
            <w:tcBorders>
              <w:top w:val="single" w:sz="6" w:space="0" w:color="78A22F"/>
              <w:left w:val="nil"/>
              <w:bottom w:val="nil"/>
              <w:right w:val="nil"/>
            </w:tcBorders>
            <w:shd w:val="clear" w:color="auto" w:fill="auto"/>
          </w:tcPr>
          <w:p w:rsidR="0071317D" w:rsidRPr="00784A05" w:rsidRDefault="009E0CDF" w:rsidP="009E0CDF">
            <w:pPr>
              <w:pStyle w:val="TableTitle"/>
            </w:pPr>
            <w:r w:rsidRPr="005C5518">
              <w:rPr>
                <w:b w:val="0"/>
              </w:rPr>
              <w:t xml:space="preserve">Table </w:t>
            </w:r>
            <w:bookmarkStart w:id="68" w:name="OLE_LINK12"/>
            <w:r w:rsidR="00B560A0">
              <w:rPr>
                <w:b w:val="0"/>
                <w:noProof/>
              </w:rPr>
              <w:t>12</w:t>
            </w:r>
            <w:bookmarkEnd w:id="68"/>
            <w:r>
              <w:tab/>
            </w:r>
            <w:r w:rsidRPr="008553B3">
              <w:t xml:space="preserve">Data </w:t>
            </w:r>
            <w:r w:rsidRPr="006A5446">
              <w:t>completeness</w:t>
            </w:r>
          </w:p>
        </w:tc>
      </w:tr>
      <w:tr w:rsidR="0071317D" w:rsidTr="00B65787">
        <w:trPr>
          <w:cantSplit/>
        </w:trPr>
        <w:tc>
          <w:tcPr>
            <w:tcW w:w="8786" w:type="dxa"/>
            <w:tcBorders>
              <w:top w:val="nil"/>
              <w:left w:val="nil"/>
              <w:bottom w:val="nil"/>
              <w:right w:val="nil"/>
            </w:tcBorders>
            <w:shd w:val="clear" w:color="auto" w:fill="auto"/>
          </w:tcPr>
          <w:tbl>
            <w:tblPr>
              <w:tblW w:w="8483" w:type="dxa"/>
              <w:tblCellMar>
                <w:left w:w="85" w:type="dxa"/>
                <w:right w:w="57" w:type="dxa"/>
              </w:tblCellMar>
              <w:tblLook w:val="0000" w:firstRow="0" w:lastRow="0" w:firstColumn="0" w:lastColumn="0" w:noHBand="0" w:noVBand="0"/>
            </w:tblPr>
            <w:tblGrid>
              <w:gridCol w:w="709"/>
              <w:gridCol w:w="1679"/>
              <w:gridCol w:w="2268"/>
              <w:gridCol w:w="3827"/>
            </w:tblGrid>
            <w:tr w:rsidR="0071317D" w:rsidTr="00B65787">
              <w:tc>
                <w:tcPr>
                  <w:tcW w:w="709" w:type="dxa"/>
                  <w:tcBorders>
                    <w:top w:val="single" w:sz="6" w:space="0" w:color="BFBFBF" w:themeColor="background2"/>
                    <w:bottom w:val="single" w:sz="6" w:space="0" w:color="BFBFBF" w:themeColor="background2"/>
                  </w:tcBorders>
                  <w:shd w:val="clear" w:color="auto" w:fill="auto"/>
                </w:tcPr>
                <w:p w:rsidR="0071317D" w:rsidRDefault="0071317D" w:rsidP="001F6175">
                  <w:pPr>
                    <w:pStyle w:val="TableColumnHeading"/>
                    <w:jc w:val="left"/>
                  </w:pPr>
                </w:p>
              </w:tc>
              <w:tc>
                <w:tcPr>
                  <w:tcW w:w="1679" w:type="dxa"/>
                  <w:tcBorders>
                    <w:top w:val="single" w:sz="6" w:space="0" w:color="BFBFBF" w:themeColor="background2"/>
                    <w:bottom w:val="single" w:sz="6" w:space="0" w:color="BFBFBF" w:themeColor="background2"/>
                  </w:tcBorders>
                  <w:shd w:val="clear" w:color="auto" w:fill="auto"/>
                </w:tcPr>
                <w:p w:rsidR="0071317D" w:rsidRPr="00B65787" w:rsidRDefault="0071317D" w:rsidP="001F6175">
                  <w:pPr>
                    <w:pStyle w:val="DQIMainRowHeadings"/>
                    <w:spacing w:before="80" w:after="80"/>
                    <w:ind w:left="-85" w:right="0"/>
                    <w:rPr>
                      <w:b w:val="0"/>
                      <w:i/>
                      <w:u w:val="none"/>
                    </w:rPr>
                  </w:pPr>
                  <w:r w:rsidRPr="00B65787">
                    <w:rPr>
                      <w:b w:val="0"/>
                      <w:i/>
                      <w:u w:val="none"/>
                    </w:rPr>
                    <w:t>Volunteer brigade data included?</w:t>
                  </w:r>
                </w:p>
              </w:tc>
              <w:tc>
                <w:tcPr>
                  <w:tcW w:w="2268" w:type="dxa"/>
                  <w:tcBorders>
                    <w:top w:val="single" w:sz="6" w:space="0" w:color="BFBFBF" w:themeColor="background2"/>
                    <w:bottom w:val="single" w:sz="6" w:space="0" w:color="BFBFBF" w:themeColor="background2"/>
                  </w:tcBorders>
                  <w:shd w:val="clear" w:color="auto" w:fill="auto"/>
                </w:tcPr>
                <w:p w:rsidR="0071317D" w:rsidRPr="00B65787" w:rsidRDefault="0071317D" w:rsidP="001F6175">
                  <w:pPr>
                    <w:pStyle w:val="DQIMainRowHeadings"/>
                    <w:spacing w:before="80" w:after="80"/>
                    <w:ind w:left="-85" w:right="0"/>
                    <w:rPr>
                      <w:b w:val="0"/>
                      <w:i/>
                      <w:u w:val="none"/>
                    </w:rPr>
                  </w:pPr>
                  <w:r w:rsidRPr="00B65787">
                    <w:rPr>
                      <w:b w:val="0"/>
                      <w:i/>
                      <w:u w:val="none"/>
                    </w:rPr>
                    <w:t>Urban and rural areas included</w:t>
                  </w:r>
                </w:p>
              </w:tc>
              <w:tc>
                <w:tcPr>
                  <w:tcW w:w="3827" w:type="dxa"/>
                  <w:tcBorders>
                    <w:top w:val="single" w:sz="6" w:space="0" w:color="BFBFBF" w:themeColor="background2"/>
                    <w:bottom w:val="single" w:sz="6" w:space="0" w:color="BFBFBF" w:themeColor="background2"/>
                  </w:tcBorders>
                  <w:shd w:val="clear" w:color="auto" w:fill="auto"/>
                </w:tcPr>
                <w:p w:rsidR="0071317D" w:rsidRPr="00B65787" w:rsidRDefault="0071317D" w:rsidP="001F6175">
                  <w:pPr>
                    <w:pStyle w:val="DQIMainRowHeadings"/>
                    <w:spacing w:before="80" w:after="80"/>
                    <w:ind w:left="-85" w:right="0"/>
                    <w:rPr>
                      <w:b w:val="0"/>
                      <w:i/>
                      <w:u w:val="none"/>
                    </w:rPr>
                  </w:pPr>
                  <w:r w:rsidRPr="00B65787">
                    <w:rPr>
                      <w:b w:val="0"/>
                      <w:i/>
                      <w:u w:val="none"/>
                    </w:rPr>
                    <w:t>Other information relating to data completeness</w:t>
                  </w:r>
                </w:p>
              </w:tc>
            </w:tr>
            <w:tr w:rsidR="0071317D" w:rsidTr="00B65787">
              <w:tc>
                <w:tcPr>
                  <w:tcW w:w="709" w:type="dxa"/>
                  <w:tcBorders>
                    <w:top w:val="single" w:sz="6" w:space="0" w:color="BFBFBF" w:themeColor="background2"/>
                  </w:tcBorders>
                </w:tcPr>
                <w:p w:rsidR="0071317D" w:rsidRDefault="0071317D" w:rsidP="00B65787">
                  <w:pPr>
                    <w:pStyle w:val="DQIRowHeadings"/>
                    <w:ind w:left="-85" w:right="0"/>
                  </w:pPr>
                  <w:r>
                    <w:t>NSW</w:t>
                  </w:r>
                </w:p>
              </w:tc>
              <w:tc>
                <w:tcPr>
                  <w:tcW w:w="1679" w:type="dxa"/>
                  <w:tcBorders>
                    <w:top w:val="single" w:sz="6" w:space="0" w:color="BFBFBF" w:themeColor="background2"/>
                  </w:tcBorders>
                </w:tcPr>
                <w:p w:rsidR="0071317D" w:rsidRDefault="0071317D" w:rsidP="00B65787">
                  <w:pPr>
                    <w:pStyle w:val="DQITableText"/>
                    <w:ind w:left="-85"/>
                    <w:jc w:val="left"/>
                  </w:pPr>
                  <w:r>
                    <w:t>Yes</w:t>
                  </w:r>
                </w:p>
              </w:tc>
              <w:tc>
                <w:tcPr>
                  <w:tcW w:w="2268" w:type="dxa"/>
                  <w:tcBorders>
                    <w:top w:val="single" w:sz="6" w:space="0" w:color="BFBFBF" w:themeColor="background2"/>
                  </w:tcBorders>
                </w:tcPr>
                <w:p w:rsidR="0071317D" w:rsidRDefault="0071317D" w:rsidP="00B65787">
                  <w:pPr>
                    <w:pStyle w:val="DQITableText"/>
                    <w:ind w:left="-85"/>
                    <w:jc w:val="left"/>
                  </w:pPr>
                  <w:r>
                    <w:t>Yes</w:t>
                  </w:r>
                </w:p>
              </w:tc>
              <w:tc>
                <w:tcPr>
                  <w:tcW w:w="3827" w:type="dxa"/>
                  <w:tcBorders>
                    <w:top w:val="single" w:sz="6" w:space="0" w:color="BFBFBF" w:themeColor="background2"/>
                  </w:tcBorders>
                </w:tcPr>
                <w:p w:rsidR="0071317D" w:rsidRDefault="0071317D" w:rsidP="00B65787">
                  <w:pPr>
                    <w:pStyle w:val="DQITableText"/>
                    <w:ind w:left="-85"/>
                    <w:jc w:val="left"/>
                  </w:pPr>
                  <w:r>
                    <w:t>No further information.</w:t>
                  </w:r>
                </w:p>
              </w:tc>
            </w:tr>
            <w:tr w:rsidR="0071317D" w:rsidTr="00B65787">
              <w:tc>
                <w:tcPr>
                  <w:tcW w:w="709" w:type="dxa"/>
                  <w:shd w:val="clear" w:color="auto" w:fill="auto"/>
                </w:tcPr>
                <w:p w:rsidR="0071317D" w:rsidRDefault="0071317D" w:rsidP="00B65787">
                  <w:pPr>
                    <w:pStyle w:val="DQIRowHeadings"/>
                    <w:ind w:left="-85" w:right="0"/>
                  </w:pPr>
                  <w:r>
                    <w:t>Vic</w:t>
                  </w:r>
                </w:p>
              </w:tc>
              <w:tc>
                <w:tcPr>
                  <w:tcW w:w="1679" w:type="dxa"/>
                  <w:shd w:val="clear" w:color="auto" w:fill="auto"/>
                </w:tcPr>
                <w:p w:rsidR="0071317D" w:rsidRDefault="0071317D" w:rsidP="00B65787">
                  <w:pPr>
                    <w:pStyle w:val="DQITableText"/>
                    <w:ind w:left="-85"/>
                    <w:jc w:val="left"/>
                  </w:pPr>
                  <w:proofErr w:type="spellStart"/>
                  <w:r>
                    <w:t>na</w:t>
                  </w:r>
                  <w:proofErr w:type="spellEnd"/>
                </w:p>
              </w:tc>
              <w:tc>
                <w:tcPr>
                  <w:tcW w:w="2268" w:type="dxa"/>
                  <w:shd w:val="clear" w:color="auto" w:fill="auto"/>
                </w:tcPr>
                <w:p w:rsidR="0071317D" w:rsidRDefault="0071317D" w:rsidP="00B65787">
                  <w:pPr>
                    <w:pStyle w:val="DQITableText"/>
                    <w:ind w:left="-85"/>
                    <w:jc w:val="left"/>
                  </w:pPr>
                  <w:proofErr w:type="spellStart"/>
                  <w:r>
                    <w:t>na</w:t>
                  </w:r>
                  <w:proofErr w:type="spellEnd"/>
                </w:p>
              </w:tc>
              <w:tc>
                <w:tcPr>
                  <w:tcW w:w="3827" w:type="dxa"/>
                  <w:shd w:val="clear" w:color="auto" w:fill="auto"/>
                </w:tcPr>
                <w:p w:rsidR="0071317D" w:rsidRDefault="0071317D" w:rsidP="00B65787">
                  <w:pPr>
                    <w:pStyle w:val="DQITableText"/>
                    <w:ind w:left="-85"/>
                    <w:jc w:val="left"/>
                  </w:pPr>
                </w:p>
              </w:tc>
            </w:tr>
            <w:tr w:rsidR="0071317D" w:rsidTr="00B65787">
              <w:tc>
                <w:tcPr>
                  <w:tcW w:w="709" w:type="dxa"/>
                </w:tcPr>
                <w:p w:rsidR="0071317D" w:rsidRDefault="0071317D" w:rsidP="00B65787">
                  <w:pPr>
                    <w:pStyle w:val="DQIRowHeadings"/>
                    <w:ind w:left="-85" w:right="0"/>
                  </w:pPr>
                  <w:r>
                    <w:t>Qld</w:t>
                  </w:r>
                </w:p>
              </w:tc>
              <w:tc>
                <w:tcPr>
                  <w:tcW w:w="1679" w:type="dxa"/>
                </w:tcPr>
                <w:p w:rsidR="0071317D" w:rsidRDefault="0071317D" w:rsidP="00B65787">
                  <w:pPr>
                    <w:pStyle w:val="DQITableText"/>
                    <w:ind w:left="-85"/>
                    <w:jc w:val="left"/>
                  </w:pPr>
                  <w:r>
                    <w:t>Partial — where volunteers enter an Urban Levy Boundary</w:t>
                  </w:r>
                </w:p>
              </w:tc>
              <w:tc>
                <w:tcPr>
                  <w:tcW w:w="2268" w:type="dxa"/>
                </w:tcPr>
                <w:p w:rsidR="0071317D" w:rsidRDefault="0071317D" w:rsidP="00B65787">
                  <w:pPr>
                    <w:pStyle w:val="DQITableText"/>
                    <w:ind w:left="-85"/>
                    <w:jc w:val="left"/>
                  </w:pPr>
                  <w:r>
                    <w:t>Yes — where Urban Levy Boundaries are in rural areas.</w:t>
                  </w:r>
                </w:p>
              </w:tc>
              <w:tc>
                <w:tcPr>
                  <w:tcW w:w="3827" w:type="dxa"/>
                </w:tcPr>
                <w:p w:rsidR="0071317D" w:rsidRPr="008816EA" w:rsidRDefault="0071317D" w:rsidP="00B65787">
                  <w:pPr>
                    <w:pStyle w:val="DQITableText"/>
                    <w:ind w:left="-85"/>
                    <w:jc w:val="left"/>
                  </w:pPr>
                  <w:r w:rsidRPr="007A0224">
                    <w:t xml:space="preserve">Accurate identification by </w:t>
                  </w:r>
                  <w:proofErr w:type="spellStart"/>
                  <w:r w:rsidR="00B113A4">
                    <w:t>QFES</w:t>
                  </w:r>
                  <w:proofErr w:type="spellEnd"/>
                  <w:r w:rsidRPr="007A0224">
                    <w:t xml:space="preserve"> Rural brigades (volunteers) is not possible at this stage due to incomplete voluntary reporting procedures.</w:t>
                  </w:r>
                </w:p>
              </w:tc>
            </w:tr>
            <w:tr w:rsidR="0071317D" w:rsidTr="00B65787">
              <w:tc>
                <w:tcPr>
                  <w:tcW w:w="709" w:type="dxa"/>
                </w:tcPr>
                <w:p w:rsidR="0071317D" w:rsidRDefault="0071317D" w:rsidP="00B65787">
                  <w:pPr>
                    <w:pStyle w:val="DQIRowHeadings"/>
                    <w:ind w:left="-85" w:right="0"/>
                  </w:pPr>
                  <w:r>
                    <w:t>WA</w:t>
                  </w:r>
                </w:p>
              </w:tc>
              <w:tc>
                <w:tcPr>
                  <w:tcW w:w="1679" w:type="dxa"/>
                </w:tcPr>
                <w:p w:rsidR="0071317D" w:rsidRDefault="0071317D" w:rsidP="00B65787">
                  <w:pPr>
                    <w:pStyle w:val="DQITableText"/>
                    <w:ind w:left="-85"/>
                    <w:jc w:val="left"/>
                  </w:pPr>
                  <w:r>
                    <w:t>Yes</w:t>
                  </w:r>
                </w:p>
              </w:tc>
              <w:tc>
                <w:tcPr>
                  <w:tcW w:w="2268" w:type="dxa"/>
                </w:tcPr>
                <w:p w:rsidR="0071317D" w:rsidRDefault="0071317D" w:rsidP="00B65787">
                  <w:pPr>
                    <w:pStyle w:val="DQITableText"/>
                    <w:ind w:left="-85"/>
                    <w:jc w:val="left"/>
                  </w:pPr>
                  <w:r>
                    <w:t>Yes</w:t>
                  </w:r>
                </w:p>
              </w:tc>
              <w:tc>
                <w:tcPr>
                  <w:tcW w:w="3827" w:type="dxa"/>
                </w:tcPr>
                <w:p w:rsidR="0071317D" w:rsidRDefault="0071317D" w:rsidP="00B65787">
                  <w:pPr>
                    <w:pStyle w:val="DQITableText"/>
                    <w:ind w:left="-85"/>
                    <w:jc w:val="left"/>
                  </w:pPr>
                  <w:r w:rsidRPr="00AC45F7">
                    <w:t xml:space="preserve">Incidents where there are blanks or </w:t>
                  </w:r>
                  <w:proofErr w:type="spellStart"/>
                  <w:r w:rsidRPr="00AC45F7">
                    <w:t>zeros</w:t>
                  </w:r>
                  <w:proofErr w:type="spellEnd"/>
                  <w:r w:rsidRPr="00AC45F7">
                    <w:t xml:space="preserve"> are excluded from calculation in both the numerator and denominator.</w:t>
                  </w:r>
                </w:p>
              </w:tc>
            </w:tr>
            <w:tr w:rsidR="0071317D" w:rsidTr="00B65787">
              <w:tc>
                <w:tcPr>
                  <w:tcW w:w="709" w:type="dxa"/>
                  <w:shd w:val="clear" w:color="auto" w:fill="auto"/>
                </w:tcPr>
                <w:p w:rsidR="0071317D" w:rsidRDefault="0071317D" w:rsidP="00B65787">
                  <w:pPr>
                    <w:pStyle w:val="DQIRowHeadings"/>
                    <w:ind w:left="-85" w:right="0"/>
                  </w:pPr>
                  <w:r>
                    <w:t>SA</w:t>
                  </w:r>
                </w:p>
              </w:tc>
              <w:tc>
                <w:tcPr>
                  <w:tcW w:w="1679" w:type="dxa"/>
                  <w:shd w:val="clear" w:color="auto" w:fill="auto"/>
                </w:tcPr>
                <w:p w:rsidR="0071317D" w:rsidRDefault="0071317D" w:rsidP="00B65787">
                  <w:pPr>
                    <w:pStyle w:val="DQITableText"/>
                    <w:ind w:left="-85"/>
                    <w:jc w:val="left"/>
                  </w:pPr>
                  <w:proofErr w:type="spellStart"/>
                  <w:r>
                    <w:t>na</w:t>
                  </w:r>
                  <w:proofErr w:type="spellEnd"/>
                </w:p>
              </w:tc>
              <w:tc>
                <w:tcPr>
                  <w:tcW w:w="2268" w:type="dxa"/>
                  <w:shd w:val="clear" w:color="auto" w:fill="auto"/>
                </w:tcPr>
                <w:p w:rsidR="0071317D" w:rsidRDefault="0071317D" w:rsidP="00B65787">
                  <w:pPr>
                    <w:pStyle w:val="DQITableText"/>
                    <w:ind w:left="-85"/>
                    <w:jc w:val="left"/>
                  </w:pPr>
                  <w:proofErr w:type="spellStart"/>
                  <w:r>
                    <w:t>na</w:t>
                  </w:r>
                  <w:proofErr w:type="spellEnd"/>
                </w:p>
              </w:tc>
              <w:tc>
                <w:tcPr>
                  <w:tcW w:w="3827" w:type="dxa"/>
                  <w:shd w:val="clear" w:color="auto" w:fill="auto"/>
                </w:tcPr>
                <w:p w:rsidR="0071317D" w:rsidRDefault="0071317D" w:rsidP="00B65787">
                  <w:pPr>
                    <w:pStyle w:val="DQITableText"/>
                    <w:ind w:left="-85"/>
                    <w:jc w:val="left"/>
                  </w:pPr>
                </w:p>
              </w:tc>
            </w:tr>
            <w:tr w:rsidR="0071317D" w:rsidTr="00B65787">
              <w:tc>
                <w:tcPr>
                  <w:tcW w:w="709" w:type="dxa"/>
                </w:tcPr>
                <w:p w:rsidR="0071317D" w:rsidRDefault="0071317D" w:rsidP="00B65787">
                  <w:pPr>
                    <w:pStyle w:val="DQIRowHeadings"/>
                    <w:ind w:left="-85" w:right="0"/>
                  </w:pPr>
                  <w:proofErr w:type="spellStart"/>
                  <w:r>
                    <w:t>Tas</w:t>
                  </w:r>
                  <w:proofErr w:type="spellEnd"/>
                </w:p>
              </w:tc>
              <w:tc>
                <w:tcPr>
                  <w:tcW w:w="1679" w:type="dxa"/>
                </w:tcPr>
                <w:p w:rsidR="0071317D" w:rsidRDefault="0071317D" w:rsidP="00B65787">
                  <w:pPr>
                    <w:pStyle w:val="DQITableText"/>
                    <w:ind w:left="-85"/>
                    <w:jc w:val="left"/>
                  </w:pPr>
                  <w:r>
                    <w:t>Yes</w:t>
                  </w:r>
                </w:p>
              </w:tc>
              <w:tc>
                <w:tcPr>
                  <w:tcW w:w="2268" w:type="dxa"/>
                </w:tcPr>
                <w:p w:rsidR="0071317D" w:rsidRDefault="0071317D" w:rsidP="00B65787">
                  <w:pPr>
                    <w:pStyle w:val="DQITableText"/>
                    <w:ind w:left="-85"/>
                    <w:jc w:val="left"/>
                  </w:pPr>
                  <w:r>
                    <w:t>Yes</w:t>
                  </w:r>
                </w:p>
              </w:tc>
              <w:tc>
                <w:tcPr>
                  <w:tcW w:w="3827" w:type="dxa"/>
                </w:tcPr>
                <w:p w:rsidR="0071317D" w:rsidRDefault="0071317D" w:rsidP="00B65787">
                  <w:pPr>
                    <w:pStyle w:val="DQITableText"/>
                    <w:ind w:left="-85"/>
                    <w:jc w:val="left"/>
                  </w:pPr>
                  <w:r>
                    <w:t>No further information.</w:t>
                  </w:r>
                </w:p>
              </w:tc>
            </w:tr>
            <w:tr w:rsidR="0071317D" w:rsidTr="00B65787">
              <w:tc>
                <w:tcPr>
                  <w:tcW w:w="709" w:type="dxa"/>
                </w:tcPr>
                <w:p w:rsidR="0071317D" w:rsidRDefault="0071317D" w:rsidP="00B65787">
                  <w:pPr>
                    <w:pStyle w:val="DQIRowHeadings"/>
                    <w:ind w:left="-85" w:right="0"/>
                  </w:pPr>
                  <w:r>
                    <w:t>ACT</w:t>
                  </w:r>
                </w:p>
              </w:tc>
              <w:tc>
                <w:tcPr>
                  <w:tcW w:w="1679" w:type="dxa"/>
                </w:tcPr>
                <w:p w:rsidR="0071317D" w:rsidRDefault="0071317D" w:rsidP="00B65787">
                  <w:pPr>
                    <w:pStyle w:val="DQITableText"/>
                    <w:ind w:left="-85"/>
                    <w:jc w:val="left"/>
                  </w:pPr>
                  <w:r>
                    <w:t>..</w:t>
                  </w:r>
                </w:p>
              </w:tc>
              <w:tc>
                <w:tcPr>
                  <w:tcW w:w="2268" w:type="dxa"/>
                </w:tcPr>
                <w:p w:rsidR="0071317D" w:rsidRDefault="0071317D" w:rsidP="00B65787">
                  <w:pPr>
                    <w:pStyle w:val="DQITableText"/>
                    <w:ind w:left="-85"/>
                    <w:jc w:val="left"/>
                  </w:pPr>
                  <w:r>
                    <w:t xml:space="preserve">Yes </w:t>
                  </w:r>
                </w:p>
              </w:tc>
              <w:tc>
                <w:tcPr>
                  <w:tcW w:w="3827" w:type="dxa"/>
                </w:tcPr>
                <w:p w:rsidR="0071317D" w:rsidRDefault="0071317D" w:rsidP="00B65787">
                  <w:pPr>
                    <w:pStyle w:val="DQITableText"/>
                    <w:ind w:left="-85"/>
                    <w:jc w:val="left"/>
                  </w:pPr>
                  <w:r w:rsidRPr="00DC040E">
                    <w:t xml:space="preserve">Volunteer data </w:t>
                  </w:r>
                  <w:r w:rsidR="0096477A">
                    <w:t>are</w:t>
                  </w:r>
                  <w:r w:rsidRPr="00DC040E">
                    <w:t xml:space="preserve"> not applicable in the ACT</w:t>
                  </w:r>
                </w:p>
              </w:tc>
            </w:tr>
            <w:tr w:rsidR="0071317D" w:rsidTr="00B65787">
              <w:tc>
                <w:tcPr>
                  <w:tcW w:w="709" w:type="dxa"/>
                  <w:tcBorders>
                    <w:bottom w:val="single" w:sz="6" w:space="0" w:color="BFBFBF" w:themeColor="background2"/>
                  </w:tcBorders>
                  <w:shd w:val="clear" w:color="auto" w:fill="auto"/>
                </w:tcPr>
                <w:p w:rsidR="0071317D" w:rsidRDefault="0071317D" w:rsidP="00B65787">
                  <w:pPr>
                    <w:pStyle w:val="DQIRowHeadings"/>
                    <w:ind w:left="-85" w:right="0"/>
                  </w:pPr>
                  <w:r>
                    <w:t>NT</w:t>
                  </w:r>
                </w:p>
              </w:tc>
              <w:tc>
                <w:tcPr>
                  <w:tcW w:w="1679" w:type="dxa"/>
                  <w:tcBorders>
                    <w:bottom w:val="single" w:sz="6" w:space="0" w:color="BFBFBF" w:themeColor="background2"/>
                  </w:tcBorders>
                  <w:shd w:val="clear" w:color="auto" w:fill="auto"/>
                </w:tcPr>
                <w:p w:rsidR="0071317D" w:rsidRDefault="0071317D" w:rsidP="00B65787">
                  <w:pPr>
                    <w:pStyle w:val="DQITableText"/>
                    <w:ind w:left="-85"/>
                    <w:jc w:val="left"/>
                  </w:pPr>
                  <w:proofErr w:type="spellStart"/>
                  <w:r>
                    <w:t>na</w:t>
                  </w:r>
                  <w:proofErr w:type="spellEnd"/>
                </w:p>
              </w:tc>
              <w:tc>
                <w:tcPr>
                  <w:tcW w:w="2268" w:type="dxa"/>
                  <w:tcBorders>
                    <w:bottom w:val="single" w:sz="6" w:space="0" w:color="BFBFBF" w:themeColor="background2"/>
                  </w:tcBorders>
                  <w:shd w:val="clear" w:color="auto" w:fill="auto"/>
                </w:tcPr>
                <w:p w:rsidR="0071317D" w:rsidRDefault="0071317D" w:rsidP="00B65787">
                  <w:pPr>
                    <w:pStyle w:val="DQITableText"/>
                    <w:ind w:left="-85"/>
                    <w:jc w:val="left"/>
                  </w:pPr>
                  <w:proofErr w:type="spellStart"/>
                  <w:r>
                    <w:t>na</w:t>
                  </w:r>
                  <w:proofErr w:type="spellEnd"/>
                </w:p>
              </w:tc>
              <w:tc>
                <w:tcPr>
                  <w:tcW w:w="3827" w:type="dxa"/>
                  <w:tcBorders>
                    <w:bottom w:val="single" w:sz="6" w:space="0" w:color="BFBFBF" w:themeColor="background2"/>
                  </w:tcBorders>
                  <w:shd w:val="clear" w:color="auto" w:fill="auto"/>
                </w:tcPr>
                <w:p w:rsidR="0071317D" w:rsidRDefault="0071317D" w:rsidP="00B65787">
                  <w:pPr>
                    <w:pStyle w:val="DQITableText"/>
                    <w:ind w:left="-85"/>
                    <w:jc w:val="left"/>
                  </w:pPr>
                </w:p>
              </w:tc>
            </w:tr>
          </w:tbl>
          <w:p w:rsidR="0071317D" w:rsidRDefault="0071317D" w:rsidP="0083205B">
            <w:pPr>
              <w:pStyle w:val="Box"/>
            </w:pPr>
          </w:p>
        </w:tc>
      </w:tr>
      <w:tr w:rsidR="009B76BC" w:rsidTr="00B65787">
        <w:trPr>
          <w:cantSplit/>
        </w:trPr>
        <w:tc>
          <w:tcPr>
            <w:tcW w:w="8786" w:type="dxa"/>
            <w:tcBorders>
              <w:top w:val="nil"/>
              <w:left w:val="nil"/>
              <w:bottom w:val="nil"/>
              <w:right w:val="nil"/>
            </w:tcBorders>
            <w:shd w:val="clear" w:color="auto" w:fill="auto"/>
          </w:tcPr>
          <w:p w:rsidR="009B76BC" w:rsidRPr="00521B8E" w:rsidRDefault="009B76BC" w:rsidP="00EF3552">
            <w:pPr>
              <w:pStyle w:val="Note"/>
              <w:rPr>
                <w:b/>
              </w:rPr>
            </w:pPr>
            <w:proofErr w:type="spellStart"/>
            <w:r w:rsidRPr="00521B8E">
              <w:rPr>
                <w:b/>
              </w:rPr>
              <w:t>na</w:t>
            </w:r>
            <w:proofErr w:type="spellEnd"/>
            <w:r w:rsidRPr="00521B8E">
              <w:rPr>
                <w:b/>
              </w:rPr>
              <w:t xml:space="preserve"> </w:t>
            </w:r>
            <w:r w:rsidRPr="00521B8E">
              <w:t>Not available.</w:t>
            </w:r>
            <w:r w:rsidR="00EE3F05">
              <w:t xml:space="preserve"> .. Not applicable.</w:t>
            </w:r>
          </w:p>
        </w:tc>
      </w:tr>
      <w:tr w:rsidR="009E0CDF" w:rsidTr="00B65787">
        <w:trPr>
          <w:cantSplit/>
        </w:trPr>
        <w:tc>
          <w:tcPr>
            <w:tcW w:w="8786" w:type="dxa"/>
            <w:tcBorders>
              <w:top w:val="nil"/>
              <w:left w:val="nil"/>
              <w:bottom w:val="nil"/>
              <w:right w:val="nil"/>
            </w:tcBorders>
            <w:shd w:val="clear" w:color="auto" w:fill="auto"/>
          </w:tcPr>
          <w:p w:rsidR="009E0CDF" w:rsidRDefault="009E0CDF" w:rsidP="0083205B">
            <w:pPr>
              <w:pStyle w:val="Source"/>
              <w:keepNext/>
            </w:pPr>
            <w:r>
              <w:rPr>
                <w:i/>
              </w:rPr>
              <w:t>Source</w:t>
            </w:r>
            <w:r>
              <w:t>: State and Territory governments.</w:t>
            </w:r>
          </w:p>
        </w:tc>
      </w:tr>
      <w:tr w:rsidR="009E0CDF" w:rsidTr="00B65787">
        <w:trPr>
          <w:cantSplit/>
        </w:trPr>
        <w:tc>
          <w:tcPr>
            <w:tcW w:w="8786" w:type="dxa"/>
            <w:tcBorders>
              <w:top w:val="nil"/>
              <w:left w:val="nil"/>
              <w:bottom w:val="single" w:sz="6" w:space="0" w:color="78A22F"/>
              <w:right w:val="nil"/>
            </w:tcBorders>
            <w:shd w:val="clear" w:color="auto" w:fill="auto"/>
          </w:tcPr>
          <w:p w:rsidR="009E0CDF" w:rsidRDefault="009E0CDF" w:rsidP="0083205B">
            <w:pPr>
              <w:pStyle w:val="Box"/>
              <w:spacing w:before="0" w:line="120" w:lineRule="exact"/>
            </w:pPr>
          </w:p>
        </w:tc>
      </w:tr>
      <w:tr w:rsidR="009E0CDF" w:rsidRPr="000863A5" w:rsidTr="00B65787">
        <w:tc>
          <w:tcPr>
            <w:tcW w:w="8786" w:type="dxa"/>
            <w:tcBorders>
              <w:top w:val="single" w:sz="6" w:space="0" w:color="78A22F"/>
              <w:left w:val="nil"/>
              <w:bottom w:val="nil"/>
              <w:right w:val="nil"/>
            </w:tcBorders>
          </w:tcPr>
          <w:p w:rsidR="009E0CDF" w:rsidRPr="00626D32" w:rsidRDefault="009E0CDF" w:rsidP="0083205B">
            <w:pPr>
              <w:pStyle w:val="BoxSpaceBelow"/>
            </w:pPr>
          </w:p>
        </w:tc>
      </w:tr>
    </w:tbl>
    <w:p w:rsidR="00BE6EC3" w:rsidRDefault="00BE6EC3" w:rsidP="0083205B">
      <w:pPr>
        <w:pStyle w:val="BoxSpaceAbove"/>
      </w:pPr>
    </w:p>
    <w:tbl>
      <w:tblPr>
        <w:tblW w:w="8788"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8"/>
      </w:tblGrid>
      <w:tr w:rsidR="00BE6EC3" w:rsidTr="00E445B9">
        <w:tc>
          <w:tcPr>
            <w:tcW w:w="8788" w:type="dxa"/>
            <w:tcBorders>
              <w:top w:val="single" w:sz="6" w:space="0" w:color="78A22F"/>
              <w:left w:val="nil"/>
              <w:bottom w:val="nil"/>
              <w:right w:val="nil"/>
            </w:tcBorders>
            <w:shd w:val="clear" w:color="auto" w:fill="auto"/>
          </w:tcPr>
          <w:p w:rsidR="00BE6EC3" w:rsidRPr="00784A05" w:rsidRDefault="00BE6EC3" w:rsidP="00BE6EC3">
            <w:pPr>
              <w:pStyle w:val="TableTitle"/>
            </w:pPr>
            <w:r w:rsidRPr="005C5518">
              <w:rPr>
                <w:b w:val="0"/>
              </w:rPr>
              <w:t xml:space="preserve">Table </w:t>
            </w:r>
            <w:bookmarkStart w:id="69" w:name="OLE_LINK13"/>
            <w:r w:rsidR="00B560A0">
              <w:rPr>
                <w:b w:val="0"/>
                <w:noProof/>
              </w:rPr>
              <w:t>13</w:t>
            </w:r>
            <w:bookmarkEnd w:id="69"/>
            <w:r w:rsidRPr="005C5518">
              <w:rPr>
                <w:b w:val="0"/>
              </w:rPr>
              <w:tab/>
            </w:r>
            <w:r>
              <w:t>E</w:t>
            </w:r>
            <w:r w:rsidRPr="006A5446">
              <w:t xml:space="preserve">xtrapolation and estimation </w:t>
            </w:r>
            <w:r w:rsidRPr="008553B3">
              <w:t>responses</w:t>
            </w:r>
          </w:p>
        </w:tc>
      </w:tr>
      <w:tr w:rsidR="00BE6EC3" w:rsidTr="00E445B9">
        <w:trPr>
          <w:cantSplit/>
        </w:trPr>
        <w:tc>
          <w:tcPr>
            <w:tcW w:w="8788" w:type="dxa"/>
            <w:tcBorders>
              <w:top w:val="nil"/>
              <w:left w:val="nil"/>
              <w:bottom w:val="nil"/>
              <w:right w:val="nil"/>
            </w:tcBorders>
            <w:shd w:val="clear" w:color="auto" w:fill="auto"/>
          </w:tcPr>
          <w:tbl>
            <w:tblPr>
              <w:tblW w:w="8483" w:type="dxa"/>
              <w:tblCellMar>
                <w:left w:w="85" w:type="dxa"/>
                <w:right w:w="57" w:type="dxa"/>
              </w:tblCellMar>
              <w:tblLook w:val="0000" w:firstRow="0" w:lastRow="0" w:firstColumn="0" w:lastColumn="0" w:noHBand="0" w:noVBand="0"/>
            </w:tblPr>
            <w:tblGrid>
              <w:gridCol w:w="709"/>
              <w:gridCol w:w="1962"/>
              <w:gridCol w:w="5812"/>
            </w:tblGrid>
            <w:tr w:rsidR="00BE6EC3" w:rsidTr="00E445B9">
              <w:tc>
                <w:tcPr>
                  <w:tcW w:w="709" w:type="dxa"/>
                  <w:tcBorders>
                    <w:top w:val="single" w:sz="6" w:space="0" w:color="BFBFBF" w:themeColor="background2"/>
                    <w:bottom w:val="single" w:sz="6" w:space="0" w:color="BFBFBF" w:themeColor="background2"/>
                  </w:tcBorders>
                  <w:shd w:val="clear" w:color="auto" w:fill="auto"/>
                </w:tcPr>
                <w:p w:rsidR="00BE6EC3" w:rsidRPr="00E445B9" w:rsidRDefault="00BE6EC3" w:rsidP="00E445B9">
                  <w:pPr>
                    <w:pStyle w:val="TableColumnHeading"/>
                    <w:jc w:val="left"/>
                  </w:pPr>
                </w:p>
              </w:tc>
              <w:tc>
                <w:tcPr>
                  <w:tcW w:w="1962" w:type="dxa"/>
                  <w:tcBorders>
                    <w:top w:val="single" w:sz="6" w:space="0" w:color="BFBFBF" w:themeColor="background2"/>
                    <w:bottom w:val="single" w:sz="6" w:space="0" w:color="BFBFBF" w:themeColor="background2"/>
                  </w:tcBorders>
                  <w:shd w:val="clear" w:color="auto" w:fill="auto"/>
                </w:tcPr>
                <w:p w:rsidR="00BE6EC3" w:rsidRPr="00E445B9" w:rsidRDefault="00BE6EC3" w:rsidP="00E445B9">
                  <w:pPr>
                    <w:pStyle w:val="DQIMainRowHeadings"/>
                    <w:spacing w:before="80" w:after="80"/>
                    <w:ind w:left="-85" w:right="0"/>
                    <w:rPr>
                      <w:b w:val="0"/>
                      <w:i/>
                      <w:u w:val="none"/>
                    </w:rPr>
                  </w:pPr>
                  <w:r w:rsidRPr="00E445B9">
                    <w:rPr>
                      <w:b w:val="0"/>
                      <w:i/>
                      <w:u w:val="none"/>
                    </w:rPr>
                    <w:t>Are any confinement data estimated/</w:t>
                  </w:r>
                  <w:r w:rsidRPr="00E445B9">
                    <w:rPr>
                      <w:b w:val="0"/>
                      <w:i/>
                      <w:u w:val="none"/>
                    </w:rPr>
                    <w:br/>
                    <w:t xml:space="preserve">extrapolated </w:t>
                  </w:r>
                </w:p>
              </w:tc>
              <w:tc>
                <w:tcPr>
                  <w:tcW w:w="5812" w:type="dxa"/>
                  <w:tcBorders>
                    <w:top w:val="single" w:sz="6" w:space="0" w:color="BFBFBF" w:themeColor="background2"/>
                    <w:bottom w:val="single" w:sz="6" w:space="0" w:color="BFBFBF" w:themeColor="background2"/>
                  </w:tcBorders>
                  <w:shd w:val="clear" w:color="auto" w:fill="auto"/>
                </w:tcPr>
                <w:p w:rsidR="00BE6EC3" w:rsidRPr="00E445B9" w:rsidRDefault="00E445B9" w:rsidP="00E445B9">
                  <w:pPr>
                    <w:pStyle w:val="DQIMainRowHeadings"/>
                    <w:spacing w:before="80" w:after="80"/>
                    <w:ind w:left="-85" w:right="0"/>
                    <w:rPr>
                      <w:b w:val="0"/>
                      <w:i/>
                      <w:u w:val="none"/>
                    </w:rPr>
                  </w:pPr>
                  <w:r>
                    <w:rPr>
                      <w:b w:val="0"/>
                      <w:i/>
                      <w:u w:val="none"/>
                    </w:rPr>
                    <w:br/>
                  </w:r>
                  <w:r>
                    <w:rPr>
                      <w:b w:val="0"/>
                      <w:i/>
                      <w:u w:val="none"/>
                    </w:rPr>
                    <w:br/>
                  </w:r>
                  <w:r w:rsidR="00BE6EC3" w:rsidRPr="00E445B9">
                    <w:rPr>
                      <w:b w:val="0"/>
                      <w:i/>
                      <w:u w:val="none"/>
                    </w:rPr>
                    <w:t>If so explain the rationale and method used</w:t>
                  </w:r>
                </w:p>
              </w:tc>
            </w:tr>
            <w:tr w:rsidR="00BE6EC3" w:rsidTr="00E445B9">
              <w:tc>
                <w:tcPr>
                  <w:tcW w:w="709" w:type="dxa"/>
                  <w:tcBorders>
                    <w:top w:val="single" w:sz="6" w:space="0" w:color="BFBFBF" w:themeColor="background2"/>
                  </w:tcBorders>
                </w:tcPr>
                <w:p w:rsidR="00BE6EC3" w:rsidRDefault="00BE6EC3" w:rsidP="00E445B9">
                  <w:pPr>
                    <w:pStyle w:val="DQIRowHeadings"/>
                    <w:ind w:left="-85" w:right="0"/>
                  </w:pPr>
                  <w:r>
                    <w:t>NSW</w:t>
                  </w:r>
                </w:p>
              </w:tc>
              <w:tc>
                <w:tcPr>
                  <w:tcW w:w="1962" w:type="dxa"/>
                  <w:tcBorders>
                    <w:top w:val="single" w:sz="6" w:space="0" w:color="BFBFBF" w:themeColor="background2"/>
                  </w:tcBorders>
                </w:tcPr>
                <w:p w:rsidR="00BE6EC3" w:rsidRDefault="00BE6EC3" w:rsidP="00E445B9">
                  <w:pPr>
                    <w:pStyle w:val="DQITableText"/>
                    <w:ind w:left="-85"/>
                    <w:jc w:val="left"/>
                  </w:pPr>
                  <w:r>
                    <w:t>No</w:t>
                  </w:r>
                </w:p>
              </w:tc>
              <w:tc>
                <w:tcPr>
                  <w:tcW w:w="5812" w:type="dxa"/>
                  <w:tcBorders>
                    <w:top w:val="single" w:sz="6" w:space="0" w:color="BFBFBF" w:themeColor="background2"/>
                  </w:tcBorders>
                  <w:vAlign w:val="center"/>
                </w:tcPr>
                <w:p w:rsidR="00BE6EC3" w:rsidRPr="007A0224" w:rsidRDefault="00BE6EC3" w:rsidP="00E445B9">
                  <w:pPr>
                    <w:pStyle w:val="DQITableText"/>
                    <w:ind w:left="-85"/>
                    <w:jc w:val="left"/>
                    <w:rPr>
                      <w:rStyle w:val="DraftingNote"/>
                      <w:b w:val="0"/>
                      <w:color w:val="auto"/>
                    </w:rPr>
                  </w:pPr>
                  <w:r w:rsidRPr="0036680D">
                    <w:t xml:space="preserve">When reporting on incidents coded as </w:t>
                  </w:r>
                  <w:r>
                    <w:t>‘other building fire’ (</w:t>
                  </w:r>
                  <w:proofErr w:type="spellStart"/>
                  <w:r w:rsidRPr="0036680D">
                    <w:t>A23</w:t>
                  </w:r>
                  <w:proofErr w:type="spellEnd"/>
                  <w:r w:rsidRPr="0036680D">
                    <w:t xml:space="preserve"> Type of Incident 120 – 129</w:t>
                  </w:r>
                  <w:r>
                    <w:t>),</w:t>
                  </w:r>
                  <w:r w:rsidRPr="004B4B63">
                    <w:t xml:space="preserve"> </w:t>
                  </w:r>
                  <w:r w:rsidRPr="0036680D">
                    <w:t xml:space="preserve">it is </w:t>
                  </w:r>
                  <w:r w:rsidRPr="009D395A">
                    <w:t>assumed that where fires are confined to non</w:t>
                  </w:r>
                  <w:r w:rsidRPr="009D395A">
                    <w:noBreakHyphen/>
                    <w:t>combustible containers, such as foodstuffs burnt or cooking equipment, there is no flame damage</w:t>
                  </w:r>
                  <w:r w:rsidRPr="0036680D">
                    <w:t xml:space="preserve"> or damage </w:t>
                  </w:r>
                  <w:r>
                    <w:t xml:space="preserve">is </w:t>
                  </w:r>
                  <w:r w:rsidRPr="0036680D">
                    <w:t>confined to the object of origin</w:t>
                  </w:r>
                  <w:r>
                    <w:t>.</w:t>
                  </w:r>
                </w:p>
              </w:tc>
            </w:tr>
            <w:tr w:rsidR="00BE6EC3" w:rsidTr="00E445B9">
              <w:tc>
                <w:tcPr>
                  <w:tcW w:w="709" w:type="dxa"/>
                  <w:shd w:val="clear" w:color="auto" w:fill="auto"/>
                </w:tcPr>
                <w:p w:rsidR="00BE6EC3" w:rsidRDefault="00BE6EC3" w:rsidP="00E445B9">
                  <w:pPr>
                    <w:pStyle w:val="DQIRowHeadings"/>
                    <w:ind w:left="-85" w:right="0"/>
                  </w:pPr>
                  <w:r>
                    <w:t>Vic</w:t>
                  </w:r>
                </w:p>
              </w:tc>
              <w:tc>
                <w:tcPr>
                  <w:tcW w:w="1962" w:type="dxa"/>
                  <w:shd w:val="clear" w:color="auto" w:fill="auto"/>
                </w:tcPr>
                <w:p w:rsidR="00BE6EC3" w:rsidRDefault="00BE6EC3" w:rsidP="00E445B9">
                  <w:pPr>
                    <w:pStyle w:val="DQITableText"/>
                    <w:ind w:left="-85"/>
                    <w:jc w:val="left"/>
                  </w:pPr>
                  <w:proofErr w:type="spellStart"/>
                  <w:r>
                    <w:t>na</w:t>
                  </w:r>
                  <w:proofErr w:type="spellEnd"/>
                </w:p>
              </w:tc>
              <w:tc>
                <w:tcPr>
                  <w:tcW w:w="5812" w:type="dxa"/>
                  <w:shd w:val="clear" w:color="auto" w:fill="auto"/>
                </w:tcPr>
                <w:p w:rsidR="00BE6EC3" w:rsidRDefault="00BE6EC3" w:rsidP="00E445B9">
                  <w:pPr>
                    <w:pStyle w:val="DQITableText"/>
                    <w:ind w:left="-85"/>
                    <w:jc w:val="left"/>
                  </w:pPr>
                  <w:proofErr w:type="spellStart"/>
                  <w:r>
                    <w:t>na</w:t>
                  </w:r>
                  <w:proofErr w:type="spellEnd"/>
                </w:p>
              </w:tc>
            </w:tr>
            <w:tr w:rsidR="00BE6EC3" w:rsidTr="00E445B9">
              <w:tc>
                <w:tcPr>
                  <w:tcW w:w="709" w:type="dxa"/>
                </w:tcPr>
                <w:p w:rsidR="00BE6EC3" w:rsidRDefault="00BE6EC3" w:rsidP="00E445B9">
                  <w:pPr>
                    <w:pStyle w:val="DQIRowHeadings"/>
                    <w:ind w:left="-85" w:right="0"/>
                  </w:pPr>
                  <w:r>
                    <w:t>Qld</w:t>
                  </w:r>
                </w:p>
              </w:tc>
              <w:tc>
                <w:tcPr>
                  <w:tcW w:w="1962" w:type="dxa"/>
                </w:tcPr>
                <w:p w:rsidR="00BE6EC3" w:rsidRDefault="00BE6EC3" w:rsidP="00E445B9">
                  <w:pPr>
                    <w:pStyle w:val="DQITableText"/>
                    <w:ind w:left="-85"/>
                    <w:jc w:val="left"/>
                  </w:pPr>
                  <w:r>
                    <w:t>No</w:t>
                  </w:r>
                </w:p>
              </w:tc>
              <w:tc>
                <w:tcPr>
                  <w:tcW w:w="5812" w:type="dxa"/>
                </w:tcPr>
                <w:p w:rsidR="00BE6EC3" w:rsidRDefault="00BE6EC3" w:rsidP="00E445B9">
                  <w:pPr>
                    <w:pStyle w:val="DQITableText"/>
                    <w:ind w:left="-85"/>
                    <w:jc w:val="left"/>
                  </w:pPr>
                  <w:r w:rsidRPr="0036680D">
                    <w:t xml:space="preserve">When reporting on incidents coded as </w:t>
                  </w:r>
                  <w:r>
                    <w:t>‘other building fire’ (</w:t>
                  </w:r>
                  <w:proofErr w:type="spellStart"/>
                  <w:r w:rsidRPr="0036680D">
                    <w:t>A23</w:t>
                  </w:r>
                  <w:proofErr w:type="spellEnd"/>
                  <w:r w:rsidRPr="0036680D">
                    <w:t xml:space="preserve"> Type of Incident 120 – 129</w:t>
                  </w:r>
                  <w:r>
                    <w:t>),</w:t>
                  </w:r>
                  <w:r w:rsidRPr="0036680D">
                    <w:t xml:space="preserve"> it is assumed that there is either no flame damage or damage confined to the object of origin</w:t>
                  </w:r>
                  <w:r>
                    <w:t>.</w:t>
                  </w:r>
                </w:p>
              </w:tc>
            </w:tr>
            <w:tr w:rsidR="00BE6EC3" w:rsidTr="00E445B9">
              <w:tc>
                <w:tcPr>
                  <w:tcW w:w="709" w:type="dxa"/>
                </w:tcPr>
                <w:p w:rsidR="00BE6EC3" w:rsidRDefault="00BE6EC3" w:rsidP="00E445B9">
                  <w:pPr>
                    <w:pStyle w:val="DQIRowHeadings"/>
                    <w:ind w:left="-85" w:right="0"/>
                  </w:pPr>
                  <w:r>
                    <w:t>WA</w:t>
                  </w:r>
                </w:p>
              </w:tc>
              <w:tc>
                <w:tcPr>
                  <w:tcW w:w="1962" w:type="dxa"/>
                </w:tcPr>
                <w:p w:rsidR="00BE6EC3" w:rsidRDefault="00BE6EC3" w:rsidP="00E445B9">
                  <w:pPr>
                    <w:pStyle w:val="DQITableText"/>
                    <w:ind w:left="-85"/>
                    <w:jc w:val="left"/>
                  </w:pPr>
                  <w:r>
                    <w:t>Yes / No</w:t>
                  </w:r>
                </w:p>
              </w:tc>
              <w:tc>
                <w:tcPr>
                  <w:tcW w:w="5812" w:type="dxa"/>
                </w:tcPr>
                <w:p w:rsidR="00BE6EC3" w:rsidRDefault="00BE6EC3" w:rsidP="00E445B9">
                  <w:pPr>
                    <w:pStyle w:val="DQITableText"/>
                    <w:ind w:left="-85"/>
                    <w:jc w:val="left"/>
                  </w:pPr>
                  <w:r w:rsidRPr="0036680D">
                    <w:t xml:space="preserve">When reporting on incidents coded as </w:t>
                  </w:r>
                  <w:r>
                    <w:t>‘other building fire’ (</w:t>
                  </w:r>
                  <w:proofErr w:type="spellStart"/>
                  <w:r w:rsidRPr="0036680D">
                    <w:t>A23</w:t>
                  </w:r>
                  <w:proofErr w:type="spellEnd"/>
                  <w:r w:rsidRPr="0036680D">
                    <w:t xml:space="preserve"> Type of Incident 120 – 129</w:t>
                  </w:r>
                  <w:r>
                    <w:t>),</w:t>
                  </w:r>
                  <w:r w:rsidRPr="0036680D">
                    <w:t xml:space="preserve"> it is assumed that there is either no flame damage or damage confined to the object of origin</w:t>
                  </w:r>
                  <w:r>
                    <w:t>.</w:t>
                  </w:r>
                </w:p>
              </w:tc>
            </w:tr>
            <w:tr w:rsidR="00BE6EC3" w:rsidTr="00E445B9">
              <w:tc>
                <w:tcPr>
                  <w:tcW w:w="709" w:type="dxa"/>
                  <w:shd w:val="clear" w:color="auto" w:fill="auto"/>
                </w:tcPr>
                <w:p w:rsidR="00BE6EC3" w:rsidRDefault="00BE6EC3" w:rsidP="00E445B9">
                  <w:pPr>
                    <w:pStyle w:val="DQIRowHeadings"/>
                    <w:ind w:left="-85" w:right="0"/>
                  </w:pPr>
                  <w:r>
                    <w:t>SA</w:t>
                  </w:r>
                </w:p>
              </w:tc>
              <w:tc>
                <w:tcPr>
                  <w:tcW w:w="1962" w:type="dxa"/>
                  <w:shd w:val="clear" w:color="auto" w:fill="auto"/>
                </w:tcPr>
                <w:p w:rsidR="00BE6EC3" w:rsidRDefault="00BE6EC3" w:rsidP="00E445B9">
                  <w:pPr>
                    <w:pStyle w:val="DQITableText"/>
                    <w:ind w:left="-85"/>
                    <w:jc w:val="left"/>
                  </w:pPr>
                  <w:proofErr w:type="spellStart"/>
                  <w:r>
                    <w:t>na</w:t>
                  </w:r>
                  <w:proofErr w:type="spellEnd"/>
                </w:p>
              </w:tc>
              <w:tc>
                <w:tcPr>
                  <w:tcW w:w="5812" w:type="dxa"/>
                  <w:shd w:val="clear" w:color="auto" w:fill="auto"/>
                </w:tcPr>
                <w:p w:rsidR="00BE6EC3" w:rsidRDefault="00BE6EC3" w:rsidP="00E445B9">
                  <w:pPr>
                    <w:pStyle w:val="DQITableText"/>
                    <w:ind w:left="-85"/>
                    <w:jc w:val="left"/>
                  </w:pPr>
                  <w:proofErr w:type="spellStart"/>
                  <w:r>
                    <w:t>na</w:t>
                  </w:r>
                  <w:proofErr w:type="spellEnd"/>
                </w:p>
              </w:tc>
            </w:tr>
            <w:tr w:rsidR="00BE6EC3" w:rsidTr="00E445B9">
              <w:tc>
                <w:tcPr>
                  <w:tcW w:w="709" w:type="dxa"/>
                </w:tcPr>
                <w:p w:rsidR="00BE6EC3" w:rsidRDefault="00BE6EC3" w:rsidP="00E445B9">
                  <w:pPr>
                    <w:pStyle w:val="DQIRowHeadings"/>
                    <w:ind w:left="-85" w:right="0"/>
                  </w:pPr>
                  <w:proofErr w:type="spellStart"/>
                  <w:r>
                    <w:t>Tas</w:t>
                  </w:r>
                  <w:proofErr w:type="spellEnd"/>
                </w:p>
              </w:tc>
              <w:tc>
                <w:tcPr>
                  <w:tcW w:w="1962" w:type="dxa"/>
                </w:tcPr>
                <w:p w:rsidR="00BE6EC3" w:rsidRDefault="00BE6EC3" w:rsidP="00E445B9">
                  <w:pPr>
                    <w:pStyle w:val="DQITableText"/>
                    <w:ind w:left="-85"/>
                    <w:jc w:val="left"/>
                  </w:pPr>
                  <w:r>
                    <w:t>No</w:t>
                  </w:r>
                </w:p>
              </w:tc>
              <w:tc>
                <w:tcPr>
                  <w:tcW w:w="5812" w:type="dxa"/>
                </w:tcPr>
                <w:p w:rsidR="00BE6EC3" w:rsidRDefault="00BE6EC3" w:rsidP="00E445B9">
                  <w:pPr>
                    <w:pStyle w:val="DQITableText"/>
                    <w:ind w:left="-85"/>
                    <w:jc w:val="left"/>
                  </w:pPr>
                  <w:r w:rsidRPr="0036680D">
                    <w:t xml:space="preserve">When reporting on incidents coded as </w:t>
                  </w:r>
                  <w:r>
                    <w:t>‘other building fire’ (</w:t>
                  </w:r>
                  <w:proofErr w:type="spellStart"/>
                  <w:r w:rsidRPr="0036680D">
                    <w:t>A23</w:t>
                  </w:r>
                  <w:proofErr w:type="spellEnd"/>
                  <w:r w:rsidRPr="0036680D">
                    <w:t xml:space="preserve"> Type of Incident 120 – 129</w:t>
                  </w:r>
                  <w:r>
                    <w:t>),</w:t>
                  </w:r>
                  <w:r w:rsidRPr="0036680D">
                    <w:t xml:space="preserve"> it is assumed that there is either no flame damage or damage confined to the object of origin</w:t>
                  </w:r>
                  <w:r>
                    <w:t>.</w:t>
                  </w:r>
                </w:p>
              </w:tc>
            </w:tr>
            <w:tr w:rsidR="00BE6EC3" w:rsidTr="00E445B9">
              <w:tc>
                <w:tcPr>
                  <w:tcW w:w="709" w:type="dxa"/>
                </w:tcPr>
                <w:p w:rsidR="00BE6EC3" w:rsidRDefault="00BE6EC3" w:rsidP="00E445B9">
                  <w:pPr>
                    <w:pStyle w:val="DQIRowHeadings"/>
                    <w:ind w:left="-85" w:right="0"/>
                  </w:pPr>
                  <w:r>
                    <w:t>ACT</w:t>
                  </w:r>
                </w:p>
              </w:tc>
              <w:tc>
                <w:tcPr>
                  <w:tcW w:w="1962" w:type="dxa"/>
                </w:tcPr>
                <w:p w:rsidR="00BE6EC3" w:rsidRDefault="00BE6EC3" w:rsidP="00E445B9">
                  <w:pPr>
                    <w:pStyle w:val="DQITableText"/>
                    <w:ind w:left="-85"/>
                    <w:jc w:val="left"/>
                  </w:pPr>
                  <w:r>
                    <w:t>No</w:t>
                  </w:r>
                </w:p>
              </w:tc>
              <w:tc>
                <w:tcPr>
                  <w:tcW w:w="5812" w:type="dxa"/>
                </w:tcPr>
                <w:p w:rsidR="00BE6EC3" w:rsidRDefault="00BE6EC3" w:rsidP="00E445B9">
                  <w:pPr>
                    <w:pStyle w:val="DQITableText"/>
                    <w:ind w:left="-85"/>
                    <w:jc w:val="left"/>
                  </w:pPr>
                  <w:r>
                    <w:t>No further information.</w:t>
                  </w:r>
                </w:p>
              </w:tc>
            </w:tr>
            <w:tr w:rsidR="00BE6EC3" w:rsidTr="00E445B9">
              <w:tc>
                <w:tcPr>
                  <w:tcW w:w="709" w:type="dxa"/>
                  <w:tcBorders>
                    <w:bottom w:val="single" w:sz="6" w:space="0" w:color="BFBFBF" w:themeColor="background2"/>
                  </w:tcBorders>
                  <w:shd w:val="clear" w:color="auto" w:fill="auto"/>
                </w:tcPr>
                <w:p w:rsidR="00BE6EC3" w:rsidRDefault="00BE6EC3" w:rsidP="00E445B9">
                  <w:pPr>
                    <w:pStyle w:val="DQIRowHeadings"/>
                    <w:ind w:left="-85" w:right="0"/>
                  </w:pPr>
                  <w:r>
                    <w:t>NT</w:t>
                  </w:r>
                </w:p>
              </w:tc>
              <w:tc>
                <w:tcPr>
                  <w:tcW w:w="1962" w:type="dxa"/>
                  <w:tcBorders>
                    <w:bottom w:val="single" w:sz="6" w:space="0" w:color="BFBFBF" w:themeColor="background2"/>
                  </w:tcBorders>
                  <w:shd w:val="clear" w:color="auto" w:fill="auto"/>
                </w:tcPr>
                <w:p w:rsidR="00BE6EC3" w:rsidRDefault="00BE6EC3" w:rsidP="00E445B9">
                  <w:pPr>
                    <w:pStyle w:val="DQITableText"/>
                    <w:ind w:left="-85"/>
                    <w:jc w:val="left"/>
                  </w:pPr>
                  <w:proofErr w:type="spellStart"/>
                  <w:r>
                    <w:t>na</w:t>
                  </w:r>
                  <w:proofErr w:type="spellEnd"/>
                </w:p>
              </w:tc>
              <w:tc>
                <w:tcPr>
                  <w:tcW w:w="5812" w:type="dxa"/>
                  <w:tcBorders>
                    <w:bottom w:val="single" w:sz="6" w:space="0" w:color="BFBFBF" w:themeColor="background2"/>
                  </w:tcBorders>
                  <w:shd w:val="clear" w:color="auto" w:fill="auto"/>
                </w:tcPr>
                <w:p w:rsidR="00BE6EC3" w:rsidRDefault="00BE6EC3" w:rsidP="00E445B9">
                  <w:pPr>
                    <w:pStyle w:val="DQITableText"/>
                    <w:ind w:left="-85"/>
                    <w:jc w:val="left"/>
                  </w:pPr>
                  <w:proofErr w:type="spellStart"/>
                  <w:r>
                    <w:t>na</w:t>
                  </w:r>
                  <w:proofErr w:type="spellEnd"/>
                </w:p>
              </w:tc>
            </w:tr>
          </w:tbl>
          <w:p w:rsidR="00BE6EC3" w:rsidRDefault="00BE6EC3" w:rsidP="0083205B">
            <w:pPr>
              <w:pStyle w:val="Box"/>
            </w:pPr>
          </w:p>
        </w:tc>
      </w:tr>
      <w:tr w:rsidR="009B76BC" w:rsidTr="00E445B9">
        <w:trPr>
          <w:cantSplit/>
        </w:trPr>
        <w:tc>
          <w:tcPr>
            <w:tcW w:w="8788" w:type="dxa"/>
            <w:tcBorders>
              <w:top w:val="nil"/>
              <w:left w:val="nil"/>
              <w:bottom w:val="nil"/>
              <w:right w:val="nil"/>
            </w:tcBorders>
            <w:shd w:val="clear" w:color="auto" w:fill="auto"/>
          </w:tcPr>
          <w:p w:rsidR="009B76BC" w:rsidRPr="00521B8E" w:rsidRDefault="009B76BC" w:rsidP="00EF3552">
            <w:pPr>
              <w:pStyle w:val="Note"/>
              <w:rPr>
                <w:b/>
              </w:rPr>
            </w:pPr>
            <w:proofErr w:type="spellStart"/>
            <w:r w:rsidRPr="00521B8E">
              <w:rPr>
                <w:b/>
              </w:rPr>
              <w:t>na</w:t>
            </w:r>
            <w:proofErr w:type="spellEnd"/>
            <w:r w:rsidRPr="00521B8E">
              <w:rPr>
                <w:b/>
              </w:rPr>
              <w:t xml:space="preserve"> </w:t>
            </w:r>
            <w:r w:rsidRPr="00521B8E">
              <w:t>Not available.</w:t>
            </w:r>
          </w:p>
        </w:tc>
      </w:tr>
      <w:tr w:rsidR="00BE6EC3" w:rsidTr="00E445B9">
        <w:trPr>
          <w:cantSplit/>
        </w:trPr>
        <w:tc>
          <w:tcPr>
            <w:tcW w:w="8788" w:type="dxa"/>
            <w:tcBorders>
              <w:top w:val="nil"/>
              <w:left w:val="nil"/>
              <w:bottom w:val="nil"/>
              <w:right w:val="nil"/>
            </w:tcBorders>
            <w:shd w:val="clear" w:color="auto" w:fill="auto"/>
          </w:tcPr>
          <w:p w:rsidR="00BE6EC3" w:rsidRDefault="00BE6EC3" w:rsidP="0083205B">
            <w:pPr>
              <w:pStyle w:val="Source"/>
            </w:pPr>
            <w:r>
              <w:rPr>
                <w:i/>
              </w:rPr>
              <w:t>Source</w:t>
            </w:r>
            <w:r>
              <w:t>: State and Territory governments.</w:t>
            </w:r>
          </w:p>
        </w:tc>
      </w:tr>
      <w:tr w:rsidR="00BE6EC3" w:rsidTr="00E445B9">
        <w:trPr>
          <w:cantSplit/>
        </w:trPr>
        <w:tc>
          <w:tcPr>
            <w:tcW w:w="8788" w:type="dxa"/>
            <w:tcBorders>
              <w:top w:val="nil"/>
              <w:left w:val="nil"/>
              <w:bottom w:val="single" w:sz="6" w:space="0" w:color="78A22F"/>
              <w:right w:val="nil"/>
            </w:tcBorders>
            <w:shd w:val="clear" w:color="auto" w:fill="auto"/>
          </w:tcPr>
          <w:p w:rsidR="00BE6EC3" w:rsidRDefault="00BE6EC3" w:rsidP="0083205B">
            <w:pPr>
              <w:pStyle w:val="Box"/>
              <w:spacing w:before="0" w:line="120" w:lineRule="exact"/>
            </w:pPr>
          </w:p>
        </w:tc>
      </w:tr>
      <w:tr w:rsidR="00BE6EC3" w:rsidRPr="000863A5" w:rsidTr="00E445B9">
        <w:tc>
          <w:tcPr>
            <w:tcW w:w="8788" w:type="dxa"/>
            <w:tcBorders>
              <w:top w:val="single" w:sz="6" w:space="0" w:color="78A22F"/>
              <w:left w:val="nil"/>
              <w:bottom w:val="nil"/>
              <w:right w:val="nil"/>
            </w:tcBorders>
          </w:tcPr>
          <w:p w:rsidR="00BE6EC3" w:rsidRPr="00626D32" w:rsidRDefault="00BE6EC3" w:rsidP="0083205B">
            <w:pPr>
              <w:pStyle w:val="BoxSpaceBelow"/>
            </w:pPr>
          </w:p>
        </w:tc>
      </w:tr>
    </w:tbl>
    <w:p w:rsidR="00A05A81" w:rsidRDefault="00A05A81" w:rsidP="00BD19D0">
      <w:pPr>
        <w:pStyle w:val="BodyText"/>
      </w:pPr>
    </w:p>
    <w:p w:rsidR="004A38B5" w:rsidRDefault="004A38B5" w:rsidP="00BD19D0">
      <w:pPr>
        <w:pStyle w:val="BodyText"/>
      </w:pPr>
    </w:p>
    <w:p w:rsidR="00030E96" w:rsidRDefault="00A05A81" w:rsidP="00D2782B">
      <w:pPr>
        <w:pStyle w:val="Heading3"/>
        <w:spacing w:before="0"/>
      </w:pPr>
      <w:r>
        <w:br w:type="page"/>
      </w:r>
    </w:p>
    <w:p w:rsidR="006A1828" w:rsidRDefault="006A1828" w:rsidP="000C06D3">
      <w:pPr>
        <w:pStyle w:val="Heading3"/>
      </w:pPr>
      <w:bookmarkStart w:id="70" w:name="_Toc398732480"/>
      <w:bookmarkStart w:id="71" w:name="_Toc405885746"/>
      <w:r>
        <w:lastRenderedPageBreak/>
        <w:t xml:space="preserve">Value of </w:t>
      </w:r>
      <w:r w:rsidR="00327666">
        <w:t xml:space="preserve">asset losses </w:t>
      </w:r>
      <w:r w:rsidRPr="004E44D8">
        <w:t>from fire events</w:t>
      </w:r>
      <w:bookmarkEnd w:id="70"/>
      <w:bookmarkEnd w:id="71"/>
      <w:r w:rsidRPr="009E5F1E">
        <w:t xml:space="preserve"> </w:t>
      </w:r>
    </w:p>
    <w:p w:rsidR="00327666" w:rsidRPr="00FA7FBE" w:rsidRDefault="00327666" w:rsidP="00327666">
      <w:pPr>
        <w:pStyle w:val="Heading4"/>
      </w:pPr>
      <w:bookmarkStart w:id="72" w:name="_Toc405885747"/>
      <w:r>
        <w:t xml:space="preserve">Value of </w:t>
      </w:r>
      <w:r w:rsidRPr="004E44D8">
        <w:t>insurance claim</w:t>
      </w:r>
      <w:r>
        <w:t>s</w:t>
      </w:r>
      <w:r w:rsidRPr="004E44D8">
        <w:t xml:space="preserve"> from fire events</w:t>
      </w:r>
      <w:bookmarkEnd w:id="72"/>
      <w:r w:rsidRPr="009E5F1E">
        <w:t xml:space="preserve"> </w:t>
      </w:r>
    </w:p>
    <w:p w:rsidR="006A1828" w:rsidRPr="00FA7FBE" w:rsidRDefault="006A1828" w:rsidP="006A1828">
      <w:pPr>
        <w:pStyle w:val="Box"/>
      </w:pPr>
      <w:r w:rsidRPr="00FA7FBE">
        <w:t xml:space="preserve">Data quality information for this indicator has been drafted by the Secretariat in consultation with </w:t>
      </w:r>
      <w:proofErr w:type="spellStart"/>
      <w:r>
        <w:t>EMWG</w:t>
      </w:r>
      <w:proofErr w:type="spellEnd"/>
      <w:r w:rsidRPr="00FA7FBE">
        <w:t>, with additional Steering Committee comments.</w:t>
      </w:r>
    </w:p>
    <w:tbl>
      <w:tblPr>
        <w:tblW w:w="8767" w:type="dxa"/>
        <w:jc w:val="center"/>
        <w:tblLook w:val="01E0" w:firstRow="1" w:lastRow="1" w:firstColumn="1" w:lastColumn="1" w:noHBand="0" w:noVBand="0"/>
      </w:tblPr>
      <w:tblGrid>
        <w:gridCol w:w="1646"/>
        <w:gridCol w:w="7121"/>
      </w:tblGrid>
      <w:tr w:rsidR="006A1828" w:rsidRPr="00FA7FBE" w:rsidTr="00350233">
        <w:trPr>
          <w:jc w:val="center"/>
        </w:trPr>
        <w:tc>
          <w:tcPr>
            <w:tcW w:w="8767" w:type="dxa"/>
            <w:gridSpan w:val="2"/>
          </w:tcPr>
          <w:p w:rsidR="006A1828" w:rsidRPr="00AE3517" w:rsidRDefault="006A1828" w:rsidP="0083205B">
            <w:pPr>
              <w:pStyle w:val="DQIMainRowHeadings"/>
            </w:pPr>
            <w:r w:rsidRPr="00FA7FBE">
              <w:t>Indicator definition and description</w:t>
            </w:r>
          </w:p>
        </w:tc>
      </w:tr>
      <w:tr w:rsidR="006A1828" w:rsidRPr="00FA7FBE" w:rsidTr="00350233">
        <w:trPr>
          <w:jc w:val="center"/>
        </w:trPr>
        <w:tc>
          <w:tcPr>
            <w:tcW w:w="1646" w:type="dxa"/>
          </w:tcPr>
          <w:p w:rsidR="006A1828" w:rsidRPr="00FA7FBE" w:rsidRDefault="006A1828" w:rsidP="0083205B">
            <w:pPr>
              <w:pStyle w:val="DQIRowHeadings"/>
            </w:pPr>
            <w:r w:rsidRPr="00FA7FBE">
              <w:t>Element</w:t>
            </w:r>
          </w:p>
        </w:tc>
        <w:tc>
          <w:tcPr>
            <w:tcW w:w="7121" w:type="dxa"/>
          </w:tcPr>
          <w:p w:rsidR="006A1828" w:rsidRPr="00FA7FBE" w:rsidRDefault="006A1828" w:rsidP="00180ECD">
            <w:pPr>
              <w:pStyle w:val="DQITableText"/>
            </w:pPr>
            <w:r w:rsidRPr="00FA7FBE">
              <w:t>Out</w:t>
            </w:r>
            <w:r w:rsidR="00180ECD">
              <w:t>come</w:t>
            </w:r>
            <w:r w:rsidRPr="00FA7FBE">
              <w:t>s</w:t>
            </w:r>
          </w:p>
        </w:tc>
      </w:tr>
      <w:tr w:rsidR="006A1828" w:rsidRPr="00FA7FBE" w:rsidTr="00350233">
        <w:trPr>
          <w:jc w:val="center"/>
        </w:trPr>
        <w:tc>
          <w:tcPr>
            <w:tcW w:w="1646" w:type="dxa"/>
          </w:tcPr>
          <w:p w:rsidR="006A1828" w:rsidRPr="00FA7FBE" w:rsidRDefault="006A1828" w:rsidP="0083205B">
            <w:pPr>
              <w:pStyle w:val="DQIRowHeadings"/>
            </w:pPr>
            <w:r w:rsidRPr="00FA7FBE">
              <w:t>Indicator</w:t>
            </w:r>
          </w:p>
        </w:tc>
        <w:tc>
          <w:tcPr>
            <w:tcW w:w="7121" w:type="dxa"/>
          </w:tcPr>
          <w:p w:rsidR="006A1828" w:rsidRPr="00FA7FBE" w:rsidRDefault="006A1828" w:rsidP="0083205B">
            <w:pPr>
              <w:pStyle w:val="DQITableText"/>
            </w:pPr>
            <w:r>
              <w:t>V</w:t>
            </w:r>
            <w:r w:rsidRPr="001D0F58">
              <w:t>alue of asset losses from fire events</w:t>
            </w:r>
            <w:r w:rsidRPr="00FA7FBE">
              <w:t xml:space="preserve"> </w:t>
            </w:r>
          </w:p>
        </w:tc>
      </w:tr>
      <w:tr w:rsidR="006A1828" w:rsidRPr="00FA7FBE" w:rsidTr="00350233">
        <w:trPr>
          <w:jc w:val="center"/>
        </w:trPr>
        <w:tc>
          <w:tcPr>
            <w:tcW w:w="1646" w:type="dxa"/>
          </w:tcPr>
          <w:p w:rsidR="006A1828" w:rsidRPr="00FA7FBE" w:rsidRDefault="006A1828" w:rsidP="0083205B">
            <w:pPr>
              <w:pStyle w:val="DQIRowHeadings"/>
            </w:pPr>
            <w:r w:rsidRPr="00FA7FBE">
              <w:t>Measure (computation)</w:t>
            </w:r>
          </w:p>
        </w:tc>
        <w:tc>
          <w:tcPr>
            <w:tcW w:w="7121" w:type="dxa"/>
          </w:tcPr>
          <w:p w:rsidR="006A1828" w:rsidRPr="00FA7FBE" w:rsidRDefault="006A1828" w:rsidP="0083205B">
            <w:pPr>
              <w:pStyle w:val="DQITableText"/>
            </w:pPr>
            <w:r>
              <w:t>(1) Average</w:t>
            </w:r>
            <w:r w:rsidRPr="00FA7FBE">
              <w:t xml:space="preserve"> </w:t>
            </w:r>
            <w:r>
              <w:t xml:space="preserve">domestic </w:t>
            </w:r>
            <w:r w:rsidRPr="009E5F1E">
              <w:t xml:space="preserve">insurance </w:t>
            </w:r>
            <w:r>
              <w:t>claim</w:t>
            </w:r>
            <w:r w:rsidRPr="00FA7FBE">
              <w:t xml:space="preserve"> </w:t>
            </w:r>
            <w:r>
              <w:t xml:space="preserve">from </w:t>
            </w:r>
            <w:r w:rsidRPr="009E5F1E">
              <w:t>fire event</w:t>
            </w:r>
            <w:r>
              <w:t>s</w:t>
            </w:r>
            <w:r w:rsidRPr="009E5F1E">
              <w:t xml:space="preserve"> </w:t>
            </w:r>
          </w:p>
          <w:tbl>
            <w:tblPr>
              <w:tblStyle w:val="TableGrid"/>
              <w:tblW w:w="4151" w:type="pct"/>
              <w:tblInd w:w="1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1E0" w:firstRow="1" w:lastRow="1" w:firstColumn="1" w:lastColumn="1" w:noHBand="0" w:noVBand="0"/>
              <w:tblDescription w:val="More details can be found within the text surrounding this image."/>
            </w:tblPr>
            <w:tblGrid>
              <w:gridCol w:w="1622"/>
              <w:gridCol w:w="4111"/>
            </w:tblGrid>
            <w:tr w:rsidR="006A1828" w:rsidTr="000C06D3">
              <w:tc>
                <w:tcPr>
                  <w:tcW w:w="1415" w:type="pct"/>
                  <w:vAlign w:val="center"/>
                </w:tcPr>
                <w:p w:rsidR="006A1828" w:rsidRPr="0098142B" w:rsidRDefault="006A1828" w:rsidP="0083205B">
                  <w:pPr>
                    <w:pStyle w:val="TableBodyText"/>
                    <w:spacing w:before="120"/>
                    <w:jc w:val="left"/>
                    <w:rPr>
                      <w:b/>
                    </w:rPr>
                  </w:pPr>
                  <w:r w:rsidRPr="0098142B">
                    <w:rPr>
                      <w:b/>
                    </w:rPr>
                    <w:t>Numerator:</w:t>
                  </w:r>
                </w:p>
              </w:tc>
              <w:tc>
                <w:tcPr>
                  <w:tcW w:w="3585" w:type="pct"/>
                  <w:tcBorders>
                    <w:bottom w:val="single" w:sz="4" w:space="0" w:color="auto"/>
                  </w:tcBorders>
                  <w:vAlign w:val="bottom"/>
                </w:tcPr>
                <w:p w:rsidR="006A1828" w:rsidRPr="0098142B" w:rsidRDefault="006A1828" w:rsidP="0083205B">
                  <w:pPr>
                    <w:pStyle w:val="TableBodyText"/>
                    <w:spacing w:before="120"/>
                    <w:jc w:val="center"/>
                    <w:rPr>
                      <w:b/>
                    </w:rPr>
                  </w:pPr>
                  <w:r>
                    <w:rPr>
                      <w:b/>
                    </w:rPr>
                    <w:t>I</w:t>
                  </w:r>
                  <w:r w:rsidRPr="00990F5E">
                    <w:rPr>
                      <w:b/>
                    </w:rPr>
                    <w:t xml:space="preserve">ncurred cost of </w:t>
                  </w:r>
                  <w:r>
                    <w:rPr>
                      <w:b/>
                    </w:rPr>
                    <w:t xml:space="preserve">domestic </w:t>
                  </w:r>
                  <w:r w:rsidRPr="00990F5E">
                    <w:rPr>
                      <w:b/>
                    </w:rPr>
                    <w:t>claims</w:t>
                  </w:r>
                </w:p>
              </w:tc>
            </w:tr>
            <w:tr w:rsidR="006A1828" w:rsidTr="000C06D3">
              <w:trPr>
                <w:trHeight w:hRule="exact" w:val="57"/>
              </w:trPr>
              <w:tc>
                <w:tcPr>
                  <w:tcW w:w="1415" w:type="pct"/>
                  <w:vAlign w:val="center"/>
                </w:tcPr>
                <w:p w:rsidR="006A1828" w:rsidRPr="0098142B" w:rsidRDefault="006A1828" w:rsidP="0083205B">
                  <w:pPr>
                    <w:pStyle w:val="TableBodyText"/>
                    <w:spacing w:before="120"/>
                    <w:jc w:val="center"/>
                    <w:rPr>
                      <w:b/>
                    </w:rPr>
                  </w:pPr>
                </w:p>
              </w:tc>
              <w:tc>
                <w:tcPr>
                  <w:tcW w:w="3585" w:type="pct"/>
                  <w:tcBorders>
                    <w:top w:val="single" w:sz="4" w:space="0" w:color="auto"/>
                  </w:tcBorders>
                </w:tcPr>
                <w:p w:rsidR="006A1828" w:rsidRPr="00AC2F3E" w:rsidRDefault="006A1828" w:rsidP="0083205B">
                  <w:pPr>
                    <w:pStyle w:val="TableBodyText"/>
                    <w:spacing w:before="120"/>
                    <w:jc w:val="center"/>
                    <w:rPr>
                      <w:b/>
                      <w:sz w:val="16"/>
                      <w:szCs w:val="16"/>
                    </w:rPr>
                  </w:pPr>
                  <w:r>
                    <w:rPr>
                      <w:b/>
                      <w:sz w:val="16"/>
                      <w:szCs w:val="16"/>
                    </w:rPr>
                    <w:t>_____</w:t>
                  </w:r>
                </w:p>
              </w:tc>
            </w:tr>
            <w:tr w:rsidR="006A1828" w:rsidTr="000C06D3">
              <w:tc>
                <w:tcPr>
                  <w:tcW w:w="1415" w:type="pct"/>
                  <w:vAlign w:val="center"/>
                </w:tcPr>
                <w:p w:rsidR="006A1828" w:rsidRPr="0098142B" w:rsidRDefault="006A1828" w:rsidP="0083205B">
                  <w:pPr>
                    <w:pStyle w:val="TableBodyText"/>
                    <w:ind w:right="-24"/>
                    <w:jc w:val="left"/>
                    <w:rPr>
                      <w:b/>
                    </w:rPr>
                  </w:pPr>
                  <w:r w:rsidRPr="0098142B">
                    <w:rPr>
                      <w:b/>
                    </w:rPr>
                    <w:t>Denominator:</w:t>
                  </w:r>
                </w:p>
              </w:tc>
              <w:tc>
                <w:tcPr>
                  <w:tcW w:w="3585" w:type="pct"/>
                </w:tcPr>
                <w:p w:rsidR="006A1828" w:rsidRPr="0098142B" w:rsidRDefault="006A1828" w:rsidP="0083205B">
                  <w:pPr>
                    <w:pStyle w:val="TableBodyText"/>
                    <w:jc w:val="center"/>
                    <w:rPr>
                      <w:b/>
                    </w:rPr>
                  </w:pPr>
                  <w:r w:rsidRPr="00990F5E">
                    <w:rPr>
                      <w:b/>
                    </w:rPr>
                    <w:t xml:space="preserve">Total number of </w:t>
                  </w:r>
                  <w:r>
                    <w:rPr>
                      <w:b/>
                    </w:rPr>
                    <w:t>d</w:t>
                  </w:r>
                  <w:r w:rsidRPr="00990F5E">
                    <w:rPr>
                      <w:b/>
                    </w:rPr>
                    <w:t>omestic claims</w:t>
                  </w:r>
                </w:p>
              </w:tc>
            </w:tr>
          </w:tbl>
          <w:p w:rsidR="006A1828" w:rsidRPr="00AE3517" w:rsidRDefault="006A1828" w:rsidP="0083205B">
            <w:pPr>
              <w:pStyle w:val="DQITableText"/>
            </w:pPr>
            <w:r w:rsidRPr="00AE3517">
              <w:t xml:space="preserve">(2) </w:t>
            </w:r>
            <w:r>
              <w:t>T</w:t>
            </w:r>
            <w:r w:rsidRPr="00562C38">
              <w:t xml:space="preserve">otal </w:t>
            </w:r>
            <w:r>
              <w:t>commercial/</w:t>
            </w:r>
            <w:r w:rsidRPr="00562C38">
              <w:t>domestic insurance claims from fire events per person</w:t>
            </w:r>
            <w:r w:rsidRPr="00AE3517">
              <w:t xml:space="preserve"> </w:t>
            </w:r>
          </w:p>
          <w:tbl>
            <w:tblPr>
              <w:tblStyle w:val="TableGrid"/>
              <w:tblW w:w="4356" w:type="pct"/>
              <w:tblInd w:w="1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1E0" w:firstRow="1" w:lastRow="1" w:firstColumn="1" w:lastColumn="1" w:noHBand="0" w:noVBand="0"/>
              <w:tblDescription w:val="More details can be found within the text surrounding this image."/>
            </w:tblPr>
            <w:tblGrid>
              <w:gridCol w:w="1338"/>
              <w:gridCol w:w="4678"/>
            </w:tblGrid>
            <w:tr w:rsidR="006A1828" w:rsidTr="000C06D3">
              <w:tc>
                <w:tcPr>
                  <w:tcW w:w="1112" w:type="pct"/>
                  <w:vAlign w:val="center"/>
                </w:tcPr>
                <w:p w:rsidR="006A1828" w:rsidRPr="0098142B" w:rsidRDefault="006A1828" w:rsidP="0083205B">
                  <w:pPr>
                    <w:pStyle w:val="TableBodyText"/>
                    <w:spacing w:before="120"/>
                    <w:jc w:val="left"/>
                    <w:rPr>
                      <w:b/>
                    </w:rPr>
                  </w:pPr>
                  <w:r w:rsidRPr="0098142B">
                    <w:rPr>
                      <w:b/>
                    </w:rPr>
                    <w:t>Numerator:</w:t>
                  </w:r>
                </w:p>
              </w:tc>
              <w:tc>
                <w:tcPr>
                  <w:tcW w:w="3888" w:type="pct"/>
                  <w:tcBorders>
                    <w:bottom w:val="single" w:sz="4" w:space="0" w:color="auto"/>
                  </w:tcBorders>
                  <w:vAlign w:val="bottom"/>
                </w:tcPr>
                <w:p w:rsidR="006A1828" w:rsidRPr="0098142B" w:rsidRDefault="006A1828" w:rsidP="0083205B">
                  <w:pPr>
                    <w:pStyle w:val="TableBodyText"/>
                    <w:spacing w:before="120"/>
                    <w:jc w:val="center"/>
                    <w:rPr>
                      <w:b/>
                    </w:rPr>
                  </w:pPr>
                  <w:r>
                    <w:rPr>
                      <w:b/>
                    </w:rPr>
                    <w:t>I</w:t>
                  </w:r>
                  <w:r w:rsidRPr="00990F5E">
                    <w:rPr>
                      <w:b/>
                    </w:rPr>
                    <w:t xml:space="preserve">ncurred cost of </w:t>
                  </w:r>
                  <w:r>
                    <w:rPr>
                      <w:b/>
                    </w:rPr>
                    <w:t xml:space="preserve">domestic/commercial </w:t>
                  </w:r>
                  <w:r w:rsidRPr="00990F5E">
                    <w:rPr>
                      <w:b/>
                    </w:rPr>
                    <w:t>claims</w:t>
                  </w:r>
                </w:p>
              </w:tc>
            </w:tr>
            <w:tr w:rsidR="006A1828" w:rsidTr="000C06D3">
              <w:trPr>
                <w:trHeight w:hRule="exact" w:val="57"/>
              </w:trPr>
              <w:tc>
                <w:tcPr>
                  <w:tcW w:w="1112" w:type="pct"/>
                  <w:vAlign w:val="center"/>
                </w:tcPr>
                <w:p w:rsidR="006A1828" w:rsidRPr="0098142B" w:rsidRDefault="006A1828" w:rsidP="0083205B">
                  <w:pPr>
                    <w:pStyle w:val="TableBodyText"/>
                    <w:spacing w:before="120"/>
                    <w:jc w:val="center"/>
                    <w:rPr>
                      <w:b/>
                    </w:rPr>
                  </w:pPr>
                </w:p>
              </w:tc>
              <w:tc>
                <w:tcPr>
                  <w:tcW w:w="3888" w:type="pct"/>
                  <w:tcBorders>
                    <w:top w:val="single" w:sz="4" w:space="0" w:color="auto"/>
                  </w:tcBorders>
                </w:tcPr>
                <w:p w:rsidR="006A1828" w:rsidRPr="0098142B" w:rsidRDefault="006A1828" w:rsidP="0083205B">
                  <w:pPr>
                    <w:pStyle w:val="TableBodyText"/>
                    <w:spacing w:before="120"/>
                    <w:jc w:val="center"/>
                    <w:rPr>
                      <w:b/>
                    </w:rPr>
                  </w:pPr>
                </w:p>
              </w:tc>
            </w:tr>
            <w:tr w:rsidR="006A1828" w:rsidTr="000C06D3">
              <w:tc>
                <w:tcPr>
                  <w:tcW w:w="1112" w:type="pct"/>
                  <w:vAlign w:val="center"/>
                </w:tcPr>
                <w:p w:rsidR="006A1828" w:rsidRPr="0098142B" w:rsidRDefault="006A1828" w:rsidP="0083205B">
                  <w:pPr>
                    <w:pStyle w:val="TableBodyText"/>
                    <w:ind w:right="-24"/>
                    <w:jc w:val="left"/>
                    <w:rPr>
                      <w:b/>
                    </w:rPr>
                  </w:pPr>
                  <w:r w:rsidRPr="0098142B">
                    <w:rPr>
                      <w:b/>
                    </w:rPr>
                    <w:t>Denominator:</w:t>
                  </w:r>
                </w:p>
              </w:tc>
              <w:tc>
                <w:tcPr>
                  <w:tcW w:w="3888" w:type="pct"/>
                </w:tcPr>
                <w:p w:rsidR="006A1828" w:rsidRPr="0098142B" w:rsidRDefault="006A1828" w:rsidP="0083205B">
                  <w:pPr>
                    <w:pStyle w:val="TableBodyText"/>
                    <w:jc w:val="center"/>
                    <w:rPr>
                      <w:b/>
                    </w:rPr>
                  </w:pPr>
                  <w:r w:rsidRPr="00562C38">
                    <w:rPr>
                      <w:b/>
                    </w:rPr>
                    <w:t>Population of a state and territory.</w:t>
                  </w:r>
                </w:p>
              </w:tc>
            </w:tr>
          </w:tbl>
          <w:p w:rsidR="006A1828" w:rsidRPr="00FA7FBE" w:rsidRDefault="006A1828" w:rsidP="000C06D3">
            <w:pPr>
              <w:pStyle w:val="TableBodyText"/>
              <w:jc w:val="left"/>
            </w:pPr>
          </w:p>
        </w:tc>
      </w:tr>
      <w:tr w:rsidR="006A1828" w:rsidRPr="00FA7FBE" w:rsidTr="00350233">
        <w:trPr>
          <w:jc w:val="center"/>
        </w:trPr>
        <w:tc>
          <w:tcPr>
            <w:tcW w:w="1646" w:type="dxa"/>
          </w:tcPr>
          <w:p w:rsidR="006A1828" w:rsidRPr="00FA7FBE" w:rsidRDefault="00650564" w:rsidP="0083205B">
            <w:pPr>
              <w:pStyle w:val="DQIRowHeadings"/>
            </w:pPr>
            <w:r>
              <w:t>Data source</w:t>
            </w:r>
          </w:p>
        </w:tc>
        <w:tc>
          <w:tcPr>
            <w:tcW w:w="7121" w:type="dxa"/>
          </w:tcPr>
          <w:p w:rsidR="006A1828" w:rsidRPr="0083205B" w:rsidRDefault="006A1828" w:rsidP="0083205B">
            <w:pPr>
              <w:pStyle w:val="DQITableText"/>
              <w:rPr>
                <w:u w:val="single"/>
              </w:rPr>
            </w:pPr>
            <w:r w:rsidRPr="0083205B">
              <w:rPr>
                <w:u w:val="single"/>
              </w:rPr>
              <w:t>Insurance claims</w:t>
            </w:r>
          </w:p>
          <w:p w:rsidR="006A1828" w:rsidRPr="00FA7FBE" w:rsidRDefault="006A1828" w:rsidP="0083205B">
            <w:pPr>
              <w:pStyle w:val="DQITableText"/>
            </w:pPr>
            <w:r w:rsidRPr="00830B48">
              <w:t>ISA Database (201</w:t>
            </w:r>
            <w:r w:rsidR="00FF4AB0">
              <w:t>4</w:t>
            </w:r>
            <w:r w:rsidRPr="00830B48">
              <w:t>), unpublished</w:t>
            </w:r>
            <w:r w:rsidRPr="00FA7FBE">
              <w:t xml:space="preserve"> </w:t>
            </w:r>
          </w:p>
          <w:p w:rsidR="006A1828" w:rsidRPr="0083205B" w:rsidRDefault="006A1828" w:rsidP="0083205B">
            <w:pPr>
              <w:pStyle w:val="DQITableText"/>
              <w:rPr>
                <w:u w:val="single"/>
              </w:rPr>
            </w:pPr>
            <w:r w:rsidRPr="0083205B">
              <w:rPr>
                <w:u w:val="single"/>
              </w:rPr>
              <w:t>Population of state of territory</w:t>
            </w:r>
          </w:p>
          <w:p w:rsidR="006A1828" w:rsidRPr="00FA7FBE" w:rsidRDefault="006A1828" w:rsidP="003475D1">
            <w:pPr>
              <w:pStyle w:val="DQITableText"/>
            </w:pPr>
            <w:r w:rsidRPr="00FA7FBE">
              <w:t>Australian Bureau of Statistics (ABS) 201</w:t>
            </w:r>
            <w:r w:rsidR="00FF4AB0">
              <w:t>4</w:t>
            </w:r>
            <w:r w:rsidRPr="00FA7FBE">
              <w:t xml:space="preserve"> and previous years, </w:t>
            </w:r>
            <w:r w:rsidRPr="00AE3517">
              <w:rPr>
                <w:i/>
              </w:rPr>
              <w:t>Australian Demographic Statistics, December 20</w:t>
            </w:r>
            <w:r>
              <w:rPr>
                <w:i/>
              </w:rPr>
              <w:t>1</w:t>
            </w:r>
            <w:r w:rsidR="003475D1">
              <w:rPr>
                <w:i/>
              </w:rPr>
              <w:t xml:space="preserve">4 </w:t>
            </w:r>
            <w:r w:rsidRPr="00FA7FBE">
              <w:t xml:space="preserve">(Cat. no. 3101.0). (for more detail about the population data used in the Report see </w:t>
            </w:r>
            <w:proofErr w:type="spellStart"/>
            <w:r w:rsidR="007F6100">
              <w:t>RoGS</w:t>
            </w:r>
            <w:proofErr w:type="spellEnd"/>
            <w:r w:rsidRPr="00FA7FBE">
              <w:t xml:space="preserve"> </w:t>
            </w:r>
            <w:r w:rsidR="009D2362">
              <w:t>Statistical context (chapter 2</w:t>
            </w:r>
            <w:r w:rsidRPr="00FA7FBE">
              <w:t xml:space="preserve">, </w:t>
            </w:r>
            <w:r w:rsidR="009D2362">
              <w:t>t</w:t>
            </w:r>
            <w:r w:rsidRPr="00FA7FBE">
              <w:t>able</w:t>
            </w:r>
            <w:r w:rsidR="009D2362">
              <w:t> </w:t>
            </w:r>
            <w:proofErr w:type="spellStart"/>
            <w:r w:rsidR="009D2362">
              <w:t>2A.2</w:t>
            </w:r>
            <w:proofErr w:type="spellEnd"/>
            <w:r w:rsidRPr="00FA7FBE">
              <w:t>)</w:t>
            </w:r>
            <w:r w:rsidR="0096477A">
              <w:t>.</w:t>
            </w:r>
          </w:p>
        </w:tc>
      </w:tr>
      <w:tr w:rsidR="006A1828" w:rsidRPr="00FA7FBE" w:rsidTr="00350233">
        <w:trPr>
          <w:cantSplit/>
          <w:jc w:val="center"/>
        </w:trPr>
        <w:tc>
          <w:tcPr>
            <w:tcW w:w="8767" w:type="dxa"/>
            <w:gridSpan w:val="2"/>
          </w:tcPr>
          <w:p w:rsidR="006A1828" w:rsidRPr="00AE3517" w:rsidRDefault="006A1828" w:rsidP="0083205B">
            <w:pPr>
              <w:pStyle w:val="DQIMainRowHeadings"/>
            </w:pPr>
            <w:r w:rsidRPr="00AE3517">
              <w:br w:type="page"/>
            </w:r>
            <w:r w:rsidRPr="00AE3517">
              <w:br w:type="page"/>
            </w:r>
            <w:r w:rsidRPr="00FA7FBE">
              <w:t>Data Quality Framework dimensions</w:t>
            </w:r>
          </w:p>
        </w:tc>
      </w:tr>
      <w:tr w:rsidR="006A1828" w:rsidRPr="00FA7FBE" w:rsidTr="00350233">
        <w:trPr>
          <w:jc w:val="center"/>
        </w:trPr>
        <w:tc>
          <w:tcPr>
            <w:tcW w:w="1646" w:type="dxa"/>
          </w:tcPr>
          <w:p w:rsidR="006A1828" w:rsidRPr="00FA7FBE" w:rsidRDefault="006A1828" w:rsidP="0083205B">
            <w:pPr>
              <w:pStyle w:val="DQIRowHeadings"/>
            </w:pPr>
            <w:r w:rsidRPr="00FA7FBE">
              <w:t xml:space="preserve">Institutional </w:t>
            </w:r>
            <w:r w:rsidRPr="00AE3517">
              <w:t>environment</w:t>
            </w:r>
          </w:p>
        </w:tc>
        <w:tc>
          <w:tcPr>
            <w:tcW w:w="7121" w:type="dxa"/>
            <w:shd w:val="clear" w:color="auto" w:fill="auto"/>
          </w:tcPr>
          <w:p w:rsidR="006A1828" w:rsidRDefault="006A1828" w:rsidP="0083205B">
            <w:pPr>
              <w:pStyle w:val="DQITableText"/>
            </w:pPr>
            <w:r>
              <w:t>Insurance Statistics Australia (ISA) was established in 1988 by Australian insurance companies to produce management information of relevance to the pricing and profitability of selected classes of insurance business. ISA manages data on behalf of the ISA and Insurance Council of Australia.</w:t>
            </w:r>
          </w:p>
          <w:p w:rsidR="006A1828" w:rsidRPr="00FA7FBE" w:rsidRDefault="006A1828" w:rsidP="0083205B">
            <w:pPr>
              <w:pStyle w:val="DQITableText"/>
            </w:pPr>
            <w:r>
              <w:t xml:space="preserve">ISA is managed by a board of directors drawn from participating insurance companies. </w:t>
            </w:r>
            <w:proofErr w:type="spellStart"/>
            <w:r>
              <w:t>Finity</w:t>
            </w:r>
            <w:proofErr w:type="spellEnd"/>
            <w:r>
              <w:t xml:space="preserve"> Consulting acts as the Manager of ISA.</w:t>
            </w:r>
            <w:r w:rsidRPr="00FA7FBE">
              <w:t xml:space="preserve"> </w:t>
            </w:r>
          </w:p>
        </w:tc>
      </w:tr>
      <w:tr w:rsidR="006A1828" w:rsidRPr="00FA7FBE" w:rsidTr="00350233">
        <w:trPr>
          <w:cantSplit/>
          <w:jc w:val="center"/>
        </w:trPr>
        <w:tc>
          <w:tcPr>
            <w:tcW w:w="1646" w:type="dxa"/>
          </w:tcPr>
          <w:p w:rsidR="006A1828" w:rsidRPr="00AE3517" w:rsidRDefault="006A1828" w:rsidP="0083205B">
            <w:pPr>
              <w:pStyle w:val="DQIRowHeadings"/>
            </w:pPr>
            <w:r w:rsidRPr="00AE3517">
              <w:t>Relevance</w:t>
            </w:r>
          </w:p>
        </w:tc>
        <w:tc>
          <w:tcPr>
            <w:tcW w:w="7121" w:type="dxa"/>
            <w:shd w:val="clear" w:color="auto" w:fill="FFFFFF" w:themeFill="background1"/>
          </w:tcPr>
          <w:p w:rsidR="006A1828" w:rsidRDefault="006A1828" w:rsidP="0083205B">
            <w:pPr>
              <w:pStyle w:val="DQITableText"/>
            </w:pPr>
            <w:r w:rsidRPr="00F07BC5">
              <w:t xml:space="preserve">The data collected by ISA provide a measurable impact of selected emergency events on the community. The data also allow for estimates of assets lost against several classes of emergencies. </w:t>
            </w:r>
          </w:p>
          <w:p w:rsidR="006A1828" w:rsidRPr="00F07BC5" w:rsidRDefault="006A1828" w:rsidP="0083205B">
            <w:pPr>
              <w:pStyle w:val="DQITableText"/>
            </w:pPr>
            <w:r w:rsidRPr="00F07BC5">
              <w:t>ISA data relate to those members of the community that have household and/or commercial insurance. ISA insurance data are available for:</w:t>
            </w:r>
          </w:p>
          <w:p w:rsidR="006A1828" w:rsidRPr="00F07BC5" w:rsidRDefault="006A1828" w:rsidP="0083205B">
            <w:pPr>
              <w:pStyle w:val="DQITableBullet"/>
            </w:pPr>
            <w:r w:rsidRPr="00F07BC5">
              <w:rPr>
                <w:i/>
              </w:rPr>
              <w:t>Domestic Household</w:t>
            </w:r>
            <w:r w:rsidRPr="00F07BC5">
              <w:t xml:space="preserve"> — relates to building and/or contents cover for householders or house owners. For strata units, contents cover is included b</w:t>
            </w:r>
            <w:r w:rsidR="00802240">
              <w:t>ut</w:t>
            </w:r>
            <w:r w:rsidRPr="00F07BC5">
              <w:t xml:space="preserve"> building cover is excluded.</w:t>
            </w:r>
          </w:p>
          <w:p w:rsidR="006A1828" w:rsidRPr="00F07BC5" w:rsidRDefault="006A1828" w:rsidP="0083205B">
            <w:pPr>
              <w:pStyle w:val="DQITableBullet"/>
            </w:pPr>
            <w:r w:rsidRPr="00F07BC5">
              <w:rPr>
                <w:i/>
              </w:rPr>
              <w:t>Commercial Property</w:t>
            </w:r>
            <w:r w:rsidRPr="00F07BC5">
              <w:t xml:space="preserve"> — cover for commercial property premises, which can cover loss and/or damage to buildings, contents, machinery, stock and loss of profits.</w:t>
            </w:r>
          </w:p>
          <w:p w:rsidR="006A1828" w:rsidRPr="00F07BC5" w:rsidRDefault="006A1828" w:rsidP="0083205B">
            <w:pPr>
              <w:pStyle w:val="DQITableText"/>
            </w:pPr>
            <w:r w:rsidRPr="00F07BC5">
              <w:t>For each class of insurance the following data may be available:</w:t>
            </w:r>
            <w:r>
              <w:t xml:space="preserve"> </w:t>
            </w:r>
            <w:r w:rsidRPr="00F1209F">
              <w:t>Incurred cost of claims; Domestic Total Number of Policies; Domestic Total Number of Claims; Average Premium; Average Sum Insured; Claim Frequency; Average Claim Size; Cost per Policy; and Loss Ratio.</w:t>
            </w:r>
          </w:p>
          <w:p w:rsidR="006A1828" w:rsidRPr="00F07BC5" w:rsidRDefault="006A1828" w:rsidP="0083205B">
            <w:pPr>
              <w:pStyle w:val="DQITableText"/>
            </w:pPr>
            <w:r w:rsidRPr="00F07BC5">
              <w:t>ISA data are available for the following geographic dissections:</w:t>
            </w:r>
          </w:p>
          <w:p w:rsidR="006A1828" w:rsidRPr="00F07BC5" w:rsidRDefault="006A1828" w:rsidP="0083205B">
            <w:pPr>
              <w:pStyle w:val="DQITableBullet"/>
            </w:pPr>
            <w:r w:rsidRPr="00F07BC5">
              <w:rPr>
                <w:i/>
              </w:rPr>
              <w:t xml:space="preserve">Domestic Household </w:t>
            </w:r>
            <w:r w:rsidRPr="00F07BC5">
              <w:t xml:space="preserve">— state and territory </w:t>
            </w:r>
          </w:p>
          <w:p w:rsidR="006A1828" w:rsidRPr="00FA7FBE" w:rsidRDefault="006A1828" w:rsidP="0083205B">
            <w:pPr>
              <w:pStyle w:val="DQITableBullet"/>
            </w:pPr>
            <w:r w:rsidRPr="00F07BC5">
              <w:rPr>
                <w:i/>
              </w:rPr>
              <w:t>Commercial Property</w:t>
            </w:r>
            <w:r w:rsidRPr="00F07BC5">
              <w:t xml:space="preserve"> —</w:t>
            </w:r>
            <w:r w:rsidR="009D2362">
              <w:t xml:space="preserve"> </w:t>
            </w:r>
            <w:r w:rsidRPr="00F07BC5">
              <w:t>Australia total, but not by state and territory.</w:t>
            </w:r>
          </w:p>
        </w:tc>
      </w:tr>
      <w:tr w:rsidR="006A1828" w:rsidRPr="00FA7FBE" w:rsidTr="00350233">
        <w:trPr>
          <w:cantSplit/>
          <w:jc w:val="center"/>
        </w:trPr>
        <w:tc>
          <w:tcPr>
            <w:tcW w:w="1646" w:type="dxa"/>
          </w:tcPr>
          <w:p w:rsidR="006A1828" w:rsidRPr="00AE3517" w:rsidRDefault="006A1828" w:rsidP="0083205B">
            <w:pPr>
              <w:pStyle w:val="DQIRowHeadings"/>
            </w:pPr>
            <w:r w:rsidRPr="00AE3517">
              <w:lastRenderedPageBreak/>
              <w:t>Timeliness</w:t>
            </w:r>
          </w:p>
        </w:tc>
        <w:tc>
          <w:tcPr>
            <w:tcW w:w="7121" w:type="dxa"/>
          </w:tcPr>
          <w:p w:rsidR="006A1828" w:rsidRPr="00F07BC5" w:rsidRDefault="006A1828" w:rsidP="0083205B">
            <w:pPr>
              <w:pStyle w:val="DQITableText"/>
            </w:pPr>
            <w:r w:rsidRPr="00F07BC5">
              <w:t xml:space="preserve">Data are available for financial year and calendar year. </w:t>
            </w:r>
          </w:p>
          <w:p w:rsidR="006A1828" w:rsidRPr="00F07BC5" w:rsidRDefault="006A1828" w:rsidP="0083205B">
            <w:pPr>
              <w:pStyle w:val="DQITableBullet"/>
            </w:pPr>
            <w:r w:rsidRPr="00F07BC5">
              <w:rPr>
                <w:i/>
              </w:rPr>
              <w:t>Domestic Household</w:t>
            </w:r>
            <w:r w:rsidRPr="00F07BC5">
              <w:t xml:space="preserve"> — data are submitted by direct insurers within three weeks following the end of March, June, September, and December each year. Reports are also produced quarterly</w:t>
            </w:r>
          </w:p>
          <w:p w:rsidR="006A1828" w:rsidRPr="00F07BC5" w:rsidRDefault="006A1828" w:rsidP="0083205B">
            <w:pPr>
              <w:pStyle w:val="DQITableBullet"/>
            </w:pPr>
            <w:r w:rsidRPr="00F07BC5">
              <w:rPr>
                <w:i/>
              </w:rPr>
              <w:t>Commercial Property</w:t>
            </w:r>
            <w:r w:rsidRPr="00F07BC5">
              <w:t xml:space="preserve"> — data are submitted by insurers within 4 weeks following the end of June and December each year. Reports are produced biannually. </w:t>
            </w:r>
          </w:p>
          <w:p w:rsidR="006A1828" w:rsidRPr="00FA7FBE" w:rsidRDefault="006A1828" w:rsidP="00FF4AB0">
            <w:pPr>
              <w:pStyle w:val="DQITableText"/>
            </w:pPr>
            <w:r w:rsidRPr="00F07BC5">
              <w:t xml:space="preserve">Reports are available approximately four months after the reference period. </w:t>
            </w:r>
          </w:p>
        </w:tc>
      </w:tr>
      <w:tr w:rsidR="006A1828" w:rsidRPr="00FA7FBE" w:rsidTr="00350233">
        <w:trPr>
          <w:jc w:val="center"/>
        </w:trPr>
        <w:tc>
          <w:tcPr>
            <w:tcW w:w="1646" w:type="dxa"/>
          </w:tcPr>
          <w:p w:rsidR="006A1828" w:rsidRPr="00AE3517" w:rsidRDefault="006A1828" w:rsidP="0083205B">
            <w:pPr>
              <w:pStyle w:val="DQIRowHeadings"/>
            </w:pPr>
            <w:r w:rsidRPr="00AE3517">
              <w:t>Accuracy</w:t>
            </w:r>
          </w:p>
        </w:tc>
        <w:tc>
          <w:tcPr>
            <w:tcW w:w="7121" w:type="dxa"/>
            <w:shd w:val="clear" w:color="auto" w:fill="FFFFFF" w:themeFill="background1"/>
          </w:tcPr>
          <w:p w:rsidR="006A1828" w:rsidRPr="00F1209F" w:rsidRDefault="006A1828" w:rsidP="0083205B">
            <w:pPr>
              <w:pStyle w:val="DQITableText"/>
            </w:pPr>
            <w:r w:rsidRPr="00F1209F">
              <w:t>The ISA data are the actual</w:t>
            </w:r>
            <w:r w:rsidRPr="00F1209F">
              <w:rPr>
                <w:i/>
              </w:rPr>
              <w:t xml:space="preserve"> </w:t>
            </w:r>
            <w:r w:rsidRPr="00F1209F">
              <w:t>cost to insurers. As administrative data they are not subject to sampling error. Total claims incurred will misstate the total value of assets lost due to:</w:t>
            </w:r>
          </w:p>
          <w:p w:rsidR="006A1828" w:rsidRPr="00F1209F" w:rsidRDefault="006A1828" w:rsidP="0083205B">
            <w:pPr>
              <w:pStyle w:val="DQITableBullet"/>
            </w:pPr>
            <w:r w:rsidRPr="00F1209F">
              <w:rPr>
                <w:i/>
              </w:rPr>
              <w:t>under insurance</w:t>
            </w:r>
            <w:r w:rsidRPr="00F1209F">
              <w:t xml:space="preserve"> — under insurance will lead to the value of asset loss data to be under stated. Insurance payouts are limited by the estimated value of assets a policy holder provides when taking out insurance. Where they have under</w:t>
            </w:r>
            <w:r w:rsidRPr="00F1209F">
              <w:noBreakHyphen/>
              <w:t>estimated their assets the cost to the insurer will be below total losses to the policy holder</w:t>
            </w:r>
          </w:p>
          <w:p w:rsidR="006A1828" w:rsidRPr="00F1209F" w:rsidRDefault="006A1828" w:rsidP="0083205B">
            <w:pPr>
              <w:pStyle w:val="DQITableBullet"/>
            </w:pPr>
            <w:r w:rsidRPr="00F1209F">
              <w:rPr>
                <w:i/>
              </w:rPr>
              <w:t>ISA market share</w:t>
            </w:r>
            <w:r w:rsidRPr="00F1209F">
              <w:t xml:space="preserve"> — ISA data are incomplete, in that they only cover ISA members that submit insurance data returns. The ISA estimates that their data cover approximately 80 per cent of the Domestic Household market and </w:t>
            </w:r>
            <w:r w:rsidR="009B4FF8">
              <w:t>6</w:t>
            </w:r>
            <w:r w:rsidRPr="00F1209F">
              <w:t>0 per cent of the Commercial Property market.</w:t>
            </w:r>
          </w:p>
          <w:p w:rsidR="006A1828" w:rsidRPr="00F1209F" w:rsidRDefault="006A1828" w:rsidP="0083205B">
            <w:pPr>
              <w:pStyle w:val="DQITableBullet"/>
            </w:pPr>
            <w:r w:rsidRPr="00F1209F">
              <w:rPr>
                <w:i/>
              </w:rPr>
              <w:t>new for old</w:t>
            </w:r>
            <w:r w:rsidRPr="00F1209F">
              <w:t xml:space="preserve"> — new for old policies will lead to the value of asset loss data to be over stated. New for old policies replace a lost ‘old’ asset for a ‘new’ equivalent asset. Given that most assets depreciate, the </w:t>
            </w:r>
            <w:r w:rsidR="009B4FF8">
              <w:t xml:space="preserve">replacement </w:t>
            </w:r>
            <w:r w:rsidRPr="00F1209F">
              <w:t>item would ordinarily have a greater value than the item it replaces</w:t>
            </w:r>
          </w:p>
          <w:p w:rsidR="006A1828" w:rsidRPr="00F1209F" w:rsidRDefault="006A1828" w:rsidP="0083205B">
            <w:pPr>
              <w:pStyle w:val="DQITableBullet"/>
              <w:rPr>
                <w:u w:val="dotted"/>
              </w:rPr>
            </w:pPr>
            <w:r w:rsidRPr="00F1209F">
              <w:rPr>
                <w:i/>
              </w:rPr>
              <w:t xml:space="preserve">excess policy </w:t>
            </w:r>
            <w:r w:rsidRPr="00F1209F">
              <w:t xml:space="preserve">— excess policies will lead to the value of asset loss data to be under stated. To avoid having to process too many small claims, most insurance policies require policy holders to pay an ‘excess’. This will mean that most small incidents will not be recorded in the insurance data. </w:t>
            </w:r>
          </w:p>
        </w:tc>
      </w:tr>
      <w:tr w:rsidR="006A1828" w:rsidRPr="00FA7FBE" w:rsidTr="00350233">
        <w:trPr>
          <w:cantSplit/>
          <w:jc w:val="center"/>
        </w:trPr>
        <w:tc>
          <w:tcPr>
            <w:tcW w:w="1646" w:type="dxa"/>
          </w:tcPr>
          <w:p w:rsidR="006A1828" w:rsidRPr="00FA7FBE" w:rsidRDefault="006A1828" w:rsidP="0083205B">
            <w:pPr>
              <w:pStyle w:val="DQIRowHeadings"/>
            </w:pPr>
            <w:r w:rsidRPr="00AE3517">
              <w:t>Coherence</w:t>
            </w:r>
          </w:p>
          <w:p w:rsidR="006A1828" w:rsidRPr="00FA7FBE" w:rsidRDefault="006A1828" w:rsidP="0083205B">
            <w:pPr>
              <w:pStyle w:val="DQIRowHeadings"/>
              <w:rPr>
                <w:sz w:val="20"/>
              </w:rPr>
            </w:pPr>
          </w:p>
        </w:tc>
        <w:tc>
          <w:tcPr>
            <w:tcW w:w="7121" w:type="dxa"/>
            <w:shd w:val="clear" w:color="auto" w:fill="FFFFFF" w:themeFill="background1"/>
          </w:tcPr>
          <w:p w:rsidR="006A1828" w:rsidRPr="00F1209F" w:rsidRDefault="006A1828" w:rsidP="0083205B">
            <w:pPr>
              <w:pStyle w:val="DQITableText"/>
            </w:pPr>
            <w:r w:rsidRPr="00F1209F">
              <w:t>Insurance companies must adhere to common accounting practices for insurance companies, and provide data to the ISA according to an agreed classification system.</w:t>
            </w:r>
          </w:p>
          <w:p w:rsidR="006A1828" w:rsidRPr="00F1209F" w:rsidRDefault="006A1828" w:rsidP="0083205B">
            <w:pPr>
              <w:pStyle w:val="DQITableText"/>
              <w:rPr>
                <w:sz w:val="24"/>
                <w:u w:val="dotted"/>
              </w:rPr>
            </w:pPr>
            <w:r w:rsidRPr="00F1209F">
              <w:t>The ISA data should relate to the published emergency event series already published in the Emergency management sector overview, however further work is required to validate their coherence.</w:t>
            </w:r>
          </w:p>
        </w:tc>
      </w:tr>
      <w:tr w:rsidR="006A1828" w:rsidRPr="00FA7FBE" w:rsidTr="00350233">
        <w:trPr>
          <w:cantSplit/>
          <w:jc w:val="center"/>
        </w:trPr>
        <w:tc>
          <w:tcPr>
            <w:tcW w:w="1646" w:type="dxa"/>
          </w:tcPr>
          <w:p w:rsidR="006A1828" w:rsidRPr="00AE3517" w:rsidRDefault="006A1828" w:rsidP="0083205B">
            <w:pPr>
              <w:pStyle w:val="DQIRowHeadings"/>
            </w:pPr>
            <w:r w:rsidRPr="00AE3517">
              <w:t>Accessibility</w:t>
            </w:r>
          </w:p>
          <w:p w:rsidR="006A1828" w:rsidRPr="00AE3517" w:rsidRDefault="006A1828" w:rsidP="0083205B">
            <w:pPr>
              <w:pStyle w:val="DQIRowHeadings"/>
            </w:pPr>
          </w:p>
        </w:tc>
        <w:tc>
          <w:tcPr>
            <w:tcW w:w="7121" w:type="dxa"/>
          </w:tcPr>
          <w:p w:rsidR="006A1828" w:rsidRPr="00FA7FBE" w:rsidRDefault="006A1828" w:rsidP="0083205B">
            <w:pPr>
              <w:pStyle w:val="DQITableText"/>
            </w:pPr>
            <w:r w:rsidRPr="00F07BC5">
              <w:t>Information supplied by ISA is generally free of charge for government organisations. However, data requests are subject to approval by the Board of ISA. Before ISA can provide data, details must be provided of what the data will be used for. ISA’s written permission is required for anything that will be circulated externally.</w:t>
            </w:r>
            <w:r w:rsidRPr="00FA7FBE">
              <w:t xml:space="preserve"> </w:t>
            </w:r>
          </w:p>
        </w:tc>
      </w:tr>
      <w:tr w:rsidR="006A1828" w:rsidRPr="00FA7FBE" w:rsidTr="00350233">
        <w:trPr>
          <w:cantSplit/>
          <w:jc w:val="center"/>
        </w:trPr>
        <w:tc>
          <w:tcPr>
            <w:tcW w:w="1646" w:type="dxa"/>
          </w:tcPr>
          <w:p w:rsidR="006A1828" w:rsidRPr="00AE3517" w:rsidRDefault="006A1828" w:rsidP="0083205B">
            <w:pPr>
              <w:pStyle w:val="DQIRowHeadings"/>
            </w:pPr>
            <w:r w:rsidRPr="00AE3517">
              <w:t>Interpretability</w:t>
            </w:r>
          </w:p>
        </w:tc>
        <w:tc>
          <w:tcPr>
            <w:tcW w:w="7121" w:type="dxa"/>
          </w:tcPr>
          <w:p w:rsidR="006A1828" w:rsidRPr="00FA7FBE" w:rsidRDefault="006A1828" w:rsidP="0083205B">
            <w:pPr>
              <w:pStyle w:val="DQITableText"/>
            </w:pPr>
            <w:r w:rsidRPr="00F07BC5">
              <w:t xml:space="preserve">The ISA publishes an </w:t>
            </w:r>
            <w:r w:rsidRPr="00F07BC5">
              <w:rPr>
                <w:i/>
              </w:rPr>
              <w:t>Operations Guidebook</w:t>
            </w:r>
            <w:r w:rsidRPr="00F07BC5">
              <w:t>, which documents the key collection processes, standards and classifications. The guidebook is available at:</w:t>
            </w:r>
            <w:r>
              <w:t xml:space="preserve"> </w:t>
            </w:r>
            <w:r w:rsidRPr="004A1422">
              <w:t>http://</w:t>
            </w:r>
            <w:proofErr w:type="spellStart"/>
            <w:r w:rsidRPr="004A1422">
              <w:t>www.insurancestats.com.au</w:t>
            </w:r>
            <w:proofErr w:type="spellEnd"/>
            <w:r w:rsidRPr="004A1422">
              <w:t>/</w:t>
            </w:r>
            <w:proofErr w:type="spellStart"/>
            <w:r w:rsidRPr="004A1422">
              <w:t>objectives.html</w:t>
            </w:r>
            <w:proofErr w:type="spellEnd"/>
          </w:p>
        </w:tc>
      </w:tr>
      <w:tr w:rsidR="006A1828" w:rsidRPr="00FA7FBE" w:rsidTr="00350233">
        <w:trPr>
          <w:cantSplit/>
          <w:jc w:val="center"/>
        </w:trPr>
        <w:tc>
          <w:tcPr>
            <w:tcW w:w="8767" w:type="dxa"/>
            <w:gridSpan w:val="2"/>
            <w:shd w:val="clear" w:color="auto" w:fill="FFFFFF" w:themeFill="background1"/>
          </w:tcPr>
          <w:p w:rsidR="006A1828" w:rsidRPr="00FA7FBE" w:rsidRDefault="006A1828" w:rsidP="0083205B">
            <w:pPr>
              <w:pStyle w:val="DQIMainRowHeadings"/>
            </w:pPr>
            <w:r w:rsidRPr="00FA7FBE">
              <w:t>Data Gaps/Issues Analysis</w:t>
            </w:r>
          </w:p>
        </w:tc>
      </w:tr>
      <w:tr w:rsidR="006A1828" w:rsidRPr="00FA7FBE" w:rsidTr="00350233">
        <w:trPr>
          <w:cantSplit/>
          <w:jc w:val="center"/>
        </w:trPr>
        <w:tc>
          <w:tcPr>
            <w:tcW w:w="1646" w:type="dxa"/>
            <w:shd w:val="clear" w:color="auto" w:fill="FFFFFF" w:themeFill="background1"/>
          </w:tcPr>
          <w:p w:rsidR="006A1828" w:rsidRPr="00FA7FBE" w:rsidRDefault="006A1828" w:rsidP="0083205B">
            <w:pPr>
              <w:pStyle w:val="DQIRowHeadings"/>
              <w:rPr>
                <w:szCs w:val="22"/>
              </w:rPr>
            </w:pPr>
            <w:r w:rsidRPr="00AE3517">
              <w:t>Key data gaps/issues</w:t>
            </w:r>
          </w:p>
        </w:tc>
        <w:tc>
          <w:tcPr>
            <w:tcW w:w="7121" w:type="dxa"/>
            <w:shd w:val="clear" w:color="auto" w:fill="auto"/>
          </w:tcPr>
          <w:p w:rsidR="007F6100" w:rsidRPr="0077499F" w:rsidRDefault="007F6100" w:rsidP="007F6100">
            <w:pPr>
              <w:pStyle w:val="DQITableText"/>
            </w:pPr>
            <w:r w:rsidRPr="0077499F">
              <w:t xml:space="preserve">The Steering Committee notes the following key data gaps/issues: </w:t>
            </w:r>
          </w:p>
          <w:p w:rsidR="007F6100" w:rsidRPr="00FA7FBE" w:rsidRDefault="007F6100" w:rsidP="00E36D6E">
            <w:pPr>
              <w:pStyle w:val="DQITableBullet"/>
            </w:pPr>
            <w:r>
              <w:t>Data need to be interpreted with caution as actual asset losses may differ from incurred claims due to: under insurance, market share, new for old, and excess policy (see accuracy dimension).</w:t>
            </w:r>
          </w:p>
        </w:tc>
      </w:tr>
    </w:tbl>
    <w:p w:rsidR="006A1828" w:rsidRDefault="006A1828" w:rsidP="006A1828">
      <w:pPr>
        <w:pStyle w:val="BodyText"/>
      </w:pPr>
    </w:p>
    <w:p w:rsidR="006A1828" w:rsidRPr="006A1828" w:rsidRDefault="006A1828" w:rsidP="006A1828">
      <w:pPr>
        <w:pStyle w:val="BodyText"/>
      </w:pPr>
      <w:r>
        <w:br w:type="page"/>
      </w:r>
    </w:p>
    <w:p w:rsidR="00F056FC" w:rsidRDefault="00AA0B0F" w:rsidP="00030E96">
      <w:pPr>
        <w:pStyle w:val="Heading2"/>
      </w:pPr>
      <w:bookmarkStart w:id="73" w:name="_Toc405885748"/>
      <w:bookmarkStart w:id="74" w:name="_Toc398732481"/>
      <w:r w:rsidRPr="00030E96">
        <w:lastRenderedPageBreak/>
        <w:t>Emergency services for ambulance events</w:t>
      </w:r>
      <w:bookmarkEnd w:id="73"/>
      <w:r w:rsidRPr="00030E96">
        <w:t xml:space="preserve"> </w:t>
      </w:r>
      <w:bookmarkEnd w:id="74"/>
    </w:p>
    <w:p w:rsidR="00030E96" w:rsidRDefault="00030E96" w:rsidP="00030E96">
      <w:pPr>
        <w:pStyle w:val="Heading3"/>
      </w:pPr>
      <w:bookmarkStart w:id="75" w:name="_Toc398732482"/>
      <w:bookmarkStart w:id="76" w:name="_Toc405885749"/>
      <w:r w:rsidRPr="00333692">
        <w:t>Response Locations</w:t>
      </w:r>
      <w:bookmarkEnd w:id="75"/>
      <w:bookmarkEnd w:id="76"/>
      <w:r w:rsidRPr="00333692">
        <w:t xml:space="preserve"> </w:t>
      </w:r>
    </w:p>
    <w:p w:rsidR="00030E96" w:rsidRPr="001D7E49" w:rsidRDefault="00030E96" w:rsidP="001D7E49">
      <w:pPr>
        <w:pStyle w:val="Box"/>
      </w:pPr>
      <w:r w:rsidRPr="001D7E49">
        <w:t>Data quality information for this indicator has been drafted by the Secretariat in consultation with the Council of Ambulance Authorities (</w:t>
      </w:r>
      <w:proofErr w:type="spellStart"/>
      <w:r w:rsidRPr="001D7E49">
        <w:t>CAA</w:t>
      </w:r>
      <w:proofErr w:type="spellEnd"/>
      <w:r w:rsidRPr="001D7E49">
        <w:t>), with additional Steering Committee comments.</w:t>
      </w:r>
    </w:p>
    <w:tbl>
      <w:tblPr>
        <w:tblW w:w="4984" w:type="pct"/>
        <w:jc w:val="center"/>
        <w:tblLayout w:type="fixed"/>
        <w:tblCellMar>
          <w:top w:w="28" w:type="dxa"/>
          <w:left w:w="28" w:type="dxa"/>
          <w:bottom w:w="28" w:type="dxa"/>
          <w:right w:w="28" w:type="dxa"/>
        </w:tblCellMar>
        <w:tblLook w:val="01E0" w:firstRow="1" w:lastRow="1" w:firstColumn="1" w:lastColumn="1" w:noHBand="0" w:noVBand="0"/>
      </w:tblPr>
      <w:tblGrid>
        <w:gridCol w:w="1403"/>
        <w:gridCol w:w="99"/>
        <w:gridCol w:w="7061"/>
      </w:tblGrid>
      <w:tr w:rsidR="00030E96" w:rsidRPr="001F3F80" w:rsidTr="00350233">
        <w:trPr>
          <w:jc w:val="center"/>
        </w:trPr>
        <w:tc>
          <w:tcPr>
            <w:tcW w:w="5000" w:type="pct"/>
            <w:gridSpan w:val="3"/>
          </w:tcPr>
          <w:p w:rsidR="00030E96" w:rsidRPr="003211C6" w:rsidRDefault="00030E96" w:rsidP="0083205B">
            <w:pPr>
              <w:pStyle w:val="DQIMainRowHeadings"/>
              <w:rPr>
                <w:rFonts w:cs="Arial"/>
                <w:sz w:val="22"/>
                <w:szCs w:val="22"/>
              </w:rPr>
            </w:pPr>
            <w:r w:rsidRPr="003211C6">
              <w:t>Indicator definition and description</w:t>
            </w:r>
          </w:p>
        </w:tc>
      </w:tr>
      <w:tr w:rsidR="00030E96" w:rsidRPr="001F3F80" w:rsidTr="00350233">
        <w:trPr>
          <w:jc w:val="center"/>
        </w:trPr>
        <w:tc>
          <w:tcPr>
            <w:tcW w:w="819" w:type="pct"/>
          </w:tcPr>
          <w:p w:rsidR="00030E96" w:rsidRPr="00A05229" w:rsidRDefault="00030E96" w:rsidP="0083205B">
            <w:pPr>
              <w:pStyle w:val="DQIRowHeadings"/>
            </w:pPr>
            <w:r w:rsidRPr="00A05229">
              <w:t>Element</w:t>
            </w:r>
          </w:p>
        </w:tc>
        <w:tc>
          <w:tcPr>
            <w:tcW w:w="4181" w:type="pct"/>
            <w:gridSpan w:val="2"/>
          </w:tcPr>
          <w:p w:rsidR="00030E96" w:rsidRPr="00BD6B0B" w:rsidRDefault="00030E96" w:rsidP="0083205B">
            <w:pPr>
              <w:pStyle w:val="DQITableText"/>
            </w:pPr>
            <w:r>
              <w:t>Equity — Access</w:t>
            </w:r>
          </w:p>
        </w:tc>
      </w:tr>
      <w:tr w:rsidR="00030E96" w:rsidRPr="001F3F80" w:rsidTr="00350233">
        <w:trPr>
          <w:jc w:val="center"/>
        </w:trPr>
        <w:tc>
          <w:tcPr>
            <w:tcW w:w="819" w:type="pct"/>
          </w:tcPr>
          <w:p w:rsidR="00030E96" w:rsidRPr="00A05229" w:rsidRDefault="00030E96" w:rsidP="0083205B">
            <w:pPr>
              <w:pStyle w:val="DQIRowHeadings"/>
            </w:pPr>
            <w:r w:rsidRPr="00A05229">
              <w:t>Indicator</w:t>
            </w:r>
          </w:p>
        </w:tc>
        <w:tc>
          <w:tcPr>
            <w:tcW w:w="4181" w:type="pct"/>
            <w:gridSpan w:val="2"/>
          </w:tcPr>
          <w:p w:rsidR="00030E96" w:rsidRPr="00BD6B0B" w:rsidRDefault="00030E96" w:rsidP="0083205B">
            <w:pPr>
              <w:pStyle w:val="DQITableText"/>
            </w:pPr>
            <w:r w:rsidRPr="00AE7DCA">
              <w:t>‘Response locations’ is defined as the number of paid (or salaried), mixed and</w:t>
            </w:r>
            <w:r w:rsidR="0083205B">
              <w:t xml:space="preserve"> </w:t>
            </w:r>
            <w:r w:rsidRPr="00AE7DCA">
              <w:t>volunteer response locations per 100 000 people.</w:t>
            </w:r>
          </w:p>
        </w:tc>
      </w:tr>
      <w:tr w:rsidR="00030E96" w:rsidRPr="001F3F80" w:rsidTr="00350233">
        <w:trPr>
          <w:jc w:val="center"/>
        </w:trPr>
        <w:tc>
          <w:tcPr>
            <w:tcW w:w="819" w:type="pct"/>
          </w:tcPr>
          <w:p w:rsidR="00030E96" w:rsidRPr="00A05229" w:rsidRDefault="00030E96" w:rsidP="0083205B">
            <w:pPr>
              <w:pStyle w:val="DQIRowHeadings"/>
            </w:pPr>
            <w:r w:rsidRPr="00A05229">
              <w:t>Measure (computation)</w:t>
            </w:r>
          </w:p>
        </w:tc>
        <w:tc>
          <w:tcPr>
            <w:tcW w:w="4181" w:type="pct"/>
            <w:gridSpan w:val="2"/>
          </w:tcPr>
          <w:p w:rsidR="00030E96" w:rsidRPr="00333692" w:rsidRDefault="00030E96" w:rsidP="0083205B">
            <w:pPr>
              <w:pStyle w:val="DQITableText"/>
              <w:rPr>
                <w:u w:val="single"/>
              </w:rPr>
            </w:pPr>
            <w:r>
              <w:rPr>
                <w:u w:val="single"/>
              </w:rPr>
              <w:t xml:space="preserve">Numerator: </w:t>
            </w:r>
            <w:r w:rsidRPr="00333692">
              <w:rPr>
                <w:u w:val="single"/>
              </w:rPr>
              <w:t>Number of ambulance response locations</w:t>
            </w:r>
          </w:p>
          <w:p w:rsidR="00D422AD" w:rsidRDefault="00030E96" w:rsidP="0083205B">
            <w:pPr>
              <w:pStyle w:val="DQITableText"/>
            </w:pPr>
            <w:r>
              <w:t>The total number of separate sites or response locations operated (either owned, leased or occupied) by the ambulance service and serviced by either an ambulance general purpose, special operations vehicles, salaried ambulance operatives or volunteer ambulance operatives.</w:t>
            </w:r>
            <w:r w:rsidR="00D422AD">
              <w:t xml:space="preserve"> </w:t>
            </w:r>
          </w:p>
          <w:p w:rsidR="00030E96" w:rsidRDefault="00D422AD" w:rsidP="0083205B">
            <w:pPr>
              <w:pStyle w:val="DQITableText"/>
            </w:pPr>
            <w:r>
              <w:t>Response locations excludes both ambulance community and third party first responder locations.</w:t>
            </w:r>
          </w:p>
          <w:p w:rsidR="00030E96" w:rsidRPr="009177B9" w:rsidRDefault="00030E96" w:rsidP="0083205B">
            <w:pPr>
              <w:pStyle w:val="DQITableText"/>
              <w:rPr>
                <w:u w:val="single"/>
              </w:rPr>
            </w:pPr>
            <w:r w:rsidRPr="009177B9">
              <w:rPr>
                <w:u w:val="single"/>
              </w:rPr>
              <w:t>Denominator</w:t>
            </w:r>
            <w:r>
              <w:rPr>
                <w:u w:val="single"/>
              </w:rPr>
              <w:t>: Estimated resident population</w:t>
            </w:r>
          </w:p>
          <w:p w:rsidR="00030E96" w:rsidRPr="00A05229" w:rsidRDefault="00030E96" w:rsidP="0096477A">
            <w:pPr>
              <w:pStyle w:val="DQITableText"/>
            </w:pPr>
            <w:r>
              <w:t xml:space="preserve">Source: </w:t>
            </w:r>
            <w:r w:rsidRPr="009177B9">
              <w:rPr>
                <w:i/>
              </w:rPr>
              <w:t>Australian Demographic Statistics</w:t>
            </w:r>
            <w:r w:rsidRPr="009177B9">
              <w:t xml:space="preserve"> </w:t>
            </w:r>
            <w:r>
              <w:t xml:space="preserve">(ABS </w:t>
            </w:r>
            <w:r w:rsidRPr="009177B9">
              <w:t>Cat. no. 3101.0</w:t>
            </w:r>
            <w:r>
              <w:t xml:space="preserve">). For further information see </w:t>
            </w:r>
            <w:r w:rsidR="009D2362">
              <w:t>Statistical context (chapter 2</w:t>
            </w:r>
            <w:r>
              <w:t>, table</w:t>
            </w:r>
            <w:r w:rsidR="009D2362">
              <w:t> </w:t>
            </w:r>
            <w:proofErr w:type="spellStart"/>
            <w:r w:rsidR="009D2362">
              <w:t>2A.2</w:t>
            </w:r>
            <w:proofErr w:type="spellEnd"/>
            <w:r w:rsidR="0096477A">
              <w:t>)</w:t>
            </w:r>
            <w:r>
              <w:t xml:space="preserve">. </w:t>
            </w:r>
          </w:p>
        </w:tc>
      </w:tr>
      <w:tr w:rsidR="00030E96" w:rsidRPr="001F3F80" w:rsidTr="00350233">
        <w:trPr>
          <w:cantSplit/>
          <w:jc w:val="center"/>
        </w:trPr>
        <w:tc>
          <w:tcPr>
            <w:tcW w:w="819" w:type="pct"/>
          </w:tcPr>
          <w:p w:rsidR="00030E96" w:rsidRPr="00A05229" w:rsidRDefault="00030E96" w:rsidP="0083205B">
            <w:pPr>
              <w:pStyle w:val="DQIRowHeadings"/>
            </w:pPr>
            <w:r w:rsidRPr="00A05229">
              <w:t>Data source</w:t>
            </w:r>
          </w:p>
        </w:tc>
        <w:tc>
          <w:tcPr>
            <w:tcW w:w="4181" w:type="pct"/>
            <w:gridSpan w:val="2"/>
          </w:tcPr>
          <w:p w:rsidR="00030E96" w:rsidRPr="00A05229" w:rsidRDefault="00030E96" w:rsidP="0083205B">
            <w:pPr>
              <w:pStyle w:val="DQITableText"/>
            </w:pPr>
            <w:r w:rsidRPr="00333692">
              <w:rPr>
                <w:i/>
              </w:rPr>
              <w:t>Consolidated Returns</w:t>
            </w:r>
            <w:r w:rsidRPr="00333692">
              <w:t>, Council of Ambulance Authorities (</w:t>
            </w:r>
            <w:proofErr w:type="spellStart"/>
            <w:r w:rsidRPr="00333692">
              <w:t>CAA</w:t>
            </w:r>
            <w:proofErr w:type="spellEnd"/>
            <w:r w:rsidRPr="00333692">
              <w:t>)</w:t>
            </w:r>
          </w:p>
        </w:tc>
      </w:tr>
      <w:tr w:rsidR="00030E96" w:rsidRPr="000D7225" w:rsidTr="00350233">
        <w:trPr>
          <w:cantSplit/>
          <w:jc w:val="center"/>
        </w:trPr>
        <w:tc>
          <w:tcPr>
            <w:tcW w:w="5000" w:type="pct"/>
            <w:gridSpan w:val="3"/>
          </w:tcPr>
          <w:p w:rsidR="00030E96" w:rsidRPr="00CE3D86" w:rsidRDefault="00030E96" w:rsidP="0083205B">
            <w:pPr>
              <w:pStyle w:val="DQIMainRowHeadings"/>
              <w:rPr>
                <w:rFonts w:cs="Arial"/>
                <w:sz w:val="22"/>
                <w:szCs w:val="22"/>
              </w:rPr>
            </w:pPr>
            <w:r>
              <w:rPr>
                <w:rFonts w:ascii="Times New Roman" w:hAnsi="Times New Roman"/>
                <w:sz w:val="24"/>
              </w:rPr>
              <w:br w:type="page"/>
            </w:r>
            <w:r>
              <w:rPr>
                <w:rFonts w:ascii="Times New Roman" w:hAnsi="Times New Roman"/>
                <w:sz w:val="24"/>
              </w:rPr>
              <w:br w:type="page"/>
            </w:r>
            <w:r w:rsidRPr="003211C6">
              <w:t>Data Quality Framework dimensions</w:t>
            </w:r>
          </w:p>
        </w:tc>
      </w:tr>
      <w:tr w:rsidR="00030E96" w:rsidRPr="00254F46" w:rsidTr="00350233">
        <w:trPr>
          <w:cantSplit/>
          <w:jc w:val="center"/>
        </w:trPr>
        <w:tc>
          <w:tcPr>
            <w:tcW w:w="819" w:type="pct"/>
          </w:tcPr>
          <w:p w:rsidR="00030E96" w:rsidRPr="00A05229" w:rsidRDefault="00030E96" w:rsidP="0083205B">
            <w:pPr>
              <w:pStyle w:val="DQIRowHeadings"/>
            </w:pPr>
            <w:r w:rsidRPr="00A05229">
              <w:t>Institutional environment</w:t>
            </w:r>
          </w:p>
        </w:tc>
        <w:tc>
          <w:tcPr>
            <w:tcW w:w="4181" w:type="pct"/>
            <w:gridSpan w:val="2"/>
          </w:tcPr>
          <w:p w:rsidR="00030E96" w:rsidRDefault="00030E96" w:rsidP="0083205B">
            <w:pPr>
              <w:pStyle w:val="DQITableText"/>
            </w:pPr>
            <w:r>
              <w:t xml:space="preserve">The </w:t>
            </w:r>
            <w:proofErr w:type="spellStart"/>
            <w:r>
              <w:t>CAA</w:t>
            </w:r>
            <w:proofErr w:type="spellEnd"/>
            <w:r>
              <w:t xml:space="preserve"> is the peak body representing the principal statutory providers of ambulance services in Australia. </w:t>
            </w:r>
          </w:p>
          <w:p w:rsidR="00030E96" w:rsidRDefault="00030E96" w:rsidP="0083205B">
            <w:pPr>
              <w:pStyle w:val="DQITableText"/>
            </w:pPr>
            <w:r>
              <w:t xml:space="preserve">The </w:t>
            </w:r>
            <w:proofErr w:type="spellStart"/>
            <w:r>
              <w:t>CAA</w:t>
            </w:r>
            <w:proofErr w:type="spellEnd"/>
            <w:r>
              <w:t xml:space="preserve"> collects administrative data annually from all statutory ambulance services, using the same core questionnaire and instructions — the </w:t>
            </w:r>
            <w:proofErr w:type="spellStart"/>
            <w:r w:rsidRPr="00620164">
              <w:rPr>
                <w:i/>
                <w:iCs/>
              </w:rPr>
              <w:t>CAA</w:t>
            </w:r>
            <w:proofErr w:type="spellEnd"/>
            <w:r w:rsidRPr="00620164">
              <w:rPr>
                <w:i/>
                <w:iCs/>
              </w:rPr>
              <w:t xml:space="preserve"> Consolidated Returns</w:t>
            </w:r>
            <w:r>
              <w:t xml:space="preserve">. </w:t>
            </w:r>
          </w:p>
          <w:p w:rsidR="00030E96" w:rsidRPr="00A05229" w:rsidRDefault="00030E96" w:rsidP="0083205B">
            <w:pPr>
              <w:pStyle w:val="DQITableText"/>
            </w:pPr>
            <w:r>
              <w:t xml:space="preserve">The ambulance service organisations send their data to the </w:t>
            </w:r>
            <w:proofErr w:type="spellStart"/>
            <w:r>
              <w:t>CAA</w:t>
            </w:r>
            <w:proofErr w:type="spellEnd"/>
            <w:r>
              <w:t xml:space="preserve">. The </w:t>
            </w:r>
            <w:proofErr w:type="spellStart"/>
            <w:r>
              <w:t>CAA</w:t>
            </w:r>
            <w:proofErr w:type="spellEnd"/>
            <w:r>
              <w:t xml:space="preserve"> then collates all data to be provided to the Productivity Commission use in the </w:t>
            </w:r>
            <w:proofErr w:type="spellStart"/>
            <w:r>
              <w:t>RoGS</w:t>
            </w:r>
            <w:proofErr w:type="spellEnd"/>
            <w:r>
              <w:t>.</w:t>
            </w:r>
          </w:p>
        </w:tc>
      </w:tr>
      <w:tr w:rsidR="00030E96" w:rsidRPr="00254F46" w:rsidTr="00350233">
        <w:trPr>
          <w:jc w:val="center"/>
        </w:trPr>
        <w:tc>
          <w:tcPr>
            <w:tcW w:w="819" w:type="pct"/>
          </w:tcPr>
          <w:p w:rsidR="00030E96" w:rsidRPr="00A05229" w:rsidRDefault="00030E96" w:rsidP="0083205B">
            <w:pPr>
              <w:pStyle w:val="DQIRowHeadings"/>
            </w:pPr>
            <w:r w:rsidRPr="00A05229">
              <w:t>Relevance</w:t>
            </w:r>
          </w:p>
        </w:tc>
        <w:tc>
          <w:tcPr>
            <w:tcW w:w="4181" w:type="pct"/>
            <w:gridSpan w:val="2"/>
          </w:tcPr>
          <w:p w:rsidR="00030E96" w:rsidRDefault="00030E96" w:rsidP="0083205B">
            <w:pPr>
              <w:pStyle w:val="DQITableText"/>
            </w:pPr>
            <w:r>
              <w:t>The indicator is available for all statutory ambulance services in Australia</w:t>
            </w:r>
            <w:r w:rsidRPr="00AE7DCA">
              <w:t>, by State and Territory.</w:t>
            </w:r>
          </w:p>
          <w:p w:rsidR="00030E96" w:rsidRDefault="00030E96" w:rsidP="0083205B">
            <w:pPr>
              <w:pStyle w:val="DQITableText"/>
            </w:pPr>
            <w:r>
              <w:t xml:space="preserve">The </w:t>
            </w:r>
            <w:proofErr w:type="spellStart"/>
            <w:r w:rsidRPr="00CE12CA">
              <w:t>CAA</w:t>
            </w:r>
            <w:proofErr w:type="spellEnd"/>
            <w:r w:rsidRPr="00CE12CA">
              <w:t xml:space="preserve"> Consolidated Returns</w:t>
            </w:r>
            <w:r>
              <w:t xml:space="preserve"> collects data for:</w:t>
            </w:r>
          </w:p>
          <w:p w:rsidR="00030E96" w:rsidRDefault="00030E96" w:rsidP="0083205B">
            <w:pPr>
              <w:pStyle w:val="DQITableBullet"/>
            </w:pPr>
            <w:r>
              <w:t>Ambulance response locations</w:t>
            </w:r>
          </w:p>
          <w:p w:rsidR="00030E96" w:rsidRDefault="00030E96" w:rsidP="0083205B">
            <w:pPr>
              <w:pStyle w:val="DQITableBullet2"/>
            </w:pPr>
            <w:r>
              <w:t>Ambulance response locations with paid staff only</w:t>
            </w:r>
          </w:p>
          <w:p w:rsidR="00030E96" w:rsidRDefault="00030E96" w:rsidP="0083205B">
            <w:pPr>
              <w:pStyle w:val="DQITableBullet2"/>
            </w:pPr>
            <w:r>
              <w:t>Ambulance response locations with mix of paid staff and volunteer staff</w:t>
            </w:r>
          </w:p>
          <w:p w:rsidR="00030E96" w:rsidRDefault="00030E96" w:rsidP="0083205B">
            <w:pPr>
              <w:pStyle w:val="DQITableBullet2"/>
            </w:pPr>
            <w:r>
              <w:t>Ambulance response locations with volunteer staff only</w:t>
            </w:r>
          </w:p>
          <w:p w:rsidR="00030E96" w:rsidRDefault="00030E96" w:rsidP="0083205B">
            <w:pPr>
              <w:pStyle w:val="DQITableBullet"/>
            </w:pPr>
            <w:r>
              <w:t>Communication centres</w:t>
            </w:r>
          </w:p>
          <w:p w:rsidR="00030E96" w:rsidRDefault="00030E96" w:rsidP="0083205B">
            <w:pPr>
              <w:pStyle w:val="DQITableBullet"/>
            </w:pPr>
            <w:r>
              <w:t>Other Locations</w:t>
            </w:r>
          </w:p>
          <w:p w:rsidR="00030E96" w:rsidRDefault="00030E96" w:rsidP="0083205B">
            <w:pPr>
              <w:pStyle w:val="DQITableBullet2"/>
            </w:pPr>
            <w:r>
              <w:t>Educational centres</w:t>
            </w:r>
          </w:p>
          <w:p w:rsidR="00030E96" w:rsidRDefault="00030E96" w:rsidP="0083205B">
            <w:pPr>
              <w:pStyle w:val="DQITableBullet2"/>
            </w:pPr>
            <w:r>
              <w:t>Administrative centres</w:t>
            </w:r>
          </w:p>
          <w:p w:rsidR="00030E96" w:rsidRDefault="00030E96" w:rsidP="0083205B">
            <w:pPr>
              <w:pStyle w:val="DQITableBullet2"/>
            </w:pPr>
            <w:r>
              <w:t>Fleet management centres</w:t>
            </w:r>
          </w:p>
          <w:p w:rsidR="00030E96" w:rsidRPr="00A05229" w:rsidRDefault="00030E96" w:rsidP="0083205B">
            <w:pPr>
              <w:pStyle w:val="DQITableText"/>
            </w:pPr>
            <w:r w:rsidRPr="00AE7DCA">
              <w:t>This indicator complements the ‘availability of paramedics’ indicator, as some</w:t>
            </w:r>
            <w:r>
              <w:t xml:space="preserve"> </w:t>
            </w:r>
            <w:r w:rsidRPr="00AE7DCA">
              <w:t>jurisdictions’ ambulance workforce comprises a large proportion of volunteers,</w:t>
            </w:r>
            <w:r>
              <w:t xml:space="preserve"> </w:t>
            </w:r>
            <w:r w:rsidRPr="00AE7DCA">
              <w:t>particularly in rural and remote locations.</w:t>
            </w:r>
          </w:p>
        </w:tc>
      </w:tr>
      <w:tr w:rsidR="00030E96" w:rsidRPr="00254F46" w:rsidTr="00350233">
        <w:trPr>
          <w:cantSplit/>
          <w:jc w:val="center"/>
        </w:trPr>
        <w:tc>
          <w:tcPr>
            <w:tcW w:w="819" w:type="pct"/>
          </w:tcPr>
          <w:p w:rsidR="00030E96" w:rsidRPr="00A05229" w:rsidRDefault="00030E96" w:rsidP="0083205B">
            <w:pPr>
              <w:pStyle w:val="DQIRowHeadings"/>
            </w:pPr>
            <w:r w:rsidRPr="00A05229">
              <w:t>Timeliness</w:t>
            </w:r>
          </w:p>
        </w:tc>
        <w:tc>
          <w:tcPr>
            <w:tcW w:w="4181" w:type="pct"/>
            <w:gridSpan w:val="2"/>
          </w:tcPr>
          <w:p w:rsidR="00030E96" w:rsidRPr="00A05229" w:rsidRDefault="00030E96" w:rsidP="007F6100">
            <w:pPr>
              <w:pStyle w:val="DQITableText"/>
            </w:pPr>
            <w:r>
              <w:t xml:space="preserve">Response location data </w:t>
            </w:r>
            <w:r w:rsidR="0096477A">
              <w:t>are</w:t>
            </w:r>
            <w:r>
              <w:t xml:space="preserve"> published annually for the latest financial year preceding the January release of each </w:t>
            </w:r>
            <w:proofErr w:type="spellStart"/>
            <w:r>
              <w:t>R</w:t>
            </w:r>
            <w:r w:rsidR="007F6100">
              <w:t>o</w:t>
            </w:r>
            <w:r>
              <w:t>GS</w:t>
            </w:r>
            <w:proofErr w:type="spellEnd"/>
            <w:r>
              <w:t>.</w:t>
            </w:r>
          </w:p>
        </w:tc>
      </w:tr>
      <w:tr w:rsidR="00030E96" w:rsidRPr="00254F46" w:rsidTr="00350233">
        <w:trPr>
          <w:jc w:val="center"/>
        </w:trPr>
        <w:tc>
          <w:tcPr>
            <w:tcW w:w="819" w:type="pct"/>
          </w:tcPr>
          <w:p w:rsidR="00030E96" w:rsidRPr="00A05229" w:rsidRDefault="00030E96" w:rsidP="0083205B">
            <w:pPr>
              <w:pStyle w:val="DQIRowHeadings"/>
            </w:pPr>
            <w:r w:rsidRPr="00A05229">
              <w:t>Accuracy</w:t>
            </w:r>
          </w:p>
        </w:tc>
        <w:tc>
          <w:tcPr>
            <w:tcW w:w="4181" w:type="pct"/>
            <w:gridSpan w:val="2"/>
          </w:tcPr>
          <w:p w:rsidR="00030E96" w:rsidRDefault="00030E96" w:rsidP="0083205B">
            <w:pPr>
              <w:pStyle w:val="DQITableText"/>
            </w:pPr>
            <w:r>
              <w:t xml:space="preserve">The </w:t>
            </w:r>
            <w:proofErr w:type="spellStart"/>
            <w:r w:rsidRPr="00620164">
              <w:rPr>
                <w:i/>
              </w:rPr>
              <w:t>CAA</w:t>
            </w:r>
            <w:proofErr w:type="spellEnd"/>
            <w:r w:rsidRPr="00620164">
              <w:rPr>
                <w:i/>
              </w:rPr>
              <w:t xml:space="preserve"> Consolidated Returns</w:t>
            </w:r>
            <w:r>
              <w:t xml:space="preserve"> compile administrative data from all </w:t>
            </w:r>
            <w:r w:rsidRPr="00CD72B9">
              <w:rPr>
                <w:lang w:val="en-GB"/>
              </w:rPr>
              <w:t xml:space="preserve">statutory providers </w:t>
            </w:r>
            <w:r w:rsidRPr="00CD72B9">
              <w:rPr>
                <w:lang w:val="en-GB"/>
              </w:rPr>
              <w:lastRenderedPageBreak/>
              <w:t>of ambulance services in Australia</w:t>
            </w:r>
            <w:r>
              <w:rPr>
                <w:lang w:val="en-GB"/>
              </w:rPr>
              <w:t xml:space="preserve">. </w:t>
            </w:r>
          </w:p>
          <w:p w:rsidR="00030E96" w:rsidRPr="00F565CD" w:rsidRDefault="00030E96" w:rsidP="0083205B">
            <w:pPr>
              <w:pStyle w:val="DQITableText"/>
            </w:pPr>
            <w:r>
              <w:t xml:space="preserve">They are collected according to agreed definitions provided in the </w:t>
            </w:r>
            <w:proofErr w:type="spellStart"/>
            <w:r>
              <w:t>CAA</w:t>
            </w:r>
            <w:proofErr w:type="spellEnd"/>
            <w:r>
              <w:t xml:space="preserve"> data dictionary.</w:t>
            </w:r>
          </w:p>
        </w:tc>
      </w:tr>
      <w:tr w:rsidR="00030E96" w:rsidRPr="00E57110" w:rsidTr="00350233">
        <w:trPr>
          <w:cantSplit/>
          <w:jc w:val="center"/>
        </w:trPr>
        <w:tc>
          <w:tcPr>
            <w:tcW w:w="819" w:type="pct"/>
          </w:tcPr>
          <w:p w:rsidR="00030E96" w:rsidRPr="00A05229" w:rsidRDefault="00030E96" w:rsidP="0083205B">
            <w:pPr>
              <w:pStyle w:val="DQIRowHeadings"/>
            </w:pPr>
            <w:r w:rsidRPr="00A05229">
              <w:lastRenderedPageBreak/>
              <w:t>Coherence</w:t>
            </w:r>
          </w:p>
        </w:tc>
        <w:tc>
          <w:tcPr>
            <w:tcW w:w="4181" w:type="pct"/>
            <w:gridSpan w:val="2"/>
          </w:tcPr>
          <w:p w:rsidR="00030E96" w:rsidRDefault="00030E96" w:rsidP="0083205B">
            <w:pPr>
              <w:pStyle w:val="DQITableText"/>
            </w:pPr>
            <w:r>
              <w:t xml:space="preserve">All data (numerators and denominators) are sourced from the </w:t>
            </w:r>
            <w:proofErr w:type="spellStart"/>
            <w:r>
              <w:t>CAA</w:t>
            </w:r>
            <w:proofErr w:type="spellEnd"/>
            <w:r>
              <w:t xml:space="preserve"> </w:t>
            </w:r>
            <w:r w:rsidRPr="00CE12CA">
              <w:rPr>
                <w:i/>
              </w:rPr>
              <w:t>Consolidated Returns</w:t>
            </w:r>
            <w:r>
              <w:t xml:space="preserve">. </w:t>
            </w:r>
          </w:p>
          <w:p w:rsidR="00030E96" w:rsidRDefault="00030E96" w:rsidP="0083205B">
            <w:pPr>
              <w:pStyle w:val="DQITableText"/>
            </w:pPr>
            <w:r>
              <w:t xml:space="preserve">Estimates from the </w:t>
            </w:r>
            <w:proofErr w:type="spellStart"/>
            <w:r>
              <w:t>CAA</w:t>
            </w:r>
            <w:proofErr w:type="spellEnd"/>
            <w:r>
              <w:t xml:space="preserve"> </w:t>
            </w:r>
            <w:r w:rsidRPr="00CE12CA">
              <w:rPr>
                <w:i/>
              </w:rPr>
              <w:t>Consolidated Returns</w:t>
            </w:r>
            <w:r>
              <w:t xml:space="preserve"> are comparable over time and between jurisdictions, subject to caveats provided by services. </w:t>
            </w:r>
          </w:p>
          <w:p w:rsidR="00030E96" w:rsidRPr="00A05229" w:rsidRDefault="00030E96" w:rsidP="0083205B">
            <w:pPr>
              <w:pStyle w:val="DQITableText"/>
            </w:pPr>
            <w:r>
              <w:t xml:space="preserve">The collection, instructions, definitions and analysis are prepared and overseen by the </w:t>
            </w:r>
            <w:proofErr w:type="spellStart"/>
            <w:r>
              <w:t>CAA</w:t>
            </w:r>
            <w:proofErr w:type="spellEnd"/>
            <w:r>
              <w:t xml:space="preserve"> and are the same for all state and territory services.</w:t>
            </w:r>
          </w:p>
        </w:tc>
      </w:tr>
      <w:tr w:rsidR="00030E96" w:rsidRPr="00E57110" w:rsidTr="00350233">
        <w:trPr>
          <w:cantSplit/>
          <w:jc w:val="center"/>
        </w:trPr>
        <w:tc>
          <w:tcPr>
            <w:tcW w:w="819" w:type="pct"/>
          </w:tcPr>
          <w:p w:rsidR="00030E96" w:rsidRPr="00A05229" w:rsidRDefault="00030E96" w:rsidP="0083205B">
            <w:pPr>
              <w:pStyle w:val="DQIRowHeadings"/>
            </w:pPr>
            <w:r w:rsidRPr="00A05229">
              <w:t>Accessibility</w:t>
            </w:r>
          </w:p>
          <w:p w:rsidR="00030E96" w:rsidRPr="00A05229" w:rsidRDefault="00030E96" w:rsidP="0083205B">
            <w:pPr>
              <w:pStyle w:val="DQIRowHeadings"/>
            </w:pPr>
          </w:p>
        </w:tc>
        <w:tc>
          <w:tcPr>
            <w:tcW w:w="4181" w:type="pct"/>
            <w:gridSpan w:val="2"/>
          </w:tcPr>
          <w:p w:rsidR="00030E96" w:rsidRPr="00A05229" w:rsidRDefault="00030E96" w:rsidP="00EE3F05">
            <w:pPr>
              <w:pStyle w:val="DQITableText"/>
            </w:pPr>
            <w:r w:rsidRPr="00CE12CA">
              <w:t xml:space="preserve">The response locations data </w:t>
            </w:r>
            <w:r w:rsidR="00EE3F05">
              <w:t>are</w:t>
            </w:r>
            <w:r w:rsidRPr="00CE12CA">
              <w:t xml:space="preserve"> made publicly available</w:t>
            </w:r>
            <w:r w:rsidR="00EE3F05">
              <w:t xml:space="preserve"> annually</w:t>
            </w:r>
            <w:r w:rsidRPr="00CE12CA">
              <w:t xml:space="preserve"> as part of the </w:t>
            </w:r>
            <w:proofErr w:type="spellStart"/>
            <w:r w:rsidRPr="00CE12CA">
              <w:t>CAA</w:t>
            </w:r>
            <w:proofErr w:type="spellEnd"/>
            <w:r w:rsidRPr="00CE12CA">
              <w:t xml:space="preserve"> Annual Report on the </w:t>
            </w:r>
            <w:proofErr w:type="spellStart"/>
            <w:r w:rsidRPr="00CE12CA">
              <w:t>CAA</w:t>
            </w:r>
            <w:proofErr w:type="spellEnd"/>
            <w:r w:rsidRPr="00CE12CA">
              <w:t xml:space="preserve"> website (</w:t>
            </w:r>
            <w:proofErr w:type="spellStart"/>
            <w:r w:rsidRPr="004A1422">
              <w:t>www.caa.net.au</w:t>
            </w:r>
            <w:proofErr w:type="spellEnd"/>
            <w:r w:rsidRPr="00CE12CA">
              <w:t>).</w:t>
            </w:r>
          </w:p>
        </w:tc>
      </w:tr>
      <w:tr w:rsidR="00030E96" w:rsidRPr="00254F46" w:rsidTr="00350233">
        <w:trPr>
          <w:cantSplit/>
          <w:jc w:val="center"/>
        </w:trPr>
        <w:tc>
          <w:tcPr>
            <w:tcW w:w="819" w:type="pct"/>
          </w:tcPr>
          <w:p w:rsidR="00030E96" w:rsidRPr="00A05229" w:rsidRDefault="00030E96" w:rsidP="0083205B">
            <w:pPr>
              <w:pStyle w:val="DQIRowHeadings"/>
            </w:pPr>
            <w:r w:rsidRPr="00A05229">
              <w:t>Interpret</w:t>
            </w:r>
            <w:r w:rsidR="00332B70">
              <w:softHyphen/>
            </w:r>
            <w:r w:rsidRPr="00A05229">
              <w:t>ability</w:t>
            </w:r>
          </w:p>
        </w:tc>
        <w:tc>
          <w:tcPr>
            <w:tcW w:w="4181" w:type="pct"/>
            <w:gridSpan w:val="2"/>
          </w:tcPr>
          <w:p w:rsidR="00030E96" w:rsidRPr="006C2C6E" w:rsidRDefault="00030E96" w:rsidP="0096477A">
            <w:pPr>
              <w:pStyle w:val="DQITableText"/>
            </w:pPr>
            <w:r w:rsidRPr="00CE12CA">
              <w:t xml:space="preserve">The response locations data </w:t>
            </w:r>
            <w:r w:rsidR="0096477A">
              <w:t>are</w:t>
            </w:r>
            <w:r w:rsidRPr="00CE12CA">
              <w:t xml:space="preserve"> publicly available and includes definitions of the collected data.</w:t>
            </w:r>
          </w:p>
        </w:tc>
      </w:tr>
      <w:tr w:rsidR="00030E96" w:rsidRPr="00254F46" w:rsidTr="00350233">
        <w:trPr>
          <w:cantSplit/>
          <w:jc w:val="center"/>
        </w:trPr>
        <w:tc>
          <w:tcPr>
            <w:tcW w:w="5000" w:type="pct"/>
            <w:gridSpan w:val="3"/>
          </w:tcPr>
          <w:p w:rsidR="00030E96" w:rsidRPr="00CE3D86" w:rsidRDefault="00030E96" w:rsidP="0083205B">
            <w:pPr>
              <w:pStyle w:val="DQIMainRowHeadings"/>
            </w:pPr>
            <w:r w:rsidRPr="00C744E0">
              <w:t>Data Gaps/Issues Analysis</w:t>
            </w:r>
          </w:p>
        </w:tc>
      </w:tr>
      <w:tr w:rsidR="00030E96" w:rsidRPr="004F3342" w:rsidTr="00350233">
        <w:trPr>
          <w:cantSplit/>
          <w:trHeight w:val="539"/>
          <w:jc w:val="center"/>
        </w:trPr>
        <w:tc>
          <w:tcPr>
            <w:tcW w:w="877" w:type="pct"/>
            <w:gridSpan w:val="2"/>
          </w:tcPr>
          <w:p w:rsidR="00030E96" w:rsidRPr="00A05229" w:rsidRDefault="00030E96" w:rsidP="0083205B">
            <w:pPr>
              <w:pStyle w:val="DQIRowHeadings"/>
            </w:pPr>
            <w:r w:rsidRPr="00A05229">
              <w:t>Key data gaps/issues</w:t>
            </w:r>
          </w:p>
        </w:tc>
        <w:tc>
          <w:tcPr>
            <w:tcW w:w="4123" w:type="pct"/>
          </w:tcPr>
          <w:p w:rsidR="00030E96" w:rsidRPr="00620164" w:rsidRDefault="00030E96" w:rsidP="0083205B">
            <w:pPr>
              <w:pStyle w:val="DQITableText"/>
            </w:pPr>
            <w:r w:rsidRPr="00620164">
              <w:t>The Steering Committee notes the following issue</w:t>
            </w:r>
            <w:r>
              <w:t>s</w:t>
            </w:r>
            <w:r w:rsidRPr="00620164">
              <w:t>:</w:t>
            </w:r>
          </w:p>
          <w:p w:rsidR="00030E96" w:rsidRDefault="00030E96" w:rsidP="0083205B">
            <w:pPr>
              <w:pStyle w:val="DQITableBullet"/>
            </w:pPr>
            <w:r>
              <w:t xml:space="preserve">Some jurisdictions do not satisfy the criteria for all the staffing categories. </w:t>
            </w:r>
          </w:p>
          <w:p w:rsidR="00030E96" w:rsidRPr="004F3342" w:rsidRDefault="00030E96" w:rsidP="0083205B">
            <w:pPr>
              <w:pStyle w:val="DQITableBullet"/>
            </w:pPr>
            <w:r>
              <w:t>The data definition for response locations are collected under a revised data definition to exclude first responder locations.</w:t>
            </w:r>
          </w:p>
        </w:tc>
      </w:tr>
    </w:tbl>
    <w:p w:rsidR="00030E96" w:rsidRDefault="00030E96" w:rsidP="00D01377">
      <w:pPr>
        <w:pStyle w:val="BodyText"/>
      </w:pPr>
    </w:p>
    <w:p w:rsidR="00030E96" w:rsidRDefault="00030E96">
      <w:r>
        <w:br w:type="page"/>
      </w:r>
    </w:p>
    <w:p w:rsidR="00265948" w:rsidRDefault="00265948" w:rsidP="00265948">
      <w:pPr>
        <w:pStyle w:val="Heading3"/>
        <w:keepLines/>
        <w:spacing w:after="120"/>
      </w:pPr>
      <w:bookmarkStart w:id="77" w:name="_Toc398732483"/>
      <w:bookmarkStart w:id="78" w:name="_Toc405885750"/>
      <w:r>
        <w:lastRenderedPageBreak/>
        <w:t>Availability of ambulance officers/paramedics</w:t>
      </w:r>
      <w:bookmarkEnd w:id="77"/>
      <w:bookmarkEnd w:id="78"/>
    </w:p>
    <w:p w:rsidR="00265948" w:rsidRDefault="00265948" w:rsidP="00265948">
      <w:pPr>
        <w:pStyle w:val="Box"/>
      </w:pPr>
      <w:r>
        <w:t>Data quality information for this indicator has been drafted by the Secretariat in consultation with the Council of Ambulance Authorities (</w:t>
      </w:r>
      <w:proofErr w:type="spellStart"/>
      <w:r>
        <w:t>CAA</w:t>
      </w:r>
      <w:proofErr w:type="spellEnd"/>
      <w:r>
        <w:t>), with additional Steering Committee comments.</w:t>
      </w:r>
    </w:p>
    <w:tbl>
      <w:tblPr>
        <w:tblW w:w="0" w:type="auto"/>
        <w:tblInd w:w="108" w:type="dxa"/>
        <w:tblLook w:val="01E0" w:firstRow="1" w:lastRow="1" w:firstColumn="1" w:lastColumn="1" w:noHBand="0" w:noVBand="0"/>
      </w:tblPr>
      <w:tblGrid>
        <w:gridCol w:w="1616"/>
        <w:gridCol w:w="7026"/>
      </w:tblGrid>
      <w:tr w:rsidR="00265948" w:rsidTr="002E49D6">
        <w:trPr>
          <w:trHeight w:val="519"/>
        </w:trPr>
        <w:tc>
          <w:tcPr>
            <w:tcW w:w="8789" w:type="dxa"/>
            <w:gridSpan w:val="2"/>
            <w:tcBorders>
              <w:left w:val="nil"/>
              <w:right w:val="nil"/>
            </w:tcBorders>
            <w:vAlign w:val="center"/>
            <w:hideMark/>
          </w:tcPr>
          <w:p w:rsidR="00265948" w:rsidRDefault="00265948" w:rsidP="0083205B">
            <w:pPr>
              <w:pStyle w:val="DQIMainRowHeadings"/>
              <w:rPr>
                <w:lang w:eastAsia="zh-TW"/>
              </w:rPr>
            </w:pPr>
            <w:r>
              <w:rPr>
                <w:lang w:eastAsia="zh-TW"/>
              </w:rPr>
              <w:t>Indicator definition and description</w:t>
            </w:r>
          </w:p>
        </w:tc>
      </w:tr>
      <w:tr w:rsidR="00265948" w:rsidTr="002E49D6">
        <w:tc>
          <w:tcPr>
            <w:tcW w:w="1617" w:type="dxa"/>
            <w:tcBorders>
              <w:left w:val="nil"/>
              <w:bottom w:val="nil"/>
              <w:right w:val="nil"/>
            </w:tcBorders>
            <w:hideMark/>
          </w:tcPr>
          <w:p w:rsidR="00265948" w:rsidRDefault="00265948" w:rsidP="0083205B">
            <w:pPr>
              <w:pStyle w:val="DQIRowHeadings"/>
              <w:rPr>
                <w:lang w:eastAsia="zh-TW"/>
              </w:rPr>
            </w:pPr>
            <w:r>
              <w:rPr>
                <w:lang w:eastAsia="zh-TW"/>
              </w:rPr>
              <w:t>Element</w:t>
            </w:r>
          </w:p>
        </w:tc>
        <w:tc>
          <w:tcPr>
            <w:tcW w:w="7172" w:type="dxa"/>
            <w:tcBorders>
              <w:left w:val="nil"/>
              <w:bottom w:val="nil"/>
              <w:right w:val="nil"/>
            </w:tcBorders>
          </w:tcPr>
          <w:p w:rsidR="00265948" w:rsidRDefault="00265948" w:rsidP="001B410C">
            <w:pPr>
              <w:pStyle w:val="DQITableText"/>
              <w:rPr>
                <w:lang w:eastAsia="zh-TW"/>
              </w:rPr>
            </w:pPr>
            <w:r>
              <w:rPr>
                <w:lang w:eastAsia="zh-TW"/>
              </w:rPr>
              <w:t xml:space="preserve">Equity </w:t>
            </w:r>
            <w:r w:rsidR="001B410C">
              <w:rPr>
                <w:lang w:eastAsia="zh-TW"/>
              </w:rPr>
              <w:t>—</w:t>
            </w:r>
            <w:r>
              <w:rPr>
                <w:lang w:eastAsia="zh-TW"/>
              </w:rPr>
              <w:t xml:space="preserve"> Access</w:t>
            </w:r>
          </w:p>
        </w:tc>
      </w:tr>
      <w:tr w:rsidR="00265948" w:rsidTr="002E49D6">
        <w:tc>
          <w:tcPr>
            <w:tcW w:w="1617" w:type="dxa"/>
            <w:hideMark/>
          </w:tcPr>
          <w:p w:rsidR="00265948" w:rsidRDefault="00265948" w:rsidP="0083205B">
            <w:pPr>
              <w:pStyle w:val="DQIRowHeadings"/>
              <w:rPr>
                <w:lang w:eastAsia="zh-TW"/>
              </w:rPr>
            </w:pPr>
            <w:r>
              <w:rPr>
                <w:lang w:eastAsia="zh-TW"/>
              </w:rPr>
              <w:t>Indicator</w:t>
            </w:r>
          </w:p>
        </w:tc>
        <w:tc>
          <w:tcPr>
            <w:tcW w:w="7172" w:type="dxa"/>
          </w:tcPr>
          <w:p w:rsidR="00265948" w:rsidRDefault="00265948" w:rsidP="0083205B">
            <w:pPr>
              <w:pStyle w:val="DQITableText"/>
              <w:rPr>
                <w:lang w:eastAsia="zh-TW"/>
              </w:rPr>
            </w:pPr>
            <w:r>
              <w:rPr>
                <w:lang w:eastAsia="zh-TW"/>
              </w:rPr>
              <w:t>Availability of ambulance officers/paramedics</w:t>
            </w:r>
          </w:p>
        </w:tc>
      </w:tr>
      <w:tr w:rsidR="00265948" w:rsidTr="002E49D6">
        <w:tc>
          <w:tcPr>
            <w:tcW w:w="1617" w:type="dxa"/>
            <w:hideMark/>
          </w:tcPr>
          <w:p w:rsidR="00265948" w:rsidRDefault="00265948" w:rsidP="0083205B">
            <w:pPr>
              <w:pStyle w:val="DQIRowHeadings"/>
              <w:rPr>
                <w:lang w:eastAsia="zh-TW"/>
              </w:rPr>
            </w:pPr>
            <w:r>
              <w:rPr>
                <w:lang w:eastAsia="zh-TW"/>
              </w:rPr>
              <w:t>Measure (computation)</w:t>
            </w:r>
          </w:p>
        </w:tc>
        <w:tc>
          <w:tcPr>
            <w:tcW w:w="7172" w:type="dxa"/>
          </w:tcPr>
          <w:p w:rsidR="00265948" w:rsidRDefault="00265948" w:rsidP="0083205B">
            <w:pPr>
              <w:pStyle w:val="DQITableText"/>
              <w:rPr>
                <w:lang w:eastAsia="zh-TW"/>
              </w:rPr>
            </w:pPr>
            <w:r>
              <w:rPr>
                <w:lang w:eastAsia="zh-TW"/>
              </w:rPr>
              <w:t>Availability of ambulance officers/paramedics is defined as the number of fulltime equivalent ambulance (FTE) officers/paramedics per 100 000 people. Ambulance officers/paramedics include student and base level ambulance officers and qualified ambulance officers but excludes patient transport officers.</w:t>
            </w:r>
          </w:p>
        </w:tc>
      </w:tr>
      <w:tr w:rsidR="00265948" w:rsidTr="002E49D6">
        <w:tc>
          <w:tcPr>
            <w:tcW w:w="1617" w:type="dxa"/>
            <w:hideMark/>
          </w:tcPr>
          <w:p w:rsidR="00265948" w:rsidRDefault="00265948" w:rsidP="0083205B">
            <w:pPr>
              <w:pStyle w:val="DQIRowHeadings"/>
              <w:rPr>
                <w:lang w:eastAsia="zh-TW"/>
              </w:rPr>
            </w:pPr>
            <w:r>
              <w:rPr>
                <w:lang w:eastAsia="zh-TW"/>
              </w:rPr>
              <w:t>Data source</w:t>
            </w:r>
          </w:p>
        </w:tc>
        <w:tc>
          <w:tcPr>
            <w:tcW w:w="7172" w:type="dxa"/>
          </w:tcPr>
          <w:p w:rsidR="00265948" w:rsidRDefault="00265948" w:rsidP="0083205B">
            <w:pPr>
              <w:pStyle w:val="DQITableText"/>
              <w:rPr>
                <w:lang w:eastAsia="zh-TW"/>
              </w:rPr>
            </w:pPr>
            <w:r>
              <w:rPr>
                <w:i/>
                <w:lang w:eastAsia="zh-TW"/>
              </w:rPr>
              <w:t>Consolidated Returns</w:t>
            </w:r>
            <w:r>
              <w:rPr>
                <w:lang w:eastAsia="zh-TW"/>
              </w:rPr>
              <w:t>,</w:t>
            </w:r>
            <w:r>
              <w:rPr>
                <w:i/>
                <w:lang w:eastAsia="zh-TW"/>
              </w:rPr>
              <w:t xml:space="preserve"> </w:t>
            </w:r>
            <w:r>
              <w:rPr>
                <w:lang w:eastAsia="zh-TW"/>
              </w:rPr>
              <w:t>Council of Ambulance Authorities (</w:t>
            </w:r>
            <w:proofErr w:type="spellStart"/>
            <w:r>
              <w:rPr>
                <w:lang w:eastAsia="zh-TW"/>
              </w:rPr>
              <w:t>CAA</w:t>
            </w:r>
            <w:proofErr w:type="spellEnd"/>
            <w:r>
              <w:rPr>
                <w:lang w:eastAsia="zh-TW"/>
              </w:rPr>
              <w:t>)</w:t>
            </w:r>
          </w:p>
        </w:tc>
      </w:tr>
      <w:tr w:rsidR="00265948" w:rsidTr="002E49D6">
        <w:trPr>
          <w:trHeight w:val="457"/>
        </w:trPr>
        <w:tc>
          <w:tcPr>
            <w:tcW w:w="8789" w:type="dxa"/>
            <w:gridSpan w:val="2"/>
            <w:vAlign w:val="center"/>
            <w:hideMark/>
          </w:tcPr>
          <w:p w:rsidR="00265948" w:rsidRDefault="00265948" w:rsidP="0083205B">
            <w:pPr>
              <w:pStyle w:val="DQIMainRowHeadings"/>
              <w:rPr>
                <w:lang w:eastAsia="zh-TW"/>
              </w:rPr>
            </w:pPr>
            <w:r>
              <w:rPr>
                <w:lang w:eastAsia="zh-TW"/>
              </w:rPr>
              <w:t>Data Quality Framework Dimensions</w:t>
            </w:r>
          </w:p>
        </w:tc>
      </w:tr>
      <w:tr w:rsidR="00265948" w:rsidTr="002E49D6">
        <w:tc>
          <w:tcPr>
            <w:tcW w:w="1617" w:type="dxa"/>
            <w:hideMark/>
          </w:tcPr>
          <w:p w:rsidR="00265948" w:rsidRDefault="00265948" w:rsidP="0083205B">
            <w:pPr>
              <w:pStyle w:val="DQIRowHeadings"/>
              <w:rPr>
                <w:lang w:eastAsia="zh-TW"/>
              </w:rPr>
            </w:pPr>
            <w:r>
              <w:rPr>
                <w:lang w:eastAsia="zh-TW"/>
              </w:rPr>
              <w:t>Institutional environment</w:t>
            </w:r>
          </w:p>
        </w:tc>
        <w:tc>
          <w:tcPr>
            <w:tcW w:w="7172" w:type="dxa"/>
          </w:tcPr>
          <w:p w:rsidR="00265948" w:rsidRDefault="00265948" w:rsidP="0083205B">
            <w:pPr>
              <w:pStyle w:val="DQITableText"/>
              <w:rPr>
                <w:lang w:eastAsia="zh-TW"/>
              </w:rPr>
            </w:pPr>
            <w:r>
              <w:rPr>
                <w:lang w:eastAsia="zh-TW"/>
              </w:rPr>
              <w:t xml:space="preserve">The </w:t>
            </w:r>
            <w:proofErr w:type="spellStart"/>
            <w:r>
              <w:rPr>
                <w:lang w:eastAsia="zh-TW"/>
              </w:rPr>
              <w:t>CAA</w:t>
            </w:r>
            <w:proofErr w:type="spellEnd"/>
            <w:r>
              <w:rPr>
                <w:lang w:eastAsia="zh-TW"/>
              </w:rPr>
              <w:t xml:space="preserve"> is the peak body representing the principal statutory providers of ambulance services in Australia. </w:t>
            </w:r>
          </w:p>
          <w:p w:rsidR="00265948" w:rsidRDefault="00265948" w:rsidP="0083205B">
            <w:pPr>
              <w:pStyle w:val="DQITableText"/>
              <w:rPr>
                <w:lang w:eastAsia="zh-TW"/>
              </w:rPr>
            </w:pPr>
            <w:r>
              <w:rPr>
                <w:lang w:eastAsia="zh-TW"/>
              </w:rPr>
              <w:t xml:space="preserve">The </w:t>
            </w:r>
            <w:proofErr w:type="spellStart"/>
            <w:r>
              <w:rPr>
                <w:lang w:eastAsia="zh-TW"/>
              </w:rPr>
              <w:t>CAA</w:t>
            </w:r>
            <w:proofErr w:type="spellEnd"/>
            <w:r>
              <w:rPr>
                <w:lang w:eastAsia="zh-TW"/>
              </w:rPr>
              <w:t xml:space="preserve"> collects administrative data annually from all statutory ambulance services, using the same core questionnaire and instructions — the </w:t>
            </w:r>
            <w:proofErr w:type="spellStart"/>
            <w:r>
              <w:rPr>
                <w:i/>
                <w:iCs/>
                <w:lang w:eastAsia="zh-TW"/>
              </w:rPr>
              <w:t>CAA</w:t>
            </w:r>
            <w:proofErr w:type="spellEnd"/>
            <w:r>
              <w:rPr>
                <w:i/>
                <w:iCs/>
                <w:lang w:eastAsia="zh-TW"/>
              </w:rPr>
              <w:t xml:space="preserve"> Consolidated Returns</w:t>
            </w:r>
            <w:r>
              <w:rPr>
                <w:lang w:eastAsia="zh-TW"/>
              </w:rPr>
              <w:t xml:space="preserve">. </w:t>
            </w:r>
          </w:p>
          <w:p w:rsidR="00265948" w:rsidRDefault="00265948" w:rsidP="0083205B">
            <w:pPr>
              <w:pStyle w:val="DQITableText"/>
              <w:rPr>
                <w:lang w:eastAsia="zh-TW"/>
              </w:rPr>
            </w:pPr>
            <w:r>
              <w:rPr>
                <w:lang w:eastAsia="zh-TW"/>
              </w:rPr>
              <w:t xml:space="preserve">The ambulance service organisations send their data to the </w:t>
            </w:r>
            <w:proofErr w:type="spellStart"/>
            <w:r>
              <w:rPr>
                <w:lang w:eastAsia="zh-TW"/>
              </w:rPr>
              <w:t>CAA</w:t>
            </w:r>
            <w:proofErr w:type="spellEnd"/>
            <w:r>
              <w:rPr>
                <w:lang w:eastAsia="zh-TW"/>
              </w:rPr>
              <w:t xml:space="preserve">. The </w:t>
            </w:r>
            <w:proofErr w:type="spellStart"/>
            <w:r>
              <w:rPr>
                <w:lang w:eastAsia="zh-TW"/>
              </w:rPr>
              <w:t>CAA</w:t>
            </w:r>
            <w:proofErr w:type="spellEnd"/>
            <w:r>
              <w:rPr>
                <w:lang w:eastAsia="zh-TW"/>
              </w:rPr>
              <w:t xml:space="preserve"> then collates all data to be provided to the Productivity Commission for use in the </w:t>
            </w:r>
            <w:proofErr w:type="spellStart"/>
            <w:r>
              <w:rPr>
                <w:lang w:eastAsia="zh-TW"/>
              </w:rPr>
              <w:t>RoGS</w:t>
            </w:r>
            <w:proofErr w:type="spellEnd"/>
            <w:r>
              <w:rPr>
                <w:lang w:eastAsia="zh-TW"/>
              </w:rPr>
              <w:t>.</w:t>
            </w:r>
          </w:p>
        </w:tc>
      </w:tr>
      <w:tr w:rsidR="00265948" w:rsidTr="002E49D6">
        <w:tc>
          <w:tcPr>
            <w:tcW w:w="1617" w:type="dxa"/>
          </w:tcPr>
          <w:p w:rsidR="00265948" w:rsidRDefault="00265948" w:rsidP="00CD58FF">
            <w:pPr>
              <w:pStyle w:val="DQIRowHeadings"/>
              <w:rPr>
                <w:lang w:eastAsia="zh-TW"/>
              </w:rPr>
            </w:pPr>
            <w:r>
              <w:rPr>
                <w:lang w:eastAsia="zh-TW"/>
              </w:rPr>
              <w:t>Relevance</w:t>
            </w:r>
          </w:p>
        </w:tc>
        <w:tc>
          <w:tcPr>
            <w:tcW w:w="7172" w:type="dxa"/>
          </w:tcPr>
          <w:p w:rsidR="00265948" w:rsidRDefault="00265948" w:rsidP="0083205B">
            <w:pPr>
              <w:pStyle w:val="DQITableText"/>
              <w:rPr>
                <w:lang w:eastAsia="zh-TW"/>
              </w:rPr>
            </w:pPr>
            <w:r>
              <w:rPr>
                <w:lang w:eastAsia="zh-TW"/>
              </w:rPr>
              <w:t>The indicator is available for all statutory ambulance services in Australia, by State and Territory.</w:t>
            </w:r>
          </w:p>
          <w:p w:rsidR="00265948" w:rsidRDefault="00265948" w:rsidP="0083205B">
            <w:pPr>
              <w:pStyle w:val="DQITableText"/>
              <w:rPr>
                <w:lang w:eastAsia="zh-TW"/>
              </w:rPr>
            </w:pPr>
            <w:r>
              <w:rPr>
                <w:lang w:eastAsia="zh-TW"/>
              </w:rPr>
              <w:t xml:space="preserve">The </w:t>
            </w:r>
            <w:proofErr w:type="spellStart"/>
            <w:r>
              <w:rPr>
                <w:i/>
                <w:lang w:eastAsia="zh-TW"/>
              </w:rPr>
              <w:t>CAA</w:t>
            </w:r>
            <w:proofErr w:type="spellEnd"/>
            <w:r>
              <w:rPr>
                <w:i/>
                <w:lang w:eastAsia="zh-TW"/>
              </w:rPr>
              <w:t xml:space="preserve"> Consolidated Returns</w:t>
            </w:r>
            <w:r>
              <w:rPr>
                <w:lang w:eastAsia="zh-TW"/>
              </w:rPr>
              <w:t xml:space="preserve"> collects data for each of the availability of ambulance officers/paramedics categories, as defined in the measure.</w:t>
            </w:r>
          </w:p>
          <w:p w:rsidR="00265948" w:rsidRDefault="00265948" w:rsidP="0083205B">
            <w:pPr>
              <w:pStyle w:val="DQITableText"/>
              <w:rPr>
                <w:lang w:eastAsia="zh-TW"/>
              </w:rPr>
            </w:pPr>
            <w:r>
              <w:rPr>
                <w:lang w:eastAsia="zh-TW"/>
              </w:rPr>
              <w:t>The availability of ambulance officers/paramedics represents one aspect of equity — indicating equal access of the population to essential/lifesaving government services.</w:t>
            </w:r>
          </w:p>
        </w:tc>
      </w:tr>
      <w:tr w:rsidR="00265948" w:rsidTr="002E49D6">
        <w:tc>
          <w:tcPr>
            <w:tcW w:w="1617" w:type="dxa"/>
          </w:tcPr>
          <w:p w:rsidR="00265948" w:rsidRDefault="00265948" w:rsidP="00CD58FF">
            <w:pPr>
              <w:pStyle w:val="DQIRowHeadings"/>
              <w:rPr>
                <w:lang w:eastAsia="zh-TW"/>
              </w:rPr>
            </w:pPr>
            <w:r>
              <w:rPr>
                <w:lang w:eastAsia="zh-TW"/>
              </w:rPr>
              <w:t>Timeliness</w:t>
            </w:r>
          </w:p>
        </w:tc>
        <w:tc>
          <w:tcPr>
            <w:tcW w:w="7172" w:type="dxa"/>
          </w:tcPr>
          <w:p w:rsidR="00265948" w:rsidRDefault="00265948" w:rsidP="007F6100">
            <w:pPr>
              <w:pStyle w:val="DQITableText"/>
              <w:rPr>
                <w:lang w:eastAsia="zh-TW"/>
              </w:rPr>
            </w:pPr>
            <w:r>
              <w:rPr>
                <w:lang w:eastAsia="zh-TW"/>
              </w:rPr>
              <w:t xml:space="preserve">The availability of ambulance officers/paramedics data </w:t>
            </w:r>
            <w:r w:rsidR="0096477A">
              <w:rPr>
                <w:lang w:eastAsia="zh-TW"/>
              </w:rPr>
              <w:t>are</w:t>
            </w:r>
            <w:r>
              <w:rPr>
                <w:lang w:eastAsia="zh-TW"/>
              </w:rPr>
              <w:t xml:space="preserve"> published annually for the latest financial year preceding the January release of each </w:t>
            </w:r>
            <w:proofErr w:type="spellStart"/>
            <w:r>
              <w:rPr>
                <w:lang w:eastAsia="zh-TW"/>
              </w:rPr>
              <w:t>R</w:t>
            </w:r>
            <w:r w:rsidR="007F6100">
              <w:rPr>
                <w:lang w:eastAsia="zh-TW"/>
              </w:rPr>
              <w:t>o</w:t>
            </w:r>
            <w:r>
              <w:rPr>
                <w:lang w:eastAsia="zh-TW"/>
              </w:rPr>
              <w:t>GS</w:t>
            </w:r>
            <w:proofErr w:type="spellEnd"/>
            <w:r>
              <w:rPr>
                <w:lang w:eastAsia="zh-TW"/>
              </w:rPr>
              <w:t>.</w:t>
            </w:r>
          </w:p>
        </w:tc>
      </w:tr>
      <w:tr w:rsidR="00265948" w:rsidTr="002E49D6">
        <w:tc>
          <w:tcPr>
            <w:tcW w:w="1617" w:type="dxa"/>
          </w:tcPr>
          <w:p w:rsidR="00265948" w:rsidRDefault="00265948" w:rsidP="0083205B">
            <w:pPr>
              <w:pStyle w:val="DQIRowHeadings"/>
              <w:rPr>
                <w:lang w:eastAsia="zh-TW"/>
              </w:rPr>
            </w:pPr>
            <w:r>
              <w:rPr>
                <w:lang w:eastAsia="zh-TW"/>
              </w:rPr>
              <w:t>Accuracy</w:t>
            </w:r>
          </w:p>
          <w:p w:rsidR="00265948" w:rsidRDefault="00265948" w:rsidP="0083205B">
            <w:pPr>
              <w:pStyle w:val="DQIRowHeadings"/>
              <w:rPr>
                <w:lang w:eastAsia="zh-TW"/>
              </w:rPr>
            </w:pPr>
          </w:p>
        </w:tc>
        <w:tc>
          <w:tcPr>
            <w:tcW w:w="7172" w:type="dxa"/>
          </w:tcPr>
          <w:p w:rsidR="00265948" w:rsidRDefault="00265948" w:rsidP="0083205B">
            <w:pPr>
              <w:pStyle w:val="DQITableText"/>
              <w:rPr>
                <w:lang w:eastAsia="zh-TW"/>
              </w:rPr>
            </w:pPr>
            <w:r>
              <w:rPr>
                <w:lang w:eastAsia="zh-TW"/>
              </w:rPr>
              <w:t xml:space="preserve">The </w:t>
            </w:r>
            <w:proofErr w:type="spellStart"/>
            <w:r>
              <w:rPr>
                <w:i/>
                <w:lang w:eastAsia="zh-TW"/>
              </w:rPr>
              <w:t>CAA</w:t>
            </w:r>
            <w:proofErr w:type="spellEnd"/>
            <w:r>
              <w:rPr>
                <w:i/>
                <w:lang w:eastAsia="zh-TW"/>
              </w:rPr>
              <w:t xml:space="preserve"> Consolidated Returns</w:t>
            </w:r>
            <w:r>
              <w:rPr>
                <w:lang w:eastAsia="zh-TW"/>
              </w:rPr>
              <w:t xml:space="preserve"> compile administrative data from all </w:t>
            </w:r>
            <w:r>
              <w:rPr>
                <w:lang w:val="en-GB" w:eastAsia="zh-TW"/>
              </w:rPr>
              <w:t xml:space="preserve">statutory providers of ambulance services in Australia. </w:t>
            </w:r>
          </w:p>
          <w:p w:rsidR="00265948" w:rsidRDefault="00265948" w:rsidP="0083205B">
            <w:pPr>
              <w:pStyle w:val="DQITableText"/>
              <w:rPr>
                <w:lang w:eastAsia="zh-TW"/>
              </w:rPr>
            </w:pPr>
            <w:r>
              <w:rPr>
                <w:lang w:eastAsia="zh-TW"/>
              </w:rPr>
              <w:t xml:space="preserve">They are collected according to agreed definitions provided in the </w:t>
            </w:r>
            <w:proofErr w:type="spellStart"/>
            <w:r>
              <w:rPr>
                <w:lang w:eastAsia="zh-TW"/>
              </w:rPr>
              <w:t>CAA</w:t>
            </w:r>
            <w:proofErr w:type="spellEnd"/>
            <w:r>
              <w:rPr>
                <w:lang w:eastAsia="zh-TW"/>
              </w:rPr>
              <w:t xml:space="preserve"> data dictionary.</w:t>
            </w:r>
          </w:p>
        </w:tc>
      </w:tr>
      <w:tr w:rsidR="00265948" w:rsidTr="002E49D6">
        <w:tc>
          <w:tcPr>
            <w:tcW w:w="1617" w:type="dxa"/>
          </w:tcPr>
          <w:p w:rsidR="00265948" w:rsidRDefault="00265948" w:rsidP="0083205B">
            <w:pPr>
              <w:pStyle w:val="DQIRowHeadings"/>
              <w:rPr>
                <w:lang w:eastAsia="zh-TW"/>
              </w:rPr>
            </w:pPr>
            <w:r>
              <w:rPr>
                <w:lang w:eastAsia="zh-TW"/>
              </w:rPr>
              <w:t>Coherence</w:t>
            </w:r>
          </w:p>
          <w:p w:rsidR="00265948" w:rsidRDefault="00265948" w:rsidP="0083205B">
            <w:pPr>
              <w:pStyle w:val="DQIRowHeadings"/>
              <w:rPr>
                <w:lang w:eastAsia="zh-TW"/>
              </w:rPr>
            </w:pPr>
          </w:p>
        </w:tc>
        <w:tc>
          <w:tcPr>
            <w:tcW w:w="7172" w:type="dxa"/>
          </w:tcPr>
          <w:p w:rsidR="00265948" w:rsidRDefault="00265948" w:rsidP="0083205B">
            <w:pPr>
              <w:pStyle w:val="DQITableText"/>
              <w:rPr>
                <w:lang w:eastAsia="zh-TW"/>
              </w:rPr>
            </w:pPr>
            <w:r>
              <w:rPr>
                <w:lang w:eastAsia="zh-TW"/>
              </w:rPr>
              <w:t xml:space="preserve">All data (numerators and denominators) are sourced from the </w:t>
            </w:r>
            <w:proofErr w:type="spellStart"/>
            <w:r>
              <w:rPr>
                <w:lang w:eastAsia="zh-TW"/>
              </w:rPr>
              <w:t>CAA</w:t>
            </w:r>
            <w:proofErr w:type="spellEnd"/>
            <w:r>
              <w:rPr>
                <w:lang w:eastAsia="zh-TW"/>
              </w:rPr>
              <w:t xml:space="preserve"> </w:t>
            </w:r>
            <w:r>
              <w:rPr>
                <w:i/>
                <w:lang w:eastAsia="zh-TW"/>
              </w:rPr>
              <w:t>Consolidated Returns.</w:t>
            </w:r>
            <w:r>
              <w:rPr>
                <w:lang w:eastAsia="zh-TW"/>
              </w:rPr>
              <w:t xml:space="preserve"> </w:t>
            </w:r>
          </w:p>
          <w:p w:rsidR="00265948" w:rsidRDefault="00265948" w:rsidP="0083205B">
            <w:pPr>
              <w:pStyle w:val="DQITableText"/>
              <w:rPr>
                <w:lang w:eastAsia="zh-TW"/>
              </w:rPr>
            </w:pPr>
            <w:r>
              <w:rPr>
                <w:lang w:eastAsia="zh-TW"/>
              </w:rPr>
              <w:t xml:space="preserve">Estimates from the </w:t>
            </w:r>
            <w:proofErr w:type="spellStart"/>
            <w:r>
              <w:rPr>
                <w:lang w:eastAsia="zh-TW"/>
              </w:rPr>
              <w:t>CAA</w:t>
            </w:r>
            <w:proofErr w:type="spellEnd"/>
            <w:r>
              <w:rPr>
                <w:lang w:eastAsia="zh-TW"/>
              </w:rPr>
              <w:t xml:space="preserve"> </w:t>
            </w:r>
            <w:r>
              <w:rPr>
                <w:i/>
                <w:lang w:eastAsia="zh-TW"/>
              </w:rPr>
              <w:t xml:space="preserve">Consolidated Returns </w:t>
            </w:r>
            <w:r>
              <w:rPr>
                <w:lang w:eastAsia="zh-TW"/>
              </w:rPr>
              <w:t xml:space="preserve">are comparable over time and between jurisdictions, subject to caveats provided by services. </w:t>
            </w:r>
          </w:p>
          <w:p w:rsidR="00265948" w:rsidRDefault="00265948" w:rsidP="00CD58FF">
            <w:pPr>
              <w:pStyle w:val="DQITableText"/>
              <w:rPr>
                <w:lang w:eastAsia="zh-TW"/>
              </w:rPr>
            </w:pPr>
            <w:r>
              <w:rPr>
                <w:lang w:eastAsia="zh-TW"/>
              </w:rPr>
              <w:t xml:space="preserve">The collection, instructions, definitions and analysis are prepared and overseen by the </w:t>
            </w:r>
            <w:proofErr w:type="spellStart"/>
            <w:r>
              <w:rPr>
                <w:lang w:eastAsia="zh-TW"/>
              </w:rPr>
              <w:t>CAA</w:t>
            </w:r>
            <w:proofErr w:type="spellEnd"/>
            <w:r>
              <w:rPr>
                <w:lang w:eastAsia="zh-TW"/>
              </w:rPr>
              <w:t xml:space="preserve"> and are the same for all state and territory services. </w:t>
            </w:r>
          </w:p>
        </w:tc>
      </w:tr>
      <w:tr w:rsidR="00265948" w:rsidTr="002E49D6">
        <w:tc>
          <w:tcPr>
            <w:tcW w:w="1617" w:type="dxa"/>
          </w:tcPr>
          <w:p w:rsidR="00265948" w:rsidRDefault="00265948" w:rsidP="00CD58FF">
            <w:pPr>
              <w:pStyle w:val="DQIRowHeadings"/>
              <w:rPr>
                <w:lang w:eastAsia="zh-TW"/>
              </w:rPr>
            </w:pPr>
            <w:r>
              <w:rPr>
                <w:lang w:eastAsia="zh-TW"/>
              </w:rPr>
              <w:t>Accessibility</w:t>
            </w:r>
          </w:p>
        </w:tc>
        <w:tc>
          <w:tcPr>
            <w:tcW w:w="7172" w:type="dxa"/>
          </w:tcPr>
          <w:p w:rsidR="00265948" w:rsidRDefault="00265948" w:rsidP="00EE3F05">
            <w:pPr>
              <w:pStyle w:val="DQITableText"/>
              <w:rPr>
                <w:lang w:eastAsia="zh-TW"/>
              </w:rPr>
            </w:pPr>
            <w:r>
              <w:rPr>
                <w:lang w:eastAsia="zh-TW"/>
              </w:rPr>
              <w:t xml:space="preserve">The availability of ambulance officers/paramedics data </w:t>
            </w:r>
            <w:r w:rsidR="0096477A">
              <w:rPr>
                <w:lang w:eastAsia="zh-TW"/>
              </w:rPr>
              <w:t>are</w:t>
            </w:r>
            <w:r>
              <w:rPr>
                <w:lang w:eastAsia="zh-TW"/>
              </w:rPr>
              <w:t xml:space="preserve"> made publicly available </w:t>
            </w:r>
            <w:r w:rsidR="00EE3F05">
              <w:rPr>
                <w:lang w:eastAsia="zh-TW"/>
              </w:rPr>
              <w:t xml:space="preserve">annually </w:t>
            </w:r>
            <w:r>
              <w:rPr>
                <w:lang w:eastAsia="zh-TW"/>
              </w:rPr>
              <w:t xml:space="preserve">as part of the </w:t>
            </w:r>
            <w:proofErr w:type="spellStart"/>
            <w:r>
              <w:rPr>
                <w:lang w:eastAsia="zh-TW"/>
              </w:rPr>
              <w:t>CAA</w:t>
            </w:r>
            <w:proofErr w:type="spellEnd"/>
            <w:r>
              <w:rPr>
                <w:lang w:eastAsia="zh-TW"/>
              </w:rPr>
              <w:t xml:space="preserve"> Annual Report on the </w:t>
            </w:r>
            <w:proofErr w:type="spellStart"/>
            <w:r>
              <w:rPr>
                <w:lang w:eastAsia="zh-TW"/>
              </w:rPr>
              <w:t>CAA</w:t>
            </w:r>
            <w:proofErr w:type="spellEnd"/>
            <w:r>
              <w:rPr>
                <w:lang w:eastAsia="zh-TW"/>
              </w:rPr>
              <w:t xml:space="preserve"> </w:t>
            </w:r>
            <w:r>
              <w:rPr>
                <w:rFonts w:ascii="ArialMT" w:eastAsiaTheme="minorEastAsia" w:hAnsi="ArialMT" w:cs="ArialMT"/>
                <w:lang w:eastAsia="zh-TW"/>
              </w:rPr>
              <w:t>website</w:t>
            </w:r>
            <w:r>
              <w:rPr>
                <w:lang w:eastAsia="zh-TW"/>
              </w:rPr>
              <w:t xml:space="preserve"> (</w:t>
            </w:r>
            <w:proofErr w:type="spellStart"/>
            <w:r w:rsidRPr="004A1422">
              <w:rPr>
                <w:lang w:eastAsia="zh-TW"/>
              </w:rPr>
              <w:t>www.caa.net.au</w:t>
            </w:r>
            <w:proofErr w:type="spellEnd"/>
            <w:r>
              <w:rPr>
                <w:lang w:eastAsia="zh-TW"/>
              </w:rPr>
              <w:t>).</w:t>
            </w:r>
          </w:p>
        </w:tc>
      </w:tr>
      <w:tr w:rsidR="00265948" w:rsidTr="002E49D6">
        <w:tc>
          <w:tcPr>
            <w:tcW w:w="1617" w:type="dxa"/>
          </w:tcPr>
          <w:p w:rsidR="00265948" w:rsidRDefault="00265948" w:rsidP="00CD58FF">
            <w:pPr>
              <w:pStyle w:val="DQIRowHeadings"/>
              <w:rPr>
                <w:lang w:eastAsia="zh-TW"/>
              </w:rPr>
            </w:pPr>
            <w:r>
              <w:rPr>
                <w:lang w:eastAsia="zh-TW"/>
              </w:rPr>
              <w:t>Interpretability</w:t>
            </w:r>
          </w:p>
        </w:tc>
        <w:tc>
          <w:tcPr>
            <w:tcW w:w="7172" w:type="dxa"/>
          </w:tcPr>
          <w:p w:rsidR="00265948" w:rsidRDefault="00265948" w:rsidP="00EE3F05">
            <w:pPr>
              <w:pStyle w:val="DQITableText"/>
              <w:rPr>
                <w:lang w:eastAsia="zh-TW"/>
              </w:rPr>
            </w:pPr>
            <w:r>
              <w:rPr>
                <w:lang w:eastAsia="zh-TW"/>
              </w:rPr>
              <w:t xml:space="preserve">The ambulance officers/paramedics data </w:t>
            </w:r>
            <w:r w:rsidR="0096477A">
              <w:rPr>
                <w:lang w:eastAsia="zh-TW"/>
              </w:rPr>
              <w:t>are</w:t>
            </w:r>
            <w:r>
              <w:rPr>
                <w:lang w:eastAsia="zh-TW"/>
              </w:rPr>
              <w:t xml:space="preserve"> publicly available and includ</w:t>
            </w:r>
            <w:r w:rsidR="00EE3F05">
              <w:rPr>
                <w:lang w:eastAsia="zh-TW"/>
              </w:rPr>
              <w:t>ing</w:t>
            </w:r>
            <w:r>
              <w:rPr>
                <w:lang w:eastAsia="zh-TW"/>
              </w:rPr>
              <w:t xml:space="preserve"> definitions of the collected data.</w:t>
            </w:r>
          </w:p>
        </w:tc>
      </w:tr>
      <w:tr w:rsidR="00265948" w:rsidTr="002E49D6">
        <w:trPr>
          <w:trHeight w:val="476"/>
        </w:trPr>
        <w:tc>
          <w:tcPr>
            <w:tcW w:w="8789" w:type="dxa"/>
            <w:gridSpan w:val="2"/>
            <w:vAlign w:val="center"/>
            <w:hideMark/>
          </w:tcPr>
          <w:p w:rsidR="00265948" w:rsidRDefault="00265948" w:rsidP="0083205B">
            <w:pPr>
              <w:pStyle w:val="DQIMainRowHeadings"/>
              <w:rPr>
                <w:lang w:eastAsia="zh-TW"/>
              </w:rPr>
            </w:pPr>
            <w:r>
              <w:rPr>
                <w:lang w:eastAsia="zh-TW"/>
              </w:rPr>
              <w:t>Data Gaps/Issues Analysis</w:t>
            </w:r>
          </w:p>
        </w:tc>
      </w:tr>
      <w:tr w:rsidR="00265948" w:rsidTr="002E49D6">
        <w:tc>
          <w:tcPr>
            <w:tcW w:w="1617" w:type="dxa"/>
            <w:tcBorders>
              <w:top w:val="nil"/>
              <w:left w:val="nil"/>
              <w:right w:val="nil"/>
            </w:tcBorders>
            <w:hideMark/>
          </w:tcPr>
          <w:p w:rsidR="00265948" w:rsidRDefault="00265948">
            <w:pPr>
              <w:pStyle w:val="TableBodyText"/>
              <w:jc w:val="left"/>
              <w:rPr>
                <w:b/>
                <w:lang w:eastAsia="zh-TW"/>
              </w:rPr>
            </w:pPr>
            <w:r>
              <w:rPr>
                <w:b/>
                <w:lang w:eastAsia="zh-TW"/>
              </w:rPr>
              <w:t>Key data gaps/issues</w:t>
            </w:r>
          </w:p>
        </w:tc>
        <w:tc>
          <w:tcPr>
            <w:tcW w:w="7172" w:type="dxa"/>
            <w:tcBorders>
              <w:top w:val="nil"/>
              <w:left w:val="nil"/>
              <w:right w:val="nil"/>
            </w:tcBorders>
            <w:shd w:val="clear" w:color="auto" w:fill="auto"/>
            <w:hideMark/>
          </w:tcPr>
          <w:p w:rsidR="00265948" w:rsidRDefault="00020BF5" w:rsidP="00020BF5">
            <w:pPr>
              <w:pStyle w:val="DQITableText"/>
              <w:rPr>
                <w:lang w:eastAsia="zh-TW"/>
              </w:rPr>
            </w:pPr>
            <w:r w:rsidRPr="00620164">
              <w:t>The Steering Committee notes th</w:t>
            </w:r>
            <w:r>
              <w:t xml:space="preserve">at </w:t>
            </w:r>
            <w:r>
              <w:rPr>
                <w:lang w:eastAsia="zh-TW"/>
              </w:rPr>
              <w:t>i</w:t>
            </w:r>
            <w:r w:rsidRPr="00020BF5">
              <w:rPr>
                <w:lang w:eastAsia="zh-TW"/>
              </w:rPr>
              <w:t xml:space="preserve">n jurisdictions that utilise a higher number of volunteers, the number of paid FTE ambulance officers may be lower — suggesting a lower level of access according to the indicator. However, volunteers are often utilised to provide ambulance access to small rural areas which have low frequency of medical emergencies. Providing paid paramedics in these locations is costly and raises issues with skills maintenance for paramedics whose caseload is low. This </w:t>
            </w:r>
            <w:r w:rsidRPr="00020BF5">
              <w:rPr>
                <w:lang w:eastAsia="zh-TW"/>
              </w:rPr>
              <w:lastRenderedPageBreak/>
              <w:t>indicator is complemented by the response locations indicator, which identifies jurisdictions that provide an ambulance response utilising volunteers</w:t>
            </w:r>
            <w:r w:rsidR="00677CAA">
              <w:rPr>
                <w:lang w:eastAsia="zh-TW"/>
              </w:rPr>
              <w:t>.</w:t>
            </w:r>
          </w:p>
        </w:tc>
      </w:tr>
    </w:tbl>
    <w:p w:rsidR="00AC10E3" w:rsidRDefault="00AC10E3" w:rsidP="00020BF5">
      <w:pPr>
        <w:pStyle w:val="FooterEnd"/>
      </w:pPr>
      <w:r>
        <w:lastRenderedPageBreak/>
        <w:br w:type="page"/>
      </w:r>
    </w:p>
    <w:p w:rsidR="00AC10E3" w:rsidRDefault="00AC10E3" w:rsidP="00AC10E3">
      <w:pPr>
        <w:pStyle w:val="Heading3"/>
        <w:keepLines/>
        <w:spacing w:after="120"/>
      </w:pPr>
      <w:bookmarkStart w:id="79" w:name="_Toc398732484"/>
      <w:bookmarkStart w:id="80" w:name="_Toc405885751"/>
      <w:r>
        <w:lastRenderedPageBreak/>
        <w:t>Urban centre response times</w:t>
      </w:r>
      <w:bookmarkEnd w:id="79"/>
      <w:bookmarkEnd w:id="80"/>
    </w:p>
    <w:p w:rsidR="00AC10E3" w:rsidRDefault="00AC10E3" w:rsidP="00AC10E3">
      <w:pPr>
        <w:pStyle w:val="Box"/>
      </w:pPr>
      <w:r>
        <w:t>Data quality information for this indicator has been drafted by the Secretariat in consultation with the Council of Ambulance Authorities (</w:t>
      </w:r>
      <w:proofErr w:type="spellStart"/>
      <w:r>
        <w:t>CAA</w:t>
      </w:r>
      <w:proofErr w:type="spellEnd"/>
      <w:r>
        <w:t>), with additional Steering Committee comments.</w:t>
      </w:r>
    </w:p>
    <w:tbl>
      <w:tblPr>
        <w:tblW w:w="0" w:type="auto"/>
        <w:tblInd w:w="108" w:type="dxa"/>
        <w:tblLook w:val="01E0" w:firstRow="1" w:lastRow="1" w:firstColumn="1" w:lastColumn="1" w:noHBand="0" w:noVBand="0"/>
      </w:tblPr>
      <w:tblGrid>
        <w:gridCol w:w="1616"/>
        <w:gridCol w:w="89"/>
        <w:gridCol w:w="6937"/>
      </w:tblGrid>
      <w:tr w:rsidR="00AC10E3" w:rsidTr="002E49D6">
        <w:trPr>
          <w:trHeight w:val="519"/>
        </w:trPr>
        <w:tc>
          <w:tcPr>
            <w:tcW w:w="8789" w:type="dxa"/>
            <w:gridSpan w:val="3"/>
            <w:tcBorders>
              <w:left w:val="nil"/>
              <w:right w:val="nil"/>
            </w:tcBorders>
            <w:vAlign w:val="center"/>
            <w:hideMark/>
          </w:tcPr>
          <w:p w:rsidR="00AC10E3" w:rsidRDefault="00AC10E3" w:rsidP="00CD58FF">
            <w:pPr>
              <w:pStyle w:val="DQIMainRowHeadings"/>
              <w:rPr>
                <w:lang w:eastAsia="zh-TW"/>
              </w:rPr>
            </w:pPr>
            <w:r>
              <w:rPr>
                <w:lang w:eastAsia="zh-TW"/>
              </w:rPr>
              <w:t>Indicator definition and description</w:t>
            </w:r>
          </w:p>
        </w:tc>
      </w:tr>
      <w:tr w:rsidR="00AC10E3" w:rsidTr="002E49D6">
        <w:tc>
          <w:tcPr>
            <w:tcW w:w="1617" w:type="dxa"/>
            <w:tcBorders>
              <w:left w:val="nil"/>
              <w:bottom w:val="nil"/>
              <w:right w:val="nil"/>
            </w:tcBorders>
            <w:hideMark/>
          </w:tcPr>
          <w:p w:rsidR="00AC10E3" w:rsidRDefault="00AC10E3" w:rsidP="00CD58FF">
            <w:pPr>
              <w:pStyle w:val="DQIRowHeadings"/>
              <w:rPr>
                <w:lang w:eastAsia="zh-TW"/>
              </w:rPr>
            </w:pPr>
            <w:r>
              <w:rPr>
                <w:lang w:eastAsia="zh-TW"/>
              </w:rPr>
              <w:t>Element</w:t>
            </w:r>
          </w:p>
        </w:tc>
        <w:tc>
          <w:tcPr>
            <w:tcW w:w="7172" w:type="dxa"/>
            <w:gridSpan w:val="2"/>
            <w:tcBorders>
              <w:left w:val="nil"/>
              <w:bottom w:val="nil"/>
              <w:right w:val="nil"/>
            </w:tcBorders>
          </w:tcPr>
          <w:p w:rsidR="00AC10E3" w:rsidRDefault="00AC10E3" w:rsidP="001B410C">
            <w:pPr>
              <w:pStyle w:val="DQITableText"/>
              <w:rPr>
                <w:lang w:eastAsia="zh-TW"/>
              </w:rPr>
            </w:pPr>
            <w:r>
              <w:rPr>
                <w:lang w:eastAsia="zh-TW"/>
              </w:rPr>
              <w:t xml:space="preserve">Equity </w:t>
            </w:r>
            <w:r w:rsidR="001B410C">
              <w:rPr>
                <w:lang w:eastAsia="zh-TW"/>
              </w:rPr>
              <w:t>—</w:t>
            </w:r>
            <w:r>
              <w:rPr>
                <w:lang w:eastAsia="zh-TW"/>
              </w:rPr>
              <w:t xml:space="preserve"> Access</w:t>
            </w:r>
          </w:p>
        </w:tc>
      </w:tr>
      <w:tr w:rsidR="00AC10E3" w:rsidTr="002E49D6">
        <w:tc>
          <w:tcPr>
            <w:tcW w:w="1617" w:type="dxa"/>
            <w:hideMark/>
          </w:tcPr>
          <w:p w:rsidR="00AC10E3" w:rsidRDefault="00AC10E3" w:rsidP="00CD58FF">
            <w:pPr>
              <w:pStyle w:val="DQIRowHeadings"/>
              <w:rPr>
                <w:lang w:eastAsia="zh-TW"/>
              </w:rPr>
            </w:pPr>
            <w:r>
              <w:rPr>
                <w:lang w:eastAsia="zh-TW"/>
              </w:rPr>
              <w:t>Indicator</w:t>
            </w:r>
          </w:p>
        </w:tc>
        <w:tc>
          <w:tcPr>
            <w:tcW w:w="7172" w:type="dxa"/>
            <w:gridSpan w:val="2"/>
          </w:tcPr>
          <w:p w:rsidR="00AC10E3" w:rsidRDefault="00AC10E3" w:rsidP="00CD58FF">
            <w:pPr>
              <w:pStyle w:val="DQITableText"/>
              <w:rPr>
                <w:lang w:eastAsia="zh-TW"/>
              </w:rPr>
            </w:pPr>
            <w:r>
              <w:rPr>
                <w:lang w:eastAsia="zh-TW"/>
              </w:rPr>
              <w:t>Urban centre response times</w:t>
            </w:r>
          </w:p>
        </w:tc>
      </w:tr>
      <w:tr w:rsidR="00AC10E3" w:rsidTr="002E49D6">
        <w:tc>
          <w:tcPr>
            <w:tcW w:w="1617" w:type="dxa"/>
            <w:hideMark/>
          </w:tcPr>
          <w:p w:rsidR="00AC10E3" w:rsidRDefault="00AC10E3" w:rsidP="00CD58FF">
            <w:pPr>
              <w:pStyle w:val="DQIRowHeadings"/>
              <w:rPr>
                <w:lang w:eastAsia="zh-TW"/>
              </w:rPr>
            </w:pPr>
            <w:r>
              <w:rPr>
                <w:lang w:eastAsia="zh-TW"/>
              </w:rPr>
              <w:t>Measure (computation)</w:t>
            </w:r>
          </w:p>
        </w:tc>
        <w:tc>
          <w:tcPr>
            <w:tcW w:w="7172" w:type="dxa"/>
            <w:gridSpan w:val="2"/>
          </w:tcPr>
          <w:p w:rsidR="00AC10E3" w:rsidRDefault="00AC10E3" w:rsidP="00CD58FF">
            <w:pPr>
              <w:pStyle w:val="DQITableText"/>
              <w:rPr>
                <w:lang w:eastAsia="zh-TW"/>
              </w:rPr>
            </w:pPr>
            <w:r>
              <w:rPr>
                <w:lang w:eastAsia="zh-TW"/>
              </w:rPr>
              <w:t>Response times is defined as the time taken between the arrival of the first responding ambulance resource at the scene of an emergency in code 1 incidents and the initial receipt of the call for an emergency ambulance at the communications centre.</w:t>
            </w:r>
          </w:p>
          <w:p w:rsidR="00AC10E3" w:rsidRDefault="00AC10E3" w:rsidP="008507E9">
            <w:pPr>
              <w:pStyle w:val="TableBodyText"/>
              <w:jc w:val="left"/>
              <w:rPr>
                <w:lang w:eastAsia="zh-TW"/>
              </w:rPr>
            </w:pPr>
            <w:r>
              <w:rPr>
                <w:lang w:eastAsia="zh-TW"/>
              </w:rPr>
              <w:t xml:space="preserve">Urban centre response times are response times applied for each jurisdiction’s capital city </w:t>
            </w:r>
            <w:r w:rsidR="008507E9">
              <w:rPr>
                <w:lang w:eastAsia="zh-TW"/>
              </w:rPr>
              <w:t>—</w:t>
            </w:r>
            <w:r>
              <w:rPr>
                <w:lang w:eastAsia="zh-TW"/>
              </w:rPr>
              <w:t xml:space="preserve"> boundaries are based on the ABS Urban Centres Localities structure.</w:t>
            </w:r>
          </w:p>
          <w:p w:rsidR="00AC10E3" w:rsidRDefault="00AC10E3" w:rsidP="00CD58FF">
            <w:pPr>
              <w:pStyle w:val="DQITableBullet"/>
              <w:rPr>
                <w:lang w:eastAsia="zh-TW"/>
              </w:rPr>
            </w:pPr>
            <w:r>
              <w:rPr>
                <w:lang w:eastAsia="zh-TW"/>
              </w:rPr>
              <w:t>Capital cities – Sydney, Melbourne, Brisbane, Perth, Adelaide, Hobart, Canberra and Darwin.</w:t>
            </w:r>
          </w:p>
          <w:p w:rsidR="00AC10E3" w:rsidRDefault="00AC10E3" w:rsidP="00CD58FF">
            <w:pPr>
              <w:pStyle w:val="DQITableBullet"/>
              <w:rPr>
                <w:lang w:eastAsia="zh-TW"/>
              </w:rPr>
            </w:pPr>
            <w:r>
              <w:rPr>
                <w:lang w:eastAsia="zh-TW"/>
              </w:rPr>
              <w:t>Code 1 incident – incident requiring at least one immediate response under lights and sirens.</w:t>
            </w:r>
          </w:p>
          <w:p w:rsidR="00AC10E3" w:rsidRDefault="008507E9" w:rsidP="00CD58FF">
            <w:pPr>
              <w:pStyle w:val="DQITableText"/>
              <w:rPr>
                <w:lang w:eastAsia="zh-TW"/>
              </w:rPr>
            </w:pPr>
            <w:r>
              <w:rPr>
                <w:lang w:eastAsia="zh-TW"/>
              </w:rPr>
              <w:t>Measures are provided for:</w:t>
            </w:r>
          </w:p>
          <w:p w:rsidR="0053048B" w:rsidRDefault="0053048B" w:rsidP="00677CAA">
            <w:pPr>
              <w:pStyle w:val="DQITableBullet"/>
            </w:pPr>
            <w:r>
              <w:t xml:space="preserve">The 50th percentile (or median) — </w:t>
            </w:r>
            <w:r w:rsidR="00B3059A" w:rsidRPr="00677CAA">
              <w:t>the time taken for 50 per cent of the first responding ambulance resources to arrive at the scene of an emergency is equal to or below the 50th percentile</w:t>
            </w:r>
            <w:r w:rsidRPr="00F57D61">
              <w:t>.</w:t>
            </w:r>
          </w:p>
          <w:p w:rsidR="008507E9" w:rsidRDefault="0053048B" w:rsidP="00677CAA">
            <w:pPr>
              <w:pStyle w:val="DQITableBullet"/>
              <w:rPr>
                <w:lang w:eastAsia="zh-TW"/>
              </w:rPr>
            </w:pPr>
            <w:r>
              <w:t xml:space="preserve">The 90th percentile — </w:t>
            </w:r>
            <w:r w:rsidR="00B3059A" w:rsidRPr="00677CAA">
              <w:t>the time taken for 90 per cent of the first responding ambulance resources to arrive at the scene of an emergency is equal to or below the 90th percentile</w:t>
            </w:r>
            <w:r w:rsidRPr="00F57D61">
              <w:t>.</w:t>
            </w:r>
          </w:p>
        </w:tc>
      </w:tr>
      <w:tr w:rsidR="00AC10E3" w:rsidTr="002E49D6">
        <w:tc>
          <w:tcPr>
            <w:tcW w:w="1617" w:type="dxa"/>
            <w:hideMark/>
          </w:tcPr>
          <w:p w:rsidR="00AC10E3" w:rsidRDefault="00AC10E3" w:rsidP="00CD58FF">
            <w:pPr>
              <w:pStyle w:val="DQIRowHeadings"/>
              <w:rPr>
                <w:lang w:eastAsia="zh-TW"/>
              </w:rPr>
            </w:pPr>
            <w:r>
              <w:rPr>
                <w:lang w:eastAsia="zh-TW"/>
              </w:rPr>
              <w:t>Data source</w:t>
            </w:r>
          </w:p>
        </w:tc>
        <w:tc>
          <w:tcPr>
            <w:tcW w:w="7172" w:type="dxa"/>
            <w:gridSpan w:val="2"/>
          </w:tcPr>
          <w:p w:rsidR="00AC10E3" w:rsidRDefault="00AC10E3" w:rsidP="00CD58FF">
            <w:pPr>
              <w:pStyle w:val="DQITableText"/>
              <w:rPr>
                <w:lang w:eastAsia="zh-TW"/>
              </w:rPr>
            </w:pPr>
            <w:r>
              <w:rPr>
                <w:i/>
                <w:lang w:eastAsia="zh-TW"/>
              </w:rPr>
              <w:t>Consolidated Returns</w:t>
            </w:r>
            <w:r>
              <w:rPr>
                <w:lang w:eastAsia="zh-TW"/>
              </w:rPr>
              <w:t>,</w:t>
            </w:r>
            <w:r>
              <w:rPr>
                <w:i/>
                <w:lang w:eastAsia="zh-TW"/>
              </w:rPr>
              <w:t xml:space="preserve"> </w:t>
            </w:r>
            <w:r>
              <w:rPr>
                <w:lang w:eastAsia="zh-TW"/>
              </w:rPr>
              <w:t>Council of Ambulance Authorities (</w:t>
            </w:r>
            <w:proofErr w:type="spellStart"/>
            <w:r>
              <w:rPr>
                <w:lang w:eastAsia="zh-TW"/>
              </w:rPr>
              <w:t>CAA</w:t>
            </w:r>
            <w:proofErr w:type="spellEnd"/>
            <w:r>
              <w:rPr>
                <w:lang w:eastAsia="zh-TW"/>
              </w:rPr>
              <w:t>)</w:t>
            </w:r>
          </w:p>
        </w:tc>
      </w:tr>
      <w:tr w:rsidR="00AC10E3" w:rsidTr="002E49D6">
        <w:trPr>
          <w:trHeight w:val="531"/>
        </w:trPr>
        <w:tc>
          <w:tcPr>
            <w:tcW w:w="8789" w:type="dxa"/>
            <w:gridSpan w:val="3"/>
            <w:vAlign w:val="center"/>
            <w:hideMark/>
          </w:tcPr>
          <w:p w:rsidR="00AC10E3" w:rsidRDefault="00AC10E3" w:rsidP="00CD58FF">
            <w:pPr>
              <w:pStyle w:val="DQIMainRowHeadings"/>
              <w:rPr>
                <w:lang w:eastAsia="zh-TW"/>
              </w:rPr>
            </w:pPr>
            <w:r>
              <w:rPr>
                <w:lang w:eastAsia="zh-TW"/>
              </w:rPr>
              <w:t>Data Quality Framework Dimensions</w:t>
            </w:r>
          </w:p>
        </w:tc>
      </w:tr>
      <w:tr w:rsidR="00AC10E3" w:rsidTr="002E49D6">
        <w:tc>
          <w:tcPr>
            <w:tcW w:w="1617" w:type="dxa"/>
            <w:hideMark/>
          </w:tcPr>
          <w:p w:rsidR="00AC10E3" w:rsidRDefault="00AC10E3" w:rsidP="00CD58FF">
            <w:pPr>
              <w:pStyle w:val="DQIRowHeadings"/>
              <w:rPr>
                <w:lang w:eastAsia="zh-TW"/>
              </w:rPr>
            </w:pPr>
            <w:r>
              <w:rPr>
                <w:lang w:eastAsia="zh-TW"/>
              </w:rPr>
              <w:t>Institutional environment</w:t>
            </w:r>
          </w:p>
        </w:tc>
        <w:tc>
          <w:tcPr>
            <w:tcW w:w="7172" w:type="dxa"/>
            <w:gridSpan w:val="2"/>
          </w:tcPr>
          <w:p w:rsidR="00AC10E3" w:rsidRDefault="00AC10E3" w:rsidP="00CD58FF">
            <w:pPr>
              <w:pStyle w:val="DQITableText"/>
              <w:rPr>
                <w:lang w:eastAsia="zh-TW"/>
              </w:rPr>
            </w:pPr>
            <w:r>
              <w:rPr>
                <w:lang w:eastAsia="zh-TW"/>
              </w:rPr>
              <w:t xml:space="preserve">The </w:t>
            </w:r>
            <w:proofErr w:type="spellStart"/>
            <w:r>
              <w:rPr>
                <w:lang w:eastAsia="zh-TW"/>
              </w:rPr>
              <w:t>CAA</w:t>
            </w:r>
            <w:proofErr w:type="spellEnd"/>
            <w:r>
              <w:rPr>
                <w:lang w:eastAsia="zh-TW"/>
              </w:rPr>
              <w:t xml:space="preserve"> is the peak body representing the principal statutory providers of ambulance services in Australia. </w:t>
            </w:r>
          </w:p>
          <w:p w:rsidR="00AC10E3" w:rsidRDefault="00AC10E3" w:rsidP="00CD58FF">
            <w:pPr>
              <w:pStyle w:val="DQITableText"/>
              <w:rPr>
                <w:lang w:eastAsia="zh-TW"/>
              </w:rPr>
            </w:pPr>
            <w:r>
              <w:rPr>
                <w:lang w:eastAsia="zh-TW"/>
              </w:rPr>
              <w:t xml:space="preserve">The </w:t>
            </w:r>
            <w:proofErr w:type="spellStart"/>
            <w:r>
              <w:rPr>
                <w:lang w:eastAsia="zh-TW"/>
              </w:rPr>
              <w:t>CAA</w:t>
            </w:r>
            <w:proofErr w:type="spellEnd"/>
            <w:r>
              <w:rPr>
                <w:lang w:eastAsia="zh-TW"/>
              </w:rPr>
              <w:t xml:space="preserve"> collects administrative data annually from all statutory ambulance services, using the same core questionnaire and instructions — the </w:t>
            </w:r>
            <w:proofErr w:type="spellStart"/>
            <w:r>
              <w:rPr>
                <w:i/>
                <w:iCs/>
                <w:lang w:eastAsia="zh-TW"/>
              </w:rPr>
              <w:t>CAA</w:t>
            </w:r>
            <w:proofErr w:type="spellEnd"/>
            <w:r>
              <w:rPr>
                <w:i/>
                <w:iCs/>
                <w:lang w:eastAsia="zh-TW"/>
              </w:rPr>
              <w:t xml:space="preserve"> Consolidated Returns</w:t>
            </w:r>
            <w:r>
              <w:rPr>
                <w:lang w:eastAsia="zh-TW"/>
              </w:rPr>
              <w:t xml:space="preserve">. </w:t>
            </w:r>
          </w:p>
          <w:p w:rsidR="00AC10E3" w:rsidRDefault="00AC10E3" w:rsidP="00CD58FF">
            <w:pPr>
              <w:pStyle w:val="DQITableText"/>
              <w:rPr>
                <w:lang w:eastAsia="zh-TW"/>
              </w:rPr>
            </w:pPr>
            <w:r>
              <w:rPr>
                <w:lang w:eastAsia="zh-TW"/>
              </w:rPr>
              <w:t xml:space="preserve">The ambulance service organisations send their data to the </w:t>
            </w:r>
            <w:proofErr w:type="spellStart"/>
            <w:r>
              <w:rPr>
                <w:lang w:eastAsia="zh-TW"/>
              </w:rPr>
              <w:t>CAA</w:t>
            </w:r>
            <w:proofErr w:type="spellEnd"/>
            <w:r>
              <w:rPr>
                <w:lang w:eastAsia="zh-TW"/>
              </w:rPr>
              <w:t xml:space="preserve">. The </w:t>
            </w:r>
            <w:proofErr w:type="spellStart"/>
            <w:r>
              <w:rPr>
                <w:lang w:eastAsia="zh-TW"/>
              </w:rPr>
              <w:t>CAA</w:t>
            </w:r>
            <w:proofErr w:type="spellEnd"/>
            <w:r>
              <w:rPr>
                <w:lang w:eastAsia="zh-TW"/>
              </w:rPr>
              <w:t xml:space="preserve"> then collates all data to be provided to the Productivity Commission for use in the </w:t>
            </w:r>
            <w:proofErr w:type="spellStart"/>
            <w:r>
              <w:rPr>
                <w:lang w:eastAsia="zh-TW"/>
              </w:rPr>
              <w:t>RoGS</w:t>
            </w:r>
            <w:proofErr w:type="spellEnd"/>
            <w:r>
              <w:rPr>
                <w:lang w:eastAsia="zh-TW"/>
              </w:rPr>
              <w:t>.</w:t>
            </w:r>
          </w:p>
        </w:tc>
      </w:tr>
      <w:tr w:rsidR="00AC10E3" w:rsidTr="002E49D6">
        <w:tc>
          <w:tcPr>
            <w:tcW w:w="1617" w:type="dxa"/>
          </w:tcPr>
          <w:p w:rsidR="00AC10E3" w:rsidRDefault="00AC10E3" w:rsidP="00CD58FF">
            <w:pPr>
              <w:pStyle w:val="DQIRowHeadings"/>
              <w:rPr>
                <w:lang w:eastAsia="zh-TW"/>
              </w:rPr>
            </w:pPr>
            <w:r>
              <w:rPr>
                <w:lang w:eastAsia="zh-TW"/>
              </w:rPr>
              <w:t>Relevance</w:t>
            </w:r>
          </w:p>
        </w:tc>
        <w:tc>
          <w:tcPr>
            <w:tcW w:w="7172" w:type="dxa"/>
            <w:gridSpan w:val="2"/>
          </w:tcPr>
          <w:p w:rsidR="00AC10E3" w:rsidRDefault="00AC10E3" w:rsidP="00CD58FF">
            <w:pPr>
              <w:pStyle w:val="DQITableText"/>
              <w:rPr>
                <w:lang w:eastAsia="zh-TW"/>
              </w:rPr>
            </w:pPr>
            <w:r>
              <w:rPr>
                <w:lang w:eastAsia="zh-TW"/>
              </w:rPr>
              <w:t>The indicator is available for all statutory ambulance services in Australia, by State and Territory.</w:t>
            </w:r>
          </w:p>
          <w:p w:rsidR="00AC10E3" w:rsidRDefault="00AC10E3" w:rsidP="00CD58FF">
            <w:pPr>
              <w:pStyle w:val="DQITableText"/>
              <w:rPr>
                <w:lang w:eastAsia="zh-TW"/>
              </w:rPr>
            </w:pPr>
            <w:r>
              <w:rPr>
                <w:lang w:eastAsia="zh-TW"/>
              </w:rPr>
              <w:t xml:space="preserve">The </w:t>
            </w:r>
            <w:proofErr w:type="spellStart"/>
            <w:r>
              <w:rPr>
                <w:i/>
                <w:lang w:eastAsia="zh-TW"/>
              </w:rPr>
              <w:t>CAA</w:t>
            </w:r>
            <w:proofErr w:type="spellEnd"/>
            <w:r>
              <w:rPr>
                <w:i/>
                <w:lang w:eastAsia="zh-TW"/>
              </w:rPr>
              <w:t xml:space="preserve"> Consolidated Returns</w:t>
            </w:r>
            <w:r>
              <w:rPr>
                <w:lang w:eastAsia="zh-TW"/>
              </w:rPr>
              <w:t xml:space="preserve"> collects data for each of the urban centre response times categories, as defined in the measure.</w:t>
            </w:r>
          </w:p>
          <w:p w:rsidR="00AC10E3" w:rsidRDefault="00AC10E3" w:rsidP="00CD58FF">
            <w:pPr>
              <w:pStyle w:val="DQITableText"/>
              <w:rPr>
                <w:lang w:eastAsia="zh-TW"/>
              </w:rPr>
            </w:pPr>
            <w:r>
              <w:rPr>
                <w:lang w:eastAsia="zh-TW"/>
              </w:rPr>
              <w:t xml:space="preserve">The Urban centre response times represents one aspect of equity — indicating the equal opportunities of access to essential government services to the population of the capital cities. </w:t>
            </w:r>
          </w:p>
        </w:tc>
      </w:tr>
      <w:tr w:rsidR="00AC10E3" w:rsidTr="002E49D6">
        <w:tc>
          <w:tcPr>
            <w:tcW w:w="1617" w:type="dxa"/>
          </w:tcPr>
          <w:p w:rsidR="00AC10E3" w:rsidRDefault="00AC10E3" w:rsidP="00CD58FF">
            <w:pPr>
              <w:pStyle w:val="DQIRowHeadings"/>
              <w:rPr>
                <w:lang w:eastAsia="zh-TW"/>
              </w:rPr>
            </w:pPr>
            <w:r>
              <w:rPr>
                <w:lang w:eastAsia="zh-TW"/>
              </w:rPr>
              <w:t>Timeliness</w:t>
            </w:r>
          </w:p>
        </w:tc>
        <w:tc>
          <w:tcPr>
            <w:tcW w:w="7172" w:type="dxa"/>
            <w:gridSpan w:val="2"/>
          </w:tcPr>
          <w:p w:rsidR="00AC10E3" w:rsidRDefault="00AC10E3" w:rsidP="007F6100">
            <w:pPr>
              <w:pStyle w:val="DQITableText"/>
              <w:rPr>
                <w:lang w:eastAsia="zh-TW"/>
              </w:rPr>
            </w:pPr>
            <w:r>
              <w:rPr>
                <w:lang w:eastAsia="zh-TW"/>
              </w:rPr>
              <w:t xml:space="preserve">Urban centre response times data </w:t>
            </w:r>
            <w:r w:rsidR="00EE3F05">
              <w:rPr>
                <w:lang w:eastAsia="zh-TW"/>
              </w:rPr>
              <w:t>are</w:t>
            </w:r>
            <w:r>
              <w:rPr>
                <w:lang w:eastAsia="zh-TW"/>
              </w:rPr>
              <w:t xml:space="preserve"> published annually for the latest financial year preceding the January release of each </w:t>
            </w:r>
            <w:proofErr w:type="spellStart"/>
            <w:r>
              <w:rPr>
                <w:lang w:eastAsia="zh-TW"/>
              </w:rPr>
              <w:t>R</w:t>
            </w:r>
            <w:r w:rsidR="00CD58FF">
              <w:rPr>
                <w:lang w:eastAsia="zh-TW"/>
              </w:rPr>
              <w:t>o</w:t>
            </w:r>
            <w:r>
              <w:rPr>
                <w:lang w:eastAsia="zh-TW"/>
              </w:rPr>
              <w:t>GS</w:t>
            </w:r>
            <w:proofErr w:type="spellEnd"/>
            <w:r>
              <w:rPr>
                <w:lang w:eastAsia="zh-TW"/>
              </w:rPr>
              <w:t>.</w:t>
            </w:r>
          </w:p>
        </w:tc>
      </w:tr>
      <w:tr w:rsidR="00AC10E3" w:rsidTr="002E49D6">
        <w:tc>
          <w:tcPr>
            <w:tcW w:w="1617" w:type="dxa"/>
          </w:tcPr>
          <w:p w:rsidR="00AC10E3" w:rsidRDefault="00AC10E3" w:rsidP="00CD58FF">
            <w:pPr>
              <w:pStyle w:val="DQIRowHeadings"/>
              <w:rPr>
                <w:lang w:eastAsia="zh-TW"/>
              </w:rPr>
            </w:pPr>
            <w:r>
              <w:rPr>
                <w:lang w:eastAsia="zh-TW"/>
              </w:rPr>
              <w:t>Accuracy</w:t>
            </w:r>
          </w:p>
        </w:tc>
        <w:tc>
          <w:tcPr>
            <w:tcW w:w="7172" w:type="dxa"/>
            <w:gridSpan w:val="2"/>
          </w:tcPr>
          <w:p w:rsidR="00AC10E3" w:rsidRDefault="00AC10E3" w:rsidP="00CD58FF">
            <w:pPr>
              <w:pStyle w:val="DQITableText"/>
              <w:rPr>
                <w:lang w:eastAsia="zh-TW"/>
              </w:rPr>
            </w:pPr>
            <w:r>
              <w:rPr>
                <w:lang w:eastAsia="zh-TW"/>
              </w:rPr>
              <w:t xml:space="preserve">The </w:t>
            </w:r>
            <w:proofErr w:type="spellStart"/>
            <w:r>
              <w:rPr>
                <w:i/>
                <w:lang w:eastAsia="zh-TW"/>
              </w:rPr>
              <w:t>CAA</w:t>
            </w:r>
            <w:proofErr w:type="spellEnd"/>
            <w:r>
              <w:rPr>
                <w:i/>
                <w:lang w:eastAsia="zh-TW"/>
              </w:rPr>
              <w:t xml:space="preserve"> Consolidated Returns</w:t>
            </w:r>
            <w:r>
              <w:rPr>
                <w:lang w:eastAsia="zh-TW"/>
              </w:rPr>
              <w:t xml:space="preserve"> compile administrative data from all </w:t>
            </w:r>
            <w:r>
              <w:rPr>
                <w:lang w:val="en-GB" w:eastAsia="zh-TW"/>
              </w:rPr>
              <w:t xml:space="preserve">statutory providers of ambulance services in Australia. </w:t>
            </w:r>
          </w:p>
          <w:p w:rsidR="00AC10E3" w:rsidRDefault="00AC10E3" w:rsidP="00CD58FF">
            <w:pPr>
              <w:pStyle w:val="DQITableText"/>
              <w:rPr>
                <w:lang w:eastAsia="zh-TW"/>
              </w:rPr>
            </w:pPr>
            <w:r>
              <w:rPr>
                <w:lang w:eastAsia="zh-TW"/>
              </w:rPr>
              <w:t xml:space="preserve">They are collected according to agreed definitions provided in the </w:t>
            </w:r>
            <w:proofErr w:type="spellStart"/>
            <w:r>
              <w:rPr>
                <w:lang w:eastAsia="zh-TW"/>
              </w:rPr>
              <w:t>CAA</w:t>
            </w:r>
            <w:proofErr w:type="spellEnd"/>
            <w:r>
              <w:rPr>
                <w:lang w:eastAsia="zh-TW"/>
              </w:rPr>
              <w:t xml:space="preserve"> data dictionary.</w:t>
            </w:r>
          </w:p>
        </w:tc>
      </w:tr>
      <w:tr w:rsidR="00AC10E3" w:rsidTr="002E49D6">
        <w:tc>
          <w:tcPr>
            <w:tcW w:w="1617" w:type="dxa"/>
          </w:tcPr>
          <w:p w:rsidR="00AC10E3" w:rsidRDefault="00AC10E3" w:rsidP="00CD58FF">
            <w:pPr>
              <w:pStyle w:val="DQIRowHeadings"/>
              <w:rPr>
                <w:lang w:eastAsia="zh-TW"/>
              </w:rPr>
            </w:pPr>
            <w:r>
              <w:rPr>
                <w:lang w:eastAsia="zh-TW"/>
              </w:rPr>
              <w:t>Coherence</w:t>
            </w:r>
          </w:p>
          <w:p w:rsidR="00AC10E3" w:rsidRDefault="00AC10E3" w:rsidP="00CD58FF">
            <w:pPr>
              <w:pStyle w:val="DQIRowHeadings"/>
              <w:rPr>
                <w:lang w:eastAsia="zh-TW"/>
              </w:rPr>
            </w:pPr>
          </w:p>
        </w:tc>
        <w:tc>
          <w:tcPr>
            <w:tcW w:w="7172" w:type="dxa"/>
            <w:gridSpan w:val="2"/>
          </w:tcPr>
          <w:p w:rsidR="00AC10E3" w:rsidRDefault="00AC10E3" w:rsidP="00CD58FF">
            <w:pPr>
              <w:pStyle w:val="DQITableText"/>
              <w:rPr>
                <w:lang w:eastAsia="zh-TW"/>
              </w:rPr>
            </w:pPr>
            <w:r>
              <w:rPr>
                <w:lang w:eastAsia="zh-TW"/>
              </w:rPr>
              <w:t xml:space="preserve">All data (numerators and denominators) are sourced from the </w:t>
            </w:r>
            <w:proofErr w:type="spellStart"/>
            <w:r>
              <w:rPr>
                <w:lang w:eastAsia="zh-TW"/>
              </w:rPr>
              <w:t>CAA</w:t>
            </w:r>
            <w:proofErr w:type="spellEnd"/>
            <w:r>
              <w:rPr>
                <w:lang w:eastAsia="zh-TW"/>
              </w:rPr>
              <w:t xml:space="preserve"> </w:t>
            </w:r>
            <w:r>
              <w:rPr>
                <w:i/>
                <w:lang w:eastAsia="zh-TW"/>
              </w:rPr>
              <w:t>Consolidated Returns.</w:t>
            </w:r>
            <w:r>
              <w:rPr>
                <w:lang w:eastAsia="zh-TW"/>
              </w:rPr>
              <w:t xml:space="preserve"> </w:t>
            </w:r>
          </w:p>
          <w:p w:rsidR="00AC10E3" w:rsidRDefault="00AC10E3" w:rsidP="00CD58FF">
            <w:pPr>
              <w:pStyle w:val="DQITableText"/>
              <w:rPr>
                <w:lang w:eastAsia="zh-TW"/>
              </w:rPr>
            </w:pPr>
            <w:r>
              <w:rPr>
                <w:lang w:eastAsia="zh-TW"/>
              </w:rPr>
              <w:t xml:space="preserve">Estimates from the </w:t>
            </w:r>
            <w:proofErr w:type="spellStart"/>
            <w:r>
              <w:rPr>
                <w:lang w:eastAsia="zh-TW"/>
              </w:rPr>
              <w:t>CAA</w:t>
            </w:r>
            <w:proofErr w:type="spellEnd"/>
            <w:r>
              <w:rPr>
                <w:lang w:eastAsia="zh-TW"/>
              </w:rPr>
              <w:t xml:space="preserve"> </w:t>
            </w:r>
            <w:r>
              <w:rPr>
                <w:i/>
                <w:lang w:eastAsia="zh-TW"/>
              </w:rPr>
              <w:t xml:space="preserve">Consolidated Returns </w:t>
            </w:r>
            <w:r>
              <w:rPr>
                <w:lang w:eastAsia="zh-TW"/>
              </w:rPr>
              <w:t xml:space="preserve">are comparable over time and between jurisdictions, subject to caveats provided by services. </w:t>
            </w:r>
          </w:p>
          <w:p w:rsidR="00AC10E3" w:rsidRDefault="00AC10E3" w:rsidP="00CD58FF">
            <w:pPr>
              <w:pStyle w:val="DQITableText"/>
              <w:rPr>
                <w:lang w:eastAsia="zh-TW"/>
              </w:rPr>
            </w:pPr>
            <w:r>
              <w:rPr>
                <w:lang w:eastAsia="zh-TW"/>
              </w:rPr>
              <w:lastRenderedPageBreak/>
              <w:t xml:space="preserve">The collection, instructions, definitions and analysis are prepared and overseen by the </w:t>
            </w:r>
            <w:proofErr w:type="spellStart"/>
            <w:r>
              <w:rPr>
                <w:lang w:eastAsia="zh-TW"/>
              </w:rPr>
              <w:t>CAA</w:t>
            </w:r>
            <w:proofErr w:type="spellEnd"/>
            <w:r>
              <w:rPr>
                <w:lang w:eastAsia="zh-TW"/>
              </w:rPr>
              <w:t xml:space="preserve"> and are the same for all state and territory services. </w:t>
            </w:r>
          </w:p>
          <w:p w:rsidR="00EE3F05" w:rsidRDefault="00EE3F05" w:rsidP="00CD58FF">
            <w:pPr>
              <w:pStyle w:val="DQITableText"/>
              <w:rPr>
                <w:lang w:eastAsia="zh-TW"/>
              </w:rPr>
            </w:pPr>
          </w:p>
        </w:tc>
      </w:tr>
      <w:tr w:rsidR="00AC10E3" w:rsidTr="002E49D6">
        <w:tc>
          <w:tcPr>
            <w:tcW w:w="1617" w:type="dxa"/>
          </w:tcPr>
          <w:p w:rsidR="00AC10E3" w:rsidRDefault="00AC10E3" w:rsidP="00CD58FF">
            <w:pPr>
              <w:pStyle w:val="DQIRowHeadings"/>
              <w:rPr>
                <w:lang w:eastAsia="zh-TW"/>
              </w:rPr>
            </w:pPr>
            <w:r>
              <w:rPr>
                <w:lang w:eastAsia="zh-TW"/>
              </w:rPr>
              <w:lastRenderedPageBreak/>
              <w:t>Accessibility</w:t>
            </w:r>
          </w:p>
        </w:tc>
        <w:tc>
          <w:tcPr>
            <w:tcW w:w="7172" w:type="dxa"/>
            <w:gridSpan w:val="2"/>
          </w:tcPr>
          <w:p w:rsidR="00AC10E3" w:rsidRDefault="00AC10E3" w:rsidP="00EE3F05">
            <w:pPr>
              <w:pStyle w:val="DQITableText"/>
              <w:rPr>
                <w:lang w:eastAsia="zh-TW"/>
              </w:rPr>
            </w:pPr>
            <w:r>
              <w:rPr>
                <w:lang w:eastAsia="zh-TW"/>
              </w:rPr>
              <w:t xml:space="preserve">Urban centre response times data </w:t>
            </w:r>
            <w:r w:rsidR="00EE3F05">
              <w:rPr>
                <w:lang w:eastAsia="zh-TW"/>
              </w:rPr>
              <w:t>are</w:t>
            </w:r>
            <w:r>
              <w:rPr>
                <w:lang w:eastAsia="zh-TW"/>
              </w:rPr>
              <w:t xml:space="preserve"> made publicly available </w:t>
            </w:r>
            <w:r w:rsidR="00EE3F05">
              <w:rPr>
                <w:lang w:eastAsia="zh-TW"/>
              </w:rPr>
              <w:t xml:space="preserve">annually </w:t>
            </w:r>
            <w:r>
              <w:rPr>
                <w:lang w:eastAsia="zh-TW"/>
              </w:rPr>
              <w:t xml:space="preserve">as part of the </w:t>
            </w:r>
            <w:proofErr w:type="spellStart"/>
            <w:r>
              <w:rPr>
                <w:lang w:eastAsia="zh-TW"/>
              </w:rPr>
              <w:t>CAA</w:t>
            </w:r>
            <w:proofErr w:type="spellEnd"/>
            <w:r>
              <w:rPr>
                <w:lang w:eastAsia="zh-TW"/>
              </w:rPr>
              <w:t xml:space="preserve"> Annual Report on the </w:t>
            </w:r>
            <w:proofErr w:type="spellStart"/>
            <w:r>
              <w:rPr>
                <w:lang w:eastAsia="zh-TW"/>
              </w:rPr>
              <w:t>CAA</w:t>
            </w:r>
            <w:proofErr w:type="spellEnd"/>
            <w:r>
              <w:rPr>
                <w:lang w:eastAsia="zh-TW"/>
              </w:rPr>
              <w:t xml:space="preserve"> </w:t>
            </w:r>
            <w:r>
              <w:rPr>
                <w:rFonts w:ascii="ArialMT" w:eastAsiaTheme="minorEastAsia" w:hAnsi="ArialMT" w:cs="ArialMT"/>
                <w:lang w:eastAsia="zh-TW"/>
              </w:rPr>
              <w:t>website</w:t>
            </w:r>
            <w:r>
              <w:rPr>
                <w:lang w:eastAsia="zh-TW"/>
              </w:rPr>
              <w:t xml:space="preserve"> (</w:t>
            </w:r>
            <w:proofErr w:type="spellStart"/>
            <w:r w:rsidRPr="004A1422">
              <w:rPr>
                <w:lang w:eastAsia="zh-TW"/>
              </w:rPr>
              <w:t>www.caa.net.au</w:t>
            </w:r>
            <w:proofErr w:type="spellEnd"/>
            <w:r>
              <w:rPr>
                <w:lang w:eastAsia="zh-TW"/>
              </w:rPr>
              <w:t>).</w:t>
            </w:r>
          </w:p>
        </w:tc>
      </w:tr>
      <w:tr w:rsidR="00AC10E3" w:rsidTr="002E49D6">
        <w:tc>
          <w:tcPr>
            <w:tcW w:w="1617" w:type="dxa"/>
          </w:tcPr>
          <w:p w:rsidR="00AC10E3" w:rsidRDefault="00AC10E3" w:rsidP="00CD58FF">
            <w:pPr>
              <w:pStyle w:val="DQIRowHeadings"/>
              <w:rPr>
                <w:lang w:eastAsia="zh-TW"/>
              </w:rPr>
            </w:pPr>
            <w:r>
              <w:rPr>
                <w:lang w:eastAsia="zh-TW"/>
              </w:rPr>
              <w:t>Interpretability</w:t>
            </w:r>
          </w:p>
        </w:tc>
        <w:tc>
          <w:tcPr>
            <w:tcW w:w="7172" w:type="dxa"/>
            <w:gridSpan w:val="2"/>
          </w:tcPr>
          <w:p w:rsidR="00AC10E3" w:rsidRDefault="00AC10E3" w:rsidP="00EE3F05">
            <w:pPr>
              <w:pStyle w:val="DQITableText"/>
              <w:rPr>
                <w:lang w:eastAsia="zh-TW"/>
              </w:rPr>
            </w:pPr>
            <w:r>
              <w:rPr>
                <w:lang w:eastAsia="zh-TW"/>
              </w:rPr>
              <w:t xml:space="preserve">Urban centre response times data </w:t>
            </w:r>
            <w:r w:rsidR="00EE3F05">
              <w:rPr>
                <w:lang w:eastAsia="zh-TW"/>
              </w:rPr>
              <w:t>are</w:t>
            </w:r>
            <w:r>
              <w:rPr>
                <w:lang w:eastAsia="zh-TW"/>
              </w:rPr>
              <w:t xml:space="preserve"> publicly available </w:t>
            </w:r>
            <w:r w:rsidR="00EE3F05">
              <w:rPr>
                <w:lang w:eastAsia="zh-TW"/>
              </w:rPr>
              <w:t>including</w:t>
            </w:r>
            <w:r>
              <w:rPr>
                <w:lang w:eastAsia="zh-TW"/>
              </w:rPr>
              <w:t xml:space="preserve"> definitions of the collected data.</w:t>
            </w:r>
          </w:p>
        </w:tc>
      </w:tr>
      <w:tr w:rsidR="00AC10E3" w:rsidTr="002E49D6">
        <w:trPr>
          <w:trHeight w:val="431"/>
        </w:trPr>
        <w:tc>
          <w:tcPr>
            <w:tcW w:w="8789" w:type="dxa"/>
            <w:gridSpan w:val="3"/>
            <w:vAlign w:val="center"/>
            <w:hideMark/>
          </w:tcPr>
          <w:p w:rsidR="00AC10E3" w:rsidRDefault="00AC10E3" w:rsidP="00CD58FF">
            <w:pPr>
              <w:pStyle w:val="DQIMainRowHeadings"/>
              <w:rPr>
                <w:lang w:eastAsia="zh-TW"/>
              </w:rPr>
            </w:pPr>
            <w:r>
              <w:rPr>
                <w:lang w:eastAsia="zh-TW"/>
              </w:rPr>
              <w:t>Data Gaps/Issues Analysis</w:t>
            </w:r>
          </w:p>
        </w:tc>
      </w:tr>
      <w:tr w:rsidR="00AC10E3" w:rsidTr="002E49D6">
        <w:tc>
          <w:tcPr>
            <w:tcW w:w="1708" w:type="dxa"/>
            <w:gridSpan w:val="2"/>
            <w:tcBorders>
              <w:top w:val="nil"/>
              <w:left w:val="nil"/>
              <w:right w:val="nil"/>
            </w:tcBorders>
            <w:hideMark/>
          </w:tcPr>
          <w:p w:rsidR="00AC10E3" w:rsidRDefault="00AC10E3" w:rsidP="00CD58FF">
            <w:pPr>
              <w:pStyle w:val="DQIRowHeadings"/>
              <w:rPr>
                <w:lang w:eastAsia="zh-TW"/>
              </w:rPr>
            </w:pPr>
            <w:r>
              <w:rPr>
                <w:lang w:eastAsia="zh-TW"/>
              </w:rPr>
              <w:t>Key data gaps/issues</w:t>
            </w:r>
          </w:p>
        </w:tc>
        <w:tc>
          <w:tcPr>
            <w:tcW w:w="7081" w:type="dxa"/>
            <w:tcBorders>
              <w:top w:val="nil"/>
              <w:left w:val="nil"/>
              <w:right w:val="nil"/>
            </w:tcBorders>
            <w:shd w:val="clear" w:color="auto" w:fill="auto"/>
          </w:tcPr>
          <w:p w:rsidR="00020BF5" w:rsidRPr="00020BF5" w:rsidRDefault="00020BF5" w:rsidP="00020BF5">
            <w:pPr>
              <w:pStyle w:val="DQITableText"/>
              <w:rPr>
                <w:lang w:eastAsia="zh-TW"/>
              </w:rPr>
            </w:pPr>
            <w:r>
              <w:rPr>
                <w:lang w:eastAsia="zh-TW"/>
              </w:rPr>
              <w:t xml:space="preserve">The Steering Committee notes that </w:t>
            </w:r>
            <w:r w:rsidRPr="00020BF5">
              <w:rPr>
                <w:lang w:eastAsia="zh-TW"/>
              </w:rPr>
              <w:t>differences across jurisdictions in the geography and personnel mix can affect capital city response times data. Factors that can impact on capital city response time performance include:</w:t>
            </w:r>
          </w:p>
          <w:p w:rsidR="00020BF5" w:rsidRPr="00020BF5" w:rsidRDefault="00020BF5" w:rsidP="00020BF5">
            <w:pPr>
              <w:pStyle w:val="DQITableBullet"/>
              <w:rPr>
                <w:lang w:eastAsia="zh-TW"/>
              </w:rPr>
            </w:pPr>
            <w:r w:rsidRPr="00020BF5">
              <w:rPr>
                <w:lang w:eastAsia="zh-TW"/>
              </w:rPr>
              <w:t xml:space="preserve">land area, and population size and density, which varies considerably across Australian capital cities </w:t>
            </w:r>
          </w:p>
          <w:p w:rsidR="00020BF5" w:rsidRPr="00020BF5" w:rsidRDefault="00020BF5" w:rsidP="00020BF5">
            <w:pPr>
              <w:pStyle w:val="DQITableBullet"/>
              <w:rPr>
                <w:lang w:eastAsia="zh-TW"/>
              </w:rPr>
            </w:pPr>
            <w:r w:rsidRPr="00020BF5">
              <w:rPr>
                <w:lang w:eastAsia="zh-TW"/>
              </w:rPr>
              <w:t>capital city topography, road/transport infrastructure and traffic densities</w:t>
            </w:r>
          </w:p>
          <w:p w:rsidR="00AC10E3" w:rsidRDefault="00020BF5" w:rsidP="00020BF5">
            <w:pPr>
              <w:pStyle w:val="DQITableBullet"/>
              <w:rPr>
                <w:lang w:eastAsia="zh-TW"/>
              </w:rPr>
            </w:pPr>
            <w:r w:rsidRPr="00020BF5">
              <w:rPr>
                <w:lang w:eastAsia="zh-TW"/>
              </w:rPr>
              <w:t>crewing configurations, response systems and processes, and travel distances.</w:t>
            </w:r>
          </w:p>
        </w:tc>
      </w:tr>
    </w:tbl>
    <w:p w:rsidR="00AC10E3" w:rsidRDefault="00AC10E3" w:rsidP="00AC10E3"/>
    <w:p w:rsidR="00AC10E3" w:rsidRDefault="00AC10E3">
      <w:pPr>
        <w:rPr>
          <w:szCs w:val="20"/>
        </w:rPr>
      </w:pPr>
      <w:r>
        <w:br w:type="page"/>
      </w:r>
    </w:p>
    <w:p w:rsidR="00AC10E3" w:rsidRDefault="00AC10E3" w:rsidP="00AC10E3">
      <w:pPr>
        <w:pStyle w:val="Heading3"/>
        <w:keepLines/>
        <w:spacing w:after="120"/>
      </w:pPr>
      <w:bookmarkStart w:id="81" w:name="_Toc398732485"/>
      <w:bookmarkStart w:id="82" w:name="_Toc405885752"/>
      <w:r>
        <w:lastRenderedPageBreak/>
        <w:t>State</w:t>
      </w:r>
      <w:r w:rsidR="009D2362">
        <w:noBreakHyphen/>
      </w:r>
      <w:r>
        <w:t>wide response times</w:t>
      </w:r>
      <w:bookmarkEnd w:id="81"/>
      <w:bookmarkEnd w:id="82"/>
    </w:p>
    <w:p w:rsidR="00AC10E3" w:rsidRDefault="00AC10E3" w:rsidP="00AC10E3">
      <w:pPr>
        <w:pStyle w:val="Box"/>
      </w:pPr>
      <w:r>
        <w:t>Data quality information for this indicator has been drafted by the Secretariat in consultation with the Council of Ambulance Authorities (</w:t>
      </w:r>
      <w:proofErr w:type="spellStart"/>
      <w:r>
        <w:t>CAA</w:t>
      </w:r>
      <w:proofErr w:type="spellEnd"/>
      <w:r>
        <w:t>), with additional Steering Committee comments.</w:t>
      </w:r>
    </w:p>
    <w:tbl>
      <w:tblPr>
        <w:tblW w:w="0" w:type="auto"/>
        <w:tblInd w:w="108" w:type="dxa"/>
        <w:tblLayout w:type="fixed"/>
        <w:tblLook w:val="01E0" w:firstRow="1" w:lastRow="1" w:firstColumn="1" w:lastColumn="1" w:noHBand="0" w:noVBand="0"/>
      </w:tblPr>
      <w:tblGrid>
        <w:gridCol w:w="1560"/>
        <w:gridCol w:w="7229"/>
      </w:tblGrid>
      <w:tr w:rsidR="00AC10E3" w:rsidTr="002E49D6">
        <w:trPr>
          <w:trHeight w:val="519"/>
        </w:trPr>
        <w:tc>
          <w:tcPr>
            <w:tcW w:w="8789" w:type="dxa"/>
            <w:gridSpan w:val="2"/>
            <w:tcBorders>
              <w:left w:val="nil"/>
              <w:right w:val="nil"/>
            </w:tcBorders>
            <w:vAlign w:val="center"/>
            <w:hideMark/>
          </w:tcPr>
          <w:p w:rsidR="00AC10E3" w:rsidRDefault="00AC10E3" w:rsidP="00CD58FF">
            <w:pPr>
              <w:pStyle w:val="DQIMainRowHeadings"/>
              <w:rPr>
                <w:lang w:eastAsia="zh-TW"/>
              </w:rPr>
            </w:pPr>
            <w:r>
              <w:rPr>
                <w:lang w:eastAsia="zh-TW"/>
              </w:rPr>
              <w:t>Indicator definition and description</w:t>
            </w:r>
          </w:p>
        </w:tc>
      </w:tr>
      <w:tr w:rsidR="00AC10E3" w:rsidTr="002E49D6">
        <w:tc>
          <w:tcPr>
            <w:tcW w:w="1560" w:type="dxa"/>
            <w:tcBorders>
              <w:left w:val="nil"/>
              <w:bottom w:val="nil"/>
              <w:right w:val="nil"/>
            </w:tcBorders>
            <w:hideMark/>
          </w:tcPr>
          <w:p w:rsidR="00AC10E3" w:rsidRDefault="00AC10E3" w:rsidP="00CD58FF">
            <w:pPr>
              <w:pStyle w:val="DQIRowHeadings"/>
              <w:rPr>
                <w:lang w:eastAsia="zh-TW"/>
              </w:rPr>
            </w:pPr>
            <w:r>
              <w:rPr>
                <w:lang w:eastAsia="zh-TW"/>
              </w:rPr>
              <w:t>Element</w:t>
            </w:r>
          </w:p>
        </w:tc>
        <w:tc>
          <w:tcPr>
            <w:tcW w:w="7229" w:type="dxa"/>
            <w:tcBorders>
              <w:left w:val="nil"/>
              <w:bottom w:val="nil"/>
              <w:right w:val="nil"/>
            </w:tcBorders>
          </w:tcPr>
          <w:p w:rsidR="00AC10E3" w:rsidRDefault="00AC10E3" w:rsidP="001B410C">
            <w:pPr>
              <w:pStyle w:val="DQITableText"/>
              <w:rPr>
                <w:lang w:eastAsia="zh-TW"/>
              </w:rPr>
            </w:pPr>
            <w:r>
              <w:rPr>
                <w:lang w:eastAsia="zh-TW"/>
              </w:rPr>
              <w:t xml:space="preserve">Effectiveness </w:t>
            </w:r>
            <w:r w:rsidR="001B410C">
              <w:rPr>
                <w:lang w:eastAsia="zh-TW"/>
              </w:rPr>
              <w:t>—</w:t>
            </w:r>
            <w:r>
              <w:rPr>
                <w:lang w:eastAsia="zh-TW"/>
              </w:rPr>
              <w:t xml:space="preserve"> Access</w:t>
            </w:r>
          </w:p>
        </w:tc>
      </w:tr>
      <w:tr w:rsidR="00AC10E3" w:rsidTr="002E49D6">
        <w:tc>
          <w:tcPr>
            <w:tcW w:w="1560" w:type="dxa"/>
            <w:hideMark/>
          </w:tcPr>
          <w:p w:rsidR="00AC10E3" w:rsidRDefault="00AC10E3" w:rsidP="00CD58FF">
            <w:pPr>
              <w:pStyle w:val="DQIRowHeadings"/>
              <w:rPr>
                <w:lang w:eastAsia="zh-TW"/>
              </w:rPr>
            </w:pPr>
            <w:r>
              <w:rPr>
                <w:lang w:eastAsia="zh-TW"/>
              </w:rPr>
              <w:t>Indicator</w:t>
            </w:r>
          </w:p>
        </w:tc>
        <w:tc>
          <w:tcPr>
            <w:tcW w:w="7229" w:type="dxa"/>
          </w:tcPr>
          <w:p w:rsidR="00AC10E3" w:rsidRDefault="00AC10E3" w:rsidP="00CD58FF">
            <w:pPr>
              <w:pStyle w:val="DQITableText"/>
              <w:rPr>
                <w:lang w:eastAsia="zh-TW"/>
              </w:rPr>
            </w:pPr>
            <w:r>
              <w:rPr>
                <w:lang w:eastAsia="zh-TW"/>
              </w:rPr>
              <w:t>State</w:t>
            </w:r>
            <w:r w:rsidR="009D2362">
              <w:rPr>
                <w:lang w:eastAsia="zh-TW"/>
              </w:rPr>
              <w:noBreakHyphen/>
            </w:r>
            <w:r>
              <w:rPr>
                <w:lang w:eastAsia="zh-TW"/>
              </w:rPr>
              <w:t>wide response times</w:t>
            </w:r>
          </w:p>
        </w:tc>
      </w:tr>
      <w:tr w:rsidR="00AC10E3" w:rsidTr="002E49D6">
        <w:tc>
          <w:tcPr>
            <w:tcW w:w="1560" w:type="dxa"/>
            <w:hideMark/>
          </w:tcPr>
          <w:p w:rsidR="00AC10E3" w:rsidRDefault="00AC10E3" w:rsidP="00CD58FF">
            <w:pPr>
              <w:pStyle w:val="DQIRowHeadings"/>
              <w:rPr>
                <w:lang w:eastAsia="zh-TW"/>
              </w:rPr>
            </w:pPr>
            <w:r>
              <w:rPr>
                <w:lang w:eastAsia="zh-TW"/>
              </w:rPr>
              <w:t>Measure (computation)</w:t>
            </w:r>
          </w:p>
        </w:tc>
        <w:tc>
          <w:tcPr>
            <w:tcW w:w="7229" w:type="dxa"/>
          </w:tcPr>
          <w:p w:rsidR="008507E9" w:rsidRDefault="00AC10E3" w:rsidP="00CD58FF">
            <w:pPr>
              <w:pStyle w:val="DQITableText"/>
              <w:rPr>
                <w:lang w:eastAsia="zh-TW"/>
              </w:rPr>
            </w:pPr>
            <w:r>
              <w:rPr>
                <w:lang w:eastAsia="zh-TW"/>
              </w:rPr>
              <w:t>Response times is defined as the time taken between the arrival of the first responding ambulance resource at the scene of an emergency in code 1 incidents and the initial receipt of the call for an emergency ambulance at the communications centre.</w:t>
            </w:r>
          </w:p>
          <w:p w:rsidR="008507E9" w:rsidRDefault="00AC10E3" w:rsidP="008507E9">
            <w:pPr>
              <w:pStyle w:val="TableBodyText"/>
              <w:jc w:val="left"/>
              <w:rPr>
                <w:lang w:eastAsia="zh-TW"/>
              </w:rPr>
            </w:pPr>
            <w:r>
              <w:rPr>
                <w:lang w:eastAsia="zh-TW"/>
              </w:rPr>
              <w:t>State</w:t>
            </w:r>
            <w:r w:rsidR="009D2362">
              <w:rPr>
                <w:lang w:eastAsia="zh-TW"/>
              </w:rPr>
              <w:noBreakHyphen/>
            </w:r>
            <w:r>
              <w:rPr>
                <w:lang w:eastAsia="zh-TW"/>
              </w:rPr>
              <w:t xml:space="preserve">wide response times are response times applied for </w:t>
            </w:r>
            <w:proofErr w:type="spellStart"/>
            <w:r>
              <w:rPr>
                <w:lang w:eastAsia="zh-TW"/>
              </w:rPr>
              <w:t>state</w:t>
            </w:r>
            <w:r w:rsidR="009D2362">
              <w:rPr>
                <w:lang w:eastAsia="zh-TW"/>
              </w:rPr>
              <w:noBreakHyphen/>
            </w:r>
            <w:r>
              <w:rPr>
                <w:lang w:eastAsia="zh-TW"/>
              </w:rPr>
              <w:t>wide</w:t>
            </w:r>
            <w:proofErr w:type="spellEnd"/>
            <w:r>
              <w:rPr>
                <w:lang w:eastAsia="zh-TW"/>
              </w:rPr>
              <w:t xml:space="preserve"> ambulance service responses.</w:t>
            </w:r>
          </w:p>
          <w:p w:rsidR="00AC10E3" w:rsidRDefault="00AC10E3" w:rsidP="00CD58FF">
            <w:pPr>
              <w:pStyle w:val="DQITableText"/>
              <w:rPr>
                <w:lang w:eastAsia="zh-TW"/>
              </w:rPr>
            </w:pPr>
            <w:r>
              <w:rPr>
                <w:lang w:eastAsia="zh-TW"/>
              </w:rPr>
              <w:t>Code 1 incident – incident requiring at least one immediate response under lights and sirens.</w:t>
            </w:r>
          </w:p>
          <w:p w:rsidR="008507E9" w:rsidRDefault="008507E9" w:rsidP="00CD58FF">
            <w:pPr>
              <w:pStyle w:val="DQITableText"/>
              <w:rPr>
                <w:lang w:eastAsia="zh-TW"/>
              </w:rPr>
            </w:pPr>
            <w:r>
              <w:rPr>
                <w:lang w:eastAsia="zh-TW"/>
              </w:rPr>
              <w:t>Measures are provided for:</w:t>
            </w:r>
          </w:p>
          <w:p w:rsidR="0053163A" w:rsidRDefault="0053163A" w:rsidP="0053163A">
            <w:pPr>
              <w:pStyle w:val="DQITableBullet"/>
            </w:pPr>
            <w:r>
              <w:t>t</w:t>
            </w:r>
            <w:r w:rsidRPr="0053163A">
              <w:t>he 50th percentile (or median)</w:t>
            </w:r>
            <w:r w:rsidR="005861BD">
              <w:t xml:space="preserve"> – </w:t>
            </w:r>
            <w:r w:rsidRPr="0053163A">
              <w:t>the time (in minutes) within which 50 per</w:t>
            </w:r>
            <w:r>
              <w:t> </w:t>
            </w:r>
            <w:r w:rsidRPr="0053163A">
              <w:t>cent of the first responding ambulance resources arri</w:t>
            </w:r>
            <w:r>
              <w:t>ve at the scene of an emergency</w:t>
            </w:r>
          </w:p>
          <w:p w:rsidR="008507E9" w:rsidRDefault="0053163A" w:rsidP="005861BD">
            <w:pPr>
              <w:pStyle w:val="DQITableBullet"/>
              <w:rPr>
                <w:lang w:eastAsia="zh-TW"/>
              </w:rPr>
            </w:pPr>
            <w:r>
              <w:t>t</w:t>
            </w:r>
            <w:r w:rsidRPr="0053163A">
              <w:t>he 90th percentile</w:t>
            </w:r>
            <w:r w:rsidR="005861BD">
              <w:t xml:space="preserve"> – t</w:t>
            </w:r>
            <w:r w:rsidRPr="0053163A">
              <w:t>he time (in minutes) within which 90 per</w:t>
            </w:r>
            <w:r>
              <w:t> </w:t>
            </w:r>
            <w:r w:rsidRPr="0053163A">
              <w:t>cent of the first responding ambulance resources arrive at the scene of an emergency</w:t>
            </w:r>
            <w:r w:rsidR="00B3059A" w:rsidRPr="0053163A">
              <w:t>.</w:t>
            </w:r>
          </w:p>
        </w:tc>
      </w:tr>
      <w:tr w:rsidR="00AC10E3" w:rsidTr="002E49D6">
        <w:tc>
          <w:tcPr>
            <w:tcW w:w="1560" w:type="dxa"/>
            <w:hideMark/>
          </w:tcPr>
          <w:p w:rsidR="00AC10E3" w:rsidRDefault="00AC10E3" w:rsidP="00CD58FF">
            <w:pPr>
              <w:pStyle w:val="DQIRowHeadings"/>
              <w:rPr>
                <w:lang w:eastAsia="zh-TW"/>
              </w:rPr>
            </w:pPr>
            <w:r>
              <w:rPr>
                <w:lang w:eastAsia="zh-TW"/>
              </w:rPr>
              <w:t>Data source</w:t>
            </w:r>
          </w:p>
        </w:tc>
        <w:tc>
          <w:tcPr>
            <w:tcW w:w="7229" w:type="dxa"/>
          </w:tcPr>
          <w:p w:rsidR="00AC10E3" w:rsidRDefault="00AC10E3" w:rsidP="00CD58FF">
            <w:pPr>
              <w:pStyle w:val="DQITableText"/>
              <w:rPr>
                <w:lang w:eastAsia="zh-TW"/>
              </w:rPr>
            </w:pPr>
            <w:r>
              <w:rPr>
                <w:i/>
                <w:lang w:eastAsia="zh-TW"/>
              </w:rPr>
              <w:t>Consolidated Returns</w:t>
            </w:r>
            <w:r>
              <w:rPr>
                <w:lang w:eastAsia="zh-TW"/>
              </w:rPr>
              <w:t>,</w:t>
            </w:r>
            <w:r>
              <w:rPr>
                <w:i/>
                <w:lang w:eastAsia="zh-TW"/>
              </w:rPr>
              <w:t xml:space="preserve"> </w:t>
            </w:r>
            <w:r>
              <w:rPr>
                <w:lang w:eastAsia="zh-TW"/>
              </w:rPr>
              <w:t>Council of Ambulance Authorities (</w:t>
            </w:r>
            <w:proofErr w:type="spellStart"/>
            <w:r>
              <w:rPr>
                <w:lang w:eastAsia="zh-TW"/>
              </w:rPr>
              <w:t>CAA</w:t>
            </w:r>
            <w:proofErr w:type="spellEnd"/>
            <w:r>
              <w:rPr>
                <w:lang w:eastAsia="zh-TW"/>
              </w:rPr>
              <w:t>)</w:t>
            </w:r>
          </w:p>
        </w:tc>
      </w:tr>
      <w:tr w:rsidR="00AC10E3" w:rsidTr="002E49D6">
        <w:trPr>
          <w:trHeight w:val="531"/>
        </w:trPr>
        <w:tc>
          <w:tcPr>
            <w:tcW w:w="8789" w:type="dxa"/>
            <w:gridSpan w:val="2"/>
            <w:vAlign w:val="center"/>
            <w:hideMark/>
          </w:tcPr>
          <w:p w:rsidR="00AC10E3" w:rsidRDefault="00AC10E3" w:rsidP="00CD58FF">
            <w:pPr>
              <w:pStyle w:val="DQIMainRowHeadings"/>
              <w:rPr>
                <w:lang w:eastAsia="zh-TW"/>
              </w:rPr>
            </w:pPr>
            <w:r>
              <w:rPr>
                <w:lang w:eastAsia="zh-TW"/>
              </w:rPr>
              <w:t>Data Quality Framework Dimensions</w:t>
            </w:r>
          </w:p>
        </w:tc>
      </w:tr>
      <w:tr w:rsidR="00AC10E3" w:rsidTr="002E49D6">
        <w:tc>
          <w:tcPr>
            <w:tcW w:w="1560" w:type="dxa"/>
            <w:hideMark/>
          </w:tcPr>
          <w:p w:rsidR="00AC10E3" w:rsidRDefault="00AC10E3" w:rsidP="00CD58FF">
            <w:pPr>
              <w:pStyle w:val="DQIRowHeadings"/>
              <w:rPr>
                <w:lang w:eastAsia="zh-TW"/>
              </w:rPr>
            </w:pPr>
            <w:r>
              <w:rPr>
                <w:lang w:eastAsia="zh-TW"/>
              </w:rPr>
              <w:t>Institutional environment</w:t>
            </w:r>
          </w:p>
        </w:tc>
        <w:tc>
          <w:tcPr>
            <w:tcW w:w="7229" w:type="dxa"/>
          </w:tcPr>
          <w:p w:rsidR="00AC10E3" w:rsidRDefault="00AC10E3" w:rsidP="00CD58FF">
            <w:pPr>
              <w:pStyle w:val="DQITableText"/>
              <w:rPr>
                <w:lang w:eastAsia="zh-TW"/>
              </w:rPr>
            </w:pPr>
            <w:r>
              <w:rPr>
                <w:lang w:eastAsia="zh-TW"/>
              </w:rPr>
              <w:t xml:space="preserve">The </w:t>
            </w:r>
            <w:proofErr w:type="spellStart"/>
            <w:r>
              <w:rPr>
                <w:lang w:eastAsia="zh-TW"/>
              </w:rPr>
              <w:t>CAA</w:t>
            </w:r>
            <w:proofErr w:type="spellEnd"/>
            <w:r>
              <w:rPr>
                <w:lang w:eastAsia="zh-TW"/>
              </w:rPr>
              <w:t xml:space="preserve"> is the peak body representing the principal statutory providers of ambulance services in Australia. </w:t>
            </w:r>
          </w:p>
          <w:p w:rsidR="00AC10E3" w:rsidRDefault="00AC10E3" w:rsidP="00CD58FF">
            <w:pPr>
              <w:pStyle w:val="DQITableText"/>
              <w:rPr>
                <w:lang w:eastAsia="zh-TW"/>
              </w:rPr>
            </w:pPr>
            <w:r>
              <w:rPr>
                <w:lang w:eastAsia="zh-TW"/>
              </w:rPr>
              <w:t xml:space="preserve">The </w:t>
            </w:r>
            <w:proofErr w:type="spellStart"/>
            <w:r>
              <w:rPr>
                <w:lang w:eastAsia="zh-TW"/>
              </w:rPr>
              <w:t>CAA</w:t>
            </w:r>
            <w:proofErr w:type="spellEnd"/>
            <w:r>
              <w:rPr>
                <w:lang w:eastAsia="zh-TW"/>
              </w:rPr>
              <w:t xml:space="preserve"> collects administrative data annually from all statutory ambulance services, using the same core questionnaire and instructions — the </w:t>
            </w:r>
            <w:proofErr w:type="spellStart"/>
            <w:r>
              <w:rPr>
                <w:i/>
                <w:iCs/>
                <w:lang w:eastAsia="zh-TW"/>
              </w:rPr>
              <w:t>CAA</w:t>
            </w:r>
            <w:proofErr w:type="spellEnd"/>
            <w:r>
              <w:rPr>
                <w:i/>
                <w:iCs/>
                <w:lang w:eastAsia="zh-TW"/>
              </w:rPr>
              <w:t xml:space="preserve"> Consolidated Returns</w:t>
            </w:r>
            <w:r>
              <w:rPr>
                <w:lang w:eastAsia="zh-TW"/>
              </w:rPr>
              <w:t xml:space="preserve">. </w:t>
            </w:r>
          </w:p>
          <w:p w:rsidR="00AC10E3" w:rsidRDefault="00AC10E3" w:rsidP="00CD58FF">
            <w:pPr>
              <w:pStyle w:val="DQITableText"/>
              <w:rPr>
                <w:lang w:eastAsia="zh-TW"/>
              </w:rPr>
            </w:pPr>
            <w:r>
              <w:rPr>
                <w:lang w:eastAsia="zh-TW"/>
              </w:rPr>
              <w:t xml:space="preserve">The ambulance service organisations send their data to the </w:t>
            </w:r>
            <w:proofErr w:type="spellStart"/>
            <w:r>
              <w:rPr>
                <w:lang w:eastAsia="zh-TW"/>
              </w:rPr>
              <w:t>CAA</w:t>
            </w:r>
            <w:proofErr w:type="spellEnd"/>
            <w:r>
              <w:rPr>
                <w:lang w:eastAsia="zh-TW"/>
              </w:rPr>
              <w:t xml:space="preserve">. The </w:t>
            </w:r>
            <w:proofErr w:type="spellStart"/>
            <w:r>
              <w:rPr>
                <w:lang w:eastAsia="zh-TW"/>
              </w:rPr>
              <w:t>CAA</w:t>
            </w:r>
            <w:proofErr w:type="spellEnd"/>
            <w:r>
              <w:rPr>
                <w:lang w:eastAsia="zh-TW"/>
              </w:rPr>
              <w:t xml:space="preserve"> then collates all data to be provided to the Productivity Commission for use in the </w:t>
            </w:r>
            <w:proofErr w:type="spellStart"/>
            <w:r>
              <w:rPr>
                <w:lang w:eastAsia="zh-TW"/>
              </w:rPr>
              <w:t>RoGS</w:t>
            </w:r>
            <w:proofErr w:type="spellEnd"/>
            <w:r>
              <w:rPr>
                <w:lang w:eastAsia="zh-TW"/>
              </w:rPr>
              <w:t>.</w:t>
            </w:r>
          </w:p>
        </w:tc>
      </w:tr>
      <w:tr w:rsidR="00AC10E3" w:rsidTr="002E49D6">
        <w:tc>
          <w:tcPr>
            <w:tcW w:w="1560" w:type="dxa"/>
          </w:tcPr>
          <w:p w:rsidR="00AC10E3" w:rsidRDefault="00AC10E3" w:rsidP="00CD58FF">
            <w:pPr>
              <w:pStyle w:val="DQIRowHeadings"/>
              <w:rPr>
                <w:lang w:eastAsia="zh-TW"/>
              </w:rPr>
            </w:pPr>
            <w:r>
              <w:rPr>
                <w:lang w:eastAsia="zh-TW"/>
              </w:rPr>
              <w:t>Relevance</w:t>
            </w:r>
          </w:p>
          <w:p w:rsidR="00AC10E3" w:rsidRDefault="00AC10E3" w:rsidP="00CD58FF">
            <w:pPr>
              <w:pStyle w:val="DQIRowHeadings"/>
              <w:rPr>
                <w:lang w:eastAsia="zh-TW"/>
              </w:rPr>
            </w:pPr>
          </w:p>
        </w:tc>
        <w:tc>
          <w:tcPr>
            <w:tcW w:w="7229" w:type="dxa"/>
          </w:tcPr>
          <w:p w:rsidR="00AC10E3" w:rsidRDefault="00AC10E3" w:rsidP="00CD58FF">
            <w:pPr>
              <w:pStyle w:val="DQITableText"/>
              <w:rPr>
                <w:lang w:eastAsia="zh-TW"/>
              </w:rPr>
            </w:pPr>
            <w:r>
              <w:rPr>
                <w:lang w:eastAsia="zh-TW"/>
              </w:rPr>
              <w:t>The indicator is available for all statutory ambulance services in Australia, by State and Territory.</w:t>
            </w:r>
          </w:p>
          <w:p w:rsidR="00AC10E3" w:rsidRDefault="00AC10E3" w:rsidP="00CD58FF">
            <w:pPr>
              <w:pStyle w:val="DQITableText"/>
              <w:rPr>
                <w:lang w:eastAsia="zh-TW"/>
              </w:rPr>
            </w:pPr>
            <w:r>
              <w:rPr>
                <w:lang w:eastAsia="zh-TW"/>
              </w:rPr>
              <w:t xml:space="preserve">The </w:t>
            </w:r>
            <w:proofErr w:type="spellStart"/>
            <w:r>
              <w:rPr>
                <w:i/>
                <w:lang w:eastAsia="zh-TW"/>
              </w:rPr>
              <w:t>CAA</w:t>
            </w:r>
            <w:proofErr w:type="spellEnd"/>
            <w:r>
              <w:rPr>
                <w:i/>
                <w:lang w:eastAsia="zh-TW"/>
              </w:rPr>
              <w:t xml:space="preserve"> Consolidated Returns</w:t>
            </w:r>
            <w:r>
              <w:rPr>
                <w:lang w:eastAsia="zh-TW"/>
              </w:rPr>
              <w:t xml:space="preserve"> collects data for each of the </w:t>
            </w:r>
            <w:proofErr w:type="spellStart"/>
            <w:r>
              <w:rPr>
                <w:lang w:eastAsia="zh-TW"/>
              </w:rPr>
              <w:t>state</w:t>
            </w:r>
            <w:r w:rsidR="009D2362">
              <w:rPr>
                <w:lang w:eastAsia="zh-TW"/>
              </w:rPr>
              <w:noBreakHyphen/>
            </w:r>
            <w:r>
              <w:rPr>
                <w:lang w:eastAsia="zh-TW"/>
              </w:rPr>
              <w:t>wide</w:t>
            </w:r>
            <w:proofErr w:type="spellEnd"/>
            <w:r>
              <w:rPr>
                <w:lang w:eastAsia="zh-TW"/>
              </w:rPr>
              <w:t xml:space="preserve"> response times categories, as defined in the measure.</w:t>
            </w:r>
          </w:p>
          <w:p w:rsidR="00AC10E3" w:rsidRDefault="00AC10E3" w:rsidP="00CD58FF">
            <w:pPr>
              <w:pStyle w:val="DQITableText"/>
              <w:rPr>
                <w:lang w:eastAsia="zh-TW"/>
              </w:rPr>
            </w:pPr>
            <w:r>
              <w:rPr>
                <w:lang w:eastAsia="zh-TW"/>
              </w:rPr>
              <w:t>State</w:t>
            </w:r>
            <w:r w:rsidR="009D2362">
              <w:rPr>
                <w:lang w:eastAsia="zh-TW"/>
              </w:rPr>
              <w:noBreakHyphen/>
            </w:r>
            <w:r>
              <w:rPr>
                <w:lang w:eastAsia="zh-TW"/>
              </w:rPr>
              <w:t xml:space="preserve">wide response times represents one aspect of effectiveness — indicating access of the population to essential/lifesaving government provided services. </w:t>
            </w:r>
          </w:p>
        </w:tc>
      </w:tr>
      <w:tr w:rsidR="00AC10E3" w:rsidTr="002E49D6">
        <w:tc>
          <w:tcPr>
            <w:tcW w:w="1560" w:type="dxa"/>
          </w:tcPr>
          <w:p w:rsidR="00AC10E3" w:rsidRDefault="00AC10E3" w:rsidP="00CD58FF">
            <w:pPr>
              <w:pStyle w:val="DQIRowHeadings"/>
              <w:rPr>
                <w:lang w:eastAsia="zh-TW"/>
              </w:rPr>
            </w:pPr>
            <w:r>
              <w:rPr>
                <w:lang w:eastAsia="zh-TW"/>
              </w:rPr>
              <w:t>Timeliness</w:t>
            </w:r>
          </w:p>
          <w:p w:rsidR="00AC10E3" w:rsidRDefault="00AC10E3" w:rsidP="00CD58FF">
            <w:pPr>
              <w:pStyle w:val="DQIRowHeadings"/>
              <w:rPr>
                <w:lang w:eastAsia="zh-TW"/>
              </w:rPr>
            </w:pPr>
          </w:p>
        </w:tc>
        <w:tc>
          <w:tcPr>
            <w:tcW w:w="7229" w:type="dxa"/>
          </w:tcPr>
          <w:p w:rsidR="00AC10E3" w:rsidRDefault="00AC10E3" w:rsidP="007F6100">
            <w:pPr>
              <w:pStyle w:val="DQITableText"/>
              <w:rPr>
                <w:lang w:eastAsia="zh-TW"/>
              </w:rPr>
            </w:pPr>
            <w:r>
              <w:rPr>
                <w:lang w:eastAsia="zh-TW"/>
              </w:rPr>
              <w:t>State</w:t>
            </w:r>
            <w:r w:rsidR="009D2362">
              <w:rPr>
                <w:lang w:eastAsia="zh-TW"/>
              </w:rPr>
              <w:noBreakHyphen/>
            </w:r>
            <w:r>
              <w:rPr>
                <w:lang w:eastAsia="zh-TW"/>
              </w:rPr>
              <w:t xml:space="preserve">wide response times data </w:t>
            </w:r>
            <w:r w:rsidR="00EE3F05">
              <w:rPr>
                <w:lang w:eastAsia="zh-TW"/>
              </w:rPr>
              <w:t>are</w:t>
            </w:r>
            <w:r>
              <w:rPr>
                <w:lang w:eastAsia="zh-TW"/>
              </w:rPr>
              <w:t xml:space="preserve"> published annually for the latest financial year preceding the January release of each </w:t>
            </w:r>
            <w:proofErr w:type="spellStart"/>
            <w:r w:rsidR="007F6100">
              <w:rPr>
                <w:lang w:eastAsia="zh-TW"/>
              </w:rPr>
              <w:t>RoGS</w:t>
            </w:r>
            <w:proofErr w:type="spellEnd"/>
            <w:r>
              <w:rPr>
                <w:lang w:eastAsia="zh-TW"/>
              </w:rPr>
              <w:t>.</w:t>
            </w:r>
          </w:p>
        </w:tc>
      </w:tr>
      <w:tr w:rsidR="00AC10E3" w:rsidTr="002E49D6">
        <w:tc>
          <w:tcPr>
            <w:tcW w:w="1560" w:type="dxa"/>
          </w:tcPr>
          <w:p w:rsidR="00AC10E3" w:rsidRDefault="00AC10E3" w:rsidP="00CD58FF">
            <w:pPr>
              <w:pStyle w:val="DQIRowHeadings"/>
              <w:rPr>
                <w:lang w:eastAsia="zh-TW"/>
              </w:rPr>
            </w:pPr>
            <w:r>
              <w:rPr>
                <w:lang w:eastAsia="zh-TW"/>
              </w:rPr>
              <w:t>Accuracy</w:t>
            </w:r>
          </w:p>
          <w:p w:rsidR="00AC10E3" w:rsidRDefault="00AC10E3" w:rsidP="00CD58FF">
            <w:pPr>
              <w:pStyle w:val="DQIRowHeadings"/>
              <w:rPr>
                <w:lang w:eastAsia="zh-TW"/>
              </w:rPr>
            </w:pPr>
          </w:p>
        </w:tc>
        <w:tc>
          <w:tcPr>
            <w:tcW w:w="7229" w:type="dxa"/>
          </w:tcPr>
          <w:p w:rsidR="00AC10E3" w:rsidRDefault="00AC10E3" w:rsidP="00CD58FF">
            <w:pPr>
              <w:pStyle w:val="DQITableText"/>
              <w:rPr>
                <w:lang w:eastAsia="zh-TW"/>
              </w:rPr>
            </w:pPr>
            <w:r>
              <w:rPr>
                <w:lang w:eastAsia="zh-TW"/>
              </w:rPr>
              <w:t xml:space="preserve">The </w:t>
            </w:r>
            <w:proofErr w:type="spellStart"/>
            <w:r>
              <w:rPr>
                <w:i/>
                <w:lang w:eastAsia="zh-TW"/>
              </w:rPr>
              <w:t>CAA</w:t>
            </w:r>
            <w:proofErr w:type="spellEnd"/>
            <w:r>
              <w:rPr>
                <w:i/>
                <w:lang w:eastAsia="zh-TW"/>
              </w:rPr>
              <w:t xml:space="preserve"> Consolidated Returns</w:t>
            </w:r>
            <w:r>
              <w:rPr>
                <w:lang w:eastAsia="zh-TW"/>
              </w:rPr>
              <w:t xml:space="preserve"> compile administrative data from all </w:t>
            </w:r>
            <w:r>
              <w:rPr>
                <w:lang w:val="en-GB" w:eastAsia="zh-TW"/>
              </w:rPr>
              <w:t xml:space="preserve">statutory providers of ambulance services in Australia. </w:t>
            </w:r>
          </w:p>
          <w:p w:rsidR="00AC10E3" w:rsidRDefault="00AC10E3" w:rsidP="00CD58FF">
            <w:pPr>
              <w:pStyle w:val="DQITableText"/>
              <w:rPr>
                <w:lang w:eastAsia="zh-TW"/>
              </w:rPr>
            </w:pPr>
            <w:r>
              <w:rPr>
                <w:lang w:eastAsia="zh-TW"/>
              </w:rPr>
              <w:t xml:space="preserve">They are collected according to agreed definitions provided in the </w:t>
            </w:r>
            <w:proofErr w:type="spellStart"/>
            <w:r>
              <w:rPr>
                <w:lang w:eastAsia="zh-TW"/>
              </w:rPr>
              <w:t>CAA</w:t>
            </w:r>
            <w:proofErr w:type="spellEnd"/>
            <w:r>
              <w:rPr>
                <w:lang w:eastAsia="zh-TW"/>
              </w:rPr>
              <w:t xml:space="preserve"> data dictionary.</w:t>
            </w:r>
          </w:p>
        </w:tc>
      </w:tr>
      <w:tr w:rsidR="00AC10E3" w:rsidTr="002E49D6">
        <w:tc>
          <w:tcPr>
            <w:tcW w:w="1560" w:type="dxa"/>
          </w:tcPr>
          <w:p w:rsidR="00AC10E3" w:rsidRDefault="00AC10E3" w:rsidP="00CD58FF">
            <w:pPr>
              <w:pStyle w:val="DQIRowHeadings"/>
              <w:rPr>
                <w:lang w:eastAsia="zh-TW"/>
              </w:rPr>
            </w:pPr>
            <w:r>
              <w:rPr>
                <w:lang w:eastAsia="zh-TW"/>
              </w:rPr>
              <w:t>Coherence</w:t>
            </w:r>
          </w:p>
          <w:p w:rsidR="00AC10E3" w:rsidRDefault="00AC10E3" w:rsidP="00CD58FF">
            <w:pPr>
              <w:pStyle w:val="DQIRowHeadings"/>
              <w:rPr>
                <w:lang w:eastAsia="zh-TW"/>
              </w:rPr>
            </w:pPr>
          </w:p>
        </w:tc>
        <w:tc>
          <w:tcPr>
            <w:tcW w:w="7229" w:type="dxa"/>
          </w:tcPr>
          <w:p w:rsidR="00AC10E3" w:rsidRDefault="00AC10E3" w:rsidP="00CD58FF">
            <w:pPr>
              <w:pStyle w:val="DQITableText"/>
              <w:rPr>
                <w:lang w:eastAsia="zh-TW"/>
              </w:rPr>
            </w:pPr>
            <w:r>
              <w:rPr>
                <w:lang w:eastAsia="zh-TW"/>
              </w:rPr>
              <w:t xml:space="preserve">All data (numerators and denominators) are sourced from the </w:t>
            </w:r>
            <w:proofErr w:type="spellStart"/>
            <w:r>
              <w:rPr>
                <w:lang w:eastAsia="zh-TW"/>
              </w:rPr>
              <w:t>CAA</w:t>
            </w:r>
            <w:proofErr w:type="spellEnd"/>
            <w:r>
              <w:rPr>
                <w:lang w:eastAsia="zh-TW"/>
              </w:rPr>
              <w:t xml:space="preserve"> </w:t>
            </w:r>
            <w:r>
              <w:rPr>
                <w:i/>
                <w:lang w:eastAsia="zh-TW"/>
              </w:rPr>
              <w:t>Consolidated Returns.</w:t>
            </w:r>
            <w:r>
              <w:rPr>
                <w:lang w:eastAsia="zh-TW"/>
              </w:rPr>
              <w:t xml:space="preserve"> </w:t>
            </w:r>
          </w:p>
          <w:p w:rsidR="00AC10E3" w:rsidRDefault="00AC10E3" w:rsidP="00CD58FF">
            <w:pPr>
              <w:pStyle w:val="DQITableText"/>
              <w:rPr>
                <w:lang w:eastAsia="zh-TW"/>
              </w:rPr>
            </w:pPr>
            <w:r>
              <w:rPr>
                <w:lang w:eastAsia="zh-TW"/>
              </w:rPr>
              <w:t xml:space="preserve">Estimates from the </w:t>
            </w:r>
            <w:proofErr w:type="spellStart"/>
            <w:r>
              <w:rPr>
                <w:lang w:eastAsia="zh-TW"/>
              </w:rPr>
              <w:t>CAA</w:t>
            </w:r>
            <w:proofErr w:type="spellEnd"/>
            <w:r>
              <w:rPr>
                <w:lang w:eastAsia="zh-TW"/>
              </w:rPr>
              <w:t xml:space="preserve"> </w:t>
            </w:r>
            <w:r>
              <w:rPr>
                <w:i/>
                <w:lang w:eastAsia="zh-TW"/>
              </w:rPr>
              <w:t xml:space="preserve">Consolidated Returns </w:t>
            </w:r>
            <w:r>
              <w:rPr>
                <w:lang w:eastAsia="zh-TW"/>
              </w:rPr>
              <w:t xml:space="preserve">are comparable over time and between jurisdictions, subject to caveats provided by services. </w:t>
            </w:r>
          </w:p>
          <w:p w:rsidR="00AC10E3" w:rsidRDefault="00AC10E3" w:rsidP="00CD58FF">
            <w:pPr>
              <w:pStyle w:val="DQITableText"/>
              <w:rPr>
                <w:lang w:eastAsia="zh-TW"/>
              </w:rPr>
            </w:pPr>
            <w:r>
              <w:rPr>
                <w:lang w:eastAsia="zh-TW"/>
              </w:rPr>
              <w:t xml:space="preserve">The collection, instructions, definitions and analysis are prepared and overseen by the </w:t>
            </w:r>
            <w:proofErr w:type="spellStart"/>
            <w:r>
              <w:rPr>
                <w:lang w:eastAsia="zh-TW"/>
              </w:rPr>
              <w:t>CAA</w:t>
            </w:r>
            <w:proofErr w:type="spellEnd"/>
            <w:r>
              <w:rPr>
                <w:lang w:eastAsia="zh-TW"/>
              </w:rPr>
              <w:t xml:space="preserve"> and are the same for all state and territory services. </w:t>
            </w:r>
          </w:p>
        </w:tc>
      </w:tr>
      <w:tr w:rsidR="00AC10E3" w:rsidTr="002E49D6">
        <w:tc>
          <w:tcPr>
            <w:tcW w:w="1560" w:type="dxa"/>
          </w:tcPr>
          <w:p w:rsidR="00AC10E3" w:rsidRDefault="00AC10E3" w:rsidP="00CD58FF">
            <w:pPr>
              <w:pStyle w:val="DQIRowHeadings"/>
              <w:rPr>
                <w:lang w:eastAsia="zh-TW"/>
              </w:rPr>
            </w:pPr>
            <w:r>
              <w:rPr>
                <w:lang w:eastAsia="zh-TW"/>
              </w:rPr>
              <w:t>Accessibility</w:t>
            </w:r>
          </w:p>
          <w:p w:rsidR="00AC10E3" w:rsidRDefault="00AC10E3" w:rsidP="00CD58FF">
            <w:pPr>
              <w:pStyle w:val="DQIRowHeadings"/>
              <w:rPr>
                <w:lang w:eastAsia="zh-TW"/>
              </w:rPr>
            </w:pPr>
          </w:p>
        </w:tc>
        <w:tc>
          <w:tcPr>
            <w:tcW w:w="7229" w:type="dxa"/>
          </w:tcPr>
          <w:p w:rsidR="00AC10E3" w:rsidRDefault="00AC10E3" w:rsidP="00EE3F05">
            <w:pPr>
              <w:pStyle w:val="DQITableText"/>
              <w:rPr>
                <w:lang w:eastAsia="zh-TW"/>
              </w:rPr>
            </w:pPr>
            <w:r>
              <w:rPr>
                <w:lang w:eastAsia="zh-TW"/>
              </w:rPr>
              <w:t>State</w:t>
            </w:r>
            <w:r w:rsidR="009D2362">
              <w:rPr>
                <w:lang w:eastAsia="zh-TW"/>
              </w:rPr>
              <w:noBreakHyphen/>
            </w:r>
            <w:r>
              <w:rPr>
                <w:lang w:eastAsia="zh-TW"/>
              </w:rPr>
              <w:t xml:space="preserve">wide response times data </w:t>
            </w:r>
            <w:r w:rsidR="00EE3F05">
              <w:rPr>
                <w:lang w:eastAsia="zh-TW"/>
              </w:rPr>
              <w:t>are</w:t>
            </w:r>
            <w:r>
              <w:rPr>
                <w:lang w:eastAsia="zh-TW"/>
              </w:rPr>
              <w:t xml:space="preserve"> made publicly available </w:t>
            </w:r>
            <w:r w:rsidR="00EE3F05">
              <w:rPr>
                <w:lang w:eastAsia="zh-TW"/>
              </w:rPr>
              <w:t xml:space="preserve">annually </w:t>
            </w:r>
            <w:r>
              <w:rPr>
                <w:lang w:eastAsia="zh-TW"/>
              </w:rPr>
              <w:t xml:space="preserve">as part of the </w:t>
            </w:r>
            <w:proofErr w:type="spellStart"/>
            <w:r>
              <w:rPr>
                <w:lang w:eastAsia="zh-TW"/>
              </w:rPr>
              <w:t>CAA</w:t>
            </w:r>
            <w:proofErr w:type="spellEnd"/>
            <w:r>
              <w:rPr>
                <w:lang w:eastAsia="zh-TW"/>
              </w:rPr>
              <w:t xml:space="preserve"> Annual Report on the </w:t>
            </w:r>
            <w:proofErr w:type="spellStart"/>
            <w:r>
              <w:rPr>
                <w:lang w:eastAsia="zh-TW"/>
              </w:rPr>
              <w:t>CAA</w:t>
            </w:r>
            <w:proofErr w:type="spellEnd"/>
            <w:r>
              <w:rPr>
                <w:lang w:eastAsia="zh-TW"/>
              </w:rPr>
              <w:t xml:space="preserve"> </w:t>
            </w:r>
            <w:r>
              <w:rPr>
                <w:rFonts w:ascii="ArialMT" w:eastAsiaTheme="minorEastAsia" w:hAnsi="ArialMT" w:cs="ArialMT"/>
                <w:lang w:eastAsia="zh-TW"/>
              </w:rPr>
              <w:t>website</w:t>
            </w:r>
            <w:r>
              <w:rPr>
                <w:lang w:eastAsia="zh-TW"/>
              </w:rPr>
              <w:t xml:space="preserve"> (</w:t>
            </w:r>
            <w:proofErr w:type="spellStart"/>
            <w:r w:rsidRPr="004A1422">
              <w:rPr>
                <w:lang w:eastAsia="zh-TW"/>
              </w:rPr>
              <w:t>www.caa.net.au</w:t>
            </w:r>
            <w:proofErr w:type="spellEnd"/>
            <w:r>
              <w:rPr>
                <w:lang w:eastAsia="zh-TW"/>
              </w:rPr>
              <w:t>).</w:t>
            </w:r>
          </w:p>
        </w:tc>
      </w:tr>
      <w:tr w:rsidR="00AC10E3" w:rsidTr="002E49D6">
        <w:tc>
          <w:tcPr>
            <w:tcW w:w="1560" w:type="dxa"/>
          </w:tcPr>
          <w:p w:rsidR="00AC10E3" w:rsidRDefault="00AC10E3" w:rsidP="00CD58FF">
            <w:pPr>
              <w:pStyle w:val="DQIRowHeadings"/>
              <w:rPr>
                <w:lang w:eastAsia="zh-TW"/>
              </w:rPr>
            </w:pPr>
            <w:r>
              <w:rPr>
                <w:lang w:eastAsia="zh-TW"/>
              </w:rPr>
              <w:t>Interpret</w:t>
            </w:r>
            <w:r w:rsidR="00332B70">
              <w:rPr>
                <w:lang w:eastAsia="zh-TW"/>
              </w:rPr>
              <w:softHyphen/>
            </w:r>
            <w:r>
              <w:rPr>
                <w:lang w:eastAsia="zh-TW"/>
              </w:rPr>
              <w:t>ability</w:t>
            </w:r>
          </w:p>
        </w:tc>
        <w:tc>
          <w:tcPr>
            <w:tcW w:w="7229" w:type="dxa"/>
          </w:tcPr>
          <w:p w:rsidR="00AC10E3" w:rsidRDefault="00AC10E3" w:rsidP="00EE3F05">
            <w:pPr>
              <w:pStyle w:val="DQITableText"/>
              <w:rPr>
                <w:lang w:eastAsia="zh-TW"/>
              </w:rPr>
            </w:pPr>
            <w:r>
              <w:rPr>
                <w:lang w:eastAsia="zh-TW"/>
              </w:rPr>
              <w:t>State</w:t>
            </w:r>
            <w:r w:rsidR="009D2362">
              <w:rPr>
                <w:lang w:eastAsia="zh-TW"/>
              </w:rPr>
              <w:noBreakHyphen/>
            </w:r>
            <w:r>
              <w:rPr>
                <w:lang w:eastAsia="zh-TW"/>
              </w:rPr>
              <w:t xml:space="preserve">wide response times data </w:t>
            </w:r>
            <w:r w:rsidR="00EE3F05">
              <w:rPr>
                <w:lang w:eastAsia="zh-TW"/>
              </w:rPr>
              <w:t>are</w:t>
            </w:r>
            <w:r>
              <w:rPr>
                <w:lang w:eastAsia="zh-TW"/>
              </w:rPr>
              <w:t xml:space="preserve"> publicly available </w:t>
            </w:r>
            <w:r w:rsidR="00EE3F05">
              <w:rPr>
                <w:lang w:eastAsia="zh-TW"/>
              </w:rPr>
              <w:t>including</w:t>
            </w:r>
            <w:r>
              <w:rPr>
                <w:lang w:eastAsia="zh-TW"/>
              </w:rPr>
              <w:t xml:space="preserve"> definitions of the collected data.</w:t>
            </w:r>
          </w:p>
        </w:tc>
      </w:tr>
      <w:tr w:rsidR="00AC10E3" w:rsidTr="002E49D6">
        <w:trPr>
          <w:trHeight w:val="506"/>
        </w:trPr>
        <w:tc>
          <w:tcPr>
            <w:tcW w:w="8789" w:type="dxa"/>
            <w:gridSpan w:val="2"/>
            <w:vAlign w:val="center"/>
            <w:hideMark/>
          </w:tcPr>
          <w:p w:rsidR="00AC10E3" w:rsidRDefault="00AC10E3" w:rsidP="00CD58FF">
            <w:pPr>
              <w:pStyle w:val="DQIMainRowHeadings"/>
              <w:rPr>
                <w:lang w:eastAsia="zh-TW"/>
              </w:rPr>
            </w:pPr>
            <w:r>
              <w:rPr>
                <w:lang w:eastAsia="zh-TW"/>
              </w:rPr>
              <w:lastRenderedPageBreak/>
              <w:t>Data Gaps/Issues Analysis</w:t>
            </w:r>
          </w:p>
        </w:tc>
      </w:tr>
      <w:tr w:rsidR="00020BF5" w:rsidTr="002E49D6">
        <w:tc>
          <w:tcPr>
            <w:tcW w:w="1560" w:type="dxa"/>
            <w:tcBorders>
              <w:top w:val="nil"/>
              <w:left w:val="nil"/>
              <w:right w:val="nil"/>
            </w:tcBorders>
            <w:hideMark/>
          </w:tcPr>
          <w:p w:rsidR="00020BF5" w:rsidRDefault="00020BF5" w:rsidP="00CD58FF">
            <w:pPr>
              <w:pStyle w:val="DQIRowHeadings"/>
              <w:rPr>
                <w:lang w:eastAsia="zh-TW"/>
              </w:rPr>
            </w:pPr>
            <w:r>
              <w:rPr>
                <w:lang w:eastAsia="zh-TW"/>
              </w:rPr>
              <w:t>Key data gaps/issues</w:t>
            </w:r>
          </w:p>
        </w:tc>
        <w:tc>
          <w:tcPr>
            <w:tcW w:w="7229" w:type="dxa"/>
            <w:tcBorders>
              <w:top w:val="nil"/>
              <w:left w:val="nil"/>
              <w:right w:val="nil"/>
            </w:tcBorders>
            <w:shd w:val="clear" w:color="auto" w:fill="auto"/>
          </w:tcPr>
          <w:p w:rsidR="00020BF5" w:rsidRDefault="00020BF5" w:rsidP="00020BF5">
            <w:pPr>
              <w:pStyle w:val="DQITableText"/>
              <w:rPr>
                <w:lang w:eastAsia="zh-TW"/>
              </w:rPr>
            </w:pPr>
            <w:r>
              <w:rPr>
                <w:lang w:eastAsia="zh-TW"/>
              </w:rPr>
              <w:t xml:space="preserve">The Steering Committee notes that </w:t>
            </w:r>
            <w:r w:rsidRPr="00020BF5">
              <w:rPr>
                <w:lang w:eastAsia="zh-TW"/>
              </w:rPr>
              <w:t>differences</w:t>
            </w:r>
            <w:r>
              <w:rPr>
                <w:lang w:eastAsia="zh-TW"/>
              </w:rPr>
              <w:t xml:space="preserve"> across jurisdictions in the geography, personnel mix, and system type for capturing data, affect state wide response times data. Factors that can impact on state wide response time performance include:</w:t>
            </w:r>
          </w:p>
          <w:p w:rsidR="00020BF5" w:rsidRDefault="00020BF5" w:rsidP="00020BF5">
            <w:pPr>
              <w:pStyle w:val="DQITableBullet"/>
              <w:rPr>
                <w:lang w:eastAsia="zh-TW"/>
              </w:rPr>
            </w:pPr>
            <w:r>
              <w:rPr>
                <w:lang w:eastAsia="zh-TW"/>
              </w:rPr>
              <w:t xml:space="preserve">the dispersion of the population (particularly rural/urban population proportions), topography, road/transport infrastructure and traffic densities </w:t>
            </w:r>
          </w:p>
          <w:p w:rsidR="00020BF5" w:rsidRDefault="00020BF5" w:rsidP="00020BF5">
            <w:pPr>
              <w:pStyle w:val="DQITableBullet"/>
              <w:rPr>
                <w:lang w:eastAsia="zh-TW"/>
              </w:rPr>
            </w:pPr>
            <w:r>
              <w:rPr>
                <w:lang w:eastAsia="zh-TW"/>
              </w:rPr>
              <w:t xml:space="preserve">crewing configurations, response systems and processes, and travel distances — for example, some jurisdictions include responses from volunteer stations (often in rural areas) where turnout times are generally longer because volunteers are on call as distinct from being on duty </w:t>
            </w:r>
          </w:p>
          <w:p w:rsidR="00020BF5" w:rsidRDefault="00020BF5" w:rsidP="00020BF5">
            <w:pPr>
              <w:pStyle w:val="DQITableBullet"/>
              <w:rPr>
                <w:lang w:eastAsia="zh-TW"/>
              </w:rPr>
            </w:pPr>
            <w:r>
              <w:rPr>
                <w:lang w:eastAsia="zh-TW"/>
              </w:rPr>
              <w:t>land area, and population size and density — for example, data calculated on a state wide basis for some jurisdictions represent responses to urban, rural and remote areas, while others include urban centres only.</w:t>
            </w:r>
          </w:p>
        </w:tc>
      </w:tr>
    </w:tbl>
    <w:p w:rsidR="00AC10E3" w:rsidRDefault="00AC10E3" w:rsidP="00AC10E3"/>
    <w:p w:rsidR="00265948" w:rsidRDefault="00265948" w:rsidP="00AC10E3">
      <w:pPr>
        <w:pStyle w:val="BodyText"/>
      </w:pPr>
    </w:p>
    <w:p w:rsidR="00C15501" w:rsidRDefault="00C15501">
      <w:pPr>
        <w:rPr>
          <w:szCs w:val="20"/>
        </w:rPr>
      </w:pPr>
      <w:r>
        <w:br w:type="page"/>
      </w:r>
    </w:p>
    <w:p w:rsidR="00C15501" w:rsidRDefault="00C15501" w:rsidP="00C15501">
      <w:pPr>
        <w:pStyle w:val="Heading3"/>
        <w:keepLines/>
        <w:spacing w:after="120"/>
      </w:pPr>
      <w:bookmarkStart w:id="83" w:name="_Toc398732486"/>
      <w:bookmarkStart w:id="84" w:name="_Toc405885753"/>
      <w:r>
        <w:lastRenderedPageBreak/>
        <w:t xml:space="preserve">Triple zero </w:t>
      </w:r>
      <w:r w:rsidR="00024AE5">
        <w:t xml:space="preserve">(000) </w:t>
      </w:r>
      <w:r>
        <w:t>call answer time</w:t>
      </w:r>
      <w:bookmarkEnd w:id="83"/>
      <w:bookmarkEnd w:id="84"/>
    </w:p>
    <w:p w:rsidR="00C15501" w:rsidRPr="00D14D0B" w:rsidRDefault="00C15501" w:rsidP="00C15501">
      <w:pPr>
        <w:pStyle w:val="Box"/>
      </w:pPr>
      <w:r w:rsidRPr="005C183F">
        <w:t xml:space="preserve">Data quality information for this indicator has been drafted by the Secretariat in consultation with the </w:t>
      </w:r>
      <w:r w:rsidRPr="006636F2">
        <w:t>Council of Ambulance Authorities</w:t>
      </w:r>
      <w:r>
        <w:t xml:space="preserve"> (</w:t>
      </w:r>
      <w:proofErr w:type="spellStart"/>
      <w:r>
        <w:t>CAA</w:t>
      </w:r>
      <w:proofErr w:type="spellEnd"/>
      <w:r>
        <w:t>)</w:t>
      </w:r>
      <w:r w:rsidRPr="005C183F">
        <w:t>, with additional Steering Committee comments.</w:t>
      </w:r>
    </w:p>
    <w:tbl>
      <w:tblPr>
        <w:tblW w:w="4880" w:type="pct"/>
        <w:tblInd w:w="108" w:type="dxa"/>
        <w:tblLook w:val="01E0" w:firstRow="1" w:lastRow="1" w:firstColumn="1" w:lastColumn="1" w:noHBand="0" w:noVBand="0"/>
      </w:tblPr>
      <w:tblGrid>
        <w:gridCol w:w="1586"/>
        <w:gridCol w:w="4548"/>
        <w:gridCol w:w="2406"/>
      </w:tblGrid>
      <w:tr w:rsidR="00CE45B7" w:rsidTr="002E49D6">
        <w:trPr>
          <w:trHeight w:val="519"/>
        </w:trPr>
        <w:tc>
          <w:tcPr>
            <w:tcW w:w="3578" w:type="pct"/>
            <w:gridSpan w:val="2"/>
            <w:vAlign w:val="center"/>
          </w:tcPr>
          <w:p w:rsidR="00CE45B7" w:rsidRPr="00A42039" w:rsidRDefault="00CE45B7" w:rsidP="00CD58FF">
            <w:pPr>
              <w:pStyle w:val="DQIMainRowHeadings"/>
            </w:pPr>
            <w:r w:rsidRPr="003211C6">
              <w:t>Indicator definition and description</w:t>
            </w:r>
            <w:r>
              <w:t xml:space="preserve"> </w:t>
            </w:r>
          </w:p>
        </w:tc>
        <w:tc>
          <w:tcPr>
            <w:tcW w:w="1422" w:type="pct"/>
            <w:vAlign w:val="center"/>
          </w:tcPr>
          <w:p w:rsidR="00CE45B7" w:rsidRPr="00A42039" w:rsidRDefault="00CE45B7" w:rsidP="00CD58FF">
            <w:pPr>
              <w:pStyle w:val="DQIMainRowHeadings"/>
            </w:pPr>
          </w:p>
        </w:tc>
      </w:tr>
      <w:tr w:rsidR="00C15501" w:rsidTr="002E49D6">
        <w:tc>
          <w:tcPr>
            <w:tcW w:w="902" w:type="pct"/>
          </w:tcPr>
          <w:p w:rsidR="00C15501" w:rsidRPr="0082220E" w:rsidRDefault="00C15501" w:rsidP="00CD58FF">
            <w:pPr>
              <w:pStyle w:val="DQIRowHeadings"/>
            </w:pPr>
            <w:r w:rsidRPr="0082220E">
              <w:t>Element</w:t>
            </w:r>
          </w:p>
        </w:tc>
        <w:tc>
          <w:tcPr>
            <w:tcW w:w="4098" w:type="pct"/>
            <w:gridSpan w:val="2"/>
          </w:tcPr>
          <w:p w:rsidR="00C15501" w:rsidRPr="00A1569C" w:rsidRDefault="00C15501" w:rsidP="001B410C">
            <w:pPr>
              <w:pStyle w:val="DQITableText"/>
            </w:pPr>
            <w:r>
              <w:rPr>
                <w:lang w:eastAsia="zh-TW"/>
              </w:rPr>
              <w:t xml:space="preserve">Effectiveness </w:t>
            </w:r>
            <w:r w:rsidR="001B410C">
              <w:rPr>
                <w:lang w:eastAsia="zh-TW"/>
              </w:rPr>
              <w:t>—</w:t>
            </w:r>
            <w:r>
              <w:rPr>
                <w:lang w:eastAsia="zh-TW"/>
              </w:rPr>
              <w:t xml:space="preserve"> Access</w:t>
            </w:r>
          </w:p>
        </w:tc>
      </w:tr>
      <w:tr w:rsidR="00C15501" w:rsidTr="002E49D6">
        <w:tc>
          <w:tcPr>
            <w:tcW w:w="902" w:type="pct"/>
          </w:tcPr>
          <w:p w:rsidR="00C15501" w:rsidRPr="0082220E" w:rsidRDefault="00C15501" w:rsidP="00CD58FF">
            <w:pPr>
              <w:pStyle w:val="DQIRowHeadings"/>
            </w:pPr>
            <w:r w:rsidRPr="0082220E">
              <w:t>Indicator</w:t>
            </w:r>
          </w:p>
        </w:tc>
        <w:tc>
          <w:tcPr>
            <w:tcW w:w="4098" w:type="pct"/>
            <w:gridSpan w:val="2"/>
          </w:tcPr>
          <w:p w:rsidR="00C15501" w:rsidRPr="00E17A32" w:rsidRDefault="00C15501" w:rsidP="00CD58FF">
            <w:pPr>
              <w:pStyle w:val="DQITableText"/>
            </w:pPr>
            <w:r>
              <w:t xml:space="preserve">Triple Zero </w:t>
            </w:r>
            <w:r w:rsidR="00200BF1">
              <w:t xml:space="preserve">(000) </w:t>
            </w:r>
            <w:r>
              <w:t>Call Answer Time</w:t>
            </w:r>
          </w:p>
        </w:tc>
      </w:tr>
      <w:tr w:rsidR="00C15501" w:rsidTr="002E49D6">
        <w:tc>
          <w:tcPr>
            <w:tcW w:w="902" w:type="pct"/>
          </w:tcPr>
          <w:p w:rsidR="00C15501" w:rsidRPr="0082220E" w:rsidRDefault="00C15501" w:rsidP="00CD58FF">
            <w:pPr>
              <w:pStyle w:val="DQIRowHeadings"/>
            </w:pPr>
            <w:r w:rsidRPr="0082220E">
              <w:t>Measure (computation)</w:t>
            </w:r>
          </w:p>
        </w:tc>
        <w:tc>
          <w:tcPr>
            <w:tcW w:w="4098" w:type="pct"/>
            <w:gridSpan w:val="2"/>
          </w:tcPr>
          <w:p w:rsidR="00C15501" w:rsidRDefault="00C15501" w:rsidP="00CD58FF">
            <w:pPr>
              <w:pStyle w:val="DQITableText"/>
            </w:pPr>
            <w:r>
              <w:t>Ambulance Service triple zero</w:t>
            </w:r>
            <w:r w:rsidRPr="0082220E">
              <w:t xml:space="preserve"> </w:t>
            </w:r>
            <w:r w:rsidR="00200BF1">
              <w:t xml:space="preserve">(000) </w:t>
            </w:r>
            <w:r w:rsidRPr="0082220E">
              <w:t>call answering time is defined as the time interval commencing when the Telstra Emergency Call Perso</w:t>
            </w:r>
            <w:r>
              <w:t>n (</w:t>
            </w:r>
            <w:proofErr w:type="spellStart"/>
            <w:r>
              <w:t>ECP</w:t>
            </w:r>
            <w:proofErr w:type="spellEnd"/>
            <w:r>
              <w:t>) has answered the 000</w:t>
            </w:r>
            <w:r w:rsidRPr="0082220E">
              <w:t xml:space="preserve"> call and selected the desired Emergency Service Organisation (</w:t>
            </w:r>
            <w:proofErr w:type="spellStart"/>
            <w:r w:rsidRPr="0082220E">
              <w:t>ESO</w:t>
            </w:r>
            <w:proofErr w:type="spellEnd"/>
            <w:r w:rsidRPr="0082220E">
              <w:t xml:space="preserve">) to when the </w:t>
            </w:r>
            <w:proofErr w:type="spellStart"/>
            <w:r w:rsidRPr="0082220E">
              <w:t>ESO</w:t>
            </w:r>
            <w:proofErr w:type="spellEnd"/>
            <w:r w:rsidRPr="0082220E">
              <w:t xml:space="preserve"> has answered the call. </w:t>
            </w:r>
          </w:p>
          <w:p w:rsidR="00C15501" w:rsidRDefault="00C15501" w:rsidP="00CD58FF">
            <w:pPr>
              <w:pStyle w:val="DQITableText"/>
            </w:pPr>
            <w:r w:rsidRPr="00B76D6B">
              <w:rPr>
                <w:i/>
              </w:rPr>
              <w:t xml:space="preserve">Note: </w:t>
            </w:r>
            <w:r w:rsidRPr="0082220E">
              <w:t>data sourced from Telstra may include additional time as the Telstra Em</w:t>
            </w:r>
            <w:r>
              <w:t>e</w:t>
            </w:r>
            <w:r w:rsidRPr="0082220E">
              <w:t>rgency Call Person ensures the call has been answered which may involve some three way conversation.</w:t>
            </w:r>
          </w:p>
          <w:p w:rsidR="00C15501" w:rsidRDefault="00C15501" w:rsidP="00CD58FF">
            <w:pPr>
              <w:pStyle w:val="DQITableText"/>
            </w:pPr>
            <w:r>
              <w:t>The indicator measures percentage of triple zero calls that were answered by the ambulance service communication centre staff in equal or less than 10 seconds.</w:t>
            </w:r>
          </w:p>
          <w:p w:rsidR="00C15501" w:rsidRDefault="00C15501" w:rsidP="00CD58FF">
            <w:pPr>
              <w:pStyle w:val="DQITableBullet"/>
            </w:pPr>
            <w:r>
              <w:t xml:space="preserve">Numerator – total number of triple zero </w:t>
            </w:r>
            <w:r w:rsidR="00200BF1">
              <w:t xml:space="preserve">(000) </w:t>
            </w:r>
            <w:r>
              <w:t>calls received by the ambulance service in a given financial year</w:t>
            </w:r>
          </w:p>
          <w:p w:rsidR="00C15501" w:rsidRPr="00A1569C" w:rsidRDefault="00C15501" w:rsidP="00CD58FF">
            <w:pPr>
              <w:pStyle w:val="DQITableBullet"/>
            </w:pPr>
            <w:r>
              <w:t xml:space="preserve">Denominator – number of triple zero </w:t>
            </w:r>
            <w:r w:rsidR="00200BF1">
              <w:t xml:space="preserve">(000) </w:t>
            </w:r>
            <w:r>
              <w:t>calls answered in equal or less than 10 seconds</w:t>
            </w:r>
          </w:p>
        </w:tc>
      </w:tr>
      <w:tr w:rsidR="00C15501" w:rsidTr="002E49D6">
        <w:tc>
          <w:tcPr>
            <w:tcW w:w="902" w:type="pct"/>
          </w:tcPr>
          <w:p w:rsidR="00C15501" w:rsidRPr="0082220E" w:rsidRDefault="00C15501" w:rsidP="00CD58FF">
            <w:pPr>
              <w:pStyle w:val="DQIRowHeadings"/>
            </w:pPr>
            <w:r w:rsidRPr="0082220E">
              <w:t>Data source</w:t>
            </w:r>
          </w:p>
        </w:tc>
        <w:tc>
          <w:tcPr>
            <w:tcW w:w="4098" w:type="pct"/>
            <w:gridSpan w:val="2"/>
          </w:tcPr>
          <w:p w:rsidR="00C15501" w:rsidRPr="00A1569C" w:rsidRDefault="00C15501" w:rsidP="00CD58FF">
            <w:pPr>
              <w:pStyle w:val="DQITableText"/>
            </w:pPr>
            <w:r>
              <w:rPr>
                <w:i/>
              </w:rPr>
              <w:t>Consolidated Returns</w:t>
            </w:r>
            <w:r w:rsidRPr="00B43BC8">
              <w:t>,</w:t>
            </w:r>
            <w:r>
              <w:rPr>
                <w:i/>
              </w:rPr>
              <w:t xml:space="preserve"> </w:t>
            </w:r>
            <w:r>
              <w:t>Council of Ambulance Authorities (</w:t>
            </w:r>
            <w:proofErr w:type="spellStart"/>
            <w:r>
              <w:t>CAA</w:t>
            </w:r>
            <w:proofErr w:type="spellEnd"/>
            <w:r>
              <w:t>)</w:t>
            </w:r>
          </w:p>
        </w:tc>
      </w:tr>
      <w:tr w:rsidR="00CE45B7" w:rsidRPr="0082220E" w:rsidTr="002E49D6">
        <w:trPr>
          <w:trHeight w:val="522"/>
        </w:trPr>
        <w:tc>
          <w:tcPr>
            <w:tcW w:w="3578" w:type="pct"/>
            <w:gridSpan w:val="2"/>
            <w:vAlign w:val="center"/>
          </w:tcPr>
          <w:p w:rsidR="00CE45B7" w:rsidRPr="0082220E" w:rsidRDefault="00CE45B7" w:rsidP="00CD58FF">
            <w:pPr>
              <w:pStyle w:val="DQIMainRowHeadings"/>
            </w:pPr>
            <w:r w:rsidRPr="0082220E">
              <w:t>Data Quality Framework Dimensions</w:t>
            </w:r>
          </w:p>
        </w:tc>
        <w:tc>
          <w:tcPr>
            <w:tcW w:w="1422" w:type="pct"/>
            <w:vAlign w:val="center"/>
          </w:tcPr>
          <w:p w:rsidR="00CE45B7" w:rsidRPr="0082220E" w:rsidRDefault="00CE45B7" w:rsidP="00CD58FF">
            <w:pPr>
              <w:pStyle w:val="DQIMainRowHeadings"/>
            </w:pPr>
          </w:p>
        </w:tc>
      </w:tr>
      <w:tr w:rsidR="00C15501" w:rsidTr="002E49D6">
        <w:tc>
          <w:tcPr>
            <w:tcW w:w="902" w:type="pct"/>
          </w:tcPr>
          <w:p w:rsidR="00C15501" w:rsidRPr="00D8207A" w:rsidRDefault="00C15501" w:rsidP="00CD58FF">
            <w:pPr>
              <w:pStyle w:val="DQIRowHeadings"/>
            </w:pPr>
            <w:r w:rsidRPr="00D8207A">
              <w:t>Institutional environment</w:t>
            </w:r>
          </w:p>
        </w:tc>
        <w:tc>
          <w:tcPr>
            <w:tcW w:w="4098" w:type="pct"/>
            <w:gridSpan w:val="2"/>
          </w:tcPr>
          <w:p w:rsidR="00C15501" w:rsidRDefault="00C15501" w:rsidP="00CD58FF">
            <w:pPr>
              <w:pStyle w:val="DQITableText"/>
            </w:pPr>
            <w:r>
              <w:t xml:space="preserve">The </w:t>
            </w:r>
            <w:proofErr w:type="spellStart"/>
            <w:r>
              <w:t>CAA</w:t>
            </w:r>
            <w:proofErr w:type="spellEnd"/>
            <w:r>
              <w:t xml:space="preserve"> is the peak body representing the principal statutory providers of ambulance services in Australia. </w:t>
            </w:r>
          </w:p>
          <w:p w:rsidR="00C15501" w:rsidRDefault="00C15501" w:rsidP="00CD58FF">
            <w:pPr>
              <w:pStyle w:val="DQITableText"/>
            </w:pPr>
            <w:r>
              <w:t xml:space="preserve">The </w:t>
            </w:r>
            <w:proofErr w:type="spellStart"/>
            <w:r>
              <w:t>CAA</w:t>
            </w:r>
            <w:proofErr w:type="spellEnd"/>
            <w:r>
              <w:t xml:space="preserve"> collects administrative data annually from all statutory ambulance services, using the same core questionnaire and instructions — the </w:t>
            </w:r>
            <w:proofErr w:type="spellStart"/>
            <w:r w:rsidRPr="00620164">
              <w:rPr>
                <w:i/>
                <w:iCs/>
              </w:rPr>
              <w:t>CAA</w:t>
            </w:r>
            <w:proofErr w:type="spellEnd"/>
            <w:r w:rsidRPr="00620164">
              <w:rPr>
                <w:i/>
                <w:iCs/>
              </w:rPr>
              <w:t xml:space="preserve"> Consolidated Returns</w:t>
            </w:r>
            <w:r>
              <w:t xml:space="preserve">. </w:t>
            </w:r>
          </w:p>
          <w:p w:rsidR="00C15501" w:rsidRPr="0082220E" w:rsidRDefault="00C15501" w:rsidP="00CD58FF">
            <w:pPr>
              <w:pStyle w:val="DQITableText"/>
            </w:pPr>
            <w:r>
              <w:t xml:space="preserve">The ambulance service organisations send their data to the </w:t>
            </w:r>
            <w:proofErr w:type="spellStart"/>
            <w:r>
              <w:t>CAA</w:t>
            </w:r>
            <w:proofErr w:type="spellEnd"/>
            <w:r>
              <w:t xml:space="preserve">. The </w:t>
            </w:r>
            <w:proofErr w:type="spellStart"/>
            <w:r>
              <w:t>CAA</w:t>
            </w:r>
            <w:proofErr w:type="spellEnd"/>
            <w:r>
              <w:t xml:space="preserve"> then collates all data to be provided to the Productivity Commission for use in the </w:t>
            </w:r>
            <w:proofErr w:type="spellStart"/>
            <w:r>
              <w:t>RoGS</w:t>
            </w:r>
            <w:proofErr w:type="spellEnd"/>
            <w:r>
              <w:t>.</w:t>
            </w:r>
          </w:p>
        </w:tc>
      </w:tr>
      <w:tr w:rsidR="00C15501" w:rsidTr="002E49D6">
        <w:tc>
          <w:tcPr>
            <w:tcW w:w="902" w:type="pct"/>
          </w:tcPr>
          <w:p w:rsidR="00C15501" w:rsidRPr="00D8207A" w:rsidRDefault="00C15501" w:rsidP="00CD58FF">
            <w:pPr>
              <w:pStyle w:val="DQIRowHeadings"/>
            </w:pPr>
            <w:r w:rsidRPr="00D8207A">
              <w:t>Relevance</w:t>
            </w:r>
          </w:p>
        </w:tc>
        <w:tc>
          <w:tcPr>
            <w:tcW w:w="4098" w:type="pct"/>
            <w:gridSpan w:val="2"/>
          </w:tcPr>
          <w:p w:rsidR="00C15501" w:rsidRPr="003363E5" w:rsidRDefault="00C15501" w:rsidP="00CD58FF">
            <w:pPr>
              <w:pStyle w:val="DQITableText"/>
            </w:pPr>
            <w:r w:rsidRPr="003363E5">
              <w:t>The indicator is available for all statutory ambulance services in Australia</w:t>
            </w:r>
            <w:r>
              <w:t>, by State and Territory</w:t>
            </w:r>
            <w:r w:rsidRPr="003363E5">
              <w:t>.</w:t>
            </w:r>
          </w:p>
          <w:p w:rsidR="00C15501" w:rsidRPr="00B56A49" w:rsidRDefault="00C15501" w:rsidP="00CD58FF">
            <w:pPr>
              <w:pStyle w:val="DQITableText"/>
            </w:pPr>
            <w:r w:rsidRPr="00B56A49">
              <w:t xml:space="preserve">The </w:t>
            </w:r>
            <w:proofErr w:type="spellStart"/>
            <w:r w:rsidRPr="00B56A49">
              <w:rPr>
                <w:i/>
              </w:rPr>
              <w:t>CAA</w:t>
            </w:r>
            <w:proofErr w:type="spellEnd"/>
            <w:r w:rsidRPr="00B56A49">
              <w:rPr>
                <w:i/>
              </w:rPr>
              <w:t xml:space="preserve"> Consolidated Returns</w:t>
            </w:r>
            <w:r>
              <w:t xml:space="preserve"> collects data for each of segments – total number of 000 calls and number of calls answered in equal or less that 10 seconds.</w:t>
            </w:r>
          </w:p>
          <w:p w:rsidR="00C15501" w:rsidRPr="0082220E" w:rsidRDefault="00C15501" w:rsidP="00CD58FF">
            <w:pPr>
              <w:pStyle w:val="DQITableText"/>
            </w:pPr>
            <w:r w:rsidRPr="00CD72B9">
              <w:t xml:space="preserve">The </w:t>
            </w:r>
            <w:r>
              <w:t xml:space="preserve">triple zero </w:t>
            </w:r>
            <w:r w:rsidR="00200BF1">
              <w:t xml:space="preserve">(000) </w:t>
            </w:r>
            <w:r>
              <w:t xml:space="preserve">call answer time of the ambulance service represents one aspect of effectiveness — indicating access of the population to the essential/lifesaving government services. </w:t>
            </w:r>
          </w:p>
        </w:tc>
      </w:tr>
      <w:tr w:rsidR="00C15501" w:rsidTr="002E49D6">
        <w:tc>
          <w:tcPr>
            <w:tcW w:w="902" w:type="pct"/>
          </w:tcPr>
          <w:p w:rsidR="00C15501" w:rsidRPr="00D8207A" w:rsidRDefault="00C15501" w:rsidP="00CD58FF">
            <w:pPr>
              <w:pStyle w:val="DQIRowHeadings"/>
            </w:pPr>
            <w:r w:rsidRPr="00D8207A">
              <w:t>Timeliness</w:t>
            </w:r>
          </w:p>
        </w:tc>
        <w:tc>
          <w:tcPr>
            <w:tcW w:w="4098" w:type="pct"/>
            <w:gridSpan w:val="2"/>
          </w:tcPr>
          <w:p w:rsidR="00C15501" w:rsidRPr="0082220E" w:rsidRDefault="00C15501" w:rsidP="007F6100">
            <w:pPr>
              <w:pStyle w:val="DQITableText"/>
            </w:pPr>
            <w:r>
              <w:t xml:space="preserve">The Triple zero </w:t>
            </w:r>
            <w:r w:rsidR="00200BF1">
              <w:t xml:space="preserve">(000) </w:t>
            </w:r>
            <w:r>
              <w:t xml:space="preserve">call answer time data </w:t>
            </w:r>
            <w:r w:rsidR="00EE3F05">
              <w:t>are</w:t>
            </w:r>
            <w:r>
              <w:t xml:space="preserve"> published annually for the latest financial year preceding the January release of each </w:t>
            </w:r>
            <w:proofErr w:type="spellStart"/>
            <w:r w:rsidR="007F6100">
              <w:t>RoGS</w:t>
            </w:r>
            <w:proofErr w:type="spellEnd"/>
            <w:r>
              <w:t>.</w:t>
            </w:r>
          </w:p>
        </w:tc>
      </w:tr>
      <w:tr w:rsidR="00C15501" w:rsidTr="002E49D6">
        <w:tc>
          <w:tcPr>
            <w:tcW w:w="902" w:type="pct"/>
          </w:tcPr>
          <w:p w:rsidR="00C15501" w:rsidRPr="00D8207A" w:rsidRDefault="00C15501" w:rsidP="00CD58FF">
            <w:pPr>
              <w:pStyle w:val="DQIRowHeadings"/>
            </w:pPr>
            <w:r w:rsidRPr="00D8207A">
              <w:t>Accuracy</w:t>
            </w:r>
          </w:p>
        </w:tc>
        <w:tc>
          <w:tcPr>
            <w:tcW w:w="4098" w:type="pct"/>
            <w:gridSpan w:val="2"/>
          </w:tcPr>
          <w:p w:rsidR="00C15501" w:rsidRDefault="00C15501" w:rsidP="00CD58FF">
            <w:pPr>
              <w:pStyle w:val="DQITableText"/>
            </w:pPr>
            <w:r>
              <w:t xml:space="preserve">The </w:t>
            </w:r>
            <w:proofErr w:type="spellStart"/>
            <w:r w:rsidRPr="00620164">
              <w:rPr>
                <w:i/>
              </w:rPr>
              <w:t>CAA</w:t>
            </w:r>
            <w:proofErr w:type="spellEnd"/>
            <w:r w:rsidRPr="00620164">
              <w:rPr>
                <w:i/>
              </w:rPr>
              <w:t xml:space="preserve"> Consolidated Returns</w:t>
            </w:r>
            <w:r>
              <w:t xml:space="preserve"> compile administrative data from all </w:t>
            </w:r>
            <w:r w:rsidRPr="00CD72B9">
              <w:rPr>
                <w:lang w:val="en-GB"/>
              </w:rPr>
              <w:t>statutory providers of ambulance services in Australia</w:t>
            </w:r>
            <w:r>
              <w:rPr>
                <w:lang w:val="en-GB"/>
              </w:rPr>
              <w:t xml:space="preserve">. </w:t>
            </w:r>
          </w:p>
          <w:p w:rsidR="00C15501" w:rsidRPr="0082220E" w:rsidRDefault="00C15501" w:rsidP="00CD58FF">
            <w:pPr>
              <w:pStyle w:val="DQITableText"/>
            </w:pPr>
            <w:r>
              <w:t xml:space="preserve">They are collected according to agreed definitions provided in the </w:t>
            </w:r>
            <w:proofErr w:type="spellStart"/>
            <w:r>
              <w:t>CAA</w:t>
            </w:r>
            <w:proofErr w:type="spellEnd"/>
            <w:r>
              <w:t xml:space="preserve"> data dictionary.</w:t>
            </w:r>
          </w:p>
        </w:tc>
      </w:tr>
      <w:tr w:rsidR="00C15501" w:rsidTr="002E49D6">
        <w:tc>
          <w:tcPr>
            <w:tcW w:w="902" w:type="pct"/>
          </w:tcPr>
          <w:p w:rsidR="00C15501" w:rsidRPr="00D8207A" w:rsidRDefault="00C15501" w:rsidP="00CD58FF">
            <w:pPr>
              <w:pStyle w:val="DQIRowHeadings"/>
            </w:pPr>
            <w:r w:rsidRPr="00D8207A">
              <w:t>Coherence</w:t>
            </w:r>
          </w:p>
        </w:tc>
        <w:tc>
          <w:tcPr>
            <w:tcW w:w="4098" w:type="pct"/>
            <w:gridSpan w:val="2"/>
          </w:tcPr>
          <w:p w:rsidR="00C15501" w:rsidRPr="00CD72B9" w:rsidRDefault="00C15501" w:rsidP="00CD58FF">
            <w:pPr>
              <w:pStyle w:val="DQITableText"/>
            </w:pPr>
            <w:r w:rsidRPr="00CD72B9">
              <w:t xml:space="preserve">All data (numerators and denominators) are sourced from the </w:t>
            </w:r>
            <w:proofErr w:type="spellStart"/>
            <w:r w:rsidRPr="00CD72B9">
              <w:t>CAA</w:t>
            </w:r>
            <w:proofErr w:type="spellEnd"/>
            <w:r w:rsidRPr="00CD72B9">
              <w:t xml:space="preserve"> </w:t>
            </w:r>
            <w:r>
              <w:rPr>
                <w:i/>
              </w:rPr>
              <w:t>Consolidated Returns.</w:t>
            </w:r>
            <w:r w:rsidRPr="00CD72B9">
              <w:t xml:space="preserve"> </w:t>
            </w:r>
          </w:p>
          <w:p w:rsidR="00C15501" w:rsidRPr="00CD72B9" w:rsidRDefault="00C15501" w:rsidP="00CD58FF">
            <w:pPr>
              <w:pStyle w:val="DQITableText"/>
            </w:pPr>
            <w:r w:rsidRPr="00CD72B9">
              <w:t xml:space="preserve">Estimates from the </w:t>
            </w:r>
            <w:proofErr w:type="spellStart"/>
            <w:r w:rsidRPr="00CD72B9">
              <w:t>CAA</w:t>
            </w:r>
            <w:proofErr w:type="spellEnd"/>
            <w:r w:rsidRPr="00CD72B9">
              <w:t xml:space="preserve"> </w:t>
            </w:r>
            <w:r>
              <w:rPr>
                <w:i/>
              </w:rPr>
              <w:t>Consolidated Returns</w:t>
            </w:r>
            <w:r w:rsidRPr="00CD72B9">
              <w:rPr>
                <w:i/>
              </w:rPr>
              <w:t xml:space="preserve"> </w:t>
            </w:r>
            <w:r w:rsidRPr="00CD72B9">
              <w:t xml:space="preserve">are comparable over time and between jurisdictions, subject </w:t>
            </w:r>
            <w:r>
              <w:t>to caveats provided by services</w:t>
            </w:r>
            <w:r w:rsidRPr="00CD72B9">
              <w:t xml:space="preserve">. </w:t>
            </w:r>
          </w:p>
          <w:p w:rsidR="00C15501" w:rsidRPr="0082220E" w:rsidRDefault="00C15501" w:rsidP="00CD58FF">
            <w:pPr>
              <w:pStyle w:val="DQITableText"/>
            </w:pPr>
            <w:r w:rsidRPr="00CD72B9">
              <w:t xml:space="preserve">The </w:t>
            </w:r>
            <w:r>
              <w:t>collection</w:t>
            </w:r>
            <w:r w:rsidRPr="00CD72B9">
              <w:t xml:space="preserve">, instructions, definitions and analysis are prepared and overseen by the </w:t>
            </w:r>
            <w:proofErr w:type="spellStart"/>
            <w:r w:rsidRPr="00CD72B9">
              <w:t>CAA</w:t>
            </w:r>
            <w:proofErr w:type="spellEnd"/>
            <w:r w:rsidRPr="00CD72B9">
              <w:t xml:space="preserve"> and are the same for all state and territory services. </w:t>
            </w:r>
          </w:p>
        </w:tc>
      </w:tr>
      <w:tr w:rsidR="00C15501" w:rsidTr="002E49D6">
        <w:tc>
          <w:tcPr>
            <w:tcW w:w="902" w:type="pct"/>
          </w:tcPr>
          <w:p w:rsidR="00C15501" w:rsidRPr="00D8207A" w:rsidRDefault="00C15501" w:rsidP="00CD58FF">
            <w:pPr>
              <w:pStyle w:val="DQIRowHeadings"/>
              <w:keepNext w:val="0"/>
            </w:pPr>
            <w:r w:rsidRPr="00D8207A">
              <w:t>Accessibility</w:t>
            </w:r>
          </w:p>
        </w:tc>
        <w:tc>
          <w:tcPr>
            <w:tcW w:w="4098" w:type="pct"/>
            <w:gridSpan w:val="2"/>
          </w:tcPr>
          <w:p w:rsidR="00C15501" w:rsidRPr="0082220E" w:rsidRDefault="00C15501" w:rsidP="007F6100">
            <w:pPr>
              <w:pStyle w:val="DQITableText"/>
              <w:keepNext w:val="0"/>
            </w:pPr>
            <w:r>
              <w:t xml:space="preserve">The Triple zero </w:t>
            </w:r>
            <w:r w:rsidR="00200BF1">
              <w:t xml:space="preserve">(000) </w:t>
            </w:r>
            <w:r>
              <w:t xml:space="preserve">call answer time data </w:t>
            </w:r>
            <w:r w:rsidR="00EE3F05">
              <w:t>are</w:t>
            </w:r>
            <w:r>
              <w:t xml:space="preserve"> made publicly available </w:t>
            </w:r>
            <w:r w:rsidR="007F6100">
              <w:t xml:space="preserve">annually </w:t>
            </w:r>
            <w:r>
              <w:t xml:space="preserve">as part of the </w:t>
            </w:r>
            <w:proofErr w:type="spellStart"/>
            <w:r>
              <w:t>CAA</w:t>
            </w:r>
            <w:proofErr w:type="spellEnd"/>
            <w:r>
              <w:t xml:space="preserve"> Annual Report on the </w:t>
            </w:r>
            <w:proofErr w:type="spellStart"/>
            <w:r>
              <w:t>CAA</w:t>
            </w:r>
            <w:proofErr w:type="spellEnd"/>
            <w:r>
              <w:t xml:space="preserve"> </w:t>
            </w:r>
            <w:r w:rsidRPr="00B43BC8">
              <w:rPr>
                <w:rFonts w:ascii="ArialMT" w:eastAsiaTheme="minorEastAsia" w:hAnsi="ArialMT" w:cs="ArialMT"/>
                <w:lang w:eastAsia="zh-TW"/>
              </w:rPr>
              <w:t>website</w:t>
            </w:r>
            <w:r>
              <w:t xml:space="preserve"> (</w:t>
            </w:r>
            <w:proofErr w:type="spellStart"/>
            <w:r w:rsidRPr="004A1422">
              <w:t>www.caa.net.au</w:t>
            </w:r>
            <w:proofErr w:type="spellEnd"/>
            <w:r>
              <w:t>).</w:t>
            </w:r>
          </w:p>
        </w:tc>
      </w:tr>
      <w:tr w:rsidR="00C15501" w:rsidTr="002E49D6">
        <w:tc>
          <w:tcPr>
            <w:tcW w:w="902" w:type="pct"/>
          </w:tcPr>
          <w:p w:rsidR="00C15501" w:rsidRPr="00D8207A" w:rsidRDefault="00C15501" w:rsidP="00CD58FF">
            <w:pPr>
              <w:pStyle w:val="DQIRowHeadings"/>
            </w:pPr>
            <w:r w:rsidRPr="00D8207A">
              <w:lastRenderedPageBreak/>
              <w:t>Interpretability</w:t>
            </w:r>
          </w:p>
        </w:tc>
        <w:tc>
          <w:tcPr>
            <w:tcW w:w="4098" w:type="pct"/>
            <w:gridSpan w:val="2"/>
          </w:tcPr>
          <w:p w:rsidR="00C15501" w:rsidRPr="0082220E" w:rsidRDefault="00C15501" w:rsidP="00EE3F05">
            <w:pPr>
              <w:pStyle w:val="DQITableText"/>
            </w:pPr>
            <w:r>
              <w:t xml:space="preserve">The Triple zero </w:t>
            </w:r>
            <w:r w:rsidR="00200BF1">
              <w:t xml:space="preserve">(000) </w:t>
            </w:r>
            <w:r>
              <w:t xml:space="preserve">call answer time </w:t>
            </w:r>
            <w:r w:rsidRPr="00CD72B9">
              <w:t xml:space="preserve">data </w:t>
            </w:r>
            <w:r w:rsidR="00EE3F05">
              <w:t>are</w:t>
            </w:r>
            <w:r w:rsidRPr="00CD72B9">
              <w:t xml:space="preserve"> publicly available </w:t>
            </w:r>
            <w:r w:rsidR="00EE3F05">
              <w:t>including</w:t>
            </w:r>
            <w:r w:rsidRPr="00CD72B9">
              <w:t xml:space="preserve"> definitions of the collected data.</w:t>
            </w:r>
          </w:p>
        </w:tc>
      </w:tr>
      <w:tr w:rsidR="00CE45B7" w:rsidTr="002E49D6">
        <w:trPr>
          <w:trHeight w:val="513"/>
        </w:trPr>
        <w:tc>
          <w:tcPr>
            <w:tcW w:w="3578" w:type="pct"/>
            <w:gridSpan w:val="2"/>
            <w:vAlign w:val="center"/>
          </w:tcPr>
          <w:p w:rsidR="00CE45B7" w:rsidRPr="0082220E" w:rsidRDefault="00CE45B7" w:rsidP="00CD58FF">
            <w:pPr>
              <w:pStyle w:val="DQIMainRowHeadings"/>
            </w:pPr>
            <w:r w:rsidRPr="0082220E">
              <w:t>Data Gaps/Issues Analysis</w:t>
            </w:r>
          </w:p>
        </w:tc>
        <w:tc>
          <w:tcPr>
            <w:tcW w:w="1422" w:type="pct"/>
            <w:vAlign w:val="center"/>
          </w:tcPr>
          <w:p w:rsidR="00CE45B7" w:rsidRPr="0082220E" w:rsidRDefault="00CE45B7" w:rsidP="00CD58FF">
            <w:pPr>
              <w:pStyle w:val="DQIMainRowHeadings"/>
            </w:pPr>
          </w:p>
        </w:tc>
      </w:tr>
      <w:tr w:rsidR="00C15501" w:rsidTr="002E49D6">
        <w:tc>
          <w:tcPr>
            <w:tcW w:w="902" w:type="pct"/>
          </w:tcPr>
          <w:p w:rsidR="00C15501" w:rsidRPr="00D8207A" w:rsidRDefault="00C15501" w:rsidP="00CD58FF">
            <w:pPr>
              <w:pStyle w:val="DQIRowHeadings"/>
            </w:pPr>
            <w:r w:rsidRPr="00D8207A">
              <w:t>Key data gaps/issues</w:t>
            </w:r>
          </w:p>
        </w:tc>
        <w:tc>
          <w:tcPr>
            <w:tcW w:w="4098" w:type="pct"/>
            <w:gridSpan w:val="2"/>
            <w:shd w:val="clear" w:color="auto" w:fill="auto"/>
          </w:tcPr>
          <w:p w:rsidR="00C15501" w:rsidRPr="00AE16F4" w:rsidRDefault="00020BF5" w:rsidP="00020BF5">
            <w:pPr>
              <w:pStyle w:val="DQITableText"/>
            </w:pPr>
            <w:r>
              <w:t xml:space="preserve">The Steering Committee notes that </w:t>
            </w:r>
            <w:r w:rsidRPr="00E10E7C">
              <w:t>data sourced from Telstra may include additional time as the Emergency Call Person (Telstra) ensures the call has been answered which may involve some three way conversation. Some services subtract a fixed time from the Telstra reported times to allow for the time after the call is answered until the Telstra agent disconnects from the call.</w:t>
            </w:r>
          </w:p>
        </w:tc>
      </w:tr>
    </w:tbl>
    <w:p w:rsidR="00C15501" w:rsidRDefault="00C15501" w:rsidP="00C15501"/>
    <w:p w:rsidR="00AC10E3" w:rsidRDefault="00AC10E3" w:rsidP="00AC10E3">
      <w:pPr>
        <w:pStyle w:val="BodyText"/>
      </w:pPr>
    </w:p>
    <w:p w:rsidR="00C15501" w:rsidRDefault="00C15501">
      <w:pPr>
        <w:rPr>
          <w:szCs w:val="20"/>
        </w:rPr>
      </w:pPr>
      <w:r>
        <w:br w:type="page"/>
      </w:r>
    </w:p>
    <w:p w:rsidR="00030E96" w:rsidRDefault="00030E96" w:rsidP="00030E96">
      <w:pPr>
        <w:pStyle w:val="Heading3"/>
      </w:pPr>
      <w:bookmarkStart w:id="85" w:name="_Toc398732487"/>
      <w:bookmarkStart w:id="86" w:name="_Toc405885754"/>
      <w:r w:rsidRPr="002301A7">
        <w:lastRenderedPageBreak/>
        <w:t>Workforce by Age Group</w:t>
      </w:r>
      <w:bookmarkEnd w:id="85"/>
      <w:bookmarkEnd w:id="86"/>
    </w:p>
    <w:p w:rsidR="00030E96" w:rsidRPr="002301A7" w:rsidRDefault="00030E96" w:rsidP="00030E96">
      <w:pPr>
        <w:pStyle w:val="Box"/>
      </w:pPr>
      <w:r w:rsidRPr="002301A7">
        <w:t>Data quality information for this indicator has been drafted by the Emergency Management Working Group in consultation with the Council of Ambulance Authorities (</w:t>
      </w:r>
      <w:proofErr w:type="spellStart"/>
      <w:r w:rsidRPr="002301A7">
        <w:t>CAA</w:t>
      </w:r>
      <w:proofErr w:type="spellEnd"/>
      <w:r w:rsidRPr="002301A7">
        <w:t>), with additional Steering Committee comments.</w:t>
      </w:r>
    </w:p>
    <w:tbl>
      <w:tblPr>
        <w:tblW w:w="4976" w:type="pct"/>
        <w:jc w:val="center"/>
        <w:tblInd w:w="28" w:type="dxa"/>
        <w:tblLayout w:type="fixed"/>
        <w:tblCellMar>
          <w:top w:w="28" w:type="dxa"/>
          <w:left w:w="28" w:type="dxa"/>
          <w:bottom w:w="28" w:type="dxa"/>
          <w:right w:w="28" w:type="dxa"/>
        </w:tblCellMar>
        <w:tblLook w:val="01E0" w:firstRow="1" w:lastRow="1" w:firstColumn="1" w:lastColumn="1" w:noHBand="0" w:noVBand="0"/>
      </w:tblPr>
      <w:tblGrid>
        <w:gridCol w:w="1474"/>
        <w:gridCol w:w="7075"/>
      </w:tblGrid>
      <w:tr w:rsidR="00030E96" w:rsidRPr="001F3F80" w:rsidTr="002E49D6">
        <w:trPr>
          <w:jc w:val="center"/>
        </w:trPr>
        <w:tc>
          <w:tcPr>
            <w:tcW w:w="5000" w:type="pct"/>
            <w:gridSpan w:val="2"/>
          </w:tcPr>
          <w:p w:rsidR="00030E96" w:rsidRPr="003211C6" w:rsidRDefault="00030E96" w:rsidP="00CD58FF">
            <w:pPr>
              <w:pStyle w:val="DQIMainRowHeadings"/>
              <w:rPr>
                <w:rFonts w:cs="Arial"/>
                <w:sz w:val="22"/>
                <w:szCs w:val="22"/>
              </w:rPr>
            </w:pPr>
            <w:r w:rsidRPr="003211C6">
              <w:t>Indicator definition and description</w:t>
            </w:r>
          </w:p>
        </w:tc>
      </w:tr>
      <w:tr w:rsidR="00030E96" w:rsidRPr="001F3F80" w:rsidTr="002E49D6">
        <w:trPr>
          <w:jc w:val="center"/>
        </w:trPr>
        <w:tc>
          <w:tcPr>
            <w:tcW w:w="862" w:type="pct"/>
          </w:tcPr>
          <w:p w:rsidR="00030E96" w:rsidRPr="00A05229" w:rsidRDefault="00030E96" w:rsidP="00CD58FF">
            <w:pPr>
              <w:pStyle w:val="DQIRowHeadings"/>
            </w:pPr>
            <w:r w:rsidRPr="00A05229">
              <w:t>Element</w:t>
            </w:r>
          </w:p>
        </w:tc>
        <w:tc>
          <w:tcPr>
            <w:tcW w:w="4138" w:type="pct"/>
          </w:tcPr>
          <w:p w:rsidR="00030E96" w:rsidRPr="00BD6B0B" w:rsidRDefault="00030E96" w:rsidP="00CD58FF">
            <w:pPr>
              <w:pStyle w:val="DQITableText"/>
            </w:pPr>
            <w:r>
              <w:t>Effectiveness — sustainability</w:t>
            </w:r>
          </w:p>
        </w:tc>
      </w:tr>
      <w:tr w:rsidR="00030E96" w:rsidRPr="001F3F80" w:rsidTr="002E49D6">
        <w:trPr>
          <w:jc w:val="center"/>
        </w:trPr>
        <w:tc>
          <w:tcPr>
            <w:tcW w:w="862" w:type="pct"/>
          </w:tcPr>
          <w:p w:rsidR="00030E96" w:rsidRPr="00A05229" w:rsidRDefault="00030E96" w:rsidP="00CD58FF">
            <w:pPr>
              <w:pStyle w:val="DQIRowHeadings"/>
            </w:pPr>
            <w:r w:rsidRPr="00A05229">
              <w:t>Indicator</w:t>
            </w:r>
          </w:p>
        </w:tc>
        <w:tc>
          <w:tcPr>
            <w:tcW w:w="4138" w:type="pct"/>
          </w:tcPr>
          <w:p w:rsidR="00030E96" w:rsidRPr="00BD6B0B" w:rsidRDefault="00030E96" w:rsidP="00CD58FF">
            <w:pPr>
              <w:pStyle w:val="DQITableText"/>
            </w:pPr>
            <w:r>
              <w:t>Workforce by age group</w:t>
            </w:r>
          </w:p>
        </w:tc>
      </w:tr>
      <w:tr w:rsidR="00030E96" w:rsidRPr="001F3F80" w:rsidTr="002E49D6">
        <w:trPr>
          <w:jc w:val="center"/>
        </w:trPr>
        <w:tc>
          <w:tcPr>
            <w:tcW w:w="862" w:type="pct"/>
          </w:tcPr>
          <w:p w:rsidR="00030E96" w:rsidRPr="00A05229" w:rsidRDefault="00030E96" w:rsidP="00CD58FF">
            <w:pPr>
              <w:pStyle w:val="DQIRowHeadings"/>
            </w:pPr>
            <w:r w:rsidRPr="00A05229">
              <w:t>Measure (computation)</w:t>
            </w:r>
          </w:p>
        </w:tc>
        <w:tc>
          <w:tcPr>
            <w:tcW w:w="4138" w:type="pct"/>
          </w:tcPr>
          <w:p w:rsidR="00030E96" w:rsidRDefault="00030E96" w:rsidP="00CD58FF">
            <w:pPr>
              <w:pStyle w:val="DQITableText"/>
            </w:pPr>
            <w:r w:rsidRPr="00CD72B9">
              <w:t>‘Workforce by age group’ is defined as the age profile of the workforce, measured by</w:t>
            </w:r>
            <w:r>
              <w:t xml:space="preserve"> </w:t>
            </w:r>
            <w:r w:rsidRPr="00CD72B9">
              <w:t>the proportion of the operational workforce in 10 year age brackets (under 30, 30–39,</w:t>
            </w:r>
            <w:r>
              <w:t xml:space="preserve"> </w:t>
            </w:r>
            <w:r w:rsidRPr="00CD72B9">
              <w:t>40–49, 50–59 and 60 and over).</w:t>
            </w:r>
          </w:p>
          <w:p w:rsidR="00030E96" w:rsidRPr="00CD58FF" w:rsidRDefault="00030E96" w:rsidP="00CD58FF">
            <w:pPr>
              <w:pStyle w:val="DQITableText"/>
              <w:rPr>
                <w:u w:val="single"/>
              </w:rPr>
            </w:pPr>
            <w:r w:rsidRPr="00CD58FF">
              <w:rPr>
                <w:u w:val="single"/>
              </w:rPr>
              <w:t xml:space="preserve">Operational workforce </w:t>
            </w:r>
          </w:p>
          <w:p w:rsidR="00030E96" w:rsidRDefault="00030E96" w:rsidP="00CD58FF">
            <w:pPr>
              <w:pStyle w:val="DQITableText"/>
            </w:pPr>
            <w:r w:rsidRPr="002301A7">
              <w:t xml:space="preserve">Number of </w:t>
            </w:r>
            <w:r>
              <w:t xml:space="preserve">ambulance services </w:t>
            </w:r>
            <w:r w:rsidRPr="002301A7">
              <w:t>personnel</w:t>
            </w:r>
            <w:r>
              <w:t xml:space="preserve"> </w:t>
            </w:r>
            <w:r w:rsidRPr="002301A7">
              <w:t>who fall into</w:t>
            </w:r>
            <w:r>
              <w:t xml:space="preserve"> the following categories.</w:t>
            </w:r>
          </w:p>
          <w:p w:rsidR="00030E96" w:rsidRDefault="00030E96" w:rsidP="00CD58FF">
            <w:pPr>
              <w:pStyle w:val="DQITableBullet"/>
            </w:pPr>
            <w:r w:rsidRPr="002301A7">
              <w:t>Patient tran</w:t>
            </w:r>
            <w:r>
              <w:t>sport officers</w:t>
            </w:r>
            <w:r w:rsidRPr="002301A7">
              <w:t xml:space="preserve"> </w:t>
            </w:r>
          </w:p>
          <w:p w:rsidR="00030E96" w:rsidRDefault="00030E96" w:rsidP="00CD58FF">
            <w:pPr>
              <w:pStyle w:val="DQITableBullet"/>
            </w:pPr>
            <w:r w:rsidRPr="002301A7">
              <w:t xml:space="preserve">Student </w:t>
            </w:r>
            <w:r>
              <w:t>ambulance officers</w:t>
            </w:r>
          </w:p>
          <w:p w:rsidR="00030E96" w:rsidRDefault="00030E96" w:rsidP="00CD58FF">
            <w:pPr>
              <w:pStyle w:val="DQITableBullet"/>
            </w:pPr>
            <w:r w:rsidRPr="002301A7">
              <w:t xml:space="preserve">Qualified ambulance officers </w:t>
            </w:r>
          </w:p>
          <w:p w:rsidR="00030E96" w:rsidRDefault="00030E96" w:rsidP="00CD58FF">
            <w:pPr>
              <w:pStyle w:val="DQITableBullet"/>
            </w:pPr>
            <w:r w:rsidRPr="002301A7">
              <w:t xml:space="preserve">Clinical </w:t>
            </w:r>
            <w:r>
              <w:t>other</w:t>
            </w:r>
          </w:p>
          <w:p w:rsidR="00523692" w:rsidRDefault="00523692" w:rsidP="00523692">
            <w:pPr>
              <w:pStyle w:val="DQITableBullet"/>
            </w:pPr>
            <w:r w:rsidRPr="002301A7">
              <w:t xml:space="preserve">Communication </w:t>
            </w:r>
            <w:r>
              <w:t>operatives (paramedic)</w:t>
            </w:r>
          </w:p>
          <w:p w:rsidR="00523692" w:rsidRDefault="00523692" w:rsidP="00523692">
            <w:pPr>
              <w:pStyle w:val="DQITableBullet"/>
            </w:pPr>
            <w:r w:rsidRPr="002301A7">
              <w:t xml:space="preserve">Management </w:t>
            </w:r>
            <w:r>
              <w:t>—</w:t>
            </w:r>
            <w:r w:rsidRPr="002301A7">
              <w:t xml:space="preserve"> operational managers</w:t>
            </w:r>
            <w:r>
              <w:t xml:space="preserve"> (paramedic)</w:t>
            </w:r>
            <w:r w:rsidRPr="002301A7">
              <w:t xml:space="preserve"> and clinical support </w:t>
            </w:r>
            <w:r>
              <w:t>(paramedic)</w:t>
            </w:r>
          </w:p>
          <w:p w:rsidR="00030E96" w:rsidRPr="00CD58FF" w:rsidRDefault="00030E96" w:rsidP="00CD58FF">
            <w:pPr>
              <w:pStyle w:val="DQITableText"/>
              <w:rPr>
                <w:u w:val="single"/>
              </w:rPr>
            </w:pPr>
            <w:r w:rsidRPr="00CD58FF">
              <w:rPr>
                <w:u w:val="single"/>
              </w:rPr>
              <w:t>Age group</w:t>
            </w:r>
          </w:p>
          <w:p w:rsidR="00030E96" w:rsidRDefault="00030E96" w:rsidP="00CD58FF">
            <w:pPr>
              <w:pStyle w:val="DQITableText"/>
            </w:pPr>
            <w:r>
              <w:t xml:space="preserve">Ambulance services </w:t>
            </w:r>
            <w:r w:rsidRPr="002301A7">
              <w:t>personnel</w:t>
            </w:r>
            <w:r>
              <w:t xml:space="preserve"> </w:t>
            </w:r>
            <w:r w:rsidRPr="002301A7">
              <w:t>who fall into</w:t>
            </w:r>
            <w:r>
              <w:t xml:space="preserve"> the following </w:t>
            </w:r>
            <w:r w:rsidRPr="00412069">
              <w:t>age</w:t>
            </w:r>
            <w:r>
              <w:t xml:space="preserve"> groups</w:t>
            </w:r>
            <w:r w:rsidRPr="00412069">
              <w:t xml:space="preserve">: </w:t>
            </w:r>
          </w:p>
          <w:p w:rsidR="00030E96" w:rsidRDefault="00030E96" w:rsidP="00CD58FF">
            <w:pPr>
              <w:pStyle w:val="DQITableBullet"/>
            </w:pPr>
            <w:r w:rsidRPr="00412069">
              <w:t xml:space="preserve">under 30 year old, </w:t>
            </w:r>
          </w:p>
          <w:p w:rsidR="00030E96" w:rsidRDefault="00030E96" w:rsidP="00CD58FF">
            <w:pPr>
              <w:pStyle w:val="DQITableBullet"/>
            </w:pPr>
            <w:r w:rsidRPr="00412069">
              <w:t>30</w:t>
            </w:r>
            <w:r w:rsidR="009D2362">
              <w:noBreakHyphen/>
            </w:r>
            <w:r w:rsidRPr="00412069">
              <w:t xml:space="preserve">39 year old, </w:t>
            </w:r>
          </w:p>
          <w:p w:rsidR="00030E96" w:rsidRDefault="00030E96" w:rsidP="00CD58FF">
            <w:pPr>
              <w:pStyle w:val="DQITableBullet"/>
            </w:pPr>
            <w:r w:rsidRPr="00412069">
              <w:t>40</w:t>
            </w:r>
            <w:r w:rsidR="009D2362">
              <w:noBreakHyphen/>
            </w:r>
            <w:r w:rsidRPr="00412069">
              <w:t xml:space="preserve">49 year old, </w:t>
            </w:r>
          </w:p>
          <w:p w:rsidR="00030E96" w:rsidRDefault="00030E96" w:rsidP="00CD58FF">
            <w:pPr>
              <w:pStyle w:val="DQITableBullet"/>
            </w:pPr>
            <w:r w:rsidRPr="00412069">
              <w:t>50</w:t>
            </w:r>
            <w:r w:rsidR="009D2362">
              <w:noBreakHyphen/>
            </w:r>
            <w:r w:rsidRPr="00412069">
              <w:t xml:space="preserve">59 year old </w:t>
            </w:r>
          </w:p>
          <w:p w:rsidR="00030E96" w:rsidRPr="00A05229" w:rsidRDefault="00030E96" w:rsidP="00CD58FF">
            <w:pPr>
              <w:pStyle w:val="DQITableBullet"/>
            </w:pPr>
            <w:r w:rsidRPr="00412069">
              <w:t>60 and over year old.</w:t>
            </w:r>
          </w:p>
        </w:tc>
      </w:tr>
      <w:tr w:rsidR="00030E96" w:rsidRPr="001F3F80" w:rsidTr="002E49D6">
        <w:trPr>
          <w:cantSplit/>
          <w:jc w:val="center"/>
        </w:trPr>
        <w:tc>
          <w:tcPr>
            <w:tcW w:w="862" w:type="pct"/>
          </w:tcPr>
          <w:p w:rsidR="00030E96" w:rsidRPr="00A05229" w:rsidRDefault="00030E96" w:rsidP="00CD58FF">
            <w:pPr>
              <w:pStyle w:val="DQIRowHeadings"/>
            </w:pPr>
            <w:r w:rsidRPr="00A05229">
              <w:t>Data source</w:t>
            </w:r>
          </w:p>
        </w:tc>
        <w:tc>
          <w:tcPr>
            <w:tcW w:w="4138" w:type="pct"/>
          </w:tcPr>
          <w:p w:rsidR="00030E96" w:rsidRPr="00A05229" w:rsidRDefault="00030E96" w:rsidP="00CD58FF">
            <w:pPr>
              <w:pStyle w:val="DQITableText"/>
            </w:pPr>
            <w:r>
              <w:rPr>
                <w:i/>
              </w:rPr>
              <w:t>Consolidated Returns</w:t>
            </w:r>
            <w:r w:rsidRPr="00B43BC8">
              <w:t>,</w:t>
            </w:r>
            <w:r>
              <w:rPr>
                <w:i/>
              </w:rPr>
              <w:t xml:space="preserve"> </w:t>
            </w:r>
            <w:r>
              <w:t>Council of Ambulance Authorities (</w:t>
            </w:r>
            <w:proofErr w:type="spellStart"/>
            <w:r>
              <w:t>CAA</w:t>
            </w:r>
            <w:proofErr w:type="spellEnd"/>
            <w:r>
              <w:t xml:space="preserve">) </w:t>
            </w:r>
          </w:p>
        </w:tc>
      </w:tr>
      <w:tr w:rsidR="00030E96" w:rsidRPr="000D7225" w:rsidTr="002E49D6">
        <w:trPr>
          <w:cantSplit/>
          <w:jc w:val="center"/>
        </w:trPr>
        <w:tc>
          <w:tcPr>
            <w:tcW w:w="5000" w:type="pct"/>
            <w:gridSpan w:val="2"/>
          </w:tcPr>
          <w:p w:rsidR="00030E96" w:rsidRPr="00CE3D86" w:rsidRDefault="00030E96" w:rsidP="00CD58FF">
            <w:pPr>
              <w:pStyle w:val="DQIMainRowHeadings"/>
              <w:rPr>
                <w:rFonts w:cs="Arial"/>
                <w:sz w:val="22"/>
                <w:szCs w:val="22"/>
              </w:rPr>
            </w:pPr>
            <w:r>
              <w:rPr>
                <w:rFonts w:ascii="Times New Roman" w:hAnsi="Times New Roman"/>
                <w:sz w:val="24"/>
              </w:rPr>
              <w:br w:type="page"/>
            </w:r>
            <w:r>
              <w:rPr>
                <w:rFonts w:ascii="Times New Roman" w:hAnsi="Times New Roman"/>
                <w:sz w:val="24"/>
              </w:rPr>
              <w:br w:type="page"/>
            </w:r>
            <w:r w:rsidRPr="003211C6">
              <w:t>Data Quality Framework dimensions</w:t>
            </w:r>
          </w:p>
        </w:tc>
      </w:tr>
      <w:tr w:rsidR="00030E96" w:rsidRPr="00254F46" w:rsidTr="002E49D6">
        <w:trPr>
          <w:cantSplit/>
          <w:jc w:val="center"/>
        </w:trPr>
        <w:tc>
          <w:tcPr>
            <w:tcW w:w="862" w:type="pct"/>
          </w:tcPr>
          <w:p w:rsidR="00030E96" w:rsidRPr="00A05229" w:rsidRDefault="00030E96" w:rsidP="00CD58FF">
            <w:pPr>
              <w:pStyle w:val="DQIRowHeadings"/>
            </w:pPr>
            <w:r w:rsidRPr="00A05229">
              <w:t>Institutional environment</w:t>
            </w:r>
          </w:p>
        </w:tc>
        <w:tc>
          <w:tcPr>
            <w:tcW w:w="4138" w:type="pct"/>
          </w:tcPr>
          <w:p w:rsidR="00030E96" w:rsidRDefault="00030E96" w:rsidP="00CD58FF">
            <w:pPr>
              <w:pStyle w:val="DQITableText"/>
            </w:pPr>
            <w:r>
              <w:t xml:space="preserve">The </w:t>
            </w:r>
            <w:proofErr w:type="spellStart"/>
            <w:r>
              <w:t>CAA</w:t>
            </w:r>
            <w:proofErr w:type="spellEnd"/>
            <w:r>
              <w:t xml:space="preserve"> is the peak body representing the principal statutory providers of ambulance services in Australia. </w:t>
            </w:r>
          </w:p>
          <w:p w:rsidR="00030E96" w:rsidRDefault="00030E96" w:rsidP="00CD58FF">
            <w:pPr>
              <w:pStyle w:val="DQITableText"/>
            </w:pPr>
            <w:r>
              <w:t xml:space="preserve">The </w:t>
            </w:r>
            <w:proofErr w:type="spellStart"/>
            <w:r>
              <w:t>CAA</w:t>
            </w:r>
            <w:proofErr w:type="spellEnd"/>
            <w:r>
              <w:t xml:space="preserve"> collects administrative data annually from all statutory ambulance services, using the same core questionnaire and instructions — the </w:t>
            </w:r>
            <w:proofErr w:type="spellStart"/>
            <w:r w:rsidRPr="00620164">
              <w:rPr>
                <w:i/>
                <w:iCs/>
              </w:rPr>
              <w:t>CAA</w:t>
            </w:r>
            <w:proofErr w:type="spellEnd"/>
            <w:r w:rsidRPr="00620164">
              <w:rPr>
                <w:i/>
                <w:iCs/>
              </w:rPr>
              <w:t xml:space="preserve"> Consolidated Returns</w:t>
            </w:r>
            <w:r>
              <w:t xml:space="preserve">. </w:t>
            </w:r>
          </w:p>
          <w:p w:rsidR="00030E96" w:rsidRPr="00A05229" w:rsidRDefault="00030E96" w:rsidP="00CD58FF">
            <w:pPr>
              <w:pStyle w:val="DQITableText"/>
            </w:pPr>
            <w:r>
              <w:t xml:space="preserve">The ambulance service organisations send their data to the </w:t>
            </w:r>
            <w:proofErr w:type="spellStart"/>
            <w:r>
              <w:t>CAA</w:t>
            </w:r>
            <w:proofErr w:type="spellEnd"/>
            <w:r>
              <w:t xml:space="preserve">. The </w:t>
            </w:r>
            <w:proofErr w:type="spellStart"/>
            <w:r>
              <w:t>CAA</w:t>
            </w:r>
            <w:proofErr w:type="spellEnd"/>
            <w:r>
              <w:t xml:space="preserve"> then collates all data to be provided to the Productivity Commission use in the </w:t>
            </w:r>
            <w:proofErr w:type="spellStart"/>
            <w:r>
              <w:t>RoGS</w:t>
            </w:r>
            <w:proofErr w:type="spellEnd"/>
            <w:r>
              <w:t>.</w:t>
            </w:r>
          </w:p>
        </w:tc>
      </w:tr>
      <w:tr w:rsidR="00030E96" w:rsidRPr="00254F46" w:rsidTr="002E49D6">
        <w:trPr>
          <w:cantSplit/>
          <w:jc w:val="center"/>
        </w:trPr>
        <w:tc>
          <w:tcPr>
            <w:tcW w:w="862" w:type="pct"/>
          </w:tcPr>
          <w:p w:rsidR="00030E96" w:rsidRPr="00A05229" w:rsidRDefault="00030E96" w:rsidP="00CD58FF">
            <w:pPr>
              <w:pStyle w:val="DQIRowHeadings"/>
            </w:pPr>
            <w:r w:rsidRPr="00A05229">
              <w:t>Relevance</w:t>
            </w:r>
          </w:p>
        </w:tc>
        <w:tc>
          <w:tcPr>
            <w:tcW w:w="4138" w:type="pct"/>
          </w:tcPr>
          <w:p w:rsidR="00030E96" w:rsidRDefault="00030E96" w:rsidP="00CD58FF">
            <w:pPr>
              <w:pStyle w:val="DQITableText"/>
            </w:pPr>
            <w:r w:rsidRPr="003363E5">
              <w:t>The indicator is available for all statutory ambulance services in Australia</w:t>
            </w:r>
            <w:r>
              <w:t>, by State and Territory</w:t>
            </w:r>
            <w:r w:rsidRPr="003363E5">
              <w:t>.</w:t>
            </w:r>
          </w:p>
          <w:p w:rsidR="00030E96" w:rsidRDefault="00030E96" w:rsidP="00CD58FF">
            <w:pPr>
              <w:pStyle w:val="DQITableText"/>
            </w:pPr>
            <w:r w:rsidRPr="00B56A49">
              <w:t xml:space="preserve">The </w:t>
            </w:r>
            <w:proofErr w:type="spellStart"/>
            <w:r w:rsidRPr="00B56A49">
              <w:rPr>
                <w:i/>
              </w:rPr>
              <w:t>CAA</w:t>
            </w:r>
            <w:proofErr w:type="spellEnd"/>
            <w:r w:rsidRPr="00B56A49">
              <w:rPr>
                <w:i/>
              </w:rPr>
              <w:t xml:space="preserve"> Consolidated Returns</w:t>
            </w:r>
            <w:r>
              <w:t xml:space="preserve"> collects data for each of the operational workforce categories and age group, as defined in the measure.</w:t>
            </w:r>
          </w:p>
          <w:p w:rsidR="00030E96" w:rsidRPr="00A05229" w:rsidRDefault="00030E96" w:rsidP="00CD58FF">
            <w:pPr>
              <w:pStyle w:val="DQITableText"/>
            </w:pPr>
            <w:r w:rsidRPr="00CD72B9">
              <w:t xml:space="preserve">The </w:t>
            </w:r>
            <w:r>
              <w:t xml:space="preserve">age profile of the ambulance service </w:t>
            </w:r>
            <w:r w:rsidRPr="00CD72B9">
              <w:t xml:space="preserve">workforce </w:t>
            </w:r>
            <w:r>
              <w:t xml:space="preserve">represents one aspect of sustainability — indicating the </w:t>
            </w:r>
            <w:r w:rsidRPr="00CD72B9">
              <w:t xml:space="preserve">proportion </w:t>
            </w:r>
            <w:r>
              <w:t xml:space="preserve">of the workforce </w:t>
            </w:r>
            <w:r w:rsidRPr="00CD72B9">
              <w:t>closer to retirement.</w:t>
            </w:r>
          </w:p>
        </w:tc>
      </w:tr>
      <w:tr w:rsidR="00030E96" w:rsidRPr="00254F46" w:rsidTr="002E49D6">
        <w:trPr>
          <w:cantSplit/>
          <w:jc w:val="center"/>
        </w:trPr>
        <w:tc>
          <w:tcPr>
            <w:tcW w:w="862" w:type="pct"/>
          </w:tcPr>
          <w:p w:rsidR="00030E96" w:rsidRPr="00A05229" w:rsidRDefault="00030E96" w:rsidP="00CD58FF">
            <w:pPr>
              <w:pStyle w:val="DQIRowHeadings"/>
            </w:pPr>
            <w:r w:rsidRPr="00A05229">
              <w:t>Timeliness</w:t>
            </w:r>
          </w:p>
        </w:tc>
        <w:tc>
          <w:tcPr>
            <w:tcW w:w="4138" w:type="pct"/>
          </w:tcPr>
          <w:p w:rsidR="00030E96" w:rsidRPr="00E75549" w:rsidRDefault="00030E96" w:rsidP="007F6100">
            <w:pPr>
              <w:pStyle w:val="DQITableText"/>
            </w:pPr>
            <w:r>
              <w:t xml:space="preserve">Workforce by age group data </w:t>
            </w:r>
            <w:r w:rsidR="00EE3F05">
              <w:t>are</w:t>
            </w:r>
            <w:r>
              <w:t xml:space="preserve"> published annually for the latest financial year preceding the January release of each </w:t>
            </w:r>
            <w:proofErr w:type="spellStart"/>
            <w:r w:rsidR="007F6100">
              <w:t>RoGS</w:t>
            </w:r>
            <w:proofErr w:type="spellEnd"/>
            <w:r>
              <w:t>.</w:t>
            </w:r>
          </w:p>
        </w:tc>
      </w:tr>
      <w:tr w:rsidR="00030E96" w:rsidRPr="00254F46" w:rsidTr="002E49D6">
        <w:trPr>
          <w:jc w:val="center"/>
        </w:trPr>
        <w:tc>
          <w:tcPr>
            <w:tcW w:w="862" w:type="pct"/>
          </w:tcPr>
          <w:p w:rsidR="00030E96" w:rsidRPr="00A05229" w:rsidRDefault="00030E96" w:rsidP="00CD58FF">
            <w:pPr>
              <w:pStyle w:val="DQIRowHeadings"/>
            </w:pPr>
            <w:r w:rsidRPr="00A05229">
              <w:t>Accuracy</w:t>
            </w:r>
          </w:p>
        </w:tc>
        <w:tc>
          <w:tcPr>
            <w:tcW w:w="4138" w:type="pct"/>
          </w:tcPr>
          <w:p w:rsidR="00030E96" w:rsidRDefault="00030E96" w:rsidP="00CD58FF">
            <w:pPr>
              <w:pStyle w:val="DQITableText"/>
            </w:pPr>
            <w:r>
              <w:t xml:space="preserve">The </w:t>
            </w:r>
            <w:proofErr w:type="spellStart"/>
            <w:r w:rsidRPr="00620164">
              <w:rPr>
                <w:i/>
              </w:rPr>
              <w:t>CAA</w:t>
            </w:r>
            <w:proofErr w:type="spellEnd"/>
            <w:r w:rsidRPr="00620164">
              <w:rPr>
                <w:i/>
              </w:rPr>
              <w:t xml:space="preserve"> Consolidated Returns</w:t>
            </w:r>
            <w:r>
              <w:t xml:space="preserve"> compile administrative data from all </w:t>
            </w:r>
            <w:r w:rsidRPr="00CD72B9">
              <w:rPr>
                <w:lang w:val="en-GB"/>
              </w:rPr>
              <w:t>statutory providers of ambulance services in Australia</w:t>
            </w:r>
            <w:r>
              <w:rPr>
                <w:lang w:val="en-GB"/>
              </w:rPr>
              <w:t xml:space="preserve">. </w:t>
            </w:r>
          </w:p>
          <w:p w:rsidR="00030E96" w:rsidRPr="00F565CD" w:rsidRDefault="00030E96" w:rsidP="00CD58FF">
            <w:pPr>
              <w:pStyle w:val="DQITableText"/>
            </w:pPr>
            <w:r>
              <w:t xml:space="preserve">They are collected according to agreed definitions provided in the </w:t>
            </w:r>
            <w:proofErr w:type="spellStart"/>
            <w:r>
              <w:t>CAA</w:t>
            </w:r>
            <w:proofErr w:type="spellEnd"/>
            <w:r>
              <w:t xml:space="preserve"> data dictionary.</w:t>
            </w:r>
          </w:p>
        </w:tc>
      </w:tr>
      <w:tr w:rsidR="00030E96" w:rsidRPr="00E57110" w:rsidTr="002E49D6">
        <w:trPr>
          <w:cantSplit/>
          <w:jc w:val="center"/>
        </w:trPr>
        <w:tc>
          <w:tcPr>
            <w:tcW w:w="862" w:type="pct"/>
          </w:tcPr>
          <w:p w:rsidR="00030E96" w:rsidRPr="00A05229" w:rsidRDefault="00030E96" w:rsidP="00CD58FF">
            <w:pPr>
              <w:pStyle w:val="DQIRowHeadings"/>
            </w:pPr>
            <w:r w:rsidRPr="00A05229">
              <w:lastRenderedPageBreak/>
              <w:t>Coherence</w:t>
            </w:r>
          </w:p>
        </w:tc>
        <w:tc>
          <w:tcPr>
            <w:tcW w:w="4138" w:type="pct"/>
          </w:tcPr>
          <w:p w:rsidR="00030E96" w:rsidRPr="00CD72B9" w:rsidRDefault="00030E96" w:rsidP="00CD58FF">
            <w:pPr>
              <w:pStyle w:val="DQITableText"/>
            </w:pPr>
            <w:r w:rsidRPr="00CD72B9">
              <w:t xml:space="preserve">All data (numerators and denominators) are sourced from the </w:t>
            </w:r>
            <w:proofErr w:type="spellStart"/>
            <w:r w:rsidRPr="00CD72B9">
              <w:t>CAA</w:t>
            </w:r>
            <w:proofErr w:type="spellEnd"/>
            <w:r w:rsidRPr="00CD72B9">
              <w:t xml:space="preserve"> </w:t>
            </w:r>
            <w:r>
              <w:rPr>
                <w:i/>
              </w:rPr>
              <w:t>Consolidated Returns.</w:t>
            </w:r>
            <w:r w:rsidRPr="00CD72B9">
              <w:t xml:space="preserve"> </w:t>
            </w:r>
          </w:p>
          <w:p w:rsidR="00030E96" w:rsidRPr="00CD72B9" w:rsidRDefault="00030E96" w:rsidP="00523692">
            <w:pPr>
              <w:pStyle w:val="DQITableText"/>
            </w:pPr>
            <w:r w:rsidRPr="00CD72B9">
              <w:t xml:space="preserve">Estimates from the </w:t>
            </w:r>
            <w:proofErr w:type="spellStart"/>
            <w:r w:rsidRPr="00CD72B9">
              <w:t>CAA</w:t>
            </w:r>
            <w:proofErr w:type="spellEnd"/>
            <w:r w:rsidRPr="00CD72B9">
              <w:t xml:space="preserve"> </w:t>
            </w:r>
            <w:r>
              <w:rPr>
                <w:i/>
              </w:rPr>
              <w:t>Consolidated Returns</w:t>
            </w:r>
            <w:r w:rsidRPr="00CD72B9">
              <w:rPr>
                <w:i/>
              </w:rPr>
              <w:t xml:space="preserve"> </w:t>
            </w:r>
            <w:r w:rsidRPr="00CD72B9">
              <w:t xml:space="preserve">are comparable over time and between jurisdictions, subject </w:t>
            </w:r>
            <w:r>
              <w:t>to caveats provided by services</w:t>
            </w:r>
            <w:r w:rsidRPr="00CD72B9">
              <w:t xml:space="preserve">. </w:t>
            </w:r>
          </w:p>
          <w:p w:rsidR="00030E96" w:rsidRPr="00A05229" w:rsidRDefault="00030E96" w:rsidP="00CD58FF">
            <w:pPr>
              <w:pStyle w:val="DQITableText"/>
            </w:pPr>
            <w:r w:rsidRPr="00CD72B9">
              <w:t xml:space="preserve">The </w:t>
            </w:r>
            <w:r>
              <w:t>collection</w:t>
            </w:r>
            <w:r w:rsidRPr="00CD72B9">
              <w:t xml:space="preserve">, instructions, definitions and analysis are prepared and overseen by the </w:t>
            </w:r>
            <w:proofErr w:type="spellStart"/>
            <w:r w:rsidRPr="00CD72B9">
              <w:t>CAA</w:t>
            </w:r>
            <w:proofErr w:type="spellEnd"/>
            <w:r w:rsidRPr="00CD72B9">
              <w:t xml:space="preserve"> and are the same for all state and territory services. </w:t>
            </w:r>
          </w:p>
        </w:tc>
      </w:tr>
      <w:tr w:rsidR="00030E96" w:rsidRPr="00E57110" w:rsidTr="002E49D6">
        <w:trPr>
          <w:cantSplit/>
          <w:jc w:val="center"/>
        </w:trPr>
        <w:tc>
          <w:tcPr>
            <w:tcW w:w="862" w:type="pct"/>
          </w:tcPr>
          <w:p w:rsidR="00030E96" w:rsidRPr="00A05229" w:rsidRDefault="00030E96" w:rsidP="00CD58FF">
            <w:pPr>
              <w:pStyle w:val="DQIRowHeadings"/>
            </w:pPr>
            <w:r w:rsidRPr="00A05229">
              <w:t>Accessibility</w:t>
            </w:r>
          </w:p>
        </w:tc>
        <w:tc>
          <w:tcPr>
            <w:tcW w:w="4138" w:type="pct"/>
          </w:tcPr>
          <w:p w:rsidR="00030E96" w:rsidRPr="00A05229" w:rsidRDefault="00030E96" w:rsidP="007F6100">
            <w:pPr>
              <w:pStyle w:val="DQITableText"/>
            </w:pPr>
            <w:r>
              <w:t xml:space="preserve">The workforce by age group data </w:t>
            </w:r>
            <w:r w:rsidR="00523692">
              <w:t>are</w:t>
            </w:r>
            <w:r>
              <w:t xml:space="preserve"> made publicly available </w:t>
            </w:r>
            <w:r w:rsidR="007F6100">
              <w:t xml:space="preserve">annually </w:t>
            </w:r>
            <w:r>
              <w:t xml:space="preserve">as part of the </w:t>
            </w:r>
            <w:proofErr w:type="spellStart"/>
            <w:r>
              <w:t>CAA</w:t>
            </w:r>
            <w:proofErr w:type="spellEnd"/>
            <w:r>
              <w:t xml:space="preserve"> Annual Report on the </w:t>
            </w:r>
            <w:proofErr w:type="spellStart"/>
            <w:r>
              <w:t>CAA</w:t>
            </w:r>
            <w:proofErr w:type="spellEnd"/>
            <w:r>
              <w:t xml:space="preserve"> </w:t>
            </w:r>
            <w:r w:rsidRPr="00B43BC8">
              <w:rPr>
                <w:rFonts w:ascii="ArialMT" w:eastAsiaTheme="minorEastAsia" w:hAnsi="ArialMT" w:cs="ArialMT"/>
                <w:lang w:eastAsia="zh-TW"/>
              </w:rPr>
              <w:t>website</w:t>
            </w:r>
            <w:r>
              <w:t xml:space="preserve"> (</w:t>
            </w:r>
            <w:proofErr w:type="spellStart"/>
            <w:r w:rsidRPr="004A1422">
              <w:t>www.caa.net.au</w:t>
            </w:r>
            <w:proofErr w:type="spellEnd"/>
            <w:r>
              <w:t>).</w:t>
            </w:r>
          </w:p>
        </w:tc>
      </w:tr>
      <w:tr w:rsidR="00030E96" w:rsidRPr="00254F46" w:rsidTr="002E49D6">
        <w:trPr>
          <w:cantSplit/>
          <w:jc w:val="center"/>
        </w:trPr>
        <w:tc>
          <w:tcPr>
            <w:tcW w:w="862" w:type="pct"/>
          </w:tcPr>
          <w:p w:rsidR="00030E96" w:rsidRPr="00A05229" w:rsidRDefault="00030E96" w:rsidP="00CD58FF">
            <w:pPr>
              <w:pStyle w:val="DQIRowHeadings"/>
            </w:pPr>
            <w:r w:rsidRPr="00A05229">
              <w:t>Interpretability</w:t>
            </w:r>
          </w:p>
        </w:tc>
        <w:tc>
          <w:tcPr>
            <w:tcW w:w="4138" w:type="pct"/>
          </w:tcPr>
          <w:p w:rsidR="00030E96" w:rsidRPr="006C2C6E" w:rsidRDefault="00030E96" w:rsidP="00523692">
            <w:pPr>
              <w:pStyle w:val="DQITableText"/>
            </w:pPr>
            <w:r w:rsidRPr="00CD72B9">
              <w:t xml:space="preserve">The workforce by age group data </w:t>
            </w:r>
            <w:r w:rsidR="00523692">
              <w:t>are</w:t>
            </w:r>
            <w:r w:rsidRPr="00CD72B9">
              <w:t xml:space="preserve"> publicly available and includes definitions of the collected data.</w:t>
            </w:r>
          </w:p>
        </w:tc>
      </w:tr>
      <w:tr w:rsidR="00030E96" w:rsidRPr="00254F46" w:rsidTr="002E49D6">
        <w:trPr>
          <w:cantSplit/>
          <w:jc w:val="center"/>
        </w:trPr>
        <w:tc>
          <w:tcPr>
            <w:tcW w:w="5000" w:type="pct"/>
            <w:gridSpan w:val="2"/>
          </w:tcPr>
          <w:p w:rsidR="00030E96" w:rsidRPr="00CE3D86" w:rsidRDefault="00030E96" w:rsidP="00CD58FF">
            <w:pPr>
              <w:pStyle w:val="DQIMainRowHeadings"/>
            </w:pPr>
            <w:r w:rsidRPr="00C744E0">
              <w:t>Data Gaps/Issues Analysis</w:t>
            </w:r>
          </w:p>
        </w:tc>
      </w:tr>
      <w:tr w:rsidR="00030E96" w:rsidRPr="004F3342" w:rsidTr="002E49D6">
        <w:trPr>
          <w:cantSplit/>
          <w:trHeight w:val="539"/>
          <w:jc w:val="center"/>
        </w:trPr>
        <w:tc>
          <w:tcPr>
            <w:tcW w:w="862" w:type="pct"/>
          </w:tcPr>
          <w:p w:rsidR="00030E96" w:rsidRPr="00A05229" w:rsidRDefault="00030E96" w:rsidP="00CD58FF">
            <w:pPr>
              <w:pStyle w:val="DQIRowHeadings"/>
            </w:pPr>
            <w:r w:rsidRPr="00A05229">
              <w:t>Key data gaps/issues</w:t>
            </w:r>
          </w:p>
        </w:tc>
        <w:tc>
          <w:tcPr>
            <w:tcW w:w="4138" w:type="pct"/>
          </w:tcPr>
          <w:p w:rsidR="00030E96" w:rsidRPr="00620164" w:rsidRDefault="00030E96" w:rsidP="00CD58FF">
            <w:pPr>
              <w:pStyle w:val="DQITableText"/>
            </w:pPr>
            <w:r w:rsidRPr="00620164">
              <w:t>The Steering Committee notes the following issue:</w:t>
            </w:r>
          </w:p>
          <w:p w:rsidR="00030E96" w:rsidRPr="004F3342" w:rsidRDefault="00030E96" w:rsidP="00CD58FF">
            <w:pPr>
              <w:pStyle w:val="DQITableBullet"/>
            </w:pPr>
            <w:r>
              <w:t>The age profile is only one aspect of workforce sustainability. Further research into understanding and measuring the profile of the ambulance workforce is required.</w:t>
            </w:r>
          </w:p>
        </w:tc>
      </w:tr>
    </w:tbl>
    <w:p w:rsidR="00030E96" w:rsidRDefault="00030E96" w:rsidP="00030E96"/>
    <w:p w:rsidR="00CD58FF" w:rsidRDefault="00CD58FF" w:rsidP="00CD58FF">
      <w:pPr>
        <w:rPr>
          <w:szCs w:val="20"/>
        </w:rPr>
      </w:pPr>
      <w:r>
        <w:br w:type="page"/>
      </w:r>
    </w:p>
    <w:p w:rsidR="00CD58FF" w:rsidRDefault="00CD58FF" w:rsidP="00CD58FF">
      <w:pPr>
        <w:pStyle w:val="Heading3"/>
      </w:pPr>
      <w:bookmarkStart w:id="87" w:name="_Toc405885755"/>
      <w:r>
        <w:lastRenderedPageBreak/>
        <w:t>Staff attrition</w:t>
      </w:r>
      <w:bookmarkEnd w:id="87"/>
    </w:p>
    <w:p w:rsidR="00CD58FF" w:rsidRPr="002301A7" w:rsidRDefault="00CD58FF" w:rsidP="00CD58FF">
      <w:pPr>
        <w:pStyle w:val="Box"/>
      </w:pPr>
      <w:r w:rsidRPr="002301A7">
        <w:t>Data quality information for this indicator has been drafted by the Emergency Management Working Group in consultation with the Council of Ambulance Authorities (</w:t>
      </w:r>
      <w:proofErr w:type="spellStart"/>
      <w:r w:rsidRPr="002301A7">
        <w:t>CAA</w:t>
      </w:r>
      <w:proofErr w:type="spellEnd"/>
      <w:r w:rsidRPr="002301A7">
        <w:t>), with additional Steering Committee comments.</w:t>
      </w:r>
    </w:p>
    <w:tbl>
      <w:tblPr>
        <w:tblW w:w="4976" w:type="pct"/>
        <w:jc w:val="center"/>
        <w:tblInd w:w="42" w:type="dxa"/>
        <w:tblLayout w:type="fixed"/>
        <w:tblCellMar>
          <w:top w:w="28" w:type="dxa"/>
          <w:left w:w="28" w:type="dxa"/>
          <w:bottom w:w="28" w:type="dxa"/>
          <w:right w:w="28" w:type="dxa"/>
        </w:tblCellMar>
        <w:tblLook w:val="01E0" w:firstRow="1" w:lastRow="1" w:firstColumn="1" w:lastColumn="1" w:noHBand="0" w:noVBand="0"/>
      </w:tblPr>
      <w:tblGrid>
        <w:gridCol w:w="1460"/>
        <w:gridCol w:w="7089"/>
      </w:tblGrid>
      <w:tr w:rsidR="00CD58FF" w:rsidRPr="001F3F80" w:rsidTr="002E49D6">
        <w:trPr>
          <w:jc w:val="center"/>
        </w:trPr>
        <w:tc>
          <w:tcPr>
            <w:tcW w:w="5000" w:type="pct"/>
            <w:gridSpan w:val="2"/>
          </w:tcPr>
          <w:p w:rsidR="00CD58FF" w:rsidRPr="003211C6" w:rsidRDefault="00CD58FF" w:rsidP="00013A8A">
            <w:pPr>
              <w:pStyle w:val="DQIMainRowHeadings"/>
              <w:rPr>
                <w:rFonts w:cs="Arial"/>
                <w:sz w:val="22"/>
                <w:szCs w:val="22"/>
              </w:rPr>
            </w:pPr>
            <w:r w:rsidRPr="003211C6">
              <w:t>Indicator definition and description</w:t>
            </w:r>
          </w:p>
        </w:tc>
      </w:tr>
      <w:tr w:rsidR="00CD58FF" w:rsidRPr="001F3F80" w:rsidTr="002E49D6">
        <w:trPr>
          <w:jc w:val="center"/>
        </w:trPr>
        <w:tc>
          <w:tcPr>
            <w:tcW w:w="854" w:type="pct"/>
          </w:tcPr>
          <w:p w:rsidR="00CD58FF" w:rsidRPr="00A05229" w:rsidRDefault="00CD58FF" w:rsidP="00013A8A">
            <w:pPr>
              <w:pStyle w:val="DQIRowHeadings"/>
            </w:pPr>
            <w:r w:rsidRPr="00A05229">
              <w:t>Element</w:t>
            </w:r>
          </w:p>
        </w:tc>
        <w:tc>
          <w:tcPr>
            <w:tcW w:w="4146" w:type="pct"/>
          </w:tcPr>
          <w:p w:rsidR="00CD58FF" w:rsidRPr="00BD6B0B" w:rsidRDefault="00CD58FF" w:rsidP="00013A8A">
            <w:pPr>
              <w:pStyle w:val="DQITableText"/>
            </w:pPr>
            <w:r>
              <w:t>Effectiveness — sustainability</w:t>
            </w:r>
          </w:p>
        </w:tc>
      </w:tr>
      <w:tr w:rsidR="00CD58FF" w:rsidRPr="001F3F80" w:rsidTr="002E49D6">
        <w:trPr>
          <w:jc w:val="center"/>
        </w:trPr>
        <w:tc>
          <w:tcPr>
            <w:tcW w:w="854" w:type="pct"/>
          </w:tcPr>
          <w:p w:rsidR="00CD58FF" w:rsidRPr="00A05229" w:rsidRDefault="00CD58FF" w:rsidP="00013A8A">
            <w:pPr>
              <w:pStyle w:val="DQIRowHeadings"/>
            </w:pPr>
            <w:r w:rsidRPr="00A05229">
              <w:t>Indicator</w:t>
            </w:r>
          </w:p>
        </w:tc>
        <w:tc>
          <w:tcPr>
            <w:tcW w:w="4146" w:type="pct"/>
          </w:tcPr>
          <w:p w:rsidR="00CD58FF" w:rsidRPr="00BD6B0B" w:rsidRDefault="00523692" w:rsidP="00013A8A">
            <w:pPr>
              <w:pStyle w:val="DQITableText"/>
            </w:pPr>
            <w:r>
              <w:t>Staff attrition</w:t>
            </w:r>
          </w:p>
        </w:tc>
      </w:tr>
      <w:tr w:rsidR="00CD58FF" w:rsidRPr="001F3F80" w:rsidTr="002E49D6">
        <w:trPr>
          <w:jc w:val="center"/>
        </w:trPr>
        <w:tc>
          <w:tcPr>
            <w:tcW w:w="854" w:type="pct"/>
          </w:tcPr>
          <w:p w:rsidR="00CD58FF" w:rsidRPr="00A05229" w:rsidRDefault="00CD58FF" w:rsidP="00013A8A">
            <w:pPr>
              <w:pStyle w:val="DQIRowHeadings"/>
            </w:pPr>
            <w:r w:rsidRPr="00A05229">
              <w:t>Measure (computation)</w:t>
            </w:r>
          </w:p>
        </w:tc>
        <w:tc>
          <w:tcPr>
            <w:tcW w:w="4146" w:type="pct"/>
          </w:tcPr>
          <w:p w:rsidR="00523692" w:rsidRDefault="00523692" w:rsidP="00523692">
            <w:pPr>
              <w:pStyle w:val="DQITableText"/>
            </w:pPr>
            <w:r>
              <w:t>Staff attrition</w:t>
            </w:r>
            <w:r w:rsidRPr="00CD72B9">
              <w:t xml:space="preserve">’ is defined as </w:t>
            </w:r>
            <w:r>
              <w:t>the</w:t>
            </w:r>
            <w:r w:rsidRPr="00D2009F">
              <w:t xml:space="preserve"> level of attrition in the operational workforce. </w:t>
            </w:r>
          </w:p>
          <w:p w:rsidR="00523692" w:rsidRDefault="00523692" w:rsidP="00523692">
            <w:pPr>
              <w:pStyle w:val="DQITableText"/>
            </w:pPr>
            <w:r w:rsidRPr="00D2009F">
              <w:t>It is calculated as the number of FTE employees who exit the organisation as a proportion of the number of FTE employees. It is based on staff FTE defined as operational positions where paramedic qualifications are either essential or desirable to the role.</w:t>
            </w:r>
          </w:p>
          <w:tbl>
            <w:tblPr>
              <w:tblStyle w:val="TableGrid"/>
              <w:tblpPr w:leftFromText="180" w:rightFromText="180" w:vertAnchor="text" w:horzAnchor="page" w:tblpX="2161" w:tblpY="110"/>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More details can be found within the text surrounding this image."/>
            </w:tblPr>
            <w:tblGrid>
              <w:gridCol w:w="2694"/>
              <w:gridCol w:w="1785"/>
            </w:tblGrid>
            <w:tr w:rsidR="00523692" w:rsidTr="00013A8A">
              <w:trPr>
                <w:trHeight w:val="270"/>
              </w:trPr>
              <w:tc>
                <w:tcPr>
                  <w:tcW w:w="2694" w:type="dxa"/>
                  <w:tcBorders>
                    <w:bottom w:val="single" w:sz="4" w:space="0" w:color="auto"/>
                  </w:tcBorders>
                  <w:vAlign w:val="center"/>
                </w:tcPr>
                <w:p w:rsidR="00523692" w:rsidRDefault="00523692" w:rsidP="002E49D6">
                  <w:pPr>
                    <w:pStyle w:val="DQITableText"/>
                    <w:spacing w:after="40"/>
                    <w:jc w:val="center"/>
                  </w:pPr>
                  <w:r>
                    <w:t>Staff Attrition</w:t>
                  </w:r>
                </w:p>
              </w:tc>
              <w:tc>
                <w:tcPr>
                  <w:tcW w:w="1785" w:type="dxa"/>
                  <w:vMerge w:val="restart"/>
                  <w:vAlign w:val="center"/>
                </w:tcPr>
                <w:p w:rsidR="00523692" w:rsidRPr="00D54AB6" w:rsidRDefault="00523692" w:rsidP="00523692">
                  <w:pPr>
                    <w:pStyle w:val="TableBodyText"/>
                    <w:jc w:val="left"/>
                    <w:rPr>
                      <w:rFonts w:ascii="MS Shell Dlg 2" w:hAnsi="MS Shell Dlg 2" w:cs="MS Shell Dlg 2"/>
                      <w:sz w:val="17"/>
                      <w:szCs w:val="17"/>
                    </w:rPr>
                  </w:pPr>
                  <w:r w:rsidRPr="004B77E8">
                    <w:rPr>
                      <w:rFonts w:cs="Arial"/>
                      <w:b/>
                      <w:sz w:val="28"/>
                      <w:szCs w:val="26"/>
                    </w:rPr>
                    <w:t>X</w:t>
                  </w:r>
                  <w:r>
                    <w:rPr>
                      <w:rFonts w:cs="Arial"/>
                      <w:sz w:val="26"/>
                      <w:szCs w:val="26"/>
                    </w:rPr>
                    <w:t xml:space="preserve"> </w:t>
                  </w:r>
                  <w:r w:rsidRPr="00D54AB6">
                    <w:t>100</w:t>
                  </w:r>
                </w:p>
              </w:tc>
            </w:tr>
            <w:tr w:rsidR="00523692" w:rsidTr="00013A8A">
              <w:trPr>
                <w:trHeight w:val="270"/>
              </w:trPr>
              <w:tc>
                <w:tcPr>
                  <w:tcW w:w="2694" w:type="dxa"/>
                  <w:tcBorders>
                    <w:top w:val="single" w:sz="4" w:space="0" w:color="auto"/>
                  </w:tcBorders>
                  <w:vAlign w:val="center"/>
                </w:tcPr>
                <w:p w:rsidR="00523692" w:rsidRDefault="00523692" w:rsidP="002E49D6">
                  <w:pPr>
                    <w:pStyle w:val="TableBodyText"/>
                    <w:spacing w:before="40"/>
                    <w:jc w:val="center"/>
                  </w:pPr>
                  <w:r>
                    <w:t>Operational workforce</w:t>
                  </w:r>
                </w:p>
              </w:tc>
              <w:tc>
                <w:tcPr>
                  <w:tcW w:w="1785" w:type="dxa"/>
                  <w:vMerge/>
                </w:tcPr>
                <w:p w:rsidR="00523692" w:rsidRDefault="00523692" w:rsidP="00523692">
                  <w:pPr>
                    <w:pStyle w:val="TableBodyText"/>
                    <w:jc w:val="left"/>
                  </w:pPr>
                </w:p>
              </w:tc>
            </w:tr>
          </w:tbl>
          <w:p w:rsidR="00523692" w:rsidRDefault="00523692" w:rsidP="00523692">
            <w:pPr>
              <w:pStyle w:val="TableBodyText"/>
              <w:jc w:val="left"/>
            </w:pPr>
          </w:p>
          <w:p w:rsidR="00523692" w:rsidRDefault="00523692" w:rsidP="00523692">
            <w:pPr>
              <w:pStyle w:val="DQITableText"/>
            </w:pPr>
            <w:r>
              <w:t xml:space="preserve">Staff Attrition rate = </w:t>
            </w:r>
          </w:p>
          <w:p w:rsidR="00CD58FF" w:rsidRPr="00523692" w:rsidRDefault="00CD58FF" w:rsidP="00523692">
            <w:pPr>
              <w:pStyle w:val="DQITableText"/>
            </w:pPr>
          </w:p>
          <w:p w:rsidR="00CD58FF" w:rsidRPr="00CD58FF" w:rsidRDefault="00CD58FF" w:rsidP="00013A8A">
            <w:pPr>
              <w:pStyle w:val="DQITableText"/>
              <w:rPr>
                <w:u w:val="single"/>
              </w:rPr>
            </w:pPr>
            <w:r w:rsidRPr="00CD58FF">
              <w:rPr>
                <w:u w:val="single"/>
              </w:rPr>
              <w:t xml:space="preserve">Operational workforce </w:t>
            </w:r>
          </w:p>
          <w:p w:rsidR="00CD58FF" w:rsidRDefault="00CD58FF" w:rsidP="00013A8A">
            <w:pPr>
              <w:pStyle w:val="DQITableText"/>
            </w:pPr>
            <w:r w:rsidRPr="002301A7">
              <w:t xml:space="preserve">Number of </w:t>
            </w:r>
            <w:r>
              <w:t xml:space="preserve">ambulance services </w:t>
            </w:r>
            <w:r w:rsidRPr="002301A7">
              <w:t>personnel</w:t>
            </w:r>
            <w:r>
              <w:t xml:space="preserve"> </w:t>
            </w:r>
            <w:r w:rsidRPr="002301A7">
              <w:t>who fall into</w:t>
            </w:r>
            <w:r>
              <w:t xml:space="preserve"> the following categories.</w:t>
            </w:r>
          </w:p>
          <w:p w:rsidR="00CD58FF" w:rsidRDefault="00CD58FF" w:rsidP="00013A8A">
            <w:pPr>
              <w:pStyle w:val="DQITableBullet"/>
            </w:pPr>
            <w:r w:rsidRPr="002301A7">
              <w:t>Patient tran</w:t>
            </w:r>
            <w:r>
              <w:t>sport officers</w:t>
            </w:r>
            <w:r w:rsidRPr="002301A7">
              <w:t xml:space="preserve"> </w:t>
            </w:r>
          </w:p>
          <w:p w:rsidR="00CD58FF" w:rsidRDefault="00CD58FF" w:rsidP="00013A8A">
            <w:pPr>
              <w:pStyle w:val="DQITableBullet"/>
            </w:pPr>
            <w:r w:rsidRPr="002301A7">
              <w:t xml:space="preserve">Student </w:t>
            </w:r>
            <w:r>
              <w:t>ambulance officers</w:t>
            </w:r>
          </w:p>
          <w:p w:rsidR="00CD58FF" w:rsidRDefault="00CD58FF" w:rsidP="00013A8A">
            <w:pPr>
              <w:pStyle w:val="DQITableBullet"/>
            </w:pPr>
            <w:r w:rsidRPr="002301A7">
              <w:t xml:space="preserve">Qualified ambulance officers </w:t>
            </w:r>
          </w:p>
          <w:p w:rsidR="00CD58FF" w:rsidRDefault="00CD58FF" w:rsidP="00013A8A">
            <w:pPr>
              <w:pStyle w:val="DQITableBullet"/>
            </w:pPr>
            <w:r w:rsidRPr="002301A7">
              <w:t xml:space="preserve">Clinical </w:t>
            </w:r>
            <w:r>
              <w:t>other</w:t>
            </w:r>
          </w:p>
          <w:p w:rsidR="00CD58FF" w:rsidRDefault="00CD58FF" w:rsidP="00013A8A">
            <w:pPr>
              <w:pStyle w:val="DQITableBullet"/>
            </w:pPr>
            <w:r w:rsidRPr="002301A7">
              <w:t xml:space="preserve">Communication </w:t>
            </w:r>
            <w:r>
              <w:t>operatives</w:t>
            </w:r>
            <w:r w:rsidR="00523692">
              <w:t xml:space="preserve"> (paramedic)</w:t>
            </w:r>
          </w:p>
          <w:p w:rsidR="00CD58FF" w:rsidRDefault="00CD58FF" w:rsidP="00013A8A">
            <w:pPr>
              <w:pStyle w:val="DQITableBullet"/>
            </w:pPr>
            <w:r w:rsidRPr="002301A7">
              <w:t xml:space="preserve">Management </w:t>
            </w:r>
            <w:r>
              <w:t>—</w:t>
            </w:r>
            <w:r w:rsidRPr="002301A7">
              <w:t xml:space="preserve"> </w:t>
            </w:r>
            <w:r w:rsidR="00523692" w:rsidRPr="002301A7">
              <w:t>operational managers</w:t>
            </w:r>
            <w:r w:rsidR="00523692">
              <w:t xml:space="preserve"> (paramedic)</w:t>
            </w:r>
            <w:r w:rsidR="00523692" w:rsidRPr="002301A7">
              <w:t xml:space="preserve"> and clinical support </w:t>
            </w:r>
            <w:r w:rsidR="00523692">
              <w:t>(paramedic)</w:t>
            </w:r>
          </w:p>
          <w:p w:rsidR="00523692" w:rsidRPr="00523692" w:rsidRDefault="00523692" w:rsidP="00523692">
            <w:pPr>
              <w:pStyle w:val="DQITableText"/>
              <w:rPr>
                <w:u w:val="single"/>
              </w:rPr>
            </w:pPr>
            <w:r w:rsidRPr="00523692">
              <w:rPr>
                <w:u w:val="single"/>
              </w:rPr>
              <w:t>Staff Attrition</w:t>
            </w:r>
          </w:p>
          <w:p w:rsidR="00523692" w:rsidRDefault="00523692" w:rsidP="00523692">
            <w:pPr>
              <w:pStyle w:val="DQITableText"/>
            </w:pPr>
            <w:r>
              <w:t>A</w:t>
            </w:r>
            <w:r w:rsidRPr="00D50349">
              <w:t xml:space="preserve">ll FTE that exit the organisation during the specified financial year including resignation and retirement who fall within the categories (staff with paramedic background being either essential or desirable to the position): Patient transport officers, Student ambulance officers, Qualified ambulance officers, Clinical other, Communication operatives, </w:t>
            </w:r>
            <w:r>
              <w:t xml:space="preserve">and </w:t>
            </w:r>
            <w:r w:rsidRPr="00D50349">
              <w:t>Management – operational managers and Clinical support.</w:t>
            </w:r>
          </w:p>
          <w:p w:rsidR="00523692" w:rsidRPr="00A05229" w:rsidRDefault="00523692" w:rsidP="00523692">
            <w:pPr>
              <w:pStyle w:val="DQITableText"/>
            </w:pPr>
            <w:r w:rsidRPr="00680657">
              <w:rPr>
                <w:b/>
              </w:rPr>
              <w:t>Excludes</w:t>
            </w:r>
            <w:r w:rsidRPr="00D50349">
              <w:t>: Staff who transfer from operational positions into non-operational positions.</w:t>
            </w:r>
          </w:p>
        </w:tc>
      </w:tr>
      <w:tr w:rsidR="00CD58FF" w:rsidRPr="001F3F80" w:rsidTr="002E49D6">
        <w:trPr>
          <w:cantSplit/>
          <w:jc w:val="center"/>
        </w:trPr>
        <w:tc>
          <w:tcPr>
            <w:tcW w:w="854" w:type="pct"/>
          </w:tcPr>
          <w:p w:rsidR="00CD58FF" w:rsidRPr="00A05229" w:rsidRDefault="00CD58FF" w:rsidP="00013A8A">
            <w:pPr>
              <w:pStyle w:val="DQIRowHeadings"/>
            </w:pPr>
            <w:r w:rsidRPr="00A05229">
              <w:t>Data source</w:t>
            </w:r>
          </w:p>
        </w:tc>
        <w:tc>
          <w:tcPr>
            <w:tcW w:w="4146" w:type="pct"/>
          </w:tcPr>
          <w:p w:rsidR="00CD58FF" w:rsidRPr="00A05229" w:rsidRDefault="00CD58FF" w:rsidP="00013A8A">
            <w:pPr>
              <w:pStyle w:val="DQITableText"/>
            </w:pPr>
            <w:r>
              <w:rPr>
                <w:i/>
              </w:rPr>
              <w:t>Consolidated Returns</w:t>
            </w:r>
            <w:r w:rsidRPr="00B43BC8">
              <w:t>,</w:t>
            </w:r>
            <w:r>
              <w:rPr>
                <w:i/>
              </w:rPr>
              <w:t xml:space="preserve"> </w:t>
            </w:r>
            <w:r>
              <w:t>Council of Ambulance Authorities (</w:t>
            </w:r>
            <w:proofErr w:type="spellStart"/>
            <w:r>
              <w:t>CAA</w:t>
            </w:r>
            <w:proofErr w:type="spellEnd"/>
            <w:r>
              <w:t xml:space="preserve">) </w:t>
            </w:r>
          </w:p>
        </w:tc>
      </w:tr>
      <w:tr w:rsidR="00CD58FF" w:rsidRPr="000D7225" w:rsidTr="002E49D6">
        <w:trPr>
          <w:cantSplit/>
          <w:jc w:val="center"/>
        </w:trPr>
        <w:tc>
          <w:tcPr>
            <w:tcW w:w="5000" w:type="pct"/>
            <w:gridSpan w:val="2"/>
          </w:tcPr>
          <w:p w:rsidR="00CD58FF" w:rsidRPr="00CE3D86" w:rsidRDefault="00CD58FF" w:rsidP="00013A8A">
            <w:pPr>
              <w:pStyle w:val="DQIMainRowHeadings"/>
              <w:rPr>
                <w:rFonts w:cs="Arial"/>
                <w:sz w:val="22"/>
                <w:szCs w:val="22"/>
              </w:rPr>
            </w:pPr>
            <w:r>
              <w:rPr>
                <w:rFonts w:ascii="Times New Roman" w:hAnsi="Times New Roman"/>
                <w:sz w:val="24"/>
              </w:rPr>
              <w:br w:type="page"/>
            </w:r>
            <w:r>
              <w:rPr>
                <w:rFonts w:ascii="Times New Roman" w:hAnsi="Times New Roman"/>
                <w:sz w:val="24"/>
              </w:rPr>
              <w:br w:type="page"/>
            </w:r>
            <w:r w:rsidRPr="003211C6">
              <w:t>Data Quality Framework dimensions</w:t>
            </w:r>
          </w:p>
        </w:tc>
      </w:tr>
      <w:tr w:rsidR="00CD58FF" w:rsidRPr="00254F46" w:rsidTr="002E49D6">
        <w:trPr>
          <w:cantSplit/>
          <w:jc w:val="center"/>
        </w:trPr>
        <w:tc>
          <w:tcPr>
            <w:tcW w:w="854" w:type="pct"/>
          </w:tcPr>
          <w:p w:rsidR="00CD58FF" w:rsidRPr="00A05229" w:rsidRDefault="00CD58FF" w:rsidP="00013A8A">
            <w:pPr>
              <w:pStyle w:val="DQIRowHeadings"/>
            </w:pPr>
            <w:r w:rsidRPr="00A05229">
              <w:t>Institutional environment</w:t>
            </w:r>
          </w:p>
        </w:tc>
        <w:tc>
          <w:tcPr>
            <w:tcW w:w="4146" w:type="pct"/>
          </w:tcPr>
          <w:p w:rsidR="00CD58FF" w:rsidRDefault="00CD58FF" w:rsidP="00013A8A">
            <w:pPr>
              <w:pStyle w:val="DQITableText"/>
            </w:pPr>
            <w:r>
              <w:t xml:space="preserve">The </w:t>
            </w:r>
            <w:proofErr w:type="spellStart"/>
            <w:r>
              <w:t>CAA</w:t>
            </w:r>
            <w:proofErr w:type="spellEnd"/>
            <w:r>
              <w:t xml:space="preserve"> is the peak body representing the principal statutory providers of ambulance services in Australia. </w:t>
            </w:r>
          </w:p>
          <w:p w:rsidR="00CD58FF" w:rsidRDefault="00CD58FF" w:rsidP="00013A8A">
            <w:pPr>
              <w:pStyle w:val="DQITableText"/>
            </w:pPr>
            <w:r>
              <w:t xml:space="preserve">The </w:t>
            </w:r>
            <w:proofErr w:type="spellStart"/>
            <w:r>
              <w:t>CAA</w:t>
            </w:r>
            <w:proofErr w:type="spellEnd"/>
            <w:r>
              <w:t xml:space="preserve"> collects administrative data annually from all statutory ambulance services, using the same core questionnaire and instructions — the </w:t>
            </w:r>
            <w:proofErr w:type="spellStart"/>
            <w:r w:rsidRPr="00620164">
              <w:rPr>
                <w:i/>
                <w:iCs/>
              </w:rPr>
              <w:t>CAA</w:t>
            </w:r>
            <w:proofErr w:type="spellEnd"/>
            <w:r w:rsidRPr="00620164">
              <w:rPr>
                <w:i/>
                <w:iCs/>
              </w:rPr>
              <w:t xml:space="preserve"> Consolidated Returns</w:t>
            </w:r>
            <w:r>
              <w:t xml:space="preserve">. </w:t>
            </w:r>
          </w:p>
          <w:p w:rsidR="00CD58FF" w:rsidRPr="00A05229" w:rsidRDefault="00CD58FF" w:rsidP="00013A8A">
            <w:pPr>
              <w:pStyle w:val="DQITableText"/>
            </w:pPr>
            <w:r>
              <w:t xml:space="preserve">The ambulance service organisations send their data to the </w:t>
            </w:r>
            <w:proofErr w:type="spellStart"/>
            <w:r>
              <w:t>CAA</w:t>
            </w:r>
            <w:proofErr w:type="spellEnd"/>
            <w:r>
              <w:t xml:space="preserve">. The </w:t>
            </w:r>
            <w:proofErr w:type="spellStart"/>
            <w:r>
              <w:t>CAA</w:t>
            </w:r>
            <w:proofErr w:type="spellEnd"/>
            <w:r>
              <w:t xml:space="preserve"> then collates all data to be provided to the Productivity Commission use in the </w:t>
            </w:r>
            <w:proofErr w:type="spellStart"/>
            <w:r>
              <w:t>RoGS</w:t>
            </w:r>
            <w:proofErr w:type="spellEnd"/>
            <w:r>
              <w:t>.</w:t>
            </w:r>
          </w:p>
        </w:tc>
      </w:tr>
      <w:tr w:rsidR="00CD58FF" w:rsidRPr="00254F46" w:rsidTr="002E49D6">
        <w:trPr>
          <w:cantSplit/>
          <w:jc w:val="center"/>
        </w:trPr>
        <w:tc>
          <w:tcPr>
            <w:tcW w:w="854" w:type="pct"/>
          </w:tcPr>
          <w:p w:rsidR="00CD58FF" w:rsidRPr="00A05229" w:rsidRDefault="00CD58FF" w:rsidP="00013A8A">
            <w:pPr>
              <w:pStyle w:val="DQIRowHeadings"/>
            </w:pPr>
            <w:r w:rsidRPr="00A05229">
              <w:t>Relevance</w:t>
            </w:r>
          </w:p>
        </w:tc>
        <w:tc>
          <w:tcPr>
            <w:tcW w:w="4146" w:type="pct"/>
          </w:tcPr>
          <w:p w:rsidR="00CD58FF" w:rsidRDefault="00CD58FF" w:rsidP="00013A8A">
            <w:pPr>
              <w:pStyle w:val="DQITableText"/>
            </w:pPr>
            <w:r w:rsidRPr="003363E5">
              <w:t>The indicator is available for all statutory ambulance services in Australia</w:t>
            </w:r>
            <w:r>
              <w:t>, by State and Territory</w:t>
            </w:r>
            <w:r w:rsidRPr="003363E5">
              <w:t>.</w:t>
            </w:r>
          </w:p>
          <w:p w:rsidR="00CD58FF" w:rsidRDefault="00CD58FF" w:rsidP="00013A8A">
            <w:pPr>
              <w:pStyle w:val="DQITableText"/>
            </w:pPr>
            <w:r w:rsidRPr="00B56A49">
              <w:t xml:space="preserve">The </w:t>
            </w:r>
            <w:proofErr w:type="spellStart"/>
            <w:r w:rsidRPr="00B56A49">
              <w:rPr>
                <w:i/>
              </w:rPr>
              <w:t>CAA</w:t>
            </w:r>
            <w:proofErr w:type="spellEnd"/>
            <w:r w:rsidRPr="00B56A49">
              <w:rPr>
                <w:i/>
              </w:rPr>
              <w:t xml:space="preserve"> Consolidated Returns</w:t>
            </w:r>
            <w:r>
              <w:t xml:space="preserve"> collects data for each of the operational workforce categories and </w:t>
            </w:r>
            <w:r w:rsidR="00523692">
              <w:t>staff attrition</w:t>
            </w:r>
            <w:r>
              <w:t>, as defined in the measure.</w:t>
            </w:r>
          </w:p>
          <w:p w:rsidR="00CD58FF" w:rsidRPr="00A05229" w:rsidRDefault="00523692" w:rsidP="00013A8A">
            <w:pPr>
              <w:pStyle w:val="DQITableText"/>
            </w:pPr>
            <w:r w:rsidRPr="00523692">
              <w:t>The ambulance service workforce staff attrition represents one aspect of sustainability — indicating the proportion of the workforce that have recently left the operational ambulance workforce.</w:t>
            </w:r>
            <w:r w:rsidR="006D45D4">
              <w:t xml:space="preserve"> </w:t>
            </w:r>
            <w:r w:rsidRPr="00523692">
              <w:t>Low or decreasing levels of staff attrition are desirable.</w:t>
            </w:r>
          </w:p>
        </w:tc>
      </w:tr>
      <w:tr w:rsidR="00CD58FF" w:rsidRPr="00254F46" w:rsidTr="002E49D6">
        <w:trPr>
          <w:cantSplit/>
          <w:jc w:val="center"/>
        </w:trPr>
        <w:tc>
          <w:tcPr>
            <w:tcW w:w="854" w:type="pct"/>
          </w:tcPr>
          <w:p w:rsidR="00CD58FF" w:rsidRPr="00A05229" w:rsidRDefault="00CD58FF" w:rsidP="00013A8A">
            <w:pPr>
              <w:pStyle w:val="DQIRowHeadings"/>
            </w:pPr>
            <w:r w:rsidRPr="00A05229">
              <w:lastRenderedPageBreak/>
              <w:t>Timeliness</w:t>
            </w:r>
          </w:p>
        </w:tc>
        <w:tc>
          <w:tcPr>
            <w:tcW w:w="4146" w:type="pct"/>
          </w:tcPr>
          <w:p w:rsidR="00CD58FF" w:rsidRPr="00E75549" w:rsidRDefault="00523692" w:rsidP="007F6100">
            <w:pPr>
              <w:pStyle w:val="DQITableText"/>
            </w:pPr>
            <w:r w:rsidRPr="00523692">
              <w:t xml:space="preserve">Staff attrition data are published annually for the latest financial year preceding the January release of each </w:t>
            </w:r>
            <w:proofErr w:type="spellStart"/>
            <w:r w:rsidR="007F6100">
              <w:t>RoGS</w:t>
            </w:r>
            <w:proofErr w:type="spellEnd"/>
            <w:r w:rsidRPr="00523692">
              <w:t>.</w:t>
            </w:r>
          </w:p>
        </w:tc>
      </w:tr>
      <w:tr w:rsidR="00CD58FF" w:rsidRPr="00254F46" w:rsidTr="002E49D6">
        <w:trPr>
          <w:jc w:val="center"/>
        </w:trPr>
        <w:tc>
          <w:tcPr>
            <w:tcW w:w="854" w:type="pct"/>
          </w:tcPr>
          <w:p w:rsidR="00CD58FF" w:rsidRPr="00A05229" w:rsidRDefault="00CD58FF" w:rsidP="00013A8A">
            <w:pPr>
              <w:pStyle w:val="DQIRowHeadings"/>
            </w:pPr>
            <w:r w:rsidRPr="00A05229">
              <w:t>Accuracy</w:t>
            </w:r>
          </w:p>
        </w:tc>
        <w:tc>
          <w:tcPr>
            <w:tcW w:w="4146" w:type="pct"/>
          </w:tcPr>
          <w:p w:rsidR="00CD58FF" w:rsidRDefault="00CD58FF" w:rsidP="00013A8A">
            <w:pPr>
              <w:pStyle w:val="DQITableText"/>
            </w:pPr>
            <w:r>
              <w:t xml:space="preserve">The </w:t>
            </w:r>
            <w:proofErr w:type="spellStart"/>
            <w:r w:rsidRPr="00620164">
              <w:rPr>
                <w:i/>
              </w:rPr>
              <w:t>CAA</w:t>
            </w:r>
            <w:proofErr w:type="spellEnd"/>
            <w:r w:rsidRPr="00620164">
              <w:rPr>
                <w:i/>
              </w:rPr>
              <w:t xml:space="preserve"> Consolidated Returns</w:t>
            </w:r>
            <w:r>
              <w:t xml:space="preserve"> compile administrative data from all </w:t>
            </w:r>
            <w:r w:rsidRPr="00CD72B9">
              <w:rPr>
                <w:lang w:val="en-GB"/>
              </w:rPr>
              <w:t>statutory providers of ambulance services in Australia</w:t>
            </w:r>
            <w:r>
              <w:rPr>
                <w:lang w:val="en-GB"/>
              </w:rPr>
              <w:t xml:space="preserve">. </w:t>
            </w:r>
          </w:p>
          <w:p w:rsidR="00CD58FF" w:rsidRPr="00F565CD" w:rsidRDefault="00CD58FF" w:rsidP="00013A8A">
            <w:pPr>
              <w:pStyle w:val="DQITableText"/>
            </w:pPr>
            <w:r>
              <w:t xml:space="preserve">They are collected according to agreed definitions provided in the </w:t>
            </w:r>
            <w:proofErr w:type="spellStart"/>
            <w:r>
              <w:t>CAA</w:t>
            </w:r>
            <w:proofErr w:type="spellEnd"/>
            <w:r>
              <w:t xml:space="preserve"> data dictionary.</w:t>
            </w:r>
          </w:p>
        </w:tc>
      </w:tr>
      <w:tr w:rsidR="00CD58FF" w:rsidRPr="00E57110" w:rsidTr="002E49D6">
        <w:trPr>
          <w:cantSplit/>
          <w:jc w:val="center"/>
        </w:trPr>
        <w:tc>
          <w:tcPr>
            <w:tcW w:w="854" w:type="pct"/>
          </w:tcPr>
          <w:p w:rsidR="00CD58FF" w:rsidRPr="00A05229" w:rsidRDefault="00CD58FF" w:rsidP="00013A8A">
            <w:pPr>
              <w:pStyle w:val="DQIRowHeadings"/>
            </w:pPr>
            <w:r w:rsidRPr="00A05229">
              <w:t>Coherence</w:t>
            </w:r>
          </w:p>
        </w:tc>
        <w:tc>
          <w:tcPr>
            <w:tcW w:w="4146" w:type="pct"/>
          </w:tcPr>
          <w:p w:rsidR="00523692" w:rsidRDefault="00CD58FF" w:rsidP="00523692">
            <w:pPr>
              <w:pStyle w:val="DQITableText"/>
            </w:pPr>
            <w:r w:rsidRPr="00CD72B9">
              <w:t xml:space="preserve">All data (numerators and denominators) are sourced from </w:t>
            </w:r>
            <w:r w:rsidR="00523692">
              <w:t xml:space="preserve">the </w:t>
            </w:r>
            <w:proofErr w:type="spellStart"/>
            <w:r w:rsidRPr="00CD72B9">
              <w:t>CAA</w:t>
            </w:r>
            <w:proofErr w:type="spellEnd"/>
            <w:r w:rsidRPr="00CD72B9">
              <w:t xml:space="preserve"> </w:t>
            </w:r>
            <w:r>
              <w:rPr>
                <w:i/>
              </w:rPr>
              <w:t>Consolidated Returns</w:t>
            </w:r>
            <w:r w:rsidR="00523692">
              <w:rPr>
                <w:i/>
              </w:rPr>
              <w:t>.</w:t>
            </w:r>
          </w:p>
          <w:p w:rsidR="00CD58FF" w:rsidRPr="00CD72B9" w:rsidRDefault="00CD58FF" w:rsidP="00523692">
            <w:pPr>
              <w:pStyle w:val="DQITableText"/>
            </w:pPr>
            <w:r w:rsidRPr="00CD72B9">
              <w:t xml:space="preserve">Estimates from the </w:t>
            </w:r>
            <w:proofErr w:type="spellStart"/>
            <w:r w:rsidRPr="00CD72B9">
              <w:t>CAA</w:t>
            </w:r>
            <w:proofErr w:type="spellEnd"/>
            <w:r w:rsidRPr="00CD72B9">
              <w:t xml:space="preserve"> </w:t>
            </w:r>
            <w:r>
              <w:rPr>
                <w:i/>
              </w:rPr>
              <w:t>Consolidated Returns</w:t>
            </w:r>
            <w:r w:rsidRPr="00CD72B9">
              <w:rPr>
                <w:i/>
              </w:rPr>
              <w:t xml:space="preserve"> </w:t>
            </w:r>
            <w:r w:rsidRPr="00CD72B9">
              <w:t xml:space="preserve">are comparable over time and between jurisdictions, subject </w:t>
            </w:r>
            <w:r>
              <w:t>to caveats provided by services</w:t>
            </w:r>
            <w:r w:rsidRPr="00CD72B9">
              <w:t xml:space="preserve">. </w:t>
            </w:r>
          </w:p>
          <w:p w:rsidR="00CD58FF" w:rsidRPr="00A05229" w:rsidRDefault="00CD58FF" w:rsidP="00013A8A">
            <w:pPr>
              <w:pStyle w:val="DQITableText"/>
            </w:pPr>
            <w:r w:rsidRPr="00CD72B9">
              <w:t xml:space="preserve">The </w:t>
            </w:r>
            <w:r>
              <w:t>collection</w:t>
            </w:r>
            <w:r w:rsidRPr="00CD72B9">
              <w:t xml:space="preserve">, instructions, definitions and analysis are prepared and overseen by the </w:t>
            </w:r>
            <w:proofErr w:type="spellStart"/>
            <w:r w:rsidRPr="00CD72B9">
              <w:t>CAA</w:t>
            </w:r>
            <w:proofErr w:type="spellEnd"/>
            <w:r w:rsidRPr="00CD72B9">
              <w:t xml:space="preserve"> and are the same for all state and territory services. </w:t>
            </w:r>
          </w:p>
        </w:tc>
      </w:tr>
      <w:tr w:rsidR="00CD58FF" w:rsidRPr="00E57110" w:rsidTr="002E49D6">
        <w:trPr>
          <w:cantSplit/>
          <w:jc w:val="center"/>
        </w:trPr>
        <w:tc>
          <w:tcPr>
            <w:tcW w:w="854" w:type="pct"/>
          </w:tcPr>
          <w:p w:rsidR="00CD58FF" w:rsidRPr="00A05229" w:rsidRDefault="00CD58FF" w:rsidP="00523692">
            <w:pPr>
              <w:pStyle w:val="DQIRowHeadings"/>
            </w:pPr>
            <w:r w:rsidRPr="00A05229">
              <w:t>Accessibility</w:t>
            </w:r>
          </w:p>
        </w:tc>
        <w:tc>
          <w:tcPr>
            <w:tcW w:w="4146" w:type="pct"/>
          </w:tcPr>
          <w:p w:rsidR="00CD58FF" w:rsidRPr="00A05229" w:rsidRDefault="00CD58FF" w:rsidP="007F6100">
            <w:pPr>
              <w:pStyle w:val="DQITableText"/>
            </w:pPr>
            <w:r>
              <w:t xml:space="preserve">The </w:t>
            </w:r>
            <w:r w:rsidR="00523692">
              <w:t xml:space="preserve">staff attrition </w:t>
            </w:r>
            <w:r>
              <w:t xml:space="preserve">data </w:t>
            </w:r>
            <w:r w:rsidR="00523692">
              <w:t xml:space="preserve">are </w:t>
            </w:r>
            <w:r>
              <w:t xml:space="preserve">made publicly available </w:t>
            </w:r>
            <w:r w:rsidR="007F6100">
              <w:t xml:space="preserve">annually </w:t>
            </w:r>
            <w:r>
              <w:t xml:space="preserve">as part of the </w:t>
            </w:r>
            <w:proofErr w:type="spellStart"/>
            <w:r>
              <w:t>CAA</w:t>
            </w:r>
            <w:proofErr w:type="spellEnd"/>
            <w:r>
              <w:t xml:space="preserve"> Annual Report on the </w:t>
            </w:r>
            <w:proofErr w:type="spellStart"/>
            <w:r>
              <w:t>CAA</w:t>
            </w:r>
            <w:proofErr w:type="spellEnd"/>
            <w:r>
              <w:t xml:space="preserve"> </w:t>
            </w:r>
            <w:r w:rsidRPr="00B43BC8">
              <w:rPr>
                <w:rFonts w:ascii="ArialMT" w:eastAsiaTheme="minorEastAsia" w:hAnsi="ArialMT" w:cs="ArialMT"/>
                <w:lang w:eastAsia="zh-TW"/>
              </w:rPr>
              <w:t>website</w:t>
            </w:r>
            <w:r>
              <w:t xml:space="preserve"> (</w:t>
            </w:r>
            <w:proofErr w:type="spellStart"/>
            <w:r w:rsidRPr="004A1422">
              <w:t>www.caa.net.au</w:t>
            </w:r>
            <w:proofErr w:type="spellEnd"/>
            <w:r>
              <w:t>).</w:t>
            </w:r>
          </w:p>
        </w:tc>
      </w:tr>
      <w:tr w:rsidR="00CD58FF" w:rsidRPr="00254F46" w:rsidTr="002E49D6">
        <w:trPr>
          <w:cantSplit/>
          <w:jc w:val="center"/>
        </w:trPr>
        <w:tc>
          <w:tcPr>
            <w:tcW w:w="854" w:type="pct"/>
          </w:tcPr>
          <w:p w:rsidR="00CD58FF" w:rsidRPr="00A05229" w:rsidRDefault="00CD58FF" w:rsidP="00013A8A">
            <w:pPr>
              <w:pStyle w:val="DQIRowHeadings"/>
            </w:pPr>
            <w:r w:rsidRPr="00A05229">
              <w:t>Interpretability</w:t>
            </w:r>
          </w:p>
        </w:tc>
        <w:tc>
          <w:tcPr>
            <w:tcW w:w="4146" w:type="pct"/>
          </w:tcPr>
          <w:p w:rsidR="00CD58FF" w:rsidRPr="006C2C6E" w:rsidRDefault="00CD58FF" w:rsidP="00523692">
            <w:pPr>
              <w:pStyle w:val="DQITableText"/>
            </w:pPr>
            <w:r w:rsidRPr="00CD72B9">
              <w:t xml:space="preserve">The </w:t>
            </w:r>
            <w:r w:rsidR="00523692">
              <w:t>staff attrition</w:t>
            </w:r>
            <w:r w:rsidRPr="00CD72B9">
              <w:t xml:space="preserve"> data </w:t>
            </w:r>
            <w:r w:rsidR="00523692">
              <w:t xml:space="preserve">are </w:t>
            </w:r>
            <w:r w:rsidRPr="00CD72B9">
              <w:t>publicly available and includes definitions of the collected data.</w:t>
            </w:r>
          </w:p>
        </w:tc>
      </w:tr>
      <w:tr w:rsidR="00CD58FF" w:rsidRPr="00254F46" w:rsidTr="002E49D6">
        <w:trPr>
          <w:cantSplit/>
          <w:jc w:val="center"/>
        </w:trPr>
        <w:tc>
          <w:tcPr>
            <w:tcW w:w="5000" w:type="pct"/>
            <w:gridSpan w:val="2"/>
          </w:tcPr>
          <w:p w:rsidR="00CD58FF" w:rsidRPr="00CE3D86" w:rsidRDefault="00CD58FF" w:rsidP="00013A8A">
            <w:pPr>
              <w:pStyle w:val="DQIMainRowHeadings"/>
            </w:pPr>
            <w:r w:rsidRPr="00C744E0">
              <w:t>Data Gaps/Issues Analysis</w:t>
            </w:r>
          </w:p>
        </w:tc>
      </w:tr>
      <w:tr w:rsidR="00CD58FF" w:rsidRPr="004F3342" w:rsidTr="002E49D6">
        <w:trPr>
          <w:cantSplit/>
          <w:trHeight w:val="539"/>
          <w:jc w:val="center"/>
        </w:trPr>
        <w:tc>
          <w:tcPr>
            <w:tcW w:w="854" w:type="pct"/>
          </w:tcPr>
          <w:p w:rsidR="00CD58FF" w:rsidRPr="00A05229" w:rsidRDefault="00CD58FF" w:rsidP="00013A8A">
            <w:pPr>
              <w:pStyle w:val="DQIRowHeadings"/>
            </w:pPr>
            <w:r w:rsidRPr="00A05229">
              <w:t>Key data gaps/issues</w:t>
            </w:r>
          </w:p>
        </w:tc>
        <w:tc>
          <w:tcPr>
            <w:tcW w:w="4146" w:type="pct"/>
          </w:tcPr>
          <w:p w:rsidR="00CD58FF" w:rsidRPr="00620164" w:rsidRDefault="00CD58FF" w:rsidP="00013A8A">
            <w:pPr>
              <w:pStyle w:val="DQITableText"/>
            </w:pPr>
            <w:r w:rsidRPr="00620164">
              <w:t>The Steering Committee notes the following issue:</w:t>
            </w:r>
          </w:p>
          <w:p w:rsidR="00523692" w:rsidRDefault="00523692" w:rsidP="00523692">
            <w:pPr>
              <w:pStyle w:val="DQITableBullet"/>
            </w:pPr>
            <w:r>
              <w:t>The staff attrition is only one aspect of workforce sustainability. Further research into understanding and measuring the profile of the ambulance workforce is required.</w:t>
            </w:r>
          </w:p>
          <w:p w:rsidR="00CD58FF" w:rsidRPr="004F3342" w:rsidRDefault="00523692" w:rsidP="00523692">
            <w:pPr>
              <w:pStyle w:val="DQITableBullet"/>
            </w:pPr>
            <w:r>
              <w:t>Analysis of staff attrition should be done in conjunction with other measures including workforce by age group and the number of paramedics being trained.</w:t>
            </w:r>
          </w:p>
        </w:tc>
      </w:tr>
    </w:tbl>
    <w:p w:rsidR="00CD58FF" w:rsidRDefault="00CD58FF" w:rsidP="00CD58FF"/>
    <w:p w:rsidR="00480638" w:rsidRDefault="00480638" w:rsidP="00480638">
      <w:pPr>
        <w:rPr>
          <w:szCs w:val="20"/>
        </w:rPr>
      </w:pPr>
      <w:r>
        <w:br w:type="page"/>
      </w:r>
    </w:p>
    <w:p w:rsidR="00480638" w:rsidRDefault="00480638" w:rsidP="00480638">
      <w:pPr>
        <w:pStyle w:val="Heading3"/>
        <w:tabs>
          <w:tab w:val="left" w:pos="2130"/>
        </w:tabs>
      </w:pPr>
      <w:bookmarkStart w:id="88" w:name="_Toc405885756"/>
      <w:r w:rsidRPr="000649F9">
        <w:lastRenderedPageBreak/>
        <w:t>Enrolments in accredited paramedic training courses</w:t>
      </w:r>
      <w:bookmarkEnd w:id="88"/>
    </w:p>
    <w:p w:rsidR="00480638" w:rsidRPr="002301A7" w:rsidRDefault="00480638" w:rsidP="00480638">
      <w:pPr>
        <w:pStyle w:val="Box"/>
      </w:pPr>
      <w:r w:rsidRPr="002301A7">
        <w:t>Data quality information for this indicator has been drafted by the Emergency Management Working Group in consultation with the Council of Ambulance Authorities (</w:t>
      </w:r>
      <w:proofErr w:type="spellStart"/>
      <w:r w:rsidRPr="002301A7">
        <w:t>CAA</w:t>
      </w:r>
      <w:proofErr w:type="spellEnd"/>
      <w:r w:rsidRPr="002301A7">
        <w:t>), with additional Steering Committee comments.</w:t>
      </w:r>
    </w:p>
    <w:tbl>
      <w:tblPr>
        <w:tblW w:w="4932" w:type="pct"/>
        <w:jc w:val="center"/>
        <w:tblInd w:w="120" w:type="dxa"/>
        <w:tblCellMar>
          <w:top w:w="28" w:type="dxa"/>
          <w:left w:w="28" w:type="dxa"/>
          <w:bottom w:w="28" w:type="dxa"/>
          <w:right w:w="28" w:type="dxa"/>
        </w:tblCellMar>
        <w:tblLook w:val="01E0" w:firstRow="1" w:lastRow="1" w:firstColumn="1" w:lastColumn="1" w:noHBand="0" w:noVBand="0"/>
      </w:tblPr>
      <w:tblGrid>
        <w:gridCol w:w="1426"/>
        <w:gridCol w:w="4545"/>
        <w:gridCol w:w="2502"/>
      </w:tblGrid>
      <w:tr w:rsidR="009E491C" w:rsidRPr="001F3F80" w:rsidTr="002E49D6">
        <w:trPr>
          <w:jc w:val="center"/>
        </w:trPr>
        <w:tc>
          <w:tcPr>
            <w:tcW w:w="3523" w:type="pct"/>
            <w:gridSpan w:val="2"/>
          </w:tcPr>
          <w:p w:rsidR="009E491C" w:rsidRPr="003211C6" w:rsidRDefault="009E491C" w:rsidP="00013A8A">
            <w:pPr>
              <w:pStyle w:val="DQIMainRowHeadings"/>
              <w:rPr>
                <w:rFonts w:cs="Arial"/>
                <w:sz w:val="22"/>
                <w:szCs w:val="22"/>
              </w:rPr>
            </w:pPr>
            <w:r w:rsidRPr="003211C6">
              <w:t>Indicator definition and description</w:t>
            </w:r>
          </w:p>
        </w:tc>
        <w:tc>
          <w:tcPr>
            <w:tcW w:w="1477" w:type="pct"/>
          </w:tcPr>
          <w:p w:rsidR="009E491C" w:rsidRPr="003211C6" w:rsidRDefault="009E491C" w:rsidP="00013A8A">
            <w:pPr>
              <w:pStyle w:val="DQIMainRowHeadings"/>
              <w:rPr>
                <w:rFonts w:cs="Arial"/>
                <w:sz w:val="22"/>
                <w:szCs w:val="22"/>
              </w:rPr>
            </w:pPr>
          </w:p>
        </w:tc>
      </w:tr>
      <w:tr w:rsidR="009E491C" w:rsidRPr="001F3F80" w:rsidTr="002E49D6">
        <w:trPr>
          <w:jc w:val="center"/>
        </w:trPr>
        <w:tc>
          <w:tcPr>
            <w:tcW w:w="840" w:type="pct"/>
          </w:tcPr>
          <w:p w:rsidR="00480638" w:rsidRPr="00A05229" w:rsidRDefault="00480638" w:rsidP="00480638">
            <w:pPr>
              <w:pStyle w:val="DQIRowHeadings"/>
            </w:pPr>
            <w:r w:rsidRPr="00A05229">
              <w:t>Element</w:t>
            </w:r>
          </w:p>
        </w:tc>
        <w:tc>
          <w:tcPr>
            <w:tcW w:w="4160" w:type="pct"/>
            <w:gridSpan w:val="2"/>
          </w:tcPr>
          <w:p w:rsidR="00480638" w:rsidRPr="00BD6B0B" w:rsidRDefault="00480638" w:rsidP="00480638">
            <w:pPr>
              <w:pStyle w:val="DQITableText"/>
            </w:pPr>
            <w:r>
              <w:t>Effectiveness — sustainability</w:t>
            </w:r>
          </w:p>
        </w:tc>
      </w:tr>
      <w:tr w:rsidR="009E491C" w:rsidRPr="001F3F80" w:rsidTr="002E49D6">
        <w:trPr>
          <w:jc w:val="center"/>
        </w:trPr>
        <w:tc>
          <w:tcPr>
            <w:tcW w:w="840" w:type="pct"/>
          </w:tcPr>
          <w:p w:rsidR="00480638" w:rsidRPr="00A05229" w:rsidRDefault="00480638" w:rsidP="00480638">
            <w:pPr>
              <w:pStyle w:val="DQIRowHeadings"/>
            </w:pPr>
            <w:r w:rsidRPr="00A05229">
              <w:t>Indicator</w:t>
            </w:r>
          </w:p>
        </w:tc>
        <w:tc>
          <w:tcPr>
            <w:tcW w:w="4160" w:type="pct"/>
            <w:gridSpan w:val="2"/>
          </w:tcPr>
          <w:p w:rsidR="00480638" w:rsidRPr="00BD6B0B" w:rsidRDefault="00480638" w:rsidP="00480638">
            <w:pPr>
              <w:pStyle w:val="DQITableText"/>
            </w:pPr>
            <w:r w:rsidRPr="00AF6B41">
              <w:t>Enrolments in accredited paramedic training courses</w:t>
            </w:r>
          </w:p>
        </w:tc>
      </w:tr>
      <w:tr w:rsidR="009E491C" w:rsidRPr="001F3F80" w:rsidTr="002E49D6">
        <w:trPr>
          <w:jc w:val="center"/>
        </w:trPr>
        <w:tc>
          <w:tcPr>
            <w:tcW w:w="840" w:type="pct"/>
          </w:tcPr>
          <w:p w:rsidR="00480638" w:rsidRPr="00A05229" w:rsidRDefault="00480638" w:rsidP="00480638">
            <w:pPr>
              <w:pStyle w:val="DQIRowHeadings"/>
            </w:pPr>
            <w:r w:rsidRPr="00A05229">
              <w:t>Measure (computation)</w:t>
            </w:r>
          </w:p>
        </w:tc>
        <w:tc>
          <w:tcPr>
            <w:tcW w:w="4160" w:type="pct"/>
            <w:gridSpan w:val="2"/>
          </w:tcPr>
          <w:p w:rsidR="00480638" w:rsidRDefault="00480638" w:rsidP="00480638">
            <w:pPr>
              <w:pStyle w:val="DQITableText"/>
            </w:pPr>
            <w:r w:rsidRPr="00CD72B9">
              <w:t>‘</w:t>
            </w:r>
            <w:r w:rsidRPr="00AF6B41">
              <w:t>Enrolments in accredited paramedic training courses</w:t>
            </w:r>
            <w:r w:rsidRPr="00CD72B9">
              <w:t xml:space="preserve">’ is defined </w:t>
            </w:r>
            <w:r>
              <w:t xml:space="preserve">as the number of students enrolled in paramedic training courses accredited by the </w:t>
            </w:r>
            <w:r w:rsidRPr="004C048F">
              <w:t>Paramedic Education Programs Accreditation Scheme</w:t>
            </w:r>
            <w:r>
              <w:t xml:space="preserve"> per 100 000 people. </w:t>
            </w:r>
          </w:p>
          <w:p w:rsidR="00480638" w:rsidRDefault="00480638" w:rsidP="00480638">
            <w:pPr>
              <w:pStyle w:val="DQITableText"/>
            </w:pPr>
            <w:r>
              <w:t>The indicator presents total number of students enrolled in accredited paramedic training courses.</w:t>
            </w:r>
          </w:p>
          <w:p w:rsidR="00480638" w:rsidRPr="00A05229" w:rsidRDefault="00480638" w:rsidP="00480638">
            <w:pPr>
              <w:pStyle w:val="DQITableText"/>
            </w:pPr>
            <w:r>
              <w:t xml:space="preserve">The indicator also presents number of students enrolled in last year of accredited paramedic training courses. This segment is reported to show the number of potential new trained paramedics who will enter the workforce in the coming year. </w:t>
            </w:r>
          </w:p>
        </w:tc>
      </w:tr>
      <w:tr w:rsidR="009E491C" w:rsidRPr="001F3F80" w:rsidTr="002E49D6">
        <w:trPr>
          <w:jc w:val="center"/>
        </w:trPr>
        <w:tc>
          <w:tcPr>
            <w:tcW w:w="840" w:type="pct"/>
          </w:tcPr>
          <w:p w:rsidR="00480638" w:rsidRPr="00A05229" w:rsidRDefault="00480638" w:rsidP="00013A8A">
            <w:pPr>
              <w:pStyle w:val="DQIRowHeadings"/>
            </w:pPr>
            <w:r w:rsidRPr="00A05229">
              <w:t>Data source</w:t>
            </w:r>
          </w:p>
        </w:tc>
        <w:tc>
          <w:tcPr>
            <w:tcW w:w="4160" w:type="pct"/>
            <w:gridSpan w:val="2"/>
          </w:tcPr>
          <w:p w:rsidR="00480638" w:rsidRPr="00A05229" w:rsidRDefault="00480638" w:rsidP="00013A8A">
            <w:pPr>
              <w:pStyle w:val="DQITableText"/>
            </w:pPr>
            <w:r>
              <w:t>Council of Ambulance Authorities (</w:t>
            </w:r>
            <w:proofErr w:type="spellStart"/>
            <w:r>
              <w:t>CAA</w:t>
            </w:r>
            <w:proofErr w:type="spellEnd"/>
            <w:r>
              <w:t xml:space="preserve">) </w:t>
            </w:r>
          </w:p>
        </w:tc>
      </w:tr>
      <w:tr w:rsidR="009E491C" w:rsidRPr="000D7225" w:rsidTr="002E49D6">
        <w:trPr>
          <w:jc w:val="center"/>
        </w:trPr>
        <w:tc>
          <w:tcPr>
            <w:tcW w:w="3523" w:type="pct"/>
            <w:gridSpan w:val="2"/>
          </w:tcPr>
          <w:p w:rsidR="009E491C" w:rsidRPr="00CE3D86" w:rsidRDefault="009E491C" w:rsidP="00013A8A">
            <w:pPr>
              <w:pStyle w:val="DQIMainRowHeadings"/>
              <w:rPr>
                <w:rFonts w:cs="Arial"/>
                <w:sz w:val="22"/>
                <w:szCs w:val="22"/>
              </w:rPr>
            </w:pPr>
            <w:r>
              <w:rPr>
                <w:rFonts w:ascii="Times New Roman" w:hAnsi="Times New Roman"/>
                <w:sz w:val="24"/>
              </w:rPr>
              <w:br w:type="page"/>
            </w:r>
            <w:r>
              <w:rPr>
                <w:rFonts w:ascii="Times New Roman" w:hAnsi="Times New Roman"/>
                <w:sz w:val="24"/>
              </w:rPr>
              <w:br w:type="page"/>
            </w:r>
            <w:r w:rsidRPr="003211C6">
              <w:t>Data Quality Framework dimensions</w:t>
            </w:r>
          </w:p>
        </w:tc>
        <w:tc>
          <w:tcPr>
            <w:tcW w:w="1477" w:type="pct"/>
          </w:tcPr>
          <w:p w:rsidR="009E491C" w:rsidRPr="00CE3D86" w:rsidRDefault="009E491C" w:rsidP="00013A8A">
            <w:pPr>
              <w:pStyle w:val="DQIMainRowHeadings"/>
              <w:rPr>
                <w:rFonts w:cs="Arial"/>
                <w:sz w:val="22"/>
                <w:szCs w:val="22"/>
              </w:rPr>
            </w:pPr>
          </w:p>
        </w:tc>
      </w:tr>
      <w:tr w:rsidR="009E491C" w:rsidRPr="00254F46" w:rsidTr="002E49D6">
        <w:trPr>
          <w:jc w:val="center"/>
        </w:trPr>
        <w:tc>
          <w:tcPr>
            <w:tcW w:w="840" w:type="pct"/>
          </w:tcPr>
          <w:p w:rsidR="00480638" w:rsidRPr="00A05229" w:rsidRDefault="00480638" w:rsidP="00013A8A">
            <w:pPr>
              <w:pStyle w:val="DQIRowHeadings"/>
            </w:pPr>
            <w:r w:rsidRPr="00A05229">
              <w:t>Institutional environment</w:t>
            </w:r>
          </w:p>
        </w:tc>
        <w:tc>
          <w:tcPr>
            <w:tcW w:w="4160" w:type="pct"/>
            <w:gridSpan w:val="2"/>
          </w:tcPr>
          <w:p w:rsidR="00480638" w:rsidRDefault="00480638" w:rsidP="00480638">
            <w:pPr>
              <w:pStyle w:val="DQITableText"/>
            </w:pPr>
            <w:r>
              <w:t xml:space="preserve">The </w:t>
            </w:r>
            <w:proofErr w:type="spellStart"/>
            <w:r>
              <w:t>CAA</w:t>
            </w:r>
            <w:proofErr w:type="spellEnd"/>
            <w:r>
              <w:t xml:space="preserve"> is the peak body representing the principal statutory providers of ambulance services in Australia. </w:t>
            </w:r>
          </w:p>
          <w:p w:rsidR="00480638" w:rsidRDefault="00480638" w:rsidP="00480638">
            <w:pPr>
              <w:pStyle w:val="DQITableText"/>
            </w:pPr>
            <w:r>
              <w:t xml:space="preserve">The </w:t>
            </w:r>
            <w:proofErr w:type="spellStart"/>
            <w:r>
              <w:t>CAA</w:t>
            </w:r>
            <w:proofErr w:type="spellEnd"/>
            <w:r>
              <w:t xml:space="preserve"> collects administrative data annually from tertiary institutions participating in the </w:t>
            </w:r>
            <w:r w:rsidRPr="00536DFA">
              <w:t xml:space="preserve">Paramedic Education Programs Accreditation </w:t>
            </w:r>
            <w:r>
              <w:t>Scheme (</w:t>
            </w:r>
            <w:proofErr w:type="spellStart"/>
            <w:r>
              <w:t>PEPAS</w:t>
            </w:r>
            <w:proofErr w:type="spellEnd"/>
            <w:r w:rsidRPr="00536DFA">
              <w:t>)</w:t>
            </w:r>
            <w:r>
              <w:t>.</w:t>
            </w:r>
          </w:p>
          <w:p w:rsidR="00480638" w:rsidRPr="00536DFA" w:rsidRDefault="00480638" w:rsidP="00E74080">
            <w:pPr>
              <w:pStyle w:val="DQITableText"/>
            </w:pPr>
            <w:r w:rsidRPr="00536DFA">
              <w:t>The Accreditation of entry</w:t>
            </w:r>
            <w:r w:rsidRPr="00536DFA">
              <w:noBreakHyphen/>
              <w:t xml:space="preserve">level paramedic education programs has 3 stages: </w:t>
            </w:r>
          </w:p>
          <w:p w:rsidR="00480638" w:rsidRPr="00536DFA" w:rsidRDefault="00480638" w:rsidP="00480638">
            <w:pPr>
              <w:pStyle w:val="DQITableBullet"/>
            </w:pPr>
            <w:r w:rsidRPr="00536DFA">
              <w:rPr>
                <w:i/>
              </w:rPr>
              <w:t>Preliminary approval</w:t>
            </w:r>
            <w:r w:rsidRPr="00536DFA">
              <w:t xml:space="preserve"> — Preliminary approval of a new entry</w:t>
            </w:r>
            <w:r w:rsidRPr="00536DFA">
              <w:noBreakHyphen/>
              <w:t>level paramedic education program is sought prior to the commencement of teaching the course and approval is normally granted prior to, or commensurate with, the entry of the first cohort into the program.</w:t>
            </w:r>
          </w:p>
          <w:p w:rsidR="00480638" w:rsidRPr="00536DFA" w:rsidRDefault="00480638" w:rsidP="00480638">
            <w:pPr>
              <w:pStyle w:val="DQITableBullet"/>
            </w:pPr>
            <w:r w:rsidRPr="00536DFA">
              <w:rPr>
                <w:i/>
              </w:rPr>
              <w:t>Provisional accreditation</w:t>
            </w:r>
            <w:r w:rsidRPr="00536DFA">
              <w:t xml:space="preserve"> — A new program that has been granted preliminary approval will be eligible for provisional accreditation after the first year of teaching, subject to successful annual review. Provisional accreditation may also be granted where conditions are attached following assessment for full accreditation.</w:t>
            </w:r>
          </w:p>
          <w:p w:rsidR="00480638" w:rsidRPr="00536DFA" w:rsidRDefault="00480638" w:rsidP="00480638">
            <w:pPr>
              <w:pStyle w:val="DQITableBullet"/>
            </w:pPr>
            <w:r w:rsidRPr="00536DFA">
              <w:rPr>
                <w:i/>
              </w:rPr>
              <w:t>Full accreditation</w:t>
            </w:r>
            <w:r w:rsidRPr="00536DFA">
              <w:t xml:space="preserve"> — A program is eligible for full accreditation for a period of 5 years after the first cohorts of graduates have at least 12 months of practice experience following graduation. In 2011-­</w:t>
            </w:r>
            <w:r w:rsidRPr="00536DFA">
              <w:rPr>
                <w:rFonts w:ascii="Cambria Math" w:hAnsi="Cambria Math" w:cs="Cambria Math"/>
              </w:rPr>
              <w:t>‐</w:t>
            </w:r>
            <w:r w:rsidRPr="00536DFA">
              <w:t>12 the Accreditation project Site Evaluation Team (SET) completed 8 (eight) visits.</w:t>
            </w:r>
          </w:p>
          <w:p w:rsidR="00480638" w:rsidRPr="00536DFA" w:rsidRDefault="00480638" w:rsidP="00480638">
            <w:pPr>
              <w:pStyle w:val="DQITableText"/>
            </w:pPr>
            <w:r>
              <w:t>S</w:t>
            </w:r>
            <w:r w:rsidRPr="00536DFA">
              <w:t xml:space="preserve">ixteen universities are involved </w:t>
            </w:r>
            <w:r>
              <w:t>in</w:t>
            </w:r>
            <w:r w:rsidRPr="00536DFA">
              <w:t xml:space="preserve"> Paramedic Education Programs Accreditation </w:t>
            </w:r>
            <w:r>
              <w:t>Scheme, each</w:t>
            </w:r>
            <w:r w:rsidRPr="00536DFA">
              <w:t xml:space="preserve"> at various stages of accreditation or evaluation of their program/s. </w:t>
            </w:r>
          </w:p>
          <w:p w:rsidR="00480638" w:rsidRPr="00536DFA" w:rsidRDefault="00480638" w:rsidP="00E74080">
            <w:pPr>
              <w:pStyle w:val="DQITableText"/>
            </w:pPr>
            <w:r w:rsidRPr="00536DFA">
              <w:t>The following Universities (programs) hold provisional/full accreditation:</w:t>
            </w:r>
          </w:p>
          <w:p w:rsidR="00480638" w:rsidRPr="00536DFA" w:rsidRDefault="00480638" w:rsidP="00480638">
            <w:pPr>
              <w:pStyle w:val="DQITableBullet"/>
            </w:pPr>
            <w:r w:rsidRPr="00536DFA">
              <w:t>Monash University: Bachelor of Emergency Health (Paramedic); Bachelor of Nursing / Emergency Health (Paramedic)</w:t>
            </w:r>
          </w:p>
          <w:p w:rsidR="00480638" w:rsidRPr="00536DFA" w:rsidRDefault="00480638" w:rsidP="00480638">
            <w:pPr>
              <w:pStyle w:val="DQITableBullet"/>
            </w:pPr>
            <w:r w:rsidRPr="00536DFA">
              <w:t xml:space="preserve">Flinders University: Bachelor of Paramedic Science </w:t>
            </w:r>
          </w:p>
          <w:p w:rsidR="00480638" w:rsidRPr="00536DFA" w:rsidRDefault="00480638" w:rsidP="00480638">
            <w:pPr>
              <w:pStyle w:val="DQITableBullet"/>
            </w:pPr>
            <w:r w:rsidRPr="00536DFA">
              <w:t>Victoria University: Bachelor of Health Science (Paramedic)</w:t>
            </w:r>
          </w:p>
          <w:p w:rsidR="00480638" w:rsidRPr="00536DFA" w:rsidRDefault="00480638" w:rsidP="00480638">
            <w:pPr>
              <w:pStyle w:val="DQITableBullet"/>
            </w:pPr>
            <w:r w:rsidRPr="00536DFA">
              <w:t>Queensland University of Technology: Bachelor of Health Science (Paramedic)</w:t>
            </w:r>
          </w:p>
          <w:p w:rsidR="00480638" w:rsidRPr="00536DFA" w:rsidRDefault="00480638" w:rsidP="00480638">
            <w:pPr>
              <w:pStyle w:val="DQITableBullet"/>
            </w:pPr>
            <w:r w:rsidRPr="00536DFA">
              <w:t xml:space="preserve">Edith Cowan University: Bachelor of Science (Paramedical Science) </w:t>
            </w:r>
          </w:p>
          <w:p w:rsidR="00480638" w:rsidRPr="00536DFA" w:rsidRDefault="00480638" w:rsidP="00480638">
            <w:pPr>
              <w:pStyle w:val="DQITableBullet"/>
            </w:pPr>
            <w:r w:rsidRPr="00536DFA">
              <w:t>Charles Sturt University: Bachelor of Clinical Practice (Paramedic)/ Bachelor of Nursing / Bachelor of Clinical Practice (Paramedic)</w:t>
            </w:r>
          </w:p>
          <w:p w:rsidR="00480638" w:rsidRPr="00536DFA" w:rsidRDefault="00480638" w:rsidP="00480638">
            <w:pPr>
              <w:pStyle w:val="DQITableBullet"/>
            </w:pPr>
            <w:r w:rsidRPr="00536DFA">
              <w:t xml:space="preserve">Australian Catholic University: Bachelor of Nursing / Bachelor </w:t>
            </w:r>
            <w:proofErr w:type="spellStart"/>
            <w:r w:rsidRPr="00536DFA">
              <w:t>Paramedicine</w:t>
            </w:r>
            <w:proofErr w:type="spellEnd"/>
            <w:r w:rsidRPr="00536DFA">
              <w:t xml:space="preserve">; Bachelor </w:t>
            </w:r>
            <w:proofErr w:type="spellStart"/>
            <w:r w:rsidRPr="00536DFA">
              <w:t>Paramedicine</w:t>
            </w:r>
            <w:proofErr w:type="spellEnd"/>
            <w:r w:rsidRPr="00536DFA">
              <w:t xml:space="preserve"> </w:t>
            </w:r>
          </w:p>
          <w:p w:rsidR="00480638" w:rsidRPr="00536DFA" w:rsidRDefault="00480638" w:rsidP="00480638">
            <w:pPr>
              <w:pStyle w:val="DQITableBullet"/>
            </w:pPr>
            <w:r w:rsidRPr="00536DFA">
              <w:t>Central Queensland University: Bachelor of Paramedic Science</w:t>
            </w:r>
          </w:p>
          <w:p w:rsidR="00480638" w:rsidRDefault="00480638" w:rsidP="00480638">
            <w:pPr>
              <w:pStyle w:val="DQITableBullet"/>
            </w:pPr>
            <w:r w:rsidRPr="00536DFA">
              <w:t xml:space="preserve">University of Tasmania: Bachelor of Paramedic Practice </w:t>
            </w:r>
          </w:p>
          <w:p w:rsidR="00480638" w:rsidRPr="00A05229" w:rsidRDefault="00480638" w:rsidP="00480638">
            <w:pPr>
              <w:pStyle w:val="DQITableBullet"/>
            </w:pPr>
            <w:r w:rsidRPr="00536DFA">
              <w:t>University of Queensland: Bachelor of Paramedic Science</w:t>
            </w:r>
            <w:r>
              <w:t>.</w:t>
            </w:r>
          </w:p>
        </w:tc>
      </w:tr>
      <w:tr w:rsidR="009E491C" w:rsidRPr="00254F46" w:rsidTr="002E49D6">
        <w:trPr>
          <w:jc w:val="center"/>
        </w:trPr>
        <w:tc>
          <w:tcPr>
            <w:tcW w:w="840" w:type="pct"/>
          </w:tcPr>
          <w:p w:rsidR="00480638" w:rsidRPr="00A05229" w:rsidRDefault="00480638" w:rsidP="00480638">
            <w:pPr>
              <w:pStyle w:val="DQIRowHeadings"/>
            </w:pPr>
            <w:r w:rsidRPr="00A05229">
              <w:lastRenderedPageBreak/>
              <w:t>Relevance</w:t>
            </w:r>
          </w:p>
        </w:tc>
        <w:tc>
          <w:tcPr>
            <w:tcW w:w="4160" w:type="pct"/>
            <w:gridSpan w:val="2"/>
          </w:tcPr>
          <w:p w:rsidR="00480638" w:rsidRDefault="00480638" w:rsidP="00480638">
            <w:pPr>
              <w:pStyle w:val="DQITableText"/>
            </w:pPr>
            <w:r w:rsidRPr="003363E5">
              <w:t xml:space="preserve">The indicator is available for </w:t>
            </w:r>
            <w:r>
              <w:t xml:space="preserve">tertiary institutions participating in the </w:t>
            </w:r>
            <w:r w:rsidRPr="00536DFA">
              <w:t xml:space="preserve">Paramedic Education Programs Accreditation </w:t>
            </w:r>
            <w:r>
              <w:t>Scheme, by State and Territory</w:t>
            </w:r>
            <w:r w:rsidRPr="003363E5">
              <w:t>.</w:t>
            </w:r>
          </w:p>
          <w:p w:rsidR="00480638" w:rsidRDefault="00480638" w:rsidP="00480638">
            <w:pPr>
              <w:pStyle w:val="DQITableText"/>
            </w:pPr>
            <w:r>
              <w:t>Enrolments in accredited training courses represents one aspect of sustainability</w:t>
            </w:r>
            <w:r w:rsidRPr="00CD72B9">
              <w:t>.</w:t>
            </w:r>
          </w:p>
          <w:p w:rsidR="00480638" w:rsidRPr="00A05229" w:rsidRDefault="00480638" w:rsidP="00480638">
            <w:pPr>
              <w:pStyle w:val="DQITableText"/>
            </w:pPr>
            <w:r>
              <w:t>High or in</w:t>
            </w:r>
            <w:r w:rsidRPr="00931A60">
              <w:t xml:space="preserve">creasing </w:t>
            </w:r>
            <w:r>
              <w:t xml:space="preserve">enrolments </w:t>
            </w:r>
            <w:r w:rsidRPr="00931A60">
              <w:t>are desirable.</w:t>
            </w:r>
          </w:p>
        </w:tc>
      </w:tr>
      <w:tr w:rsidR="009E491C" w:rsidRPr="00254F46" w:rsidTr="002E49D6">
        <w:trPr>
          <w:jc w:val="center"/>
        </w:trPr>
        <w:tc>
          <w:tcPr>
            <w:tcW w:w="840" w:type="pct"/>
          </w:tcPr>
          <w:p w:rsidR="00480638" w:rsidRPr="00A05229" w:rsidRDefault="00480638" w:rsidP="00480638">
            <w:pPr>
              <w:pStyle w:val="DQIRowHeadings"/>
            </w:pPr>
            <w:r w:rsidRPr="00A05229">
              <w:t>Timeliness</w:t>
            </w:r>
          </w:p>
        </w:tc>
        <w:tc>
          <w:tcPr>
            <w:tcW w:w="4160" w:type="pct"/>
            <w:gridSpan w:val="2"/>
          </w:tcPr>
          <w:p w:rsidR="00480638" w:rsidRDefault="00480638" w:rsidP="00E74080">
            <w:pPr>
              <w:pStyle w:val="DQITableText"/>
            </w:pPr>
            <w:r>
              <w:t xml:space="preserve">Enrolment data are published annually for the latest </w:t>
            </w:r>
            <w:r w:rsidR="00E74080">
              <w:t xml:space="preserve">calendar </w:t>
            </w:r>
            <w:r>
              <w:t xml:space="preserve">year preceding the January release of each </w:t>
            </w:r>
            <w:proofErr w:type="spellStart"/>
            <w:r w:rsidR="007F6100">
              <w:t>RoGS</w:t>
            </w:r>
            <w:proofErr w:type="spellEnd"/>
            <w:r>
              <w:t>.</w:t>
            </w:r>
          </w:p>
          <w:p w:rsidR="00E74080" w:rsidRPr="00E75549" w:rsidRDefault="00E74080" w:rsidP="00E74080">
            <w:pPr>
              <w:pStyle w:val="DQITableText"/>
            </w:pPr>
            <w:r>
              <w:t>D</w:t>
            </w:r>
            <w:r w:rsidRPr="00E74080">
              <w:t xml:space="preserve">ata </w:t>
            </w:r>
            <w:r>
              <w:t>are counted as the number of students enrolled as at 31 December for the forthcoming course year.</w:t>
            </w:r>
          </w:p>
        </w:tc>
      </w:tr>
      <w:tr w:rsidR="009E491C" w:rsidRPr="00254F46" w:rsidTr="002E49D6">
        <w:trPr>
          <w:jc w:val="center"/>
        </w:trPr>
        <w:tc>
          <w:tcPr>
            <w:tcW w:w="840" w:type="pct"/>
          </w:tcPr>
          <w:p w:rsidR="00480638" w:rsidRPr="00A05229" w:rsidRDefault="00480638" w:rsidP="00480638">
            <w:pPr>
              <w:pStyle w:val="DQIRowHeadings"/>
            </w:pPr>
            <w:r w:rsidRPr="00A05229">
              <w:t>Accuracy</w:t>
            </w:r>
          </w:p>
        </w:tc>
        <w:tc>
          <w:tcPr>
            <w:tcW w:w="4160" w:type="pct"/>
            <w:gridSpan w:val="2"/>
          </w:tcPr>
          <w:p w:rsidR="00480638" w:rsidRDefault="00480638" w:rsidP="00480638">
            <w:pPr>
              <w:pStyle w:val="DQITableText"/>
            </w:pPr>
            <w:r>
              <w:t xml:space="preserve">The </w:t>
            </w:r>
            <w:proofErr w:type="spellStart"/>
            <w:r w:rsidRPr="00536DFA">
              <w:t>CAA</w:t>
            </w:r>
            <w:proofErr w:type="spellEnd"/>
            <w:r w:rsidRPr="00620164">
              <w:rPr>
                <w:i/>
              </w:rPr>
              <w:t xml:space="preserve"> </w:t>
            </w:r>
            <w:r>
              <w:t xml:space="preserve">compile administrative data from all </w:t>
            </w:r>
            <w:r>
              <w:rPr>
                <w:lang w:val="en-GB"/>
              </w:rPr>
              <w:t xml:space="preserve">accredited tertiary training </w:t>
            </w:r>
            <w:r w:rsidRPr="00CD72B9">
              <w:rPr>
                <w:lang w:val="en-GB"/>
              </w:rPr>
              <w:t>providers in Australia</w:t>
            </w:r>
            <w:r>
              <w:rPr>
                <w:lang w:val="en-GB"/>
              </w:rPr>
              <w:t xml:space="preserve">. </w:t>
            </w:r>
          </w:p>
          <w:p w:rsidR="00480638" w:rsidRPr="00F565CD" w:rsidRDefault="00480638" w:rsidP="00480638">
            <w:pPr>
              <w:pStyle w:val="DQITableText"/>
            </w:pPr>
            <w:r>
              <w:t>Data are</w:t>
            </w:r>
            <w:r w:rsidR="006D45D4">
              <w:t xml:space="preserve"> </w:t>
            </w:r>
            <w:r>
              <w:t xml:space="preserve">collected according to agreed definitions provided in the </w:t>
            </w:r>
            <w:proofErr w:type="spellStart"/>
            <w:r>
              <w:t>CAA</w:t>
            </w:r>
            <w:proofErr w:type="spellEnd"/>
            <w:r>
              <w:t xml:space="preserve"> data dictionary.</w:t>
            </w:r>
          </w:p>
        </w:tc>
      </w:tr>
      <w:tr w:rsidR="009E491C" w:rsidRPr="00E57110" w:rsidTr="002E49D6">
        <w:trPr>
          <w:jc w:val="center"/>
        </w:trPr>
        <w:tc>
          <w:tcPr>
            <w:tcW w:w="840" w:type="pct"/>
          </w:tcPr>
          <w:p w:rsidR="00480638" w:rsidRPr="00A05229" w:rsidRDefault="00480638" w:rsidP="00480638">
            <w:pPr>
              <w:pStyle w:val="DQIRowHeadings"/>
            </w:pPr>
            <w:r w:rsidRPr="00A05229">
              <w:t>Coherence</w:t>
            </w:r>
          </w:p>
        </w:tc>
        <w:tc>
          <w:tcPr>
            <w:tcW w:w="4160" w:type="pct"/>
            <w:gridSpan w:val="2"/>
          </w:tcPr>
          <w:p w:rsidR="00480638" w:rsidRPr="00CD72B9" w:rsidRDefault="00480638" w:rsidP="00480638">
            <w:pPr>
              <w:pStyle w:val="DQITableText"/>
            </w:pPr>
            <w:r w:rsidRPr="00CD72B9">
              <w:t xml:space="preserve">All data are sourced from the </w:t>
            </w:r>
            <w:proofErr w:type="spellStart"/>
            <w:r w:rsidRPr="00CD72B9">
              <w:t>CAA</w:t>
            </w:r>
            <w:proofErr w:type="spellEnd"/>
            <w:r>
              <w:rPr>
                <w:i/>
              </w:rPr>
              <w:t>.</w:t>
            </w:r>
          </w:p>
          <w:p w:rsidR="00480638" w:rsidRPr="00CD72B9" w:rsidRDefault="00480638" w:rsidP="00480638">
            <w:pPr>
              <w:pStyle w:val="DQITableText"/>
            </w:pPr>
            <w:r w:rsidRPr="00CD72B9">
              <w:t xml:space="preserve">Estimates are comparable over time and between jurisdictions, subject </w:t>
            </w:r>
            <w:r>
              <w:t>to caveats provided by services</w:t>
            </w:r>
            <w:r w:rsidRPr="00CD72B9">
              <w:t xml:space="preserve">. </w:t>
            </w:r>
          </w:p>
          <w:p w:rsidR="00480638" w:rsidRPr="00A05229" w:rsidRDefault="00480638" w:rsidP="00480638">
            <w:pPr>
              <w:pStyle w:val="DQITableText"/>
            </w:pPr>
            <w:r w:rsidRPr="00CD72B9">
              <w:t xml:space="preserve">The </w:t>
            </w:r>
            <w:r>
              <w:t>collection</w:t>
            </w:r>
            <w:r w:rsidRPr="00CD72B9">
              <w:t xml:space="preserve">, instructions, definitions and analysis are prepared and overseen by the </w:t>
            </w:r>
            <w:proofErr w:type="spellStart"/>
            <w:r w:rsidRPr="00CD72B9">
              <w:t>CAA</w:t>
            </w:r>
            <w:proofErr w:type="spellEnd"/>
            <w:r w:rsidRPr="00CD72B9">
              <w:t xml:space="preserve"> and are the same for all </w:t>
            </w:r>
            <w:r>
              <w:t>tertiary institutions</w:t>
            </w:r>
            <w:r w:rsidRPr="00CD72B9">
              <w:t xml:space="preserve">. </w:t>
            </w:r>
          </w:p>
        </w:tc>
      </w:tr>
      <w:tr w:rsidR="009E491C" w:rsidRPr="00E57110" w:rsidTr="002E49D6">
        <w:trPr>
          <w:jc w:val="center"/>
        </w:trPr>
        <w:tc>
          <w:tcPr>
            <w:tcW w:w="840" w:type="pct"/>
          </w:tcPr>
          <w:p w:rsidR="00480638" w:rsidRPr="00A05229" w:rsidRDefault="00480638" w:rsidP="00480638">
            <w:pPr>
              <w:pStyle w:val="DQIRowHeadings"/>
            </w:pPr>
            <w:r w:rsidRPr="00A05229">
              <w:t>Accessibility</w:t>
            </w:r>
          </w:p>
        </w:tc>
        <w:tc>
          <w:tcPr>
            <w:tcW w:w="4160" w:type="pct"/>
            <w:gridSpan w:val="2"/>
          </w:tcPr>
          <w:p w:rsidR="00480638" w:rsidRPr="00A05229" w:rsidRDefault="00480638" w:rsidP="00480638">
            <w:pPr>
              <w:pStyle w:val="DQITableText"/>
            </w:pPr>
            <w:r w:rsidRPr="00BA15EF">
              <w:t>Enrolments in accredited paramedic training courses</w:t>
            </w:r>
            <w:r>
              <w:t xml:space="preserve"> data are publicly available in the </w:t>
            </w:r>
            <w:proofErr w:type="spellStart"/>
            <w:r>
              <w:t>CAA</w:t>
            </w:r>
            <w:proofErr w:type="spellEnd"/>
            <w:r>
              <w:t xml:space="preserve"> Annual Report on the </w:t>
            </w:r>
            <w:proofErr w:type="spellStart"/>
            <w:r>
              <w:t>CAA</w:t>
            </w:r>
            <w:proofErr w:type="spellEnd"/>
            <w:r>
              <w:t xml:space="preserve"> </w:t>
            </w:r>
            <w:r w:rsidRPr="00B43BC8">
              <w:rPr>
                <w:rFonts w:ascii="ArialMT" w:eastAsiaTheme="minorEastAsia" w:hAnsi="ArialMT" w:cs="ArialMT"/>
                <w:lang w:eastAsia="zh-TW"/>
              </w:rPr>
              <w:t>website</w:t>
            </w:r>
            <w:r>
              <w:t xml:space="preserve"> annually (</w:t>
            </w:r>
            <w:proofErr w:type="spellStart"/>
            <w:r w:rsidRPr="004A1422">
              <w:t>www.caa.net.au</w:t>
            </w:r>
            <w:proofErr w:type="spellEnd"/>
            <w:r>
              <w:t>).</w:t>
            </w:r>
          </w:p>
        </w:tc>
      </w:tr>
      <w:tr w:rsidR="009E491C" w:rsidRPr="00254F46" w:rsidTr="002E49D6">
        <w:trPr>
          <w:jc w:val="center"/>
        </w:trPr>
        <w:tc>
          <w:tcPr>
            <w:tcW w:w="840" w:type="pct"/>
          </w:tcPr>
          <w:p w:rsidR="00480638" w:rsidRPr="00A05229" w:rsidRDefault="00480638" w:rsidP="00480638">
            <w:pPr>
              <w:pStyle w:val="DQIRowHeadings"/>
            </w:pPr>
            <w:r w:rsidRPr="00A05229">
              <w:t>Interpretability</w:t>
            </w:r>
          </w:p>
        </w:tc>
        <w:tc>
          <w:tcPr>
            <w:tcW w:w="4160" w:type="pct"/>
            <w:gridSpan w:val="2"/>
          </w:tcPr>
          <w:p w:rsidR="00480638" w:rsidRPr="006C2C6E" w:rsidRDefault="00480638" w:rsidP="00480638">
            <w:pPr>
              <w:pStyle w:val="DQITableText"/>
            </w:pPr>
            <w:r w:rsidRPr="00CD72B9">
              <w:t xml:space="preserve">The </w:t>
            </w:r>
            <w:r w:rsidRPr="00BA15EF">
              <w:t>Enrolments in accredited paramedic training courses</w:t>
            </w:r>
            <w:r>
              <w:t xml:space="preserve"> </w:t>
            </w:r>
            <w:r w:rsidRPr="00CD72B9">
              <w:t xml:space="preserve">data </w:t>
            </w:r>
            <w:r>
              <w:t>are</w:t>
            </w:r>
            <w:r w:rsidRPr="00CD72B9">
              <w:t xml:space="preserve"> publicly available and includes definitions of the collected data.</w:t>
            </w:r>
          </w:p>
        </w:tc>
      </w:tr>
      <w:tr w:rsidR="009E491C" w:rsidRPr="00254F46" w:rsidTr="002E49D6">
        <w:trPr>
          <w:jc w:val="center"/>
        </w:trPr>
        <w:tc>
          <w:tcPr>
            <w:tcW w:w="3523" w:type="pct"/>
            <w:gridSpan w:val="2"/>
          </w:tcPr>
          <w:p w:rsidR="009E491C" w:rsidRPr="00CE3D86" w:rsidRDefault="009E491C" w:rsidP="00013A8A">
            <w:pPr>
              <w:pStyle w:val="DQIMainRowHeadings"/>
            </w:pPr>
            <w:r w:rsidRPr="00C744E0">
              <w:t>Data Gaps/Issues Analysis</w:t>
            </w:r>
          </w:p>
        </w:tc>
        <w:tc>
          <w:tcPr>
            <w:tcW w:w="1477" w:type="pct"/>
          </w:tcPr>
          <w:p w:rsidR="009E491C" w:rsidRPr="00CE3D86" w:rsidRDefault="009E491C" w:rsidP="00013A8A">
            <w:pPr>
              <w:pStyle w:val="DQIMainRowHeadings"/>
            </w:pPr>
          </w:p>
        </w:tc>
      </w:tr>
      <w:tr w:rsidR="009E491C" w:rsidRPr="004F3342" w:rsidTr="002E49D6">
        <w:trPr>
          <w:trHeight w:val="539"/>
          <w:jc w:val="center"/>
        </w:trPr>
        <w:tc>
          <w:tcPr>
            <w:tcW w:w="840" w:type="pct"/>
          </w:tcPr>
          <w:p w:rsidR="00480638" w:rsidRPr="00A05229" w:rsidRDefault="00480638" w:rsidP="00013A8A">
            <w:pPr>
              <w:pStyle w:val="DQIRowHeadings"/>
            </w:pPr>
            <w:r w:rsidRPr="00A05229">
              <w:t>Key data gaps/issues</w:t>
            </w:r>
          </w:p>
        </w:tc>
        <w:tc>
          <w:tcPr>
            <w:tcW w:w="4160" w:type="pct"/>
            <w:gridSpan w:val="2"/>
          </w:tcPr>
          <w:p w:rsidR="00480638" w:rsidRPr="00620164" w:rsidRDefault="00480638" w:rsidP="00480638">
            <w:pPr>
              <w:pStyle w:val="DQITableText"/>
            </w:pPr>
            <w:r w:rsidRPr="00620164">
              <w:t>The Steering Committee notes the following issue</w:t>
            </w:r>
            <w:r>
              <w:t>s</w:t>
            </w:r>
            <w:r w:rsidRPr="00620164">
              <w:t>:</w:t>
            </w:r>
          </w:p>
          <w:p w:rsidR="00480638" w:rsidRDefault="00480638" w:rsidP="00480638">
            <w:pPr>
              <w:pStyle w:val="DQITableBullet"/>
            </w:pPr>
            <w:r>
              <w:t xml:space="preserve">The </w:t>
            </w:r>
            <w:r w:rsidRPr="00BA15EF">
              <w:t xml:space="preserve">enrolments in accredited paramedic </w:t>
            </w:r>
            <w:r w:rsidRPr="00480638">
              <w:t>training</w:t>
            </w:r>
            <w:r w:rsidRPr="00BA15EF">
              <w:t xml:space="preserve"> courses</w:t>
            </w:r>
            <w:r>
              <w:t xml:space="preserve"> is only one aspect of workforce sustainability.</w:t>
            </w:r>
          </w:p>
          <w:p w:rsidR="00480638" w:rsidRDefault="00480638" w:rsidP="00480638">
            <w:pPr>
              <w:pStyle w:val="DQITableBullet"/>
            </w:pPr>
            <w:r>
              <w:t xml:space="preserve">Analysis of </w:t>
            </w:r>
            <w:r w:rsidRPr="00BA15EF">
              <w:t>Enrolments in accredited paramedic training courses</w:t>
            </w:r>
            <w:r>
              <w:t xml:space="preserve"> should be done in conjunction with other measures including </w:t>
            </w:r>
            <w:r w:rsidRPr="00480638">
              <w:t>workforce</w:t>
            </w:r>
            <w:r>
              <w:t xml:space="preserve"> by age group and staff attrition.</w:t>
            </w:r>
          </w:p>
          <w:p w:rsidR="00480638" w:rsidRPr="004F3342" w:rsidRDefault="00480638" w:rsidP="00480638">
            <w:pPr>
              <w:pStyle w:val="DQITableBullet"/>
            </w:pPr>
            <w:proofErr w:type="spellStart"/>
            <w:r>
              <w:t>PEPAS</w:t>
            </w:r>
            <w:proofErr w:type="spellEnd"/>
            <w:r>
              <w:t xml:space="preserve"> is a voluntary program and as such might not represent all students enrolled in paramedic courses around Australia, it only </w:t>
            </w:r>
            <w:r w:rsidRPr="00480638">
              <w:t>represents</w:t>
            </w:r>
            <w:r>
              <w:t xml:space="preserve"> those enrolled in </w:t>
            </w:r>
            <w:proofErr w:type="spellStart"/>
            <w:r>
              <w:t>CAA</w:t>
            </w:r>
            <w:proofErr w:type="spellEnd"/>
            <w:r>
              <w:t xml:space="preserve"> </w:t>
            </w:r>
            <w:proofErr w:type="spellStart"/>
            <w:r>
              <w:t>PEPAS</w:t>
            </w:r>
            <w:proofErr w:type="spellEnd"/>
            <w:r>
              <w:t xml:space="preserve"> accredited courses.</w:t>
            </w:r>
          </w:p>
        </w:tc>
      </w:tr>
    </w:tbl>
    <w:p w:rsidR="00480638" w:rsidRDefault="00480638" w:rsidP="00480638"/>
    <w:p w:rsidR="00480638" w:rsidRDefault="00480638" w:rsidP="00480638">
      <w:pPr>
        <w:pStyle w:val="BodyText"/>
      </w:pPr>
    </w:p>
    <w:p w:rsidR="00030E96" w:rsidRDefault="00030E96" w:rsidP="00030E96">
      <w:pPr>
        <w:pStyle w:val="BodyText"/>
      </w:pPr>
    </w:p>
    <w:p w:rsidR="00162371" w:rsidRDefault="00162371">
      <w:pPr>
        <w:rPr>
          <w:szCs w:val="20"/>
        </w:rPr>
      </w:pPr>
      <w:r>
        <w:br w:type="page"/>
      </w:r>
    </w:p>
    <w:p w:rsidR="00162371" w:rsidRDefault="00162371" w:rsidP="00162371">
      <w:pPr>
        <w:pStyle w:val="Heading3"/>
        <w:keepLines/>
        <w:spacing w:after="120"/>
      </w:pPr>
      <w:bookmarkStart w:id="89" w:name="_Toc398732488"/>
      <w:bookmarkStart w:id="90" w:name="_Toc405885757"/>
      <w:r>
        <w:lastRenderedPageBreak/>
        <w:t>Ambulance service expenditure per person</w:t>
      </w:r>
      <w:bookmarkEnd w:id="89"/>
      <w:bookmarkEnd w:id="90"/>
    </w:p>
    <w:p w:rsidR="00162371" w:rsidRDefault="00162371" w:rsidP="00162371">
      <w:pPr>
        <w:pStyle w:val="Box"/>
      </w:pPr>
      <w:r>
        <w:t>Data quality information for this indicator has been drafted by the Secretariat in consultation with the Council of Ambulance Authorities (</w:t>
      </w:r>
      <w:proofErr w:type="spellStart"/>
      <w:r>
        <w:t>CAA</w:t>
      </w:r>
      <w:proofErr w:type="spellEnd"/>
      <w:r>
        <w:t>), with additional Steering Committee comments.</w:t>
      </w:r>
    </w:p>
    <w:tbl>
      <w:tblPr>
        <w:tblW w:w="4880" w:type="pct"/>
        <w:tblInd w:w="108" w:type="dxa"/>
        <w:tblLayout w:type="fixed"/>
        <w:tblLook w:val="01E0" w:firstRow="1" w:lastRow="1" w:firstColumn="1" w:lastColumn="1" w:noHBand="0" w:noVBand="0"/>
      </w:tblPr>
      <w:tblGrid>
        <w:gridCol w:w="1436"/>
        <w:gridCol w:w="4899"/>
        <w:gridCol w:w="688"/>
        <w:gridCol w:w="1517"/>
      </w:tblGrid>
      <w:tr w:rsidR="009E491C" w:rsidTr="002E49D6">
        <w:trPr>
          <w:trHeight w:val="519"/>
        </w:trPr>
        <w:tc>
          <w:tcPr>
            <w:tcW w:w="4112" w:type="pct"/>
            <w:gridSpan w:val="3"/>
            <w:tcBorders>
              <w:left w:val="nil"/>
              <w:right w:val="nil"/>
            </w:tcBorders>
            <w:vAlign w:val="center"/>
            <w:hideMark/>
          </w:tcPr>
          <w:p w:rsidR="009E491C" w:rsidRDefault="009E491C" w:rsidP="00523692">
            <w:pPr>
              <w:pStyle w:val="DQIMainRowHeadings"/>
              <w:rPr>
                <w:lang w:eastAsia="zh-TW"/>
              </w:rPr>
            </w:pPr>
            <w:r>
              <w:rPr>
                <w:lang w:eastAsia="zh-TW"/>
              </w:rPr>
              <w:t>Indicator definition and description</w:t>
            </w:r>
          </w:p>
        </w:tc>
        <w:tc>
          <w:tcPr>
            <w:tcW w:w="888" w:type="pct"/>
            <w:tcBorders>
              <w:left w:val="nil"/>
              <w:right w:val="nil"/>
            </w:tcBorders>
            <w:vAlign w:val="center"/>
          </w:tcPr>
          <w:p w:rsidR="009E491C" w:rsidRDefault="009E491C" w:rsidP="00523692">
            <w:pPr>
              <w:pStyle w:val="DQIMainRowHeadings"/>
              <w:rPr>
                <w:lang w:eastAsia="zh-TW"/>
              </w:rPr>
            </w:pPr>
          </w:p>
        </w:tc>
      </w:tr>
      <w:tr w:rsidR="00162371" w:rsidTr="002E49D6">
        <w:tc>
          <w:tcPr>
            <w:tcW w:w="841" w:type="pct"/>
            <w:tcBorders>
              <w:left w:val="nil"/>
              <w:bottom w:val="nil"/>
              <w:right w:val="nil"/>
            </w:tcBorders>
            <w:hideMark/>
          </w:tcPr>
          <w:p w:rsidR="00162371" w:rsidRDefault="00162371" w:rsidP="00523692">
            <w:pPr>
              <w:pStyle w:val="DQIRowHeadings"/>
              <w:rPr>
                <w:lang w:eastAsia="zh-TW"/>
              </w:rPr>
            </w:pPr>
            <w:r>
              <w:rPr>
                <w:lang w:eastAsia="zh-TW"/>
              </w:rPr>
              <w:t>Element</w:t>
            </w:r>
          </w:p>
        </w:tc>
        <w:tc>
          <w:tcPr>
            <w:tcW w:w="4159" w:type="pct"/>
            <w:gridSpan w:val="3"/>
            <w:tcBorders>
              <w:left w:val="nil"/>
              <w:bottom w:val="nil"/>
              <w:right w:val="nil"/>
            </w:tcBorders>
          </w:tcPr>
          <w:p w:rsidR="00162371" w:rsidRDefault="00162371" w:rsidP="00523692">
            <w:pPr>
              <w:pStyle w:val="DQITableText"/>
              <w:rPr>
                <w:lang w:eastAsia="zh-TW"/>
              </w:rPr>
            </w:pPr>
            <w:r>
              <w:rPr>
                <w:lang w:eastAsia="zh-TW"/>
              </w:rPr>
              <w:t>Efficiency</w:t>
            </w:r>
          </w:p>
        </w:tc>
      </w:tr>
      <w:tr w:rsidR="00162371" w:rsidTr="002E49D6">
        <w:tc>
          <w:tcPr>
            <w:tcW w:w="841" w:type="pct"/>
            <w:hideMark/>
          </w:tcPr>
          <w:p w:rsidR="00162371" w:rsidRDefault="00162371" w:rsidP="00523692">
            <w:pPr>
              <w:pStyle w:val="DQIRowHeadings"/>
              <w:rPr>
                <w:lang w:eastAsia="zh-TW"/>
              </w:rPr>
            </w:pPr>
            <w:r>
              <w:rPr>
                <w:lang w:eastAsia="zh-TW"/>
              </w:rPr>
              <w:t>Indicator</w:t>
            </w:r>
          </w:p>
        </w:tc>
        <w:tc>
          <w:tcPr>
            <w:tcW w:w="4159" w:type="pct"/>
            <w:gridSpan w:val="3"/>
          </w:tcPr>
          <w:p w:rsidR="00162371" w:rsidRDefault="00162371" w:rsidP="00523692">
            <w:pPr>
              <w:pStyle w:val="DQITableText"/>
              <w:rPr>
                <w:lang w:eastAsia="zh-TW"/>
              </w:rPr>
            </w:pPr>
            <w:r>
              <w:rPr>
                <w:lang w:eastAsia="zh-TW"/>
              </w:rPr>
              <w:t>Ambulance service expenditure per person</w:t>
            </w:r>
          </w:p>
        </w:tc>
      </w:tr>
      <w:tr w:rsidR="00162371" w:rsidTr="002E49D6">
        <w:tc>
          <w:tcPr>
            <w:tcW w:w="841" w:type="pct"/>
            <w:hideMark/>
          </w:tcPr>
          <w:p w:rsidR="00162371" w:rsidRDefault="00162371" w:rsidP="00523692">
            <w:pPr>
              <w:pStyle w:val="DQIRowHeadings"/>
              <w:rPr>
                <w:lang w:eastAsia="zh-TW"/>
              </w:rPr>
            </w:pPr>
            <w:r>
              <w:rPr>
                <w:lang w:eastAsia="zh-TW"/>
              </w:rPr>
              <w:t>Measure (computation)</w:t>
            </w:r>
          </w:p>
        </w:tc>
        <w:tc>
          <w:tcPr>
            <w:tcW w:w="4159" w:type="pct"/>
            <w:gridSpan w:val="3"/>
          </w:tcPr>
          <w:p w:rsidR="00162371" w:rsidRDefault="00162371" w:rsidP="00523692">
            <w:pPr>
              <w:pStyle w:val="DQITableText"/>
              <w:rPr>
                <w:lang w:eastAsia="zh-TW"/>
              </w:rPr>
            </w:pPr>
            <w:r>
              <w:rPr>
                <w:lang w:eastAsia="zh-TW"/>
              </w:rPr>
              <w:t>Ambulance service organisations expenditure per person’ is defined as total ambulance service organisation expenditure per person in the population.</w:t>
            </w:r>
          </w:p>
          <w:p w:rsidR="00162371" w:rsidRDefault="00162371" w:rsidP="00523692">
            <w:pPr>
              <w:pStyle w:val="DQITableText"/>
              <w:rPr>
                <w:lang w:eastAsia="zh-TW"/>
              </w:rPr>
            </w:pPr>
            <w:r>
              <w:rPr>
                <w:lang w:eastAsia="zh-TW"/>
              </w:rPr>
              <w:t xml:space="preserve">Ambulance service expenditure includes salaries and payments in the nature of salaries, capital costs and other operating costs that are essential to providing ambulance services. For more detail refer to the </w:t>
            </w:r>
            <w:proofErr w:type="spellStart"/>
            <w:r>
              <w:rPr>
                <w:lang w:eastAsia="zh-TW"/>
              </w:rPr>
              <w:t>CAA</w:t>
            </w:r>
            <w:proofErr w:type="spellEnd"/>
            <w:r>
              <w:rPr>
                <w:lang w:eastAsia="zh-TW"/>
              </w:rPr>
              <w:t xml:space="preserve"> Data Dictionary. </w:t>
            </w:r>
          </w:p>
        </w:tc>
      </w:tr>
      <w:tr w:rsidR="00162371" w:rsidTr="002E49D6">
        <w:tc>
          <w:tcPr>
            <w:tcW w:w="841" w:type="pct"/>
            <w:hideMark/>
          </w:tcPr>
          <w:p w:rsidR="00162371" w:rsidRDefault="00162371" w:rsidP="00523692">
            <w:pPr>
              <w:pStyle w:val="DQIRowHeadings"/>
              <w:rPr>
                <w:lang w:eastAsia="zh-TW"/>
              </w:rPr>
            </w:pPr>
            <w:r>
              <w:rPr>
                <w:lang w:eastAsia="zh-TW"/>
              </w:rPr>
              <w:t>Data source</w:t>
            </w:r>
          </w:p>
        </w:tc>
        <w:tc>
          <w:tcPr>
            <w:tcW w:w="4159" w:type="pct"/>
            <w:gridSpan w:val="3"/>
          </w:tcPr>
          <w:p w:rsidR="00162371" w:rsidRDefault="00162371" w:rsidP="00523692">
            <w:pPr>
              <w:pStyle w:val="DQITableText"/>
              <w:rPr>
                <w:lang w:eastAsia="zh-TW"/>
              </w:rPr>
            </w:pPr>
            <w:r>
              <w:rPr>
                <w:i/>
                <w:lang w:eastAsia="zh-TW"/>
              </w:rPr>
              <w:t>Consolidated Returns</w:t>
            </w:r>
            <w:r>
              <w:rPr>
                <w:lang w:eastAsia="zh-TW"/>
              </w:rPr>
              <w:t>,</w:t>
            </w:r>
            <w:r>
              <w:rPr>
                <w:i/>
                <w:lang w:eastAsia="zh-TW"/>
              </w:rPr>
              <w:t xml:space="preserve"> </w:t>
            </w:r>
            <w:r>
              <w:rPr>
                <w:lang w:eastAsia="zh-TW"/>
              </w:rPr>
              <w:t>Council of Ambulance Authorities (</w:t>
            </w:r>
            <w:proofErr w:type="spellStart"/>
            <w:r>
              <w:rPr>
                <w:lang w:eastAsia="zh-TW"/>
              </w:rPr>
              <w:t>CAA</w:t>
            </w:r>
            <w:proofErr w:type="spellEnd"/>
            <w:r>
              <w:rPr>
                <w:lang w:eastAsia="zh-TW"/>
              </w:rPr>
              <w:t>)</w:t>
            </w:r>
          </w:p>
        </w:tc>
      </w:tr>
      <w:tr w:rsidR="009E491C" w:rsidTr="002E49D6">
        <w:trPr>
          <w:trHeight w:val="531"/>
        </w:trPr>
        <w:tc>
          <w:tcPr>
            <w:tcW w:w="4112" w:type="pct"/>
            <w:gridSpan w:val="3"/>
            <w:vAlign w:val="center"/>
            <w:hideMark/>
          </w:tcPr>
          <w:p w:rsidR="009E491C" w:rsidRDefault="009E491C" w:rsidP="00523692">
            <w:pPr>
              <w:pStyle w:val="DQIMainRowHeadings"/>
              <w:rPr>
                <w:lang w:eastAsia="zh-TW"/>
              </w:rPr>
            </w:pPr>
            <w:r>
              <w:rPr>
                <w:lang w:eastAsia="zh-TW"/>
              </w:rPr>
              <w:t>Data Quality Framework Dimensions</w:t>
            </w:r>
          </w:p>
        </w:tc>
        <w:tc>
          <w:tcPr>
            <w:tcW w:w="888" w:type="pct"/>
            <w:vAlign w:val="center"/>
          </w:tcPr>
          <w:p w:rsidR="009E491C" w:rsidRDefault="009E491C" w:rsidP="00523692">
            <w:pPr>
              <w:pStyle w:val="DQIMainRowHeadings"/>
              <w:rPr>
                <w:lang w:eastAsia="zh-TW"/>
              </w:rPr>
            </w:pPr>
          </w:p>
        </w:tc>
      </w:tr>
      <w:tr w:rsidR="00162371" w:rsidTr="002E49D6">
        <w:tc>
          <w:tcPr>
            <w:tcW w:w="841" w:type="pct"/>
            <w:hideMark/>
          </w:tcPr>
          <w:p w:rsidR="00162371" w:rsidRDefault="00162371" w:rsidP="00523692">
            <w:pPr>
              <w:pStyle w:val="DQIRowHeadings"/>
              <w:rPr>
                <w:lang w:eastAsia="zh-TW"/>
              </w:rPr>
            </w:pPr>
            <w:r>
              <w:rPr>
                <w:lang w:eastAsia="zh-TW"/>
              </w:rPr>
              <w:t>Institutional environment</w:t>
            </w:r>
          </w:p>
        </w:tc>
        <w:tc>
          <w:tcPr>
            <w:tcW w:w="4159" w:type="pct"/>
            <w:gridSpan w:val="3"/>
          </w:tcPr>
          <w:p w:rsidR="00162371" w:rsidRDefault="00162371" w:rsidP="00523692">
            <w:pPr>
              <w:pStyle w:val="DQITableText"/>
              <w:rPr>
                <w:lang w:eastAsia="zh-TW"/>
              </w:rPr>
            </w:pPr>
            <w:r>
              <w:rPr>
                <w:lang w:eastAsia="zh-TW"/>
              </w:rPr>
              <w:t xml:space="preserve">The </w:t>
            </w:r>
            <w:proofErr w:type="spellStart"/>
            <w:r>
              <w:rPr>
                <w:lang w:eastAsia="zh-TW"/>
              </w:rPr>
              <w:t>CAA</w:t>
            </w:r>
            <w:proofErr w:type="spellEnd"/>
            <w:r>
              <w:rPr>
                <w:lang w:eastAsia="zh-TW"/>
              </w:rPr>
              <w:t xml:space="preserve"> is the peak body representing the principal statutory providers of ambulance services in Australia. </w:t>
            </w:r>
          </w:p>
          <w:p w:rsidR="00162371" w:rsidRDefault="00162371" w:rsidP="00523692">
            <w:pPr>
              <w:pStyle w:val="DQITableText"/>
              <w:rPr>
                <w:lang w:eastAsia="zh-TW"/>
              </w:rPr>
            </w:pPr>
            <w:r>
              <w:rPr>
                <w:lang w:eastAsia="zh-TW"/>
              </w:rPr>
              <w:t xml:space="preserve">The </w:t>
            </w:r>
            <w:proofErr w:type="spellStart"/>
            <w:r>
              <w:rPr>
                <w:lang w:eastAsia="zh-TW"/>
              </w:rPr>
              <w:t>CAA</w:t>
            </w:r>
            <w:proofErr w:type="spellEnd"/>
            <w:r>
              <w:rPr>
                <w:lang w:eastAsia="zh-TW"/>
              </w:rPr>
              <w:t xml:space="preserve"> collects administrative data annually from all statutory ambulance services, using the same core questionnaire and instructions — the </w:t>
            </w:r>
            <w:proofErr w:type="spellStart"/>
            <w:r>
              <w:rPr>
                <w:i/>
                <w:iCs/>
                <w:lang w:eastAsia="zh-TW"/>
              </w:rPr>
              <w:t>CAA</w:t>
            </w:r>
            <w:proofErr w:type="spellEnd"/>
            <w:r>
              <w:rPr>
                <w:i/>
                <w:iCs/>
                <w:lang w:eastAsia="zh-TW"/>
              </w:rPr>
              <w:t xml:space="preserve"> Consolidated Returns</w:t>
            </w:r>
            <w:r>
              <w:rPr>
                <w:lang w:eastAsia="zh-TW"/>
              </w:rPr>
              <w:t xml:space="preserve">. </w:t>
            </w:r>
          </w:p>
          <w:p w:rsidR="00162371" w:rsidRDefault="00162371" w:rsidP="00523692">
            <w:pPr>
              <w:pStyle w:val="DQITableText"/>
              <w:rPr>
                <w:lang w:eastAsia="zh-TW"/>
              </w:rPr>
            </w:pPr>
            <w:r>
              <w:rPr>
                <w:lang w:eastAsia="zh-TW"/>
              </w:rPr>
              <w:t xml:space="preserve">The ambulance service organisations send their data to the </w:t>
            </w:r>
            <w:proofErr w:type="spellStart"/>
            <w:r>
              <w:rPr>
                <w:lang w:eastAsia="zh-TW"/>
              </w:rPr>
              <w:t>CAA</w:t>
            </w:r>
            <w:proofErr w:type="spellEnd"/>
            <w:r>
              <w:rPr>
                <w:lang w:eastAsia="zh-TW"/>
              </w:rPr>
              <w:t xml:space="preserve">. The </w:t>
            </w:r>
            <w:proofErr w:type="spellStart"/>
            <w:r>
              <w:rPr>
                <w:lang w:eastAsia="zh-TW"/>
              </w:rPr>
              <w:t>CAA</w:t>
            </w:r>
            <w:proofErr w:type="spellEnd"/>
            <w:r>
              <w:rPr>
                <w:lang w:eastAsia="zh-TW"/>
              </w:rPr>
              <w:t xml:space="preserve"> then collates all data to be provided to the Productivity Commission use in the </w:t>
            </w:r>
            <w:proofErr w:type="spellStart"/>
            <w:r>
              <w:rPr>
                <w:lang w:eastAsia="zh-TW"/>
              </w:rPr>
              <w:t>RoGS</w:t>
            </w:r>
            <w:proofErr w:type="spellEnd"/>
            <w:r>
              <w:rPr>
                <w:lang w:eastAsia="zh-TW"/>
              </w:rPr>
              <w:t>.</w:t>
            </w:r>
          </w:p>
        </w:tc>
      </w:tr>
      <w:tr w:rsidR="00162371" w:rsidTr="002E49D6">
        <w:tc>
          <w:tcPr>
            <w:tcW w:w="841" w:type="pct"/>
          </w:tcPr>
          <w:p w:rsidR="00162371" w:rsidRDefault="00162371" w:rsidP="00523692">
            <w:pPr>
              <w:pStyle w:val="DQIRowHeadings"/>
              <w:rPr>
                <w:lang w:eastAsia="zh-TW"/>
              </w:rPr>
            </w:pPr>
            <w:r>
              <w:rPr>
                <w:lang w:eastAsia="zh-TW"/>
              </w:rPr>
              <w:t>Relevance</w:t>
            </w:r>
          </w:p>
          <w:p w:rsidR="00162371" w:rsidRDefault="00162371" w:rsidP="00523692">
            <w:pPr>
              <w:pStyle w:val="DQIRowHeadings"/>
              <w:rPr>
                <w:lang w:eastAsia="zh-TW"/>
              </w:rPr>
            </w:pPr>
          </w:p>
        </w:tc>
        <w:tc>
          <w:tcPr>
            <w:tcW w:w="4159" w:type="pct"/>
            <w:gridSpan w:val="3"/>
          </w:tcPr>
          <w:p w:rsidR="00162371" w:rsidRDefault="00162371" w:rsidP="00523692">
            <w:pPr>
              <w:pStyle w:val="DQITableText"/>
              <w:rPr>
                <w:lang w:eastAsia="zh-TW"/>
              </w:rPr>
            </w:pPr>
            <w:r>
              <w:rPr>
                <w:lang w:eastAsia="zh-TW"/>
              </w:rPr>
              <w:t>The indicator is available for all statutory ambulance services in Australia, by State and Territory.</w:t>
            </w:r>
          </w:p>
          <w:p w:rsidR="00162371" w:rsidRDefault="00162371" w:rsidP="00523692">
            <w:pPr>
              <w:pStyle w:val="DQITableText"/>
              <w:rPr>
                <w:lang w:eastAsia="zh-TW"/>
              </w:rPr>
            </w:pPr>
            <w:r>
              <w:rPr>
                <w:lang w:eastAsia="zh-TW"/>
              </w:rPr>
              <w:t xml:space="preserve">The </w:t>
            </w:r>
            <w:proofErr w:type="spellStart"/>
            <w:r>
              <w:rPr>
                <w:i/>
                <w:lang w:eastAsia="zh-TW"/>
              </w:rPr>
              <w:t>CAA</w:t>
            </w:r>
            <w:proofErr w:type="spellEnd"/>
            <w:r>
              <w:rPr>
                <w:i/>
                <w:lang w:eastAsia="zh-TW"/>
              </w:rPr>
              <w:t xml:space="preserve"> Consolidated Returns</w:t>
            </w:r>
            <w:r>
              <w:rPr>
                <w:lang w:eastAsia="zh-TW"/>
              </w:rPr>
              <w:t xml:space="preserve"> collects data for each of the ambulance service organisations expenditures categories, as defined in the measure.</w:t>
            </w:r>
          </w:p>
          <w:p w:rsidR="00C618FB" w:rsidRDefault="00C618FB" w:rsidP="00523692">
            <w:pPr>
              <w:pStyle w:val="DQITableText"/>
              <w:rPr>
                <w:lang w:eastAsia="zh-TW"/>
              </w:rPr>
            </w:pPr>
            <w:r>
              <w:rPr>
                <w:lang w:eastAsia="zh-TW"/>
              </w:rPr>
              <w:t>All else being equal, lower expenditure per person represents greater efficiency. However, efficiency data are difficult to interpret. While high or increasing expenditure per person may reflect deteriorating efficiency, it may also reflect changes in aspects of the service (such as improved response) or the characteristics of events requiring ambulance service response (such as more serious para medical challenges). Similarly, low or declining expenditure per person may reflect improving efficiency or lower quality responses or less challenging cases.</w:t>
            </w:r>
          </w:p>
          <w:p w:rsidR="00162371" w:rsidRDefault="00C618FB" w:rsidP="00523692">
            <w:pPr>
              <w:pStyle w:val="DQITableText"/>
              <w:rPr>
                <w:lang w:eastAsia="zh-TW"/>
              </w:rPr>
            </w:pPr>
            <w:r>
              <w:rPr>
                <w:lang w:eastAsia="zh-TW"/>
              </w:rPr>
              <w:t>Expenditure per person is employed as a proxy for efficiency. Expenditure per ambulance event is not used as a proxy for ambulance service organisation efficiency because an organisation that applies more resources to the prevention and preparedness components of community safety to reduce the demand for ambulance services could erroneously appear to be less efficient.</w:t>
            </w:r>
          </w:p>
        </w:tc>
      </w:tr>
      <w:tr w:rsidR="00162371" w:rsidTr="002E49D6">
        <w:tc>
          <w:tcPr>
            <w:tcW w:w="841" w:type="pct"/>
          </w:tcPr>
          <w:p w:rsidR="00162371" w:rsidRDefault="00162371" w:rsidP="00523692">
            <w:pPr>
              <w:pStyle w:val="DQIRowHeadings"/>
              <w:rPr>
                <w:lang w:eastAsia="zh-TW"/>
              </w:rPr>
            </w:pPr>
            <w:r>
              <w:rPr>
                <w:lang w:eastAsia="zh-TW"/>
              </w:rPr>
              <w:t>Timeliness</w:t>
            </w:r>
          </w:p>
        </w:tc>
        <w:tc>
          <w:tcPr>
            <w:tcW w:w="4159" w:type="pct"/>
            <w:gridSpan w:val="3"/>
          </w:tcPr>
          <w:p w:rsidR="00162371" w:rsidRDefault="00162371" w:rsidP="007F6100">
            <w:pPr>
              <w:pStyle w:val="DQITableText"/>
              <w:rPr>
                <w:lang w:eastAsia="zh-TW"/>
              </w:rPr>
            </w:pPr>
            <w:r>
              <w:rPr>
                <w:lang w:eastAsia="zh-TW"/>
              </w:rPr>
              <w:t xml:space="preserve">The Ambulance service expenditure per person data </w:t>
            </w:r>
            <w:r w:rsidR="00EE3F05">
              <w:rPr>
                <w:lang w:eastAsia="zh-TW"/>
              </w:rPr>
              <w:t>are</w:t>
            </w:r>
            <w:r>
              <w:rPr>
                <w:lang w:eastAsia="zh-TW"/>
              </w:rPr>
              <w:t xml:space="preserve"> published annually for the latest financial year preceding the January release of each </w:t>
            </w:r>
            <w:proofErr w:type="spellStart"/>
            <w:r w:rsidR="007F6100">
              <w:rPr>
                <w:lang w:eastAsia="zh-TW"/>
              </w:rPr>
              <w:t>RoGS</w:t>
            </w:r>
            <w:proofErr w:type="spellEnd"/>
            <w:r>
              <w:rPr>
                <w:lang w:eastAsia="zh-TW"/>
              </w:rPr>
              <w:t>.</w:t>
            </w:r>
          </w:p>
        </w:tc>
      </w:tr>
      <w:tr w:rsidR="00162371" w:rsidTr="002E49D6">
        <w:tc>
          <w:tcPr>
            <w:tcW w:w="841" w:type="pct"/>
          </w:tcPr>
          <w:p w:rsidR="00162371" w:rsidRDefault="00162371" w:rsidP="00523692">
            <w:pPr>
              <w:pStyle w:val="DQIRowHeadings"/>
              <w:rPr>
                <w:lang w:eastAsia="zh-TW"/>
              </w:rPr>
            </w:pPr>
            <w:r>
              <w:rPr>
                <w:lang w:eastAsia="zh-TW"/>
              </w:rPr>
              <w:t>Accuracy</w:t>
            </w:r>
          </w:p>
        </w:tc>
        <w:tc>
          <w:tcPr>
            <w:tcW w:w="4159" w:type="pct"/>
            <w:gridSpan w:val="3"/>
          </w:tcPr>
          <w:p w:rsidR="00162371" w:rsidRDefault="00162371" w:rsidP="00523692">
            <w:pPr>
              <w:pStyle w:val="DQITableText"/>
              <w:rPr>
                <w:lang w:eastAsia="zh-TW"/>
              </w:rPr>
            </w:pPr>
            <w:r>
              <w:rPr>
                <w:lang w:eastAsia="zh-TW"/>
              </w:rPr>
              <w:t xml:space="preserve">The </w:t>
            </w:r>
            <w:proofErr w:type="spellStart"/>
            <w:r>
              <w:rPr>
                <w:i/>
                <w:lang w:eastAsia="zh-TW"/>
              </w:rPr>
              <w:t>CAA</w:t>
            </w:r>
            <w:proofErr w:type="spellEnd"/>
            <w:r>
              <w:rPr>
                <w:i/>
                <w:lang w:eastAsia="zh-TW"/>
              </w:rPr>
              <w:t xml:space="preserve"> Consolidated Returns</w:t>
            </w:r>
            <w:r>
              <w:rPr>
                <w:lang w:eastAsia="zh-TW"/>
              </w:rPr>
              <w:t xml:space="preserve"> compile administrative data from all </w:t>
            </w:r>
            <w:r>
              <w:rPr>
                <w:lang w:val="en-GB" w:eastAsia="zh-TW"/>
              </w:rPr>
              <w:t xml:space="preserve">statutory providers of ambulance services in Australia. </w:t>
            </w:r>
          </w:p>
          <w:p w:rsidR="00162371" w:rsidRDefault="00162371" w:rsidP="00523692">
            <w:pPr>
              <w:pStyle w:val="DQITableText"/>
              <w:rPr>
                <w:lang w:eastAsia="zh-TW"/>
              </w:rPr>
            </w:pPr>
            <w:r>
              <w:rPr>
                <w:lang w:eastAsia="zh-TW"/>
              </w:rPr>
              <w:t xml:space="preserve">They are collected according to agreed definitions provided in the </w:t>
            </w:r>
            <w:proofErr w:type="spellStart"/>
            <w:r>
              <w:rPr>
                <w:lang w:eastAsia="zh-TW"/>
              </w:rPr>
              <w:t>CAA</w:t>
            </w:r>
            <w:proofErr w:type="spellEnd"/>
            <w:r>
              <w:rPr>
                <w:lang w:eastAsia="zh-TW"/>
              </w:rPr>
              <w:t xml:space="preserve"> data dictionary.</w:t>
            </w:r>
          </w:p>
        </w:tc>
      </w:tr>
      <w:tr w:rsidR="00162371" w:rsidTr="002E49D6">
        <w:tc>
          <w:tcPr>
            <w:tcW w:w="841" w:type="pct"/>
          </w:tcPr>
          <w:p w:rsidR="00162371" w:rsidRDefault="00162371" w:rsidP="00523692">
            <w:pPr>
              <w:pStyle w:val="DQIRowHeadings"/>
              <w:rPr>
                <w:lang w:eastAsia="zh-TW"/>
              </w:rPr>
            </w:pPr>
            <w:r>
              <w:rPr>
                <w:lang w:eastAsia="zh-TW"/>
              </w:rPr>
              <w:t>Coherence</w:t>
            </w:r>
          </w:p>
        </w:tc>
        <w:tc>
          <w:tcPr>
            <w:tcW w:w="4159" w:type="pct"/>
            <w:gridSpan w:val="3"/>
          </w:tcPr>
          <w:p w:rsidR="00162371" w:rsidRDefault="00162371" w:rsidP="00523692">
            <w:pPr>
              <w:pStyle w:val="DQITableText"/>
              <w:rPr>
                <w:lang w:eastAsia="zh-TW"/>
              </w:rPr>
            </w:pPr>
            <w:r>
              <w:rPr>
                <w:lang w:eastAsia="zh-TW"/>
              </w:rPr>
              <w:t xml:space="preserve">All data (numerators and denominators) are sourced from the </w:t>
            </w:r>
            <w:proofErr w:type="spellStart"/>
            <w:r>
              <w:rPr>
                <w:lang w:eastAsia="zh-TW"/>
              </w:rPr>
              <w:t>CAA</w:t>
            </w:r>
            <w:proofErr w:type="spellEnd"/>
            <w:r>
              <w:rPr>
                <w:lang w:eastAsia="zh-TW"/>
              </w:rPr>
              <w:t xml:space="preserve"> </w:t>
            </w:r>
            <w:r>
              <w:rPr>
                <w:i/>
                <w:lang w:eastAsia="zh-TW"/>
              </w:rPr>
              <w:t>Consolidated Returns.</w:t>
            </w:r>
            <w:r>
              <w:rPr>
                <w:lang w:eastAsia="zh-TW"/>
              </w:rPr>
              <w:t xml:space="preserve"> </w:t>
            </w:r>
          </w:p>
          <w:p w:rsidR="00162371" w:rsidRDefault="00162371" w:rsidP="00523692">
            <w:pPr>
              <w:pStyle w:val="DQITableText"/>
              <w:rPr>
                <w:lang w:eastAsia="zh-TW"/>
              </w:rPr>
            </w:pPr>
            <w:r>
              <w:rPr>
                <w:lang w:eastAsia="zh-TW"/>
              </w:rPr>
              <w:t xml:space="preserve">Estimates from the </w:t>
            </w:r>
            <w:proofErr w:type="spellStart"/>
            <w:r>
              <w:rPr>
                <w:lang w:eastAsia="zh-TW"/>
              </w:rPr>
              <w:t>CAA</w:t>
            </w:r>
            <w:proofErr w:type="spellEnd"/>
            <w:r>
              <w:rPr>
                <w:lang w:eastAsia="zh-TW"/>
              </w:rPr>
              <w:t xml:space="preserve"> </w:t>
            </w:r>
            <w:r>
              <w:rPr>
                <w:i/>
                <w:lang w:eastAsia="zh-TW"/>
              </w:rPr>
              <w:t xml:space="preserve">Consolidated Returns </w:t>
            </w:r>
            <w:r>
              <w:rPr>
                <w:lang w:eastAsia="zh-TW"/>
              </w:rPr>
              <w:t xml:space="preserve">are comparable over time and between jurisdictions, subject to caveats provided by services. </w:t>
            </w:r>
          </w:p>
          <w:p w:rsidR="00162371" w:rsidRDefault="00162371" w:rsidP="00523692">
            <w:pPr>
              <w:pStyle w:val="DQITableText"/>
              <w:rPr>
                <w:lang w:eastAsia="zh-TW"/>
              </w:rPr>
            </w:pPr>
            <w:r>
              <w:rPr>
                <w:lang w:eastAsia="zh-TW"/>
              </w:rPr>
              <w:t xml:space="preserve">The collection, instructions, definitions and analysis are prepared and overseen by the </w:t>
            </w:r>
            <w:proofErr w:type="spellStart"/>
            <w:r>
              <w:rPr>
                <w:lang w:eastAsia="zh-TW"/>
              </w:rPr>
              <w:t>CAA</w:t>
            </w:r>
            <w:proofErr w:type="spellEnd"/>
            <w:r>
              <w:rPr>
                <w:lang w:eastAsia="zh-TW"/>
              </w:rPr>
              <w:t xml:space="preserve"> and are the same for all state and territory services. </w:t>
            </w:r>
          </w:p>
        </w:tc>
      </w:tr>
      <w:tr w:rsidR="00162371" w:rsidTr="002E49D6">
        <w:tc>
          <w:tcPr>
            <w:tcW w:w="841" w:type="pct"/>
          </w:tcPr>
          <w:p w:rsidR="00162371" w:rsidRDefault="00162371" w:rsidP="00523692">
            <w:pPr>
              <w:pStyle w:val="DQIRowHeadings"/>
              <w:keepNext w:val="0"/>
              <w:rPr>
                <w:lang w:eastAsia="zh-TW"/>
              </w:rPr>
            </w:pPr>
            <w:r>
              <w:rPr>
                <w:lang w:eastAsia="zh-TW"/>
              </w:rPr>
              <w:t>Accessibility</w:t>
            </w:r>
          </w:p>
        </w:tc>
        <w:tc>
          <w:tcPr>
            <w:tcW w:w="4159" w:type="pct"/>
            <w:gridSpan w:val="3"/>
          </w:tcPr>
          <w:p w:rsidR="00162371" w:rsidRDefault="00162371" w:rsidP="007F6100">
            <w:pPr>
              <w:pStyle w:val="DQITableText"/>
              <w:keepNext w:val="0"/>
              <w:rPr>
                <w:lang w:eastAsia="zh-TW"/>
              </w:rPr>
            </w:pPr>
            <w:r>
              <w:rPr>
                <w:lang w:eastAsia="zh-TW"/>
              </w:rPr>
              <w:t xml:space="preserve">Ambulance service expenditure per person data </w:t>
            </w:r>
            <w:r w:rsidR="00EE3F05">
              <w:rPr>
                <w:lang w:eastAsia="zh-TW"/>
              </w:rPr>
              <w:t>are</w:t>
            </w:r>
            <w:r>
              <w:rPr>
                <w:lang w:eastAsia="zh-TW"/>
              </w:rPr>
              <w:t xml:space="preserve"> made publicly available </w:t>
            </w:r>
            <w:r w:rsidR="007F6100">
              <w:rPr>
                <w:lang w:eastAsia="zh-TW"/>
              </w:rPr>
              <w:t xml:space="preserve">annually </w:t>
            </w:r>
            <w:r>
              <w:rPr>
                <w:lang w:eastAsia="zh-TW"/>
              </w:rPr>
              <w:t xml:space="preserve">as part of the </w:t>
            </w:r>
            <w:proofErr w:type="spellStart"/>
            <w:r>
              <w:rPr>
                <w:lang w:eastAsia="zh-TW"/>
              </w:rPr>
              <w:t>CAA</w:t>
            </w:r>
            <w:proofErr w:type="spellEnd"/>
            <w:r>
              <w:rPr>
                <w:lang w:eastAsia="zh-TW"/>
              </w:rPr>
              <w:t xml:space="preserve"> Annual Report on the </w:t>
            </w:r>
            <w:proofErr w:type="spellStart"/>
            <w:r>
              <w:rPr>
                <w:lang w:eastAsia="zh-TW"/>
              </w:rPr>
              <w:t>CAA</w:t>
            </w:r>
            <w:proofErr w:type="spellEnd"/>
            <w:r>
              <w:rPr>
                <w:lang w:eastAsia="zh-TW"/>
              </w:rPr>
              <w:t xml:space="preserve"> </w:t>
            </w:r>
            <w:r>
              <w:rPr>
                <w:rFonts w:ascii="ArialMT" w:eastAsiaTheme="minorEastAsia" w:hAnsi="ArialMT" w:cs="ArialMT"/>
                <w:lang w:eastAsia="zh-TW"/>
              </w:rPr>
              <w:t>website</w:t>
            </w:r>
            <w:r>
              <w:rPr>
                <w:lang w:eastAsia="zh-TW"/>
              </w:rPr>
              <w:t xml:space="preserve"> (</w:t>
            </w:r>
            <w:proofErr w:type="spellStart"/>
            <w:r w:rsidRPr="004A1422">
              <w:rPr>
                <w:lang w:eastAsia="zh-TW"/>
              </w:rPr>
              <w:t>www.caa.net.au</w:t>
            </w:r>
            <w:proofErr w:type="spellEnd"/>
            <w:r>
              <w:rPr>
                <w:lang w:eastAsia="zh-TW"/>
              </w:rPr>
              <w:t>).</w:t>
            </w:r>
          </w:p>
        </w:tc>
      </w:tr>
      <w:tr w:rsidR="00162371" w:rsidTr="002E49D6">
        <w:tc>
          <w:tcPr>
            <w:tcW w:w="841" w:type="pct"/>
          </w:tcPr>
          <w:p w:rsidR="00162371" w:rsidRDefault="00162371" w:rsidP="00523692">
            <w:pPr>
              <w:pStyle w:val="DQIRowHeadings"/>
              <w:rPr>
                <w:lang w:eastAsia="zh-TW"/>
              </w:rPr>
            </w:pPr>
            <w:r>
              <w:rPr>
                <w:lang w:eastAsia="zh-TW"/>
              </w:rPr>
              <w:lastRenderedPageBreak/>
              <w:t>Interpretability</w:t>
            </w:r>
          </w:p>
        </w:tc>
        <w:tc>
          <w:tcPr>
            <w:tcW w:w="4159" w:type="pct"/>
            <w:gridSpan w:val="3"/>
          </w:tcPr>
          <w:p w:rsidR="00162371" w:rsidRDefault="00162371" w:rsidP="00EE3F05">
            <w:pPr>
              <w:pStyle w:val="DQITableText"/>
              <w:rPr>
                <w:lang w:eastAsia="zh-TW"/>
              </w:rPr>
            </w:pPr>
            <w:r>
              <w:rPr>
                <w:lang w:eastAsia="zh-TW"/>
              </w:rPr>
              <w:t xml:space="preserve">Ambulance service expenditure per person data </w:t>
            </w:r>
            <w:r w:rsidR="00EE3F05">
              <w:rPr>
                <w:lang w:eastAsia="zh-TW"/>
              </w:rPr>
              <w:t>are</w:t>
            </w:r>
            <w:r>
              <w:rPr>
                <w:lang w:eastAsia="zh-TW"/>
              </w:rPr>
              <w:t xml:space="preserve"> publicly available </w:t>
            </w:r>
            <w:r w:rsidR="00EE3F05">
              <w:rPr>
                <w:lang w:eastAsia="zh-TW"/>
              </w:rPr>
              <w:t>including</w:t>
            </w:r>
            <w:r>
              <w:rPr>
                <w:lang w:eastAsia="zh-TW"/>
              </w:rPr>
              <w:t xml:space="preserve"> definitions of the collected data.</w:t>
            </w:r>
          </w:p>
        </w:tc>
      </w:tr>
      <w:tr w:rsidR="009E491C" w:rsidTr="002E49D6">
        <w:trPr>
          <w:trHeight w:val="506"/>
        </w:trPr>
        <w:tc>
          <w:tcPr>
            <w:tcW w:w="3709" w:type="pct"/>
            <w:gridSpan w:val="2"/>
            <w:vAlign w:val="center"/>
            <w:hideMark/>
          </w:tcPr>
          <w:p w:rsidR="009E491C" w:rsidRDefault="009E491C" w:rsidP="00523692">
            <w:pPr>
              <w:pStyle w:val="DQIMainRowHeadings"/>
              <w:rPr>
                <w:lang w:eastAsia="zh-TW"/>
              </w:rPr>
            </w:pPr>
            <w:r>
              <w:rPr>
                <w:lang w:eastAsia="zh-TW"/>
              </w:rPr>
              <w:t>Data Gaps/Issues Analysis</w:t>
            </w:r>
          </w:p>
        </w:tc>
        <w:tc>
          <w:tcPr>
            <w:tcW w:w="1291" w:type="pct"/>
            <w:gridSpan w:val="2"/>
            <w:vAlign w:val="center"/>
          </w:tcPr>
          <w:p w:rsidR="009E491C" w:rsidRDefault="009E491C" w:rsidP="00523692">
            <w:pPr>
              <w:pStyle w:val="DQIMainRowHeadings"/>
              <w:rPr>
                <w:lang w:eastAsia="zh-TW"/>
              </w:rPr>
            </w:pPr>
          </w:p>
        </w:tc>
      </w:tr>
      <w:tr w:rsidR="00162371" w:rsidTr="002E49D6">
        <w:tc>
          <w:tcPr>
            <w:tcW w:w="841" w:type="pct"/>
            <w:tcBorders>
              <w:top w:val="nil"/>
              <w:left w:val="nil"/>
              <w:right w:val="nil"/>
            </w:tcBorders>
            <w:hideMark/>
          </w:tcPr>
          <w:p w:rsidR="00162371" w:rsidRDefault="00162371" w:rsidP="00523692">
            <w:pPr>
              <w:pStyle w:val="DQIRowHeadings"/>
              <w:rPr>
                <w:lang w:eastAsia="zh-TW"/>
              </w:rPr>
            </w:pPr>
            <w:r>
              <w:rPr>
                <w:lang w:eastAsia="zh-TW"/>
              </w:rPr>
              <w:t>Key data gaps/issues</w:t>
            </w:r>
          </w:p>
        </w:tc>
        <w:tc>
          <w:tcPr>
            <w:tcW w:w="4159" w:type="pct"/>
            <w:gridSpan w:val="3"/>
            <w:tcBorders>
              <w:top w:val="nil"/>
              <w:left w:val="nil"/>
              <w:right w:val="nil"/>
            </w:tcBorders>
            <w:shd w:val="clear" w:color="auto" w:fill="auto"/>
          </w:tcPr>
          <w:p w:rsidR="00162371" w:rsidRDefault="00AD4BA0" w:rsidP="00AD4BA0">
            <w:pPr>
              <w:pStyle w:val="DQITableText"/>
            </w:pPr>
            <w:r w:rsidRPr="00620164">
              <w:t xml:space="preserve">The Steering Committee notes </w:t>
            </w:r>
            <w:r>
              <w:t>that:</w:t>
            </w:r>
          </w:p>
          <w:p w:rsidR="00AD4BA0" w:rsidRDefault="00BD5D97" w:rsidP="00BD5D97">
            <w:pPr>
              <w:pStyle w:val="DQITableBullet"/>
              <w:rPr>
                <w:lang w:eastAsia="zh-TW"/>
              </w:rPr>
            </w:pPr>
            <w:r>
              <w:rPr>
                <w:lang w:eastAsia="zh-TW"/>
              </w:rPr>
              <w:t>Expenditure per person is employed as a proxy for efficiency. All else being equal, lower expenditure per person represents greater efficiency. However, efficiency data are difficult to interpret (see relevance dimension).</w:t>
            </w:r>
          </w:p>
          <w:p w:rsidR="00BD5D97" w:rsidRDefault="00BD5D97" w:rsidP="00BD5D97">
            <w:pPr>
              <w:pStyle w:val="DQITableBullet"/>
              <w:rPr>
                <w:lang w:eastAsia="zh-TW"/>
              </w:rPr>
            </w:pPr>
            <w:r w:rsidRPr="00BD5D97">
              <w:rPr>
                <w:lang w:eastAsia="zh-TW"/>
              </w:rPr>
              <w:t>Care needs to be taken when comparing efficiency data across jurisdictions because there are differences in the reporting of a range of cost items and funding arrangements (funding policies and taxing regimes). Some jurisdictions, for example, have a greater proportion of government funding relative to levies compared with other jurisdictions. Also, differences in geographic size, terrain, climate, and population dispersal may affect costs of infrastructure and numbers of service delivery locations per person.</w:t>
            </w:r>
          </w:p>
        </w:tc>
      </w:tr>
    </w:tbl>
    <w:p w:rsidR="00CE45B7" w:rsidRDefault="00CE45B7" w:rsidP="00CE45B7">
      <w:pPr>
        <w:rPr>
          <w:szCs w:val="20"/>
        </w:rPr>
      </w:pPr>
      <w:bookmarkStart w:id="91" w:name="_Toc398732489"/>
      <w:r>
        <w:br w:type="page"/>
      </w:r>
    </w:p>
    <w:p w:rsidR="00CE45B7" w:rsidRDefault="00D21269" w:rsidP="00CE45B7">
      <w:pPr>
        <w:pStyle w:val="Heading3"/>
        <w:keepLines/>
        <w:spacing w:after="120"/>
      </w:pPr>
      <w:bookmarkStart w:id="92" w:name="_Toc405885758"/>
      <w:r>
        <w:lastRenderedPageBreak/>
        <w:t>Cardiac arrest survived event</w:t>
      </w:r>
      <w:bookmarkEnd w:id="92"/>
    </w:p>
    <w:p w:rsidR="00CE45B7" w:rsidRDefault="00CE45B7" w:rsidP="00CE45B7">
      <w:pPr>
        <w:pStyle w:val="Box"/>
      </w:pPr>
      <w:r>
        <w:t>Data quality information for this indicator has been drafted by the Secretariat in consultation with the Council of Ambulance Authorities (</w:t>
      </w:r>
      <w:proofErr w:type="spellStart"/>
      <w:r>
        <w:t>CAA</w:t>
      </w:r>
      <w:proofErr w:type="spellEnd"/>
      <w:r>
        <w:t>), with additional Steering Committee comments.</w:t>
      </w:r>
    </w:p>
    <w:tbl>
      <w:tblPr>
        <w:tblW w:w="4880" w:type="pct"/>
        <w:tblInd w:w="108" w:type="dxa"/>
        <w:tblLayout w:type="fixed"/>
        <w:tblLook w:val="01E0" w:firstRow="1" w:lastRow="1" w:firstColumn="1" w:lastColumn="1" w:noHBand="0" w:noVBand="0"/>
      </w:tblPr>
      <w:tblGrid>
        <w:gridCol w:w="1541"/>
        <w:gridCol w:w="4864"/>
        <w:gridCol w:w="654"/>
        <w:gridCol w:w="1481"/>
      </w:tblGrid>
      <w:tr w:rsidR="00CE45B7" w:rsidTr="002E49D6">
        <w:trPr>
          <w:trHeight w:val="519"/>
        </w:trPr>
        <w:tc>
          <w:tcPr>
            <w:tcW w:w="4133" w:type="pct"/>
            <w:gridSpan w:val="3"/>
            <w:tcBorders>
              <w:left w:val="nil"/>
              <w:right w:val="nil"/>
            </w:tcBorders>
            <w:vAlign w:val="center"/>
            <w:hideMark/>
          </w:tcPr>
          <w:p w:rsidR="00CE45B7" w:rsidRDefault="00CE45B7" w:rsidP="00013A8A">
            <w:pPr>
              <w:pStyle w:val="DQIMainRowHeadings"/>
              <w:rPr>
                <w:lang w:eastAsia="zh-TW"/>
              </w:rPr>
            </w:pPr>
            <w:r>
              <w:rPr>
                <w:lang w:eastAsia="zh-TW"/>
              </w:rPr>
              <w:t>Indicator definition and description</w:t>
            </w:r>
          </w:p>
        </w:tc>
        <w:tc>
          <w:tcPr>
            <w:tcW w:w="867" w:type="pct"/>
            <w:tcBorders>
              <w:left w:val="nil"/>
              <w:right w:val="nil"/>
            </w:tcBorders>
            <w:vAlign w:val="center"/>
          </w:tcPr>
          <w:p w:rsidR="00CE45B7" w:rsidRDefault="00CE45B7" w:rsidP="00013A8A">
            <w:pPr>
              <w:pStyle w:val="DQIMainRowHeadings"/>
              <w:rPr>
                <w:lang w:eastAsia="zh-TW"/>
              </w:rPr>
            </w:pPr>
          </w:p>
        </w:tc>
      </w:tr>
      <w:tr w:rsidR="00CE45B7" w:rsidTr="002E49D6">
        <w:tc>
          <w:tcPr>
            <w:tcW w:w="902" w:type="pct"/>
            <w:tcBorders>
              <w:left w:val="nil"/>
              <w:bottom w:val="nil"/>
              <w:right w:val="nil"/>
            </w:tcBorders>
            <w:hideMark/>
          </w:tcPr>
          <w:p w:rsidR="00CE45B7" w:rsidRDefault="00CE45B7" w:rsidP="00CE45B7">
            <w:pPr>
              <w:pStyle w:val="DQIRowHeadings"/>
              <w:rPr>
                <w:lang w:eastAsia="zh-TW"/>
              </w:rPr>
            </w:pPr>
            <w:r>
              <w:rPr>
                <w:lang w:eastAsia="zh-TW"/>
              </w:rPr>
              <w:t>Element</w:t>
            </w:r>
          </w:p>
        </w:tc>
        <w:tc>
          <w:tcPr>
            <w:tcW w:w="4098" w:type="pct"/>
            <w:gridSpan w:val="3"/>
            <w:tcBorders>
              <w:left w:val="nil"/>
              <w:bottom w:val="nil"/>
              <w:right w:val="nil"/>
            </w:tcBorders>
          </w:tcPr>
          <w:p w:rsidR="00CE45B7" w:rsidRPr="00BD6B0B" w:rsidRDefault="001B410C" w:rsidP="001B410C">
            <w:pPr>
              <w:pStyle w:val="DQITableText"/>
            </w:pPr>
            <w:r>
              <w:t xml:space="preserve">Outcomes </w:t>
            </w:r>
          </w:p>
        </w:tc>
      </w:tr>
      <w:tr w:rsidR="00CE45B7" w:rsidTr="002E49D6">
        <w:tc>
          <w:tcPr>
            <w:tcW w:w="902" w:type="pct"/>
            <w:hideMark/>
          </w:tcPr>
          <w:p w:rsidR="00CE45B7" w:rsidRDefault="00CE45B7" w:rsidP="00CE45B7">
            <w:pPr>
              <w:pStyle w:val="DQIRowHeadings"/>
              <w:rPr>
                <w:lang w:eastAsia="zh-TW"/>
              </w:rPr>
            </w:pPr>
            <w:r>
              <w:rPr>
                <w:lang w:eastAsia="zh-TW"/>
              </w:rPr>
              <w:t>Indicator</w:t>
            </w:r>
          </w:p>
        </w:tc>
        <w:tc>
          <w:tcPr>
            <w:tcW w:w="4098" w:type="pct"/>
            <w:gridSpan w:val="3"/>
          </w:tcPr>
          <w:p w:rsidR="00CE45B7" w:rsidRPr="00BD6B0B" w:rsidRDefault="00CE45B7" w:rsidP="00CE45B7">
            <w:pPr>
              <w:pStyle w:val="DQITableText"/>
            </w:pPr>
            <w:r>
              <w:t>Cardiac Arrest Survived Event</w:t>
            </w:r>
          </w:p>
        </w:tc>
      </w:tr>
      <w:tr w:rsidR="00CE45B7" w:rsidTr="002E49D6">
        <w:tc>
          <w:tcPr>
            <w:tcW w:w="902" w:type="pct"/>
            <w:hideMark/>
          </w:tcPr>
          <w:p w:rsidR="00CE45B7" w:rsidRDefault="00CE45B7" w:rsidP="00CE45B7">
            <w:pPr>
              <w:pStyle w:val="DQIRowHeadings"/>
              <w:rPr>
                <w:lang w:eastAsia="zh-TW"/>
              </w:rPr>
            </w:pPr>
            <w:r>
              <w:rPr>
                <w:lang w:eastAsia="zh-TW"/>
              </w:rPr>
              <w:t>Measure (computation)</w:t>
            </w:r>
          </w:p>
        </w:tc>
        <w:tc>
          <w:tcPr>
            <w:tcW w:w="4098" w:type="pct"/>
            <w:gridSpan w:val="3"/>
          </w:tcPr>
          <w:p w:rsidR="00CE45B7" w:rsidRDefault="00CE45B7" w:rsidP="00CE45B7">
            <w:pPr>
              <w:pStyle w:val="DQITableText"/>
            </w:pPr>
            <w:r>
              <w:t xml:space="preserve">‘Cardiac arrest survived event rate’ is defined by the percentage of patients, aged 16 years and over, who were in out-of-hospital cardiac arrest and had a return to spontaneous circulation (that is, the patient having a pulse) until administration and transfer of care to the medical staff at the receiving hospital (Jacobs, et al. 2004). </w:t>
            </w:r>
          </w:p>
          <w:p w:rsidR="00CE45B7" w:rsidRDefault="00CE45B7" w:rsidP="00CE45B7">
            <w:pPr>
              <w:pStyle w:val="DQITableText"/>
            </w:pPr>
            <w:r>
              <w:t>Three measures are provided as the percentage of patients aged 16 years and over who had a return to spontaneous circulation in the following circumstances:</w:t>
            </w:r>
          </w:p>
          <w:p w:rsidR="00CE45B7" w:rsidRDefault="00CE45B7" w:rsidP="00CE45B7">
            <w:pPr>
              <w:pStyle w:val="DQITableBullet"/>
            </w:pPr>
            <w:r w:rsidRPr="00785B26">
              <w:rPr>
                <w:b/>
              </w:rPr>
              <w:t>Adult cardiac arrest where resuscitation attempted</w:t>
            </w:r>
            <w:r>
              <w:t xml:space="preserve"> — where: (1) a person was in out-of-hospital cardiac arrest (which was not witnessed by a paramedic); and (2) chest compressions and/or defibrillation was undertaken by ambulance or emergency medical services personnel.</w:t>
            </w:r>
          </w:p>
          <w:p w:rsidR="00CE45B7" w:rsidRDefault="00CE45B7" w:rsidP="00CE45B7">
            <w:pPr>
              <w:pStyle w:val="DQITableBullet"/>
              <w:numPr>
                <w:ilvl w:val="0"/>
                <w:numId w:val="0"/>
              </w:numPr>
              <w:ind w:left="170"/>
            </w:pPr>
            <w:r>
              <w:t xml:space="preserve">Inclusion </w:t>
            </w:r>
            <w:r w:rsidRPr="00CE45B7">
              <w:t>criteria</w:t>
            </w:r>
            <w:r>
              <w:t>:</w:t>
            </w:r>
          </w:p>
          <w:p w:rsidR="00CE45B7" w:rsidRPr="00785B26" w:rsidRDefault="00CE45B7" w:rsidP="00CE45B7">
            <w:pPr>
              <w:pStyle w:val="DQITableBullet2"/>
            </w:pPr>
            <w:r w:rsidRPr="00B74994">
              <w:t>Adult - 16 years and over</w:t>
            </w:r>
          </w:p>
          <w:p w:rsidR="00CE45B7" w:rsidRPr="00785B26" w:rsidRDefault="00CE45B7" w:rsidP="00CE45B7">
            <w:pPr>
              <w:pStyle w:val="DQITableBullet2"/>
            </w:pPr>
            <w:r w:rsidRPr="00B74994">
              <w:t>Resuscitation was started and continued</w:t>
            </w:r>
          </w:p>
          <w:p w:rsidR="00CE45B7" w:rsidRPr="00785B26" w:rsidRDefault="00CE45B7" w:rsidP="00CE45B7">
            <w:pPr>
              <w:pStyle w:val="DQITableBullet2"/>
            </w:pPr>
            <w:r w:rsidRPr="00B74994">
              <w:t>Cardiac aetiology is confirmed</w:t>
            </w:r>
          </w:p>
          <w:p w:rsidR="00CE45B7" w:rsidRPr="00785B26" w:rsidRDefault="00CE45B7" w:rsidP="00CE45B7">
            <w:pPr>
              <w:pStyle w:val="DQITableBullet2"/>
            </w:pPr>
            <w:proofErr w:type="spellStart"/>
            <w:r w:rsidRPr="00B74994">
              <w:t>RO</w:t>
            </w:r>
            <w:r w:rsidR="00E53BC7">
              <w:t>S</w:t>
            </w:r>
            <w:r w:rsidRPr="00B74994">
              <w:t>C</w:t>
            </w:r>
            <w:proofErr w:type="spellEnd"/>
            <w:r w:rsidRPr="00B74994">
              <w:t xml:space="preserve"> at arrival to hospital (5 sec or more sustainable </w:t>
            </w:r>
            <w:proofErr w:type="spellStart"/>
            <w:r w:rsidRPr="00B74994">
              <w:t>RO</w:t>
            </w:r>
            <w:r w:rsidR="004D49EC">
              <w:t>S</w:t>
            </w:r>
            <w:r w:rsidRPr="00B74994">
              <w:t>C</w:t>
            </w:r>
            <w:proofErr w:type="spellEnd"/>
            <w:r w:rsidRPr="00B74994">
              <w:t>)</w:t>
            </w:r>
          </w:p>
          <w:p w:rsidR="00CE45B7" w:rsidRPr="00785B26" w:rsidRDefault="00CE45B7" w:rsidP="00CE45B7">
            <w:pPr>
              <w:pStyle w:val="DQITableBullet"/>
              <w:numPr>
                <w:ilvl w:val="0"/>
                <w:numId w:val="0"/>
              </w:numPr>
              <w:ind w:left="170"/>
            </w:pPr>
            <w:r>
              <w:t>Exclusion criteria:</w:t>
            </w:r>
          </w:p>
          <w:p w:rsidR="00CE45B7" w:rsidRPr="00785B26" w:rsidRDefault="00CE45B7" w:rsidP="00CE45B7">
            <w:pPr>
              <w:pStyle w:val="DQITableBullet2"/>
            </w:pPr>
            <w:r>
              <w:t>Paramedic witnessed events</w:t>
            </w:r>
          </w:p>
          <w:p w:rsidR="00CE45B7" w:rsidRPr="00785B26" w:rsidRDefault="00CE45B7" w:rsidP="00CE45B7">
            <w:pPr>
              <w:pStyle w:val="DQITableBullet2"/>
            </w:pPr>
            <w:r w:rsidRPr="00B74994">
              <w:t>Do not attempt resuscitation orders</w:t>
            </w:r>
          </w:p>
          <w:p w:rsidR="00CE45B7" w:rsidRDefault="00CE45B7" w:rsidP="00CE45B7">
            <w:pPr>
              <w:pStyle w:val="DQITableBullet2"/>
            </w:pPr>
            <w:r w:rsidRPr="00CE45B7">
              <w:t>Dead on arrival</w:t>
            </w:r>
          </w:p>
          <w:p w:rsidR="00CE45B7" w:rsidRDefault="00CE45B7" w:rsidP="00CE45B7">
            <w:pPr>
              <w:pStyle w:val="DQITableBullet2"/>
              <w:numPr>
                <w:ilvl w:val="0"/>
                <w:numId w:val="0"/>
              </w:numPr>
              <w:ind w:left="510"/>
            </w:pPr>
          </w:p>
          <w:p w:rsidR="00CE45B7" w:rsidRDefault="00CE45B7" w:rsidP="00CE45B7">
            <w:pPr>
              <w:pStyle w:val="DQITableBullet"/>
            </w:pPr>
            <w:r w:rsidRPr="00785B26">
              <w:rPr>
                <w:b/>
              </w:rPr>
              <w:t>Adult VF/VT cardiac arrests</w:t>
            </w:r>
            <w:r>
              <w:t xml:space="preserve"> — where: (1) a person was in out-of-hospital cardiac arrest (which was not witnessed by a paramedic); and (2) the arrest rhythm on the first </w:t>
            </w:r>
            <w:proofErr w:type="spellStart"/>
            <w:r>
              <w:t>ECG</w:t>
            </w:r>
            <w:proofErr w:type="spellEnd"/>
            <w:r>
              <w:t xml:space="preserve"> </w:t>
            </w:r>
            <w:r w:rsidRPr="00CE45B7">
              <w:t>assessment</w:t>
            </w:r>
            <w:r>
              <w:t xml:space="preserve"> was either Ventricular Fibrillation or Ventricular Tachycardia (VF/VT) (irregular and/or fast heartbeat).</w:t>
            </w:r>
          </w:p>
          <w:p w:rsidR="00CE45B7" w:rsidRDefault="00CE45B7" w:rsidP="00CE45B7">
            <w:pPr>
              <w:pStyle w:val="DQITableBullet"/>
              <w:numPr>
                <w:ilvl w:val="0"/>
                <w:numId w:val="0"/>
              </w:numPr>
              <w:ind w:left="170"/>
            </w:pPr>
            <w:r>
              <w:t>Inclusion criteria:</w:t>
            </w:r>
          </w:p>
          <w:p w:rsidR="00CE45B7" w:rsidRPr="00785B26" w:rsidRDefault="00CE45B7" w:rsidP="00CE45B7">
            <w:pPr>
              <w:pStyle w:val="DQITableBullet2"/>
            </w:pPr>
            <w:r w:rsidRPr="00B74994">
              <w:t>Adult - 16 years and over</w:t>
            </w:r>
          </w:p>
          <w:p w:rsidR="00CE45B7" w:rsidRPr="00785B26" w:rsidRDefault="00CE45B7" w:rsidP="00CE45B7">
            <w:pPr>
              <w:pStyle w:val="DQITableBullet2"/>
            </w:pPr>
            <w:r w:rsidRPr="00B74994">
              <w:t>Resuscitation was started and continued</w:t>
            </w:r>
          </w:p>
          <w:p w:rsidR="00CE45B7" w:rsidRPr="00785B26" w:rsidRDefault="00CE45B7" w:rsidP="00CE45B7">
            <w:pPr>
              <w:pStyle w:val="DQITableBullet2"/>
            </w:pPr>
            <w:r w:rsidRPr="00B74994">
              <w:t>Cardiac aetiology is confirmed</w:t>
            </w:r>
          </w:p>
          <w:p w:rsidR="00CE45B7" w:rsidRDefault="00286FC3" w:rsidP="00CE45B7">
            <w:pPr>
              <w:pStyle w:val="DQITableBullet2"/>
            </w:pPr>
            <w:proofErr w:type="spellStart"/>
            <w:r>
              <w:t>ROSC</w:t>
            </w:r>
            <w:proofErr w:type="spellEnd"/>
            <w:r w:rsidR="00CE45B7" w:rsidRPr="00785B26">
              <w:t xml:space="preserve"> at arrival to hospital - </w:t>
            </w:r>
            <w:proofErr w:type="spellStart"/>
            <w:r w:rsidR="00CE45B7" w:rsidRPr="00785B26">
              <w:t>Utstein</w:t>
            </w:r>
            <w:proofErr w:type="spellEnd"/>
            <w:r w:rsidR="00CE45B7" w:rsidRPr="00785B26">
              <w:t xml:space="preserve"> (20 min or more sustainable </w:t>
            </w:r>
            <w:proofErr w:type="spellStart"/>
            <w:r w:rsidR="00CE45B7" w:rsidRPr="00785B26">
              <w:t>ROS</w:t>
            </w:r>
            <w:r w:rsidR="004D49EC">
              <w:t>C</w:t>
            </w:r>
            <w:proofErr w:type="spellEnd"/>
            <w:r w:rsidR="00CE45B7" w:rsidRPr="00785B26">
              <w:t>)</w:t>
            </w:r>
          </w:p>
          <w:p w:rsidR="00CE45B7" w:rsidRDefault="00CE45B7" w:rsidP="00CE45B7">
            <w:pPr>
              <w:pStyle w:val="DQITableBullet2"/>
            </w:pPr>
            <w:r w:rsidRPr="00B74994">
              <w:t>Shockable rhythm</w:t>
            </w:r>
            <w:r w:rsidR="006D45D4">
              <w:t xml:space="preserve"> </w:t>
            </w:r>
            <w:r w:rsidRPr="00B74994">
              <w:t>(VT/VF)</w:t>
            </w:r>
          </w:p>
          <w:p w:rsidR="00CE45B7" w:rsidRPr="00785B26" w:rsidRDefault="00CE45B7" w:rsidP="00CE45B7">
            <w:pPr>
              <w:pStyle w:val="DQITableBullet"/>
              <w:numPr>
                <w:ilvl w:val="0"/>
                <w:numId w:val="0"/>
              </w:numPr>
              <w:ind w:left="170"/>
            </w:pPr>
            <w:r>
              <w:t>Exclusion criteria:</w:t>
            </w:r>
          </w:p>
          <w:p w:rsidR="00CE45B7" w:rsidRPr="00785B26" w:rsidRDefault="00CE45B7" w:rsidP="00CE45B7">
            <w:pPr>
              <w:pStyle w:val="DQITableBullet2"/>
            </w:pPr>
            <w:r>
              <w:t>Paramedic witnessed events</w:t>
            </w:r>
          </w:p>
          <w:p w:rsidR="00CE45B7" w:rsidRPr="00785B26" w:rsidRDefault="00CE45B7" w:rsidP="00CE45B7">
            <w:pPr>
              <w:pStyle w:val="DQITableBullet2"/>
            </w:pPr>
            <w:r w:rsidRPr="00B74994">
              <w:t>Do not attempt resuscitation orders</w:t>
            </w:r>
          </w:p>
          <w:p w:rsidR="00CE45B7" w:rsidRDefault="00CE45B7" w:rsidP="00CE45B7">
            <w:pPr>
              <w:pStyle w:val="DQITableBullet2"/>
            </w:pPr>
            <w:r w:rsidRPr="00B74994">
              <w:t>Dead on arrival</w:t>
            </w:r>
          </w:p>
          <w:p w:rsidR="00CE45B7" w:rsidRDefault="00CE45B7" w:rsidP="00CE45B7">
            <w:pPr>
              <w:pStyle w:val="DQITableBullet2"/>
              <w:numPr>
                <w:ilvl w:val="0"/>
                <w:numId w:val="0"/>
              </w:numPr>
              <w:ind w:left="510"/>
            </w:pPr>
          </w:p>
          <w:p w:rsidR="00CE45B7" w:rsidRDefault="00CE45B7" w:rsidP="00E22EE1">
            <w:pPr>
              <w:pStyle w:val="DQITableBullet"/>
            </w:pPr>
            <w:r w:rsidRPr="00785B26">
              <w:rPr>
                <w:b/>
              </w:rPr>
              <w:t>Paramedic witnessed cardiac arrest</w:t>
            </w:r>
            <w:r>
              <w:t xml:space="preserve"> — where a person was in out-of-hospital cardiac arrest that occurred in the presence of ambulance paramedic or officer.</w:t>
            </w:r>
          </w:p>
          <w:p w:rsidR="00CE45B7" w:rsidRDefault="00CE45B7" w:rsidP="00E22EE1">
            <w:pPr>
              <w:pStyle w:val="DQITableBullet"/>
              <w:numPr>
                <w:ilvl w:val="0"/>
                <w:numId w:val="0"/>
              </w:numPr>
              <w:ind w:left="170"/>
            </w:pPr>
            <w:r>
              <w:t>Inclusion criteria:</w:t>
            </w:r>
          </w:p>
          <w:p w:rsidR="00CE45B7" w:rsidRPr="00785B26" w:rsidRDefault="00CE45B7" w:rsidP="00E22EE1">
            <w:pPr>
              <w:pStyle w:val="DQITableBullet2"/>
            </w:pPr>
            <w:r w:rsidRPr="00B74994">
              <w:t>Adult - 16 years and over</w:t>
            </w:r>
          </w:p>
          <w:p w:rsidR="00CE45B7" w:rsidRPr="00785B26" w:rsidRDefault="00CE45B7" w:rsidP="00E22EE1">
            <w:pPr>
              <w:pStyle w:val="DQITableBullet2"/>
            </w:pPr>
            <w:r w:rsidRPr="00B74994">
              <w:t>Resuscitation was started and continued</w:t>
            </w:r>
          </w:p>
          <w:p w:rsidR="00CE45B7" w:rsidRPr="00785B26" w:rsidRDefault="00CE45B7" w:rsidP="00E22EE1">
            <w:pPr>
              <w:pStyle w:val="DQITableBullet2"/>
            </w:pPr>
            <w:r w:rsidRPr="00B74994">
              <w:t>Cardiac aetiology is confirmed</w:t>
            </w:r>
          </w:p>
          <w:p w:rsidR="00CE45B7" w:rsidRDefault="00286FC3" w:rsidP="00E22EE1">
            <w:pPr>
              <w:pStyle w:val="DQITableBullet2"/>
            </w:pPr>
            <w:proofErr w:type="spellStart"/>
            <w:r>
              <w:t>ROSC</w:t>
            </w:r>
            <w:proofErr w:type="spellEnd"/>
            <w:r w:rsidR="00CE45B7" w:rsidRPr="00B74994">
              <w:t xml:space="preserve"> at arrival to hospital (5 sec or more sustainable </w:t>
            </w:r>
            <w:proofErr w:type="spellStart"/>
            <w:r w:rsidR="00CE45B7" w:rsidRPr="00B74994">
              <w:t>RO</w:t>
            </w:r>
            <w:r w:rsidR="004D49EC">
              <w:t>S</w:t>
            </w:r>
            <w:r w:rsidR="00CE45B7" w:rsidRPr="00B74994">
              <w:t>C</w:t>
            </w:r>
            <w:proofErr w:type="spellEnd"/>
            <w:r w:rsidR="00CE45B7" w:rsidRPr="00B74994">
              <w:t>)</w:t>
            </w:r>
          </w:p>
          <w:p w:rsidR="00CE45B7" w:rsidRDefault="00CE45B7" w:rsidP="00E22EE1">
            <w:pPr>
              <w:pStyle w:val="DQITableBullet2"/>
            </w:pPr>
            <w:r w:rsidRPr="00B74994">
              <w:t>Cardiac arrest occurred in the presence of a paramedic officer</w:t>
            </w:r>
            <w:r>
              <w:t xml:space="preserve"> </w:t>
            </w:r>
          </w:p>
          <w:p w:rsidR="00CE45B7" w:rsidRPr="00785B26" w:rsidRDefault="00CE45B7" w:rsidP="00E22EE1">
            <w:pPr>
              <w:pStyle w:val="DQITableBullet"/>
              <w:numPr>
                <w:ilvl w:val="0"/>
                <w:numId w:val="0"/>
              </w:numPr>
              <w:ind w:left="170"/>
            </w:pPr>
            <w:r>
              <w:t>Exclusion criteria:</w:t>
            </w:r>
          </w:p>
          <w:p w:rsidR="00CE45B7" w:rsidRPr="00785B26" w:rsidRDefault="00CE45B7" w:rsidP="00E22EE1">
            <w:pPr>
              <w:pStyle w:val="DQITableBullet2"/>
            </w:pPr>
            <w:r w:rsidRPr="00B74994">
              <w:t>Do not attempt resuscitation orders</w:t>
            </w:r>
          </w:p>
          <w:p w:rsidR="00CE45B7" w:rsidRPr="00A05229" w:rsidRDefault="00CE45B7" w:rsidP="00E22EE1">
            <w:pPr>
              <w:pStyle w:val="DQITableBullet2"/>
            </w:pPr>
            <w:r w:rsidRPr="00B74994">
              <w:lastRenderedPageBreak/>
              <w:t>Dead on arrival</w:t>
            </w:r>
          </w:p>
        </w:tc>
      </w:tr>
      <w:tr w:rsidR="00CE45B7" w:rsidTr="002E49D6">
        <w:tc>
          <w:tcPr>
            <w:tcW w:w="902" w:type="pct"/>
            <w:hideMark/>
          </w:tcPr>
          <w:p w:rsidR="00CE45B7" w:rsidRDefault="00CE45B7" w:rsidP="00013A8A">
            <w:pPr>
              <w:pStyle w:val="DQIRowHeadings"/>
              <w:rPr>
                <w:lang w:eastAsia="zh-TW"/>
              </w:rPr>
            </w:pPr>
            <w:r>
              <w:rPr>
                <w:lang w:eastAsia="zh-TW"/>
              </w:rPr>
              <w:lastRenderedPageBreak/>
              <w:t>Data source</w:t>
            </w:r>
          </w:p>
        </w:tc>
        <w:tc>
          <w:tcPr>
            <w:tcW w:w="4098" w:type="pct"/>
            <w:gridSpan w:val="3"/>
          </w:tcPr>
          <w:p w:rsidR="00CE45B7" w:rsidRDefault="00CE45B7" w:rsidP="00013A8A">
            <w:pPr>
              <w:pStyle w:val="DQITableText"/>
              <w:rPr>
                <w:lang w:eastAsia="zh-TW"/>
              </w:rPr>
            </w:pPr>
            <w:r>
              <w:rPr>
                <w:lang w:eastAsia="zh-TW"/>
              </w:rPr>
              <w:t>Council of Ambulance Authorities (</w:t>
            </w:r>
            <w:proofErr w:type="spellStart"/>
            <w:r>
              <w:rPr>
                <w:lang w:eastAsia="zh-TW"/>
              </w:rPr>
              <w:t>CAA</w:t>
            </w:r>
            <w:proofErr w:type="spellEnd"/>
            <w:r>
              <w:rPr>
                <w:lang w:eastAsia="zh-TW"/>
              </w:rPr>
              <w:t>)</w:t>
            </w:r>
          </w:p>
        </w:tc>
      </w:tr>
      <w:tr w:rsidR="00CE45B7" w:rsidTr="002E49D6">
        <w:trPr>
          <w:trHeight w:val="531"/>
        </w:trPr>
        <w:tc>
          <w:tcPr>
            <w:tcW w:w="4133" w:type="pct"/>
            <w:gridSpan w:val="3"/>
            <w:vAlign w:val="center"/>
            <w:hideMark/>
          </w:tcPr>
          <w:p w:rsidR="00CE45B7" w:rsidRDefault="00CE45B7" w:rsidP="00013A8A">
            <w:pPr>
              <w:pStyle w:val="DQIMainRowHeadings"/>
              <w:rPr>
                <w:lang w:eastAsia="zh-TW"/>
              </w:rPr>
            </w:pPr>
            <w:r>
              <w:rPr>
                <w:lang w:eastAsia="zh-TW"/>
              </w:rPr>
              <w:t>Data Quality Framework Dimensions</w:t>
            </w:r>
          </w:p>
        </w:tc>
        <w:tc>
          <w:tcPr>
            <w:tcW w:w="867" w:type="pct"/>
            <w:vAlign w:val="center"/>
          </w:tcPr>
          <w:p w:rsidR="00CE45B7" w:rsidRDefault="00CE45B7" w:rsidP="00013A8A">
            <w:pPr>
              <w:pStyle w:val="DQIMainRowHeadings"/>
              <w:rPr>
                <w:lang w:eastAsia="zh-TW"/>
              </w:rPr>
            </w:pPr>
          </w:p>
        </w:tc>
      </w:tr>
      <w:tr w:rsidR="00E22EE1" w:rsidTr="002E49D6">
        <w:tc>
          <w:tcPr>
            <w:tcW w:w="902" w:type="pct"/>
            <w:hideMark/>
          </w:tcPr>
          <w:p w:rsidR="00E22EE1" w:rsidRDefault="00E22EE1" w:rsidP="00E22EE1">
            <w:pPr>
              <w:pStyle w:val="DQIRowHeadings"/>
              <w:rPr>
                <w:lang w:eastAsia="zh-TW"/>
              </w:rPr>
            </w:pPr>
            <w:r>
              <w:rPr>
                <w:lang w:eastAsia="zh-TW"/>
              </w:rPr>
              <w:t>Institutional environment</w:t>
            </w:r>
          </w:p>
        </w:tc>
        <w:tc>
          <w:tcPr>
            <w:tcW w:w="4098" w:type="pct"/>
            <w:gridSpan w:val="3"/>
          </w:tcPr>
          <w:p w:rsidR="00E22EE1" w:rsidRDefault="00E22EE1" w:rsidP="00E22EE1">
            <w:pPr>
              <w:pStyle w:val="DQITableText"/>
            </w:pPr>
            <w:r>
              <w:t xml:space="preserve">The </w:t>
            </w:r>
            <w:proofErr w:type="spellStart"/>
            <w:r>
              <w:t>CAA</w:t>
            </w:r>
            <w:proofErr w:type="spellEnd"/>
            <w:r>
              <w:t xml:space="preserve"> is the peak body representing the principal statutory providers of ambulance services in Australia. </w:t>
            </w:r>
          </w:p>
          <w:p w:rsidR="00E22EE1" w:rsidRDefault="00E22EE1" w:rsidP="00E22EE1">
            <w:pPr>
              <w:pStyle w:val="DQITableText"/>
            </w:pPr>
            <w:r>
              <w:t xml:space="preserve">The </w:t>
            </w:r>
            <w:proofErr w:type="spellStart"/>
            <w:r>
              <w:t>CAA</w:t>
            </w:r>
            <w:proofErr w:type="spellEnd"/>
            <w:r>
              <w:t xml:space="preserve"> collects administrative data annually from all statutory ambulance services, using the same core questionnaire and instructions — the </w:t>
            </w:r>
            <w:proofErr w:type="spellStart"/>
            <w:r w:rsidRPr="00620164">
              <w:rPr>
                <w:i/>
                <w:iCs/>
              </w:rPr>
              <w:t>CAA</w:t>
            </w:r>
            <w:proofErr w:type="spellEnd"/>
            <w:r w:rsidRPr="00620164">
              <w:rPr>
                <w:i/>
                <w:iCs/>
              </w:rPr>
              <w:t xml:space="preserve"> Consolidated Returns</w:t>
            </w:r>
            <w:r>
              <w:t xml:space="preserve">. </w:t>
            </w:r>
          </w:p>
          <w:p w:rsidR="00E22EE1" w:rsidRPr="00A05229" w:rsidRDefault="00E22EE1" w:rsidP="00E22EE1">
            <w:pPr>
              <w:pStyle w:val="DQITableText"/>
            </w:pPr>
            <w:r>
              <w:t xml:space="preserve">The ambulance service organisations send their data to the </w:t>
            </w:r>
            <w:proofErr w:type="spellStart"/>
            <w:r>
              <w:t>CAA</w:t>
            </w:r>
            <w:proofErr w:type="spellEnd"/>
            <w:r>
              <w:t xml:space="preserve">. The </w:t>
            </w:r>
            <w:proofErr w:type="spellStart"/>
            <w:r>
              <w:t>CAA</w:t>
            </w:r>
            <w:proofErr w:type="spellEnd"/>
            <w:r>
              <w:t xml:space="preserve"> then collates all data to be provided to the Productivity Commission use in the </w:t>
            </w:r>
            <w:proofErr w:type="spellStart"/>
            <w:r>
              <w:t>RoGS</w:t>
            </w:r>
            <w:proofErr w:type="spellEnd"/>
            <w:r>
              <w:t xml:space="preserve">. </w:t>
            </w:r>
          </w:p>
        </w:tc>
      </w:tr>
      <w:tr w:rsidR="00E22EE1" w:rsidTr="002E49D6">
        <w:tc>
          <w:tcPr>
            <w:tcW w:w="902" w:type="pct"/>
          </w:tcPr>
          <w:p w:rsidR="00E22EE1" w:rsidRDefault="00E22EE1" w:rsidP="00E22EE1">
            <w:pPr>
              <w:pStyle w:val="DQIRowHeadings"/>
              <w:rPr>
                <w:lang w:eastAsia="zh-TW"/>
              </w:rPr>
            </w:pPr>
            <w:r>
              <w:rPr>
                <w:lang w:eastAsia="zh-TW"/>
              </w:rPr>
              <w:t>Relevance</w:t>
            </w:r>
          </w:p>
          <w:p w:rsidR="00E22EE1" w:rsidRDefault="00E22EE1" w:rsidP="00E22EE1">
            <w:pPr>
              <w:pStyle w:val="DQIRowHeadings"/>
              <w:rPr>
                <w:lang w:eastAsia="zh-TW"/>
              </w:rPr>
            </w:pPr>
          </w:p>
        </w:tc>
        <w:tc>
          <w:tcPr>
            <w:tcW w:w="4098" w:type="pct"/>
            <w:gridSpan w:val="3"/>
          </w:tcPr>
          <w:p w:rsidR="00E22EE1" w:rsidRDefault="00E22EE1" w:rsidP="00E22EE1">
            <w:pPr>
              <w:pStyle w:val="DQITableText"/>
            </w:pPr>
            <w:r w:rsidRPr="003363E5">
              <w:t>The indicator is available for all statutory ambulance services in Australia</w:t>
            </w:r>
            <w:r>
              <w:t>, by State and Territory</w:t>
            </w:r>
            <w:r w:rsidRPr="003363E5">
              <w:t>.</w:t>
            </w:r>
          </w:p>
          <w:p w:rsidR="00E22EE1" w:rsidRDefault="00E22EE1" w:rsidP="00E22EE1">
            <w:pPr>
              <w:pStyle w:val="DQITableText"/>
            </w:pPr>
            <w:r w:rsidRPr="00B56A49">
              <w:t xml:space="preserve">The </w:t>
            </w:r>
            <w:proofErr w:type="spellStart"/>
            <w:r w:rsidRPr="00B56A49">
              <w:rPr>
                <w:i/>
              </w:rPr>
              <w:t>CAA</w:t>
            </w:r>
            <w:proofErr w:type="spellEnd"/>
            <w:r w:rsidRPr="00B56A49">
              <w:rPr>
                <w:i/>
              </w:rPr>
              <w:t xml:space="preserve"> Consolidated Returns</w:t>
            </w:r>
            <w:r>
              <w:t xml:space="preserve"> collects data for each of the cardiac arrest survived event categories, as defined in the measure.</w:t>
            </w:r>
          </w:p>
          <w:p w:rsidR="00E22EE1" w:rsidRPr="00A05229" w:rsidRDefault="00E22EE1" w:rsidP="00E22EE1">
            <w:pPr>
              <w:pStyle w:val="DQITableText"/>
            </w:pPr>
            <w:r w:rsidRPr="00CD72B9">
              <w:t xml:space="preserve">The </w:t>
            </w:r>
            <w:r>
              <w:t xml:space="preserve">Cardiac arrest survived event represents one aspect of effectiveness - indicating governments’ objective of providing pre-hospital and out-of-hospital care and patient transport services, that are high quality, timely, and meet clients’ needs through delivery of coordinated and responsive health care. </w:t>
            </w:r>
          </w:p>
        </w:tc>
      </w:tr>
      <w:tr w:rsidR="00E22EE1" w:rsidTr="002E49D6">
        <w:tc>
          <w:tcPr>
            <w:tcW w:w="902" w:type="pct"/>
          </w:tcPr>
          <w:p w:rsidR="00E22EE1" w:rsidRDefault="00E22EE1" w:rsidP="00E22EE1">
            <w:pPr>
              <w:pStyle w:val="DQIRowHeadings"/>
              <w:rPr>
                <w:lang w:eastAsia="zh-TW"/>
              </w:rPr>
            </w:pPr>
            <w:r>
              <w:rPr>
                <w:lang w:eastAsia="zh-TW"/>
              </w:rPr>
              <w:t>Timeliness</w:t>
            </w:r>
          </w:p>
        </w:tc>
        <w:tc>
          <w:tcPr>
            <w:tcW w:w="4098" w:type="pct"/>
            <w:gridSpan w:val="3"/>
          </w:tcPr>
          <w:p w:rsidR="00E22EE1" w:rsidRPr="00E75549" w:rsidRDefault="00E22EE1" w:rsidP="007F6100">
            <w:pPr>
              <w:pStyle w:val="DQITableText"/>
            </w:pPr>
            <w:r>
              <w:t xml:space="preserve">Cardiac arrest survived event data </w:t>
            </w:r>
            <w:r w:rsidR="00EE3F05">
              <w:t>are</w:t>
            </w:r>
            <w:r>
              <w:t xml:space="preserve"> published annually for the latest financial year preceding the January release of each </w:t>
            </w:r>
            <w:proofErr w:type="spellStart"/>
            <w:r w:rsidR="007F6100">
              <w:t>RoGS</w:t>
            </w:r>
            <w:proofErr w:type="spellEnd"/>
            <w:r>
              <w:t>.</w:t>
            </w:r>
          </w:p>
        </w:tc>
      </w:tr>
      <w:tr w:rsidR="00E22EE1" w:rsidTr="002E49D6">
        <w:tc>
          <w:tcPr>
            <w:tcW w:w="902" w:type="pct"/>
          </w:tcPr>
          <w:p w:rsidR="00E22EE1" w:rsidRDefault="00E22EE1" w:rsidP="00E22EE1">
            <w:pPr>
              <w:pStyle w:val="DQIRowHeadings"/>
              <w:rPr>
                <w:lang w:eastAsia="zh-TW"/>
              </w:rPr>
            </w:pPr>
            <w:r>
              <w:rPr>
                <w:lang w:eastAsia="zh-TW"/>
              </w:rPr>
              <w:t>Accuracy</w:t>
            </w:r>
          </w:p>
        </w:tc>
        <w:tc>
          <w:tcPr>
            <w:tcW w:w="4098" w:type="pct"/>
            <w:gridSpan w:val="3"/>
          </w:tcPr>
          <w:p w:rsidR="00E22EE1" w:rsidRDefault="00E22EE1" w:rsidP="00E22EE1">
            <w:pPr>
              <w:pStyle w:val="DQITableText"/>
            </w:pPr>
            <w:r>
              <w:t xml:space="preserve">The </w:t>
            </w:r>
            <w:proofErr w:type="spellStart"/>
            <w:r w:rsidRPr="00620164">
              <w:rPr>
                <w:i/>
              </w:rPr>
              <w:t>CAA</w:t>
            </w:r>
            <w:proofErr w:type="spellEnd"/>
            <w:r w:rsidRPr="00620164">
              <w:rPr>
                <w:i/>
              </w:rPr>
              <w:t xml:space="preserve"> Consolidated Returns</w:t>
            </w:r>
            <w:r>
              <w:t xml:space="preserve"> compile administrative data from all </w:t>
            </w:r>
            <w:r w:rsidRPr="00CD72B9">
              <w:rPr>
                <w:lang w:val="en-GB"/>
              </w:rPr>
              <w:t>statutory providers of ambulance services in Australia</w:t>
            </w:r>
            <w:r>
              <w:rPr>
                <w:lang w:val="en-GB"/>
              </w:rPr>
              <w:t xml:space="preserve">. </w:t>
            </w:r>
          </w:p>
          <w:p w:rsidR="00E22EE1" w:rsidRPr="00F565CD" w:rsidRDefault="00E22EE1" w:rsidP="00E22EE1">
            <w:pPr>
              <w:pStyle w:val="DQITableText"/>
            </w:pPr>
            <w:r>
              <w:t xml:space="preserve">They are collected according to agreed definitions provided in the </w:t>
            </w:r>
            <w:proofErr w:type="spellStart"/>
            <w:r>
              <w:t>CAA</w:t>
            </w:r>
            <w:proofErr w:type="spellEnd"/>
            <w:r>
              <w:t xml:space="preserve"> data dictionary.</w:t>
            </w:r>
          </w:p>
        </w:tc>
      </w:tr>
      <w:tr w:rsidR="00E22EE1" w:rsidTr="002E49D6">
        <w:tc>
          <w:tcPr>
            <w:tcW w:w="902" w:type="pct"/>
          </w:tcPr>
          <w:p w:rsidR="00E22EE1" w:rsidRDefault="00E22EE1" w:rsidP="00E22EE1">
            <w:pPr>
              <w:pStyle w:val="DQIRowHeadings"/>
              <w:rPr>
                <w:lang w:eastAsia="zh-TW"/>
              </w:rPr>
            </w:pPr>
            <w:r>
              <w:rPr>
                <w:lang w:eastAsia="zh-TW"/>
              </w:rPr>
              <w:t>Coherence</w:t>
            </w:r>
          </w:p>
        </w:tc>
        <w:tc>
          <w:tcPr>
            <w:tcW w:w="4098" w:type="pct"/>
            <w:gridSpan w:val="3"/>
          </w:tcPr>
          <w:p w:rsidR="00E22EE1" w:rsidRDefault="00E22EE1" w:rsidP="00E22EE1">
            <w:pPr>
              <w:pStyle w:val="DQITableText"/>
            </w:pPr>
            <w:r w:rsidRPr="00CD72B9">
              <w:t xml:space="preserve">All data (numerators and denominators) are sourced from the </w:t>
            </w:r>
            <w:proofErr w:type="spellStart"/>
            <w:r>
              <w:t>CAA</w:t>
            </w:r>
            <w:proofErr w:type="spellEnd"/>
            <w:r>
              <w:t xml:space="preserve"> </w:t>
            </w:r>
            <w:r>
              <w:rPr>
                <w:i/>
              </w:rPr>
              <w:t>Consolidated Returns.</w:t>
            </w:r>
            <w:r w:rsidRPr="00CD72B9">
              <w:t xml:space="preserve"> </w:t>
            </w:r>
          </w:p>
          <w:p w:rsidR="00E22EE1" w:rsidRPr="00CD72B9" w:rsidRDefault="00E22EE1" w:rsidP="00E22EE1">
            <w:pPr>
              <w:pStyle w:val="DQITableText"/>
            </w:pPr>
            <w:r w:rsidRPr="00CD72B9">
              <w:t xml:space="preserve">Estimates from the </w:t>
            </w:r>
            <w:proofErr w:type="spellStart"/>
            <w:r w:rsidRPr="00CD72B9">
              <w:t>CAA</w:t>
            </w:r>
            <w:proofErr w:type="spellEnd"/>
            <w:r w:rsidRPr="00CD72B9">
              <w:t xml:space="preserve"> </w:t>
            </w:r>
            <w:r>
              <w:rPr>
                <w:i/>
              </w:rPr>
              <w:t>Consolidated Returns</w:t>
            </w:r>
            <w:r w:rsidRPr="00CD72B9">
              <w:rPr>
                <w:i/>
              </w:rPr>
              <w:t xml:space="preserve"> </w:t>
            </w:r>
            <w:r w:rsidRPr="00CD72B9">
              <w:t xml:space="preserve">are comparable over time and between jurisdictions, subject </w:t>
            </w:r>
            <w:r>
              <w:t>to caveats provided by services</w:t>
            </w:r>
            <w:r w:rsidRPr="00CD72B9">
              <w:t xml:space="preserve">. </w:t>
            </w:r>
          </w:p>
          <w:p w:rsidR="00E22EE1" w:rsidRPr="00A05229" w:rsidRDefault="00E22EE1" w:rsidP="00E22EE1">
            <w:pPr>
              <w:pStyle w:val="DQITableText"/>
            </w:pPr>
            <w:r w:rsidRPr="00CD72B9">
              <w:t xml:space="preserve">The </w:t>
            </w:r>
            <w:r>
              <w:t>collection</w:t>
            </w:r>
            <w:r w:rsidRPr="00CD72B9">
              <w:t xml:space="preserve">, instructions, definitions and analysis are prepared and overseen by the </w:t>
            </w:r>
            <w:proofErr w:type="spellStart"/>
            <w:r w:rsidRPr="00CD72B9">
              <w:t>CAA</w:t>
            </w:r>
            <w:proofErr w:type="spellEnd"/>
            <w:r w:rsidRPr="00CD72B9">
              <w:t xml:space="preserve"> and are the same for all state and territory services. </w:t>
            </w:r>
          </w:p>
        </w:tc>
      </w:tr>
      <w:tr w:rsidR="00E22EE1" w:rsidTr="002E49D6">
        <w:tc>
          <w:tcPr>
            <w:tcW w:w="902" w:type="pct"/>
          </w:tcPr>
          <w:p w:rsidR="00E22EE1" w:rsidRDefault="00E22EE1" w:rsidP="00E22EE1">
            <w:pPr>
              <w:pStyle w:val="DQIRowHeadings"/>
              <w:keepNext w:val="0"/>
              <w:rPr>
                <w:lang w:eastAsia="zh-TW"/>
              </w:rPr>
            </w:pPr>
            <w:r>
              <w:rPr>
                <w:lang w:eastAsia="zh-TW"/>
              </w:rPr>
              <w:t>Accessibility</w:t>
            </w:r>
          </w:p>
        </w:tc>
        <w:tc>
          <w:tcPr>
            <w:tcW w:w="4098" w:type="pct"/>
            <w:gridSpan w:val="3"/>
          </w:tcPr>
          <w:p w:rsidR="00E22EE1" w:rsidRPr="00A05229" w:rsidRDefault="00E22EE1" w:rsidP="00EE3F05">
            <w:pPr>
              <w:pStyle w:val="DQITableText"/>
            </w:pPr>
            <w:r>
              <w:t xml:space="preserve">Cardiac arrest survived event data </w:t>
            </w:r>
            <w:r w:rsidR="00EE3F05">
              <w:t>are</w:t>
            </w:r>
            <w:r>
              <w:t xml:space="preserve"> publicly available in the </w:t>
            </w:r>
            <w:proofErr w:type="spellStart"/>
            <w:r>
              <w:t>CAA</w:t>
            </w:r>
            <w:proofErr w:type="spellEnd"/>
            <w:r>
              <w:t xml:space="preserve"> Annual Report on the </w:t>
            </w:r>
            <w:proofErr w:type="spellStart"/>
            <w:r>
              <w:t>CAA</w:t>
            </w:r>
            <w:proofErr w:type="spellEnd"/>
            <w:r>
              <w:t xml:space="preserve"> </w:t>
            </w:r>
            <w:r w:rsidRPr="00B43BC8">
              <w:rPr>
                <w:rFonts w:ascii="ArialMT" w:eastAsiaTheme="minorEastAsia" w:hAnsi="ArialMT" w:cs="ArialMT"/>
                <w:lang w:eastAsia="zh-TW"/>
              </w:rPr>
              <w:t>website</w:t>
            </w:r>
            <w:r>
              <w:t xml:space="preserve"> annually (</w:t>
            </w:r>
            <w:proofErr w:type="spellStart"/>
            <w:r w:rsidRPr="004A1422">
              <w:t>www.caa.net.au</w:t>
            </w:r>
            <w:proofErr w:type="spellEnd"/>
            <w:r>
              <w:t>).</w:t>
            </w:r>
          </w:p>
        </w:tc>
      </w:tr>
      <w:tr w:rsidR="00E22EE1" w:rsidTr="002E49D6">
        <w:tc>
          <w:tcPr>
            <w:tcW w:w="902" w:type="pct"/>
          </w:tcPr>
          <w:p w:rsidR="00E22EE1" w:rsidRDefault="00E22EE1" w:rsidP="00E22EE1">
            <w:pPr>
              <w:pStyle w:val="DQIRowHeadings"/>
              <w:rPr>
                <w:lang w:eastAsia="zh-TW"/>
              </w:rPr>
            </w:pPr>
            <w:r>
              <w:rPr>
                <w:lang w:eastAsia="zh-TW"/>
              </w:rPr>
              <w:t>Interpretability</w:t>
            </w:r>
          </w:p>
        </w:tc>
        <w:tc>
          <w:tcPr>
            <w:tcW w:w="4098" w:type="pct"/>
            <w:gridSpan w:val="3"/>
          </w:tcPr>
          <w:p w:rsidR="00E22EE1" w:rsidRPr="006C2C6E" w:rsidRDefault="00E22EE1" w:rsidP="00EE3F05">
            <w:pPr>
              <w:pStyle w:val="DQITableText"/>
            </w:pPr>
            <w:r>
              <w:t xml:space="preserve">Cardiac arrest survived event </w:t>
            </w:r>
            <w:r w:rsidRPr="00CD72B9">
              <w:t xml:space="preserve">data </w:t>
            </w:r>
            <w:r w:rsidR="00EE3F05">
              <w:t>are</w:t>
            </w:r>
            <w:r w:rsidRPr="00CD72B9">
              <w:t xml:space="preserve"> publicly available </w:t>
            </w:r>
            <w:r w:rsidR="00EE3F05">
              <w:t>including</w:t>
            </w:r>
            <w:r w:rsidRPr="00CD72B9">
              <w:t xml:space="preserve"> definitions of the collected data.</w:t>
            </w:r>
          </w:p>
        </w:tc>
      </w:tr>
      <w:tr w:rsidR="00CE45B7" w:rsidTr="002E49D6">
        <w:trPr>
          <w:trHeight w:val="506"/>
        </w:trPr>
        <w:tc>
          <w:tcPr>
            <w:tcW w:w="3750" w:type="pct"/>
            <w:gridSpan w:val="2"/>
            <w:vAlign w:val="center"/>
            <w:hideMark/>
          </w:tcPr>
          <w:p w:rsidR="00CE45B7" w:rsidRDefault="00CE45B7" w:rsidP="00013A8A">
            <w:pPr>
              <w:pStyle w:val="DQIMainRowHeadings"/>
              <w:rPr>
                <w:lang w:eastAsia="zh-TW"/>
              </w:rPr>
            </w:pPr>
            <w:r>
              <w:rPr>
                <w:lang w:eastAsia="zh-TW"/>
              </w:rPr>
              <w:t>Data Gaps/Issues Analysis</w:t>
            </w:r>
          </w:p>
        </w:tc>
        <w:tc>
          <w:tcPr>
            <w:tcW w:w="1250" w:type="pct"/>
            <w:gridSpan w:val="2"/>
            <w:vAlign w:val="center"/>
          </w:tcPr>
          <w:p w:rsidR="00CE45B7" w:rsidRDefault="00CE45B7" w:rsidP="00013A8A">
            <w:pPr>
              <w:pStyle w:val="DQIMainRowHeadings"/>
              <w:rPr>
                <w:lang w:eastAsia="zh-TW"/>
              </w:rPr>
            </w:pPr>
          </w:p>
        </w:tc>
      </w:tr>
      <w:tr w:rsidR="00CE45B7" w:rsidTr="002E49D6">
        <w:tc>
          <w:tcPr>
            <w:tcW w:w="902" w:type="pct"/>
            <w:tcBorders>
              <w:top w:val="nil"/>
              <w:left w:val="nil"/>
              <w:right w:val="nil"/>
            </w:tcBorders>
            <w:hideMark/>
          </w:tcPr>
          <w:p w:rsidR="00CE45B7" w:rsidRDefault="00CE45B7" w:rsidP="00013A8A">
            <w:pPr>
              <w:pStyle w:val="DQIRowHeadings"/>
              <w:rPr>
                <w:lang w:eastAsia="zh-TW"/>
              </w:rPr>
            </w:pPr>
            <w:r>
              <w:rPr>
                <w:lang w:eastAsia="zh-TW"/>
              </w:rPr>
              <w:t>Key data gaps/issues</w:t>
            </w:r>
          </w:p>
        </w:tc>
        <w:tc>
          <w:tcPr>
            <w:tcW w:w="4098" w:type="pct"/>
            <w:gridSpan w:val="3"/>
            <w:tcBorders>
              <w:top w:val="nil"/>
              <w:left w:val="nil"/>
              <w:right w:val="nil"/>
            </w:tcBorders>
          </w:tcPr>
          <w:p w:rsidR="00E22EE1" w:rsidRDefault="00E22EE1" w:rsidP="00E22EE1">
            <w:pPr>
              <w:pStyle w:val="DQITableText"/>
            </w:pPr>
            <w:r w:rsidRPr="00620164">
              <w:t>The Steering Committee notes the following issue</w:t>
            </w:r>
            <w:r>
              <w:t>s</w:t>
            </w:r>
            <w:r w:rsidRPr="00620164">
              <w:t>:</w:t>
            </w:r>
          </w:p>
          <w:p w:rsidR="00E22EE1" w:rsidRDefault="00E22EE1" w:rsidP="00E22EE1">
            <w:pPr>
              <w:pStyle w:val="DQITableBullet"/>
            </w:pPr>
            <w:r>
              <w:t>Cardiac arrest survived event is only one measure of ambulance effectiveness and ambulance quality.</w:t>
            </w:r>
          </w:p>
          <w:p w:rsidR="00E22EE1" w:rsidRDefault="00E22EE1" w:rsidP="00E22EE1">
            <w:pPr>
              <w:pStyle w:val="DQITableBullet"/>
            </w:pPr>
            <w:r>
              <w:t>Other indicators are being prepared which will together with Cardiac arrest survived event form a clearer and more complete picture of ambulance effectiveness and quality.</w:t>
            </w:r>
          </w:p>
          <w:p w:rsidR="00E22EE1" w:rsidRDefault="00E22EE1" w:rsidP="00E22EE1">
            <w:pPr>
              <w:pStyle w:val="DQITableBullet"/>
            </w:pPr>
            <w:r>
              <w:t xml:space="preserve"> Cardiac arrest data </w:t>
            </w:r>
            <w:r w:rsidR="00EE3F05">
              <w:t>are</w:t>
            </w:r>
            <w:r>
              <w:t xml:space="preserve"> at this stage not fully comparable between </w:t>
            </w:r>
            <w:r w:rsidR="00EE3F05">
              <w:t xml:space="preserve">States </w:t>
            </w:r>
            <w:r>
              <w:t xml:space="preserve">and </w:t>
            </w:r>
            <w:r w:rsidR="00EE3F05">
              <w:t>Territories</w:t>
            </w:r>
            <w:r>
              <w:t>, but progress is being made to resolve issues which relate to comparability of recording and reporting cardiac data. All services are committed to setting up cardiac arrest registries which provide a detailed recording and analysis of cardiac data.</w:t>
            </w:r>
          </w:p>
          <w:p w:rsidR="00CE45B7" w:rsidRDefault="00E22EE1" w:rsidP="00EE3F05">
            <w:pPr>
              <w:pStyle w:val="DQITableBullet"/>
              <w:rPr>
                <w:lang w:eastAsia="zh-TW"/>
              </w:rPr>
            </w:pPr>
            <w:r>
              <w:t xml:space="preserve">Data </w:t>
            </w:r>
            <w:r w:rsidR="00EE3F05">
              <w:t>are</w:t>
            </w:r>
            <w:r>
              <w:t xml:space="preserve"> not comparable between years for services as noted in caveats due to changes in systems and recording and reporting practices during the years. </w:t>
            </w:r>
          </w:p>
        </w:tc>
      </w:tr>
    </w:tbl>
    <w:p w:rsidR="00CE45B7" w:rsidRDefault="00CE45B7" w:rsidP="00CE45B7"/>
    <w:p w:rsidR="007250F4" w:rsidRDefault="007250F4" w:rsidP="007250F4">
      <w:pPr>
        <w:pStyle w:val="Heading3"/>
        <w:keepLines/>
        <w:spacing w:after="120"/>
      </w:pPr>
      <w:bookmarkStart w:id="93" w:name="_Toc405885759"/>
      <w:r>
        <w:lastRenderedPageBreak/>
        <w:t>Pain management</w:t>
      </w:r>
      <w:bookmarkEnd w:id="91"/>
      <w:bookmarkEnd w:id="93"/>
    </w:p>
    <w:p w:rsidR="007250F4" w:rsidRDefault="007250F4" w:rsidP="007250F4">
      <w:pPr>
        <w:pStyle w:val="Box"/>
      </w:pPr>
      <w:r>
        <w:t>Data quality information for this indicator has been drafted by the Secretariat in consultation with the Council of Ambulance Authorities (</w:t>
      </w:r>
      <w:proofErr w:type="spellStart"/>
      <w:r>
        <w:t>CAA</w:t>
      </w:r>
      <w:proofErr w:type="spellEnd"/>
      <w:r>
        <w:t>), with additional Steering Committee comments.</w:t>
      </w:r>
    </w:p>
    <w:tbl>
      <w:tblPr>
        <w:tblW w:w="0" w:type="auto"/>
        <w:tblInd w:w="108" w:type="dxa"/>
        <w:tblLook w:val="01E0" w:firstRow="1" w:lastRow="1" w:firstColumn="1" w:lastColumn="1" w:noHBand="0" w:noVBand="0"/>
      </w:tblPr>
      <w:tblGrid>
        <w:gridCol w:w="1704"/>
        <w:gridCol w:w="2635"/>
        <w:gridCol w:w="4303"/>
      </w:tblGrid>
      <w:tr w:rsidR="00CE45B7" w:rsidTr="002E49D6">
        <w:trPr>
          <w:trHeight w:val="519"/>
        </w:trPr>
        <w:tc>
          <w:tcPr>
            <w:tcW w:w="4394" w:type="dxa"/>
            <w:gridSpan w:val="2"/>
            <w:tcBorders>
              <w:left w:val="nil"/>
              <w:right w:val="nil"/>
            </w:tcBorders>
            <w:vAlign w:val="center"/>
            <w:hideMark/>
          </w:tcPr>
          <w:p w:rsidR="00CE45B7" w:rsidRDefault="00CE45B7" w:rsidP="00CE45B7">
            <w:pPr>
              <w:pStyle w:val="DQIMainRowHeadings"/>
              <w:rPr>
                <w:lang w:eastAsia="zh-TW"/>
              </w:rPr>
            </w:pPr>
            <w:r>
              <w:rPr>
                <w:lang w:eastAsia="zh-TW"/>
              </w:rPr>
              <w:t>Indicator definition and description</w:t>
            </w:r>
          </w:p>
        </w:tc>
        <w:tc>
          <w:tcPr>
            <w:tcW w:w="4395" w:type="dxa"/>
            <w:tcBorders>
              <w:left w:val="nil"/>
              <w:right w:val="nil"/>
            </w:tcBorders>
            <w:vAlign w:val="center"/>
          </w:tcPr>
          <w:p w:rsidR="00CE45B7" w:rsidRDefault="00CE45B7">
            <w:pPr>
              <w:pStyle w:val="TableBodyText"/>
              <w:jc w:val="left"/>
              <w:rPr>
                <w:b/>
                <w:lang w:eastAsia="zh-TW"/>
              </w:rPr>
            </w:pPr>
          </w:p>
        </w:tc>
      </w:tr>
      <w:tr w:rsidR="007250F4" w:rsidTr="002E49D6">
        <w:tc>
          <w:tcPr>
            <w:tcW w:w="1708" w:type="dxa"/>
            <w:tcBorders>
              <w:left w:val="nil"/>
              <w:bottom w:val="nil"/>
              <w:right w:val="nil"/>
            </w:tcBorders>
            <w:hideMark/>
          </w:tcPr>
          <w:p w:rsidR="007250F4" w:rsidRDefault="007250F4" w:rsidP="00CE45B7">
            <w:pPr>
              <w:pStyle w:val="DQIRowHeadings"/>
              <w:rPr>
                <w:lang w:eastAsia="zh-TW"/>
              </w:rPr>
            </w:pPr>
            <w:r>
              <w:rPr>
                <w:lang w:eastAsia="zh-TW"/>
              </w:rPr>
              <w:t>Element</w:t>
            </w:r>
          </w:p>
        </w:tc>
        <w:tc>
          <w:tcPr>
            <w:tcW w:w="7081" w:type="dxa"/>
            <w:gridSpan w:val="2"/>
            <w:tcBorders>
              <w:left w:val="nil"/>
              <w:bottom w:val="nil"/>
              <w:right w:val="nil"/>
            </w:tcBorders>
          </w:tcPr>
          <w:p w:rsidR="007250F4" w:rsidRDefault="001B410C" w:rsidP="001B410C">
            <w:pPr>
              <w:pStyle w:val="DQITableText"/>
              <w:rPr>
                <w:lang w:eastAsia="zh-TW"/>
              </w:rPr>
            </w:pPr>
            <w:r>
              <w:rPr>
                <w:lang w:eastAsia="zh-TW"/>
              </w:rPr>
              <w:t>Outcomes</w:t>
            </w:r>
            <w:r w:rsidR="007250F4">
              <w:rPr>
                <w:lang w:eastAsia="zh-TW"/>
              </w:rPr>
              <w:t xml:space="preserve"> </w:t>
            </w:r>
          </w:p>
        </w:tc>
      </w:tr>
      <w:tr w:rsidR="007250F4" w:rsidTr="002E49D6">
        <w:tc>
          <w:tcPr>
            <w:tcW w:w="1708" w:type="dxa"/>
            <w:hideMark/>
          </w:tcPr>
          <w:p w:rsidR="007250F4" w:rsidRDefault="007250F4" w:rsidP="00CE45B7">
            <w:pPr>
              <w:pStyle w:val="DQIRowHeadings"/>
              <w:rPr>
                <w:lang w:eastAsia="zh-TW"/>
              </w:rPr>
            </w:pPr>
            <w:r>
              <w:rPr>
                <w:lang w:eastAsia="zh-TW"/>
              </w:rPr>
              <w:t>Indicator</w:t>
            </w:r>
          </w:p>
        </w:tc>
        <w:tc>
          <w:tcPr>
            <w:tcW w:w="7081" w:type="dxa"/>
            <w:gridSpan w:val="2"/>
          </w:tcPr>
          <w:p w:rsidR="007250F4" w:rsidRDefault="007250F4" w:rsidP="00CE45B7">
            <w:pPr>
              <w:pStyle w:val="DQITableText"/>
              <w:rPr>
                <w:lang w:eastAsia="zh-TW"/>
              </w:rPr>
            </w:pPr>
            <w:r>
              <w:rPr>
                <w:lang w:eastAsia="zh-TW"/>
              </w:rPr>
              <w:t>Pain Management</w:t>
            </w:r>
          </w:p>
        </w:tc>
      </w:tr>
      <w:tr w:rsidR="007250F4" w:rsidTr="002E49D6">
        <w:tc>
          <w:tcPr>
            <w:tcW w:w="1708" w:type="dxa"/>
            <w:hideMark/>
          </w:tcPr>
          <w:p w:rsidR="007250F4" w:rsidRDefault="007250F4" w:rsidP="00CE45B7">
            <w:pPr>
              <w:pStyle w:val="DQIRowHeadings"/>
              <w:rPr>
                <w:lang w:eastAsia="zh-TW"/>
              </w:rPr>
            </w:pPr>
            <w:r>
              <w:rPr>
                <w:lang w:eastAsia="zh-TW"/>
              </w:rPr>
              <w:t>Measure (computation)</w:t>
            </w:r>
          </w:p>
        </w:tc>
        <w:tc>
          <w:tcPr>
            <w:tcW w:w="7081" w:type="dxa"/>
            <w:gridSpan w:val="2"/>
            <w:shd w:val="clear" w:color="auto" w:fill="auto"/>
          </w:tcPr>
          <w:p w:rsidR="008507E9" w:rsidRDefault="008507E9" w:rsidP="00CE45B7">
            <w:pPr>
              <w:pStyle w:val="DQITableText"/>
              <w:rPr>
                <w:lang w:eastAsia="zh-TW"/>
              </w:rPr>
            </w:pPr>
            <w:r w:rsidRPr="008507E9">
              <w:rPr>
                <w:lang w:eastAsia="zh-TW"/>
              </w:rPr>
              <w:t xml:space="preserve">‘Pain management’ is defined as the percentage of patients who report a clinically meaningful pain reduction. </w:t>
            </w:r>
          </w:p>
          <w:p w:rsidR="008507E9" w:rsidRPr="00CE45B7" w:rsidRDefault="008507E9" w:rsidP="00CE45B7">
            <w:pPr>
              <w:pStyle w:val="DQITableText"/>
              <w:rPr>
                <w:u w:val="single"/>
                <w:lang w:eastAsia="zh-TW"/>
              </w:rPr>
            </w:pPr>
            <w:r w:rsidRPr="00CE45B7">
              <w:rPr>
                <w:u w:val="single"/>
                <w:lang w:eastAsia="zh-TW"/>
              </w:rPr>
              <w:t>Numerator</w:t>
            </w:r>
          </w:p>
          <w:p w:rsidR="008507E9" w:rsidRDefault="008507E9" w:rsidP="00CE45B7">
            <w:pPr>
              <w:pStyle w:val="DQITableText"/>
              <w:rPr>
                <w:lang w:eastAsia="zh-TW"/>
              </w:rPr>
            </w:pPr>
            <w:r>
              <w:rPr>
                <w:lang w:eastAsia="zh-TW"/>
              </w:rPr>
              <w:t xml:space="preserve">In scope patients (see denominator) who reported a </w:t>
            </w:r>
            <w:r w:rsidRPr="008507E9">
              <w:rPr>
                <w:lang w:eastAsia="zh-TW"/>
              </w:rPr>
              <w:t>minimum 2 point reduction in pain score from first to final recorded measurement.</w:t>
            </w:r>
          </w:p>
          <w:p w:rsidR="008507E9" w:rsidRPr="00CE45B7" w:rsidRDefault="008507E9" w:rsidP="00CE45B7">
            <w:pPr>
              <w:pStyle w:val="DQITableText"/>
              <w:rPr>
                <w:u w:val="single"/>
                <w:lang w:eastAsia="zh-TW"/>
              </w:rPr>
            </w:pPr>
            <w:r w:rsidRPr="00CE45B7">
              <w:rPr>
                <w:u w:val="single"/>
                <w:lang w:eastAsia="zh-TW"/>
              </w:rPr>
              <w:t>Denominator</w:t>
            </w:r>
          </w:p>
          <w:p w:rsidR="008507E9" w:rsidRDefault="008507E9" w:rsidP="00CE45B7">
            <w:pPr>
              <w:pStyle w:val="DQITableText"/>
              <w:rPr>
                <w:lang w:eastAsia="zh-TW"/>
              </w:rPr>
            </w:pPr>
            <w:r>
              <w:rPr>
                <w:lang w:eastAsia="zh-TW"/>
              </w:rPr>
              <w:t>Patients who:</w:t>
            </w:r>
          </w:p>
          <w:p w:rsidR="008507E9" w:rsidRDefault="008507E9" w:rsidP="00CE45B7">
            <w:pPr>
              <w:pStyle w:val="DQITableBullet"/>
              <w:rPr>
                <w:lang w:eastAsia="zh-TW"/>
              </w:rPr>
            </w:pPr>
            <w:r>
              <w:rPr>
                <w:lang w:eastAsia="zh-TW"/>
              </w:rPr>
              <w:t>are aged 16 years and over and received care from the ambulance service</w:t>
            </w:r>
          </w:p>
          <w:p w:rsidR="008507E9" w:rsidRDefault="008507E9" w:rsidP="00CE45B7">
            <w:pPr>
              <w:pStyle w:val="DQITableBullet"/>
              <w:rPr>
                <w:lang w:eastAsia="zh-TW"/>
              </w:rPr>
            </w:pPr>
            <w:r>
              <w:rPr>
                <w:lang w:eastAsia="zh-TW"/>
              </w:rPr>
              <w:t>recorded at least 2 pain scores (pre</w:t>
            </w:r>
            <w:r w:rsidR="009D2362">
              <w:rPr>
                <w:lang w:eastAsia="zh-TW"/>
              </w:rPr>
              <w:noBreakHyphen/>
            </w:r>
            <w:r>
              <w:rPr>
                <w:lang w:eastAsia="zh-TW"/>
              </w:rPr>
              <w:t xml:space="preserve"> and post</w:t>
            </w:r>
            <w:r w:rsidR="009D2362">
              <w:rPr>
                <w:lang w:eastAsia="zh-TW"/>
              </w:rPr>
              <w:noBreakHyphen/>
            </w:r>
            <w:r>
              <w:rPr>
                <w:lang w:eastAsia="zh-TW"/>
              </w:rPr>
              <w:t xml:space="preserve">treatment) on a Numeric Rating Scale </w:t>
            </w:r>
          </w:p>
          <w:p w:rsidR="008507E9" w:rsidRDefault="008507E9" w:rsidP="00CE45B7">
            <w:pPr>
              <w:pStyle w:val="DQITableBullet"/>
              <w:rPr>
                <w:lang w:eastAsia="zh-TW"/>
              </w:rPr>
            </w:pPr>
            <w:r>
              <w:rPr>
                <w:lang w:eastAsia="zh-TW"/>
              </w:rPr>
              <w:t xml:space="preserve">recorded an initial pain score of 7 or above on the Numeric Rating Scale of 1–10. </w:t>
            </w:r>
          </w:p>
          <w:p w:rsidR="008507E9" w:rsidRDefault="008507E9" w:rsidP="00CE45B7">
            <w:pPr>
              <w:pStyle w:val="DQITableText"/>
              <w:rPr>
                <w:lang w:eastAsia="zh-TW"/>
              </w:rPr>
            </w:pPr>
            <w:r>
              <w:rPr>
                <w:lang w:eastAsia="zh-TW"/>
              </w:rPr>
              <w:t>Excluded are patients who refuse pain medication for whatever reason.</w:t>
            </w:r>
          </w:p>
          <w:p w:rsidR="007250F4" w:rsidRDefault="007250F4" w:rsidP="00CE45B7">
            <w:pPr>
              <w:pStyle w:val="DQITableBullet"/>
              <w:rPr>
                <w:lang w:eastAsia="zh-TW"/>
              </w:rPr>
            </w:pPr>
            <w:r>
              <w:rPr>
                <w:lang w:eastAsia="zh-TW"/>
              </w:rPr>
              <w:t xml:space="preserve">Numerator </w:t>
            </w:r>
            <w:r w:rsidR="00A8172B">
              <w:rPr>
                <w:lang w:eastAsia="zh-TW"/>
              </w:rPr>
              <w:t>—</w:t>
            </w:r>
            <w:r>
              <w:rPr>
                <w:lang w:eastAsia="zh-TW"/>
              </w:rPr>
              <w:t xml:space="preserve"> total number of patients where at least two pain values were recorded.</w:t>
            </w:r>
          </w:p>
          <w:p w:rsidR="007250F4" w:rsidRDefault="007250F4" w:rsidP="00A8172B">
            <w:pPr>
              <w:pStyle w:val="DQITableBullet"/>
              <w:rPr>
                <w:lang w:eastAsia="zh-TW"/>
              </w:rPr>
            </w:pPr>
            <w:r>
              <w:rPr>
                <w:lang w:eastAsia="zh-TW"/>
              </w:rPr>
              <w:t xml:space="preserve">Denominator </w:t>
            </w:r>
            <w:r w:rsidR="00A8172B">
              <w:rPr>
                <w:lang w:eastAsia="zh-TW"/>
              </w:rPr>
              <w:t>—</w:t>
            </w:r>
            <w:r>
              <w:rPr>
                <w:lang w:eastAsia="zh-TW"/>
              </w:rPr>
              <w:t xml:space="preserve"> number of patients with a higher/lower/same last pain value as first pain value.</w:t>
            </w:r>
          </w:p>
        </w:tc>
      </w:tr>
      <w:tr w:rsidR="007250F4" w:rsidTr="002E49D6">
        <w:tc>
          <w:tcPr>
            <w:tcW w:w="1708" w:type="dxa"/>
            <w:hideMark/>
          </w:tcPr>
          <w:p w:rsidR="007250F4" w:rsidRDefault="007250F4" w:rsidP="00CE45B7">
            <w:pPr>
              <w:pStyle w:val="DQIRowHeadings"/>
              <w:rPr>
                <w:lang w:eastAsia="zh-TW"/>
              </w:rPr>
            </w:pPr>
            <w:r>
              <w:rPr>
                <w:lang w:eastAsia="zh-TW"/>
              </w:rPr>
              <w:t>Data source</w:t>
            </w:r>
          </w:p>
        </w:tc>
        <w:tc>
          <w:tcPr>
            <w:tcW w:w="7081" w:type="dxa"/>
            <w:gridSpan w:val="2"/>
          </w:tcPr>
          <w:p w:rsidR="007250F4" w:rsidRDefault="007250F4" w:rsidP="00CE45B7">
            <w:pPr>
              <w:pStyle w:val="DQITableText"/>
              <w:rPr>
                <w:lang w:eastAsia="zh-TW"/>
              </w:rPr>
            </w:pPr>
            <w:r>
              <w:rPr>
                <w:i/>
                <w:lang w:eastAsia="zh-TW"/>
              </w:rPr>
              <w:t>Consolidated Returns</w:t>
            </w:r>
            <w:r>
              <w:rPr>
                <w:lang w:eastAsia="zh-TW"/>
              </w:rPr>
              <w:t>,</w:t>
            </w:r>
            <w:r>
              <w:rPr>
                <w:i/>
                <w:lang w:eastAsia="zh-TW"/>
              </w:rPr>
              <w:t xml:space="preserve"> </w:t>
            </w:r>
            <w:r>
              <w:rPr>
                <w:lang w:eastAsia="zh-TW"/>
              </w:rPr>
              <w:t>Council of Ambulance Authorities (</w:t>
            </w:r>
            <w:proofErr w:type="spellStart"/>
            <w:r>
              <w:rPr>
                <w:lang w:eastAsia="zh-TW"/>
              </w:rPr>
              <w:t>CAA</w:t>
            </w:r>
            <w:proofErr w:type="spellEnd"/>
            <w:r>
              <w:rPr>
                <w:lang w:eastAsia="zh-TW"/>
              </w:rPr>
              <w:t>)</w:t>
            </w:r>
          </w:p>
        </w:tc>
      </w:tr>
      <w:tr w:rsidR="00CE45B7" w:rsidTr="002E49D6">
        <w:trPr>
          <w:trHeight w:val="457"/>
        </w:trPr>
        <w:tc>
          <w:tcPr>
            <w:tcW w:w="4394" w:type="dxa"/>
            <w:gridSpan w:val="2"/>
            <w:vAlign w:val="center"/>
            <w:hideMark/>
          </w:tcPr>
          <w:p w:rsidR="00CE45B7" w:rsidRDefault="00CE45B7" w:rsidP="00CE45B7">
            <w:pPr>
              <w:pStyle w:val="DQIMainRowHeadings"/>
              <w:rPr>
                <w:lang w:eastAsia="zh-TW"/>
              </w:rPr>
            </w:pPr>
            <w:r>
              <w:rPr>
                <w:lang w:eastAsia="zh-TW"/>
              </w:rPr>
              <w:t>Data Quality Framework Dimensions</w:t>
            </w:r>
          </w:p>
        </w:tc>
        <w:tc>
          <w:tcPr>
            <w:tcW w:w="4395" w:type="dxa"/>
            <w:vAlign w:val="center"/>
          </w:tcPr>
          <w:p w:rsidR="00CE45B7" w:rsidRDefault="00CE45B7">
            <w:pPr>
              <w:pStyle w:val="TableBodyText"/>
              <w:jc w:val="left"/>
              <w:rPr>
                <w:b/>
                <w:u w:val="single"/>
                <w:lang w:eastAsia="zh-TW"/>
              </w:rPr>
            </w:pPr>
          </w:p>
        </w:tc>
      </w:tr>
      <w:tr w:rsidR="007250F4" w:rsidTr="002E49D6">
        <w:tc>
          <w:tcPr>
            <w:tcW w:w="1708" w:type="dxa"/>
            <w:hideMark/>
          </w:tcPr>
          <w:p w:rsidR="007250F4" w:rsidRDefault="007250F4" w:rsidP="00CE45B7">
            <w:pPr>
              <w:pStyle w:val="DQIRowHeadings"/>
              <w:rPr>
                <w:lang w:eastAsia="zh-TW"/>
              </w:rPr>
            </w:pPr>
            <w:r>
              <w:rPr>
                <w:lang w:eastAsia="zh-TW"/>
              </w:rPr>
              <w:t>Institutional environment</w:t>
            </w:r>
          </w:p>
        </w:tc>
        <w:tc>
          <w:tcPr>
            <w:tcW w:w="7081" w:type="dxa"/>
            <w:gridSpan w:val="2"/>
          </w:tcPr>
          <w:p w:rsidR="007250F4" w:rsidRDefault="007250F4" w:rsidP="00CE45B7">
            <w:pPr>
              <w:pStyle w:val="DQITableText"/>
              <w:rPr>
                <w:lang w:eastAsia="zh-TW"/>
              </w:rPr>
            </w:pPr>
            <w:r>
              <w:rPr>
                <w:lang w:eastAsia="zh-TW"/>
              </w:rPr>
              <w:t xml:space="preserve">The </w:t>
            </w:r>
            <w:proofErr w:type="spellStart"/>
            <w:r>
              <w:rPr>
                <w:lang w:eastAsia="zh-TW"/>
              </w:rPr>
              <w:t>CAA</w:t>
            </w:r>
            <w:proofErr w:type="spellEnd"/>
            <w:r>
              <w:rPr>
                <w:lang w:eastAsia="zh-TW"/>
              </w:rPr>
              <w:t xml:space="preserve"> is the peak body representing the principal statutory providers of ambulance services in Australia. </w:t>
            </w:r>
          </w:p>
          <w:p w:rsidR="007250F4" w:rsidRDefault="007250F4" w:rsidP="00CE45B7">
            <w:pPr>
              <w:pStyle w:val="DQITableText"/>
              <w:rPr>
                <w:lang w:eastAsia="zh-TW"/>
              </w:rPr>
            </w:pPr>
            <w:r>
              <w:rPr>
                <w:lang w:eastAsia="zh-TW"/>
              </w:rPr>
              <w:t xml:space="preserve">The </w:t>
            </w:r>
            <w:proofErr w:type="spellStart"/>
            <w:r>
              <w:rPr>
                <w:lang w:eastAsia="zh-TW"/>
              </w:rPr>
              <w:t>CAA</w:t>
            </w:r>
            <w:proofErr w:type="spellEnd"/>
            <w:r>
              <w:rPr>
                <w:lang w:eastAsia="zh-TW"/>
              </w:rPr>
              <w:t xml:space="preserve"> collects administrative data annually from all statutory ambulance services, using the same core questionnaire and instructions — the </w:t>
            </w:r>
            <w:proofErr w:type="spellStart"/>
            <w:r>
              <w:rPr>
                <w:i/>
                <w:iCs/>
                <w:lang w:eastAsia="zh-TW"/>
              </w:rPr>
              <w:t>CAA</w:t>
            </w:r>
            <w:proofErr w:type="spellEnd"/>
            <w:r>
              <w:rPr>
                <w:i/>
                <w:iCs/>
                <w:lang w:eastAsia="zh-TW"/>
              </w:rPr>
              <w:t xml:space="preserve"> Consolidated Returns</w:t>
            </w:r>
            <w:r>
              <w:rPr>
                <w:lang w:eastAsia="zh-TW"/>
              </w:rPr>
              <w:t xml:space="preserve">. </w:t>
            </w:r>
          </w:p>
          <w:p w:rsidR="007250F4" w:rsidRDefault="007250F4" w:rsidP="00CE45B7">
            <w:pPr>
              <w:pStyle w:val="DQITableText"/>
              <w:rPr>
                <w:lang w:eastAsia="zh-TW"/>
              </w:rPr>
            </w:pPr>
            <w:r>
              <w:rPr>
                <w:lang w:eastAsia="zh-TW"/>
              </w:rPr>
              <w:t xml:space="preserve">The ambulance service organisations send their data to the </w:t>
            </w:r>
            <w:proofErr w:type="spellStart"/>
            <w:r>
              <w:rPr>
                <w:lang w:eastAsia="zh-TW"/>
              </w:rPr>
              <w:t>CAA</w:t>
            </w:r>
            <w:proofErr w:type="spellEnd"/>
            <w:r>
              <w:rPr>
                <w:lang w:eastAsia="zh-TW"/>
              </w:rPr>
              <w:t xml:space="preserve">. The </w:t>
            </w:r>
            <w:proofErr w:type="spellStart"/>
            <w:r>
              <w:rPr>
                <w:lang w:eastAsia="zh-TW"/>
              </w:rPr>
              <w:t>CAA</w:t>
            </w:r>
            <w:proofErr w:type="spellEnd"/>
            <w:r>
              <w:rPr>
                <w:lang w:eastAsia="zh-TW"/>
              </w:rPr>
              <w:t xml:space="preserve"> then collates all data to be provided to the Productivity Commission use in the </w:t>
            </w:r>
            <w:proofErr w:type="spellStart"/>
            <w:r>
              <w:rPr>
                <w:lang w:eastAsia="zh-TW"/>
              </w:rPr>
              <w:t>RoGS</w:t>
            </w:r>
            <w:proofErr w:type="spellEnd"/>
            <w:r>
              <w:rPr>
                <w:lang w:eastAsia="zh-TW"/>
              </w:rPr>
              <w:t>.</w:t>
            </w:r>
          </w:p>
        </w:tc>
      </w:tr>
      <w:tr w:rsidR="007250F4" w:rsidTr="002E49D6">
        <w:tc>
          <w:tcPr>
            <w:tcW w:w="1708" w:type="dxa"/>
          </w:tcPr>
          <w:p w:rsidR="007250F4" w:rsidRDefault="007250F4" w:rsidP="00CE45B7">
            <w:pPr>
              <w:pStyle w:val="DQIRowHeadings"/>
              <w:rPr>
                <w:lang w:eastAsia="zh-TW"/>
              </w:rPr>
            </w:pPr>
            <w:r>
              <w:rPr>
                <w:lang w:eastAsia="zh-TW"/>
              </w:rPr>
              <w:t>Relevance</w:t>
            </w:r>
          </w:p>
          <w:p w:rsidR="007250F4" w:rsidRDefault="007250F4" w:rsidP="00CE45B7">
            <w:pPr>
              <w:pStyle w:val="DQIRowHeadings"/>
              <w:rPr>
                <w:lang w:eastAsia="zh-TW"/>
              </w:rPr>
            </w:pPr>
          </w:p>
        </w:tc>
        <w:tc>
          <w:tcPr>
            <w:tcW w:w="7081" w:type="dxa"/>
            <w:gridSpan w:val="2"/>
          </w:tcPr>
          <w:p w:rsidR="007250F4" w:rsidRDefault="007250F4" w:rsidP="00CE45B7">
            <w:pPr>
              <w:pStyle w:val="DQITableText"/>
              <w:rPr>
                <w:lang w:eastAsia="zh-TW"/>
              </w:rPr>
            </w:pPr>
            <w:r>
              <w:rPr>
                <w:lang w:eastAsia="zh-TW"/>
              </w:rPr>
              <w:t>The indicator is available for all statutory ambulance services in Australia, by State and Territory.</w:t>
            </w:r>
          </w:p>
          <w:p w:rsidR="007250F4" w:rsidRDefault="007250F4" w:rsidP="00CE45B7">
            <w:pPr>
              <w:pStyle w:val="DQITableText"/>
              <w:rPr>
                <w:lang w:eastAsia="zh-TW"/>
              </w:rPr>
            </w:pPr>
            <w:r>
              <w:rPr>
                <w:lang w:eastAsia="zh-TW"/>
              </w:rPr>
              <w:t xml:space="preserve">The </w:t>
            </w:r>
            <w:proofErr w:type="spellStart"/>
            <w:r>
              <w:rPr>
                <w:i/>
                <w:lang w:eastAsia="zh-TW"/>
              </w:rPr>
              <w:t>CAA</w:t>
            </w:r>
            <w:proofErr w:type="spellEnd"/>
            <w:r>
              <w:rPr>
                <w:i/>
                <w:lang w:eastAsia="zh-TW"/>
              </w:rPr>
              <w:t xml:space="preserve"> Consolidated Returns</w:t>
            </w:r>
            <w:r>
              <w:rPr>
                <w:lang w:eastAsia="zh-TW"/>
              </w:rPr>
              <w:t xml:space="preserve"> collects data for all paint management categories, as defined in the measure.</w:t>
            </w:r>
          </w:p>
          <w:p w:rsidR="008507E9" w:rsidRDefault="007250F4" w:rsidP="00CE45B7">
            <w:pPr>
              <w:pStyle w:val="DQITableText"/>
              <w:rPr>
                <w:lang w:eastAsia="zh-TW"/>
              </w:rPr>
            </w:pPr>
            <w:r>
              <w:rPr>
                <w:lang w:eastAsia="zh-TW"/>
              </w:rPr>
              <w:t xml:space="preserve">The pain management indicator represents one aspect of effectiveness — indicating the proportion of patients with relieved/same/worse pain value on completion of ambulance service involvement compared to the start of ambulance service involvement. </w:t>
            </w:r>
          </w:p>
        </w:tc>
      </w:tr>
      <w:tr w:rsidR="007250F4" w:rsidTr="002E49D6">
        <w:tc>
          <w:tcPr>
            <w:tcW w:w="1708" w:type="dxa"/>
          </w:tcPr>
          <w:p w:rsidR="007250F4" w:rsidRDefault="007250F4" w:rsidP="00CE45B7">
            <w:pPr>
              <w:pStyle w:val="DQIRowHeadings"/>
              <w:rPr>
                <w:lang w:eastAsia="zh-TW"/>
              </w:rPr>
            </w:pPr>
            <w:r>
              <w:rPr>
                <w:lang w:eastAsia="zh-TW"/>
              </w:rPr>
              <w:t>Timeliness</w:t>
            </w:r>
          </w:p>
          <w:p w:rsidR="007250F4" w:rsidRDefault="007250F4" w:rsidP="00CE45B7">
            <w:pPr>
              <w:pStyle w:val="DQIRowHeadings"/>
              <w:rPr>
                <w:lang w:eastAsia="zh-TW"/>
              </w:rPr>
            </w:pPr>
          </w:p>
        </w:tc>
        <w:tc>
          <w:tcPr>
            <w:tcW w:w="7081" w:type="dxa"/>
            <w:gridSpan w:val="2"/>
          </w:tcPr>
          <w:p w:rsidR="008507E9" w:rsidRDefault="007250F4" w:rsidP="007F6100">
            <w:pPr>
              <w:pStyle w:val="DQITableText"/>
              <w:rPr>
                <w:lang w:eastAsia="zh-TW"/>
              </w:rPr>
            </w:pPr>
            <w:r>
              <w:rPr>
                <w:lang w:eastAsia="zh-TW"/>
              </w:rPr>
              <w:t xml:space="preserve">The pain management data </w:t>
            </w:r>
            <w:r w:rsidR="00EE3F05">
              <w:rPr>
                <w:lang w:eastAsia="zh-TW"/>
              </w:rPr>
              <w:t>are</w:t>
            </w:r>
            <w:r>
              <w:rPr>
                <w:lang w:eastAsia="zh-TW"/>
              </w:rPr>
              <w:t xml:space="preserve"> published annually for the latest financial year preceding the January release of each </w:t>
            </w:r>
            <w:proofErr w:type="spellStart"/>
            <w:r w:rsidR="007F6100">
              <w:rPr>
                <w:lang w:eastAsia="zh-TW"/>
              </w:rPr>
              <w:t>RoGS</w:t>
            </w:r>
            <w:proofErr w:type="spellEnd"/>
            <w:r>
              <w:rPr>
                <w:lang w:eastAsia="zh-TW"/>
              </w:rPr>
              <w:t>.</w:t>
            </w:r>
          </w:p>
        </w:tc>
      </w:tr>
      <w:tr w:rsidR="007250F4" w:rsidTr="002E49D6">
        <w:tc>
          <w:tcPr>
            <w:tcW w:w="1708" w:type="dxa"/>
          </w:tcPr>
          <w:p w:rsidR="007250F4" w:rsidRDefault="007250F4" w:rsidP="00CE45B7">
            <w:pPr>
              <w:pStyle w:val="DQIRowHeadings"/>
              <w:rPr>
                <w:lang w:eastAsia="zh-TW"/>
              </w:rPr>
            </w:pPr>
            <w:r>
              <w:rPr>
                <w:lang w:eastAsia="zh-TW"/>
              </w:rPr>
              <w:t>Accuracy</w:t>
            </w:r>
          </w:p>
          <w:p w:rsidR="007250F4" w:rsidRDefault="007250F4" w:rsidP="00CE45B7">
            <w:pPr>
              <w:pStyle w:val="DQIRowHeadings"/>
              <w:rPr>
                <w:lang w:eastAsia="zh-TW"/>
              </w:rPr>
            </w:pPr>
          </w:p>
        </w:tc>
        <w:tc>
          <w:tcPr>
            <w:tcW w:w="7081" w:type="dxa"/>
            <w:gridSpan w:val="2"/>
          </w:tcPr>
          <w:p w:rsidR="007250F4" w:rsidRDefault="007250F4" w:rsidP="00CE45B7">
            <w:pPr>
              <w:pStyle w:val="DQITableText"/>
              <w:rPr>
                <w:lang w:eastAsia="zh-TW"/>
              </w:rPr>
            </w:pPr>
            <w:r>
              <w:rPr>
                <w:lang w:eastAsia="zh-TW"/>
              </w:rPr>
              <w:t xml:space="preserve">The </w:t>
            </w:r>
            <w:proofErr w:type="spellStart"/>
            <w:r>
              <w:rPr>
                <w:i/>
                <w:lang w:eastAsia="zh-TW"/>
              </w:rPr>
              <w:t>CAA</w:t>
            </w:r>
            <w:proofErr w:type="spellEnd"/>
            <w:r>
              <w:rPr>
                <w:i/>
                <w:lang w:eastAsia="zh-TW"/>
              </w:rPr>
              <w:t xml:space="preserve"> Consolidated Returns</w:t>
            </w:r>
            <w:r>
              <w:rPr>
                <w:lang w:eastAsia="zh-TW"/>
              </w:rPr>
              <w:t xml:space="preserve"> compile administrative data from all </w:t>
            </w:r>
            <w:r>
              <w:rPr>
                <w:lang w:val="en-GB" w:eastAsia="zh-TW"/>
              </w:rPr>
              <w:t xml:space="preserve">statutory providers of ambulance services in Australia. </w:t>
            </w:r>
          </w:p>
          <w:p w:rsidR="008507E9" w:rsidRDefault="007250F4" w:rsidP="00CE45B7">
            <w:pPr>
              <w:pStyle w:val="DQITableText"/>
              <w:rPr>
                <w:lang w:eastAsia="zh-TW"/>
              </w:rPr>
            </w:pPr>
            <w:r>
              <w:rPr>
                <w:lang w:eastAsia="zh-TW"/>
              </w:rPr>
              <w:t xml:space="preserve">They are collected according to agreed definitions provided in the </w:t>
            </w:r>
            <w:proofErr w:type="spellStart"/>
            <w:r>
              <w:rPr>
                <w:lang w:eastAsia="zh-TW"/>
              </w:rPr>
              <w:t>CAA</w:t>
            </w:r>
            <w:proofErr w:type="spellEnd"/>
            <w:r>
              <w:rPr>
                <w:lang w:eastAsia="zh-TW"/>
              </w:rPr>
              <w:t xml:space="preserve"> data dictionary.</w:t>
            </w:r>
          </w:p>
        </w:tc>
      </w:tr>
      <w:tr w:rsidR="007250F4" w:rsidTr="002E49D6">
        <w:tc>
          <w:tcPr>
            <w:tcW w:w="1708" w:type="dxa"/>
          </w:tcPr>
          <w:p w:rsidR="007250F4" w:rsidRDefault="007250F4" w:rsidP="00CE45B7">
            <w:pPr>
              <w:pStyle w:val="DQIRowHeadings"/>
              <w:rPr>
                <w:lang w:eastAsia="zh-TW"/>
              </w:rPr>
            </w:pPr>
            <w:r>
              <w:rPr>
                <w:lang w:eastAsia="zh-TW"/>
              </w:rPr>
              <w:t>Coherence</w:t>
            </w:r>
          </w:p>
          <w:p w:rsidR="007250F4" w:rsidRDefault="007250F4" w:rsidP="00CE45B7">
            <w:pPr>
              <w:pStyle w:val="DQIRowHeadings"/>
              <w:rPr>
                <w:lang w:eastAsia="zh-TW"/>
              </w:rPr>
            </w:pPr>
          </w:p>
        </w:tc>
        <w:tc>
          <w:tcPr>
            <w:tcW w:w="7081" w:type="dxa"/>
            <w:gridSpan w:val="2"/>
          </w:tcPr>
          <w:p w:rsidR="007250F4" w:rsidRDefault="007250F4" w:rsidP="00CE45B7">
            <w:pPr>
              <w:pStyle w:val="DQITableText"/>
              <w:rPr>
                <w:lang w:eastAsia="zh-TW"/>
              </w:rPr>
            </w:pPr>
            <w:r>
              <w:rPr>
                <w:lang w:eastAsia="zh-TW"/>
              </w:rPr>
              <w:lastRenderedPageBreak/>
              <w:t xml:space="preserve">All data (numerators and denominators) are sourced from the </w:t>
            </w:r>
            <w:proofErr w:type="spellStart"/>
            <w:r>
              <w:rPr>
                <w:lang w:eastAsia="zh-TW"/>
              </w:rPr>
              <w:t>CAA</w:t>
            </w:r>
            <w:proofErr w:type="spellEnd"/>
            <w:r>
              <w:rPr>
                <w:lang w:eastAsia="zh-TW"/>
              </w:rPr>
              <w:t xml:space="preserve"> </w:t>
            </w:r>
            <w:r>
              <w:rPr>
                <w:i/>
                <w:lang w:eastAsia="zh-TW"/>
              </w:rPr>
              <w:t>Consolidated Returns.</w:t>
            </w:r>
            <w:r>
              <w:rPr>
                <w:lang w:eastAsia="zh-TW"/>
              </w:rPr>
              <w:t xml:space="preserve"> </w:t>
            </w:r>
          </w:p>
          <w:p w:rsidR="007250F4" w:rsidRDefault="007250F4" w:rsidP="00CE45B7">
            <w:pPr>
              <w:pStyle w:val="DQITableText"/>
              <w:rPr>
                <w:lang w:eastAsia="zh-TW"/>
              </w:rPr>
            </w:pPr>
            <w:r>
              <w:rPr>
                <w:lang w:eastAsia="zh-TW"/>
              </w:rPr>
              <w:lastRenderedPageBreak/>
              <w:t xml:space="preserve">Estimates from the </w:t>
            </w:r>
            <w:proofErr w:type="spellStart"/>
            <w:r>
              <w:rPr>
                <w:lang w:eastAsia="zh-TW"/>
              </w:rPr>
              <w:t>CAA</w:t>
            </w:r>
            <w:proofErr w:type="spellEnd"/>
            <w:r>
              <w:rPr>
                <w:lang w:eastAsia="zh-TW"/>
              </w:rPr>
              <w:t xml:space="preserve"> </w:t>
            </w:r>
            <w:r>
              <w:rPr>
                <w:i/>
                <w:lang w:eastAsia="zh-TW"/>
              </w:rPr>
              <w:t xml:space="preserve">Consolidated Returns </w:t>
            </w:r>
            <w:r>
              <w:rPr>
                <w:lang w:eastAsia="zh-TW"/>
              </w:rPr>
              <w:t xml:space="preserve">are comparable over time and between jurisdictions, subject to caveats provided by services. </w:t>
            </w:r>
          </w:p>
          <w:p w:rsidR="007250F4" w:rsidRDefault="007250F4" w:rsidP="00CE45B7">
            <w:pPr>
              <w:pStyle w:val="DQITableText"/>
              <w:rPr>
                <w:lang w:eastAsia="zh-TW"/>
              </w:rPr>
            </w:pPr>
            <w:r>
              <w:rPr>
                <w:lang w:eastAsia="zh-TW"/>
              </w:rPr>
              <w:t xml:space="preserve">The collection, instructions, definitions and analysis are prepared and overseen by the </w:t>
            </w:r>
            <w:proofErr w:type="spellStart"/>
            <w:r>
              <w:rPr>
                <w:lang w:eastAsia="zh-TW"/>
              </w:rPr>
              <w:t>CAA</w:t>
            </w:r>
            <w:proofErr w:type="spellEnd"/>
            <w:r>
              <w:rPr>
                <w:lang w:eastAsia="zh-TW"/>
              </w:rPr>
              <w:t xml:space="preserve"> and are the same for all state and territory services.</w:t>
            </w:r>
          </w:p>
        </w:tc>
      </w:tr>
      <w:tr w:rsidR="007250F4" w:rsidTr="002E49D6">
        <w:tc>
          <w:tcPr>
            <w:tcW w:w="1708" w:type="dxa"/>
          </w:tcPr>
          <w:p w:rsidR="007250F4" w:rsidRDefault="007250F4" w:rsidP="00CE45B7">
            <w:pPr>
              <w:pStyle w:val="DQIRowHeadings"/>
              <w:rPr>
                <w:lang w:eastAsia="zh-TW"/>
              </w:rPr>
            </w:pPr>
            <w:r>
              <w:rPr>
                <w:lang w:eastAsia="zh-TW"/>
              </w:rPr>
              <w:lastRenderedPageBreak/>
              <w:t>Accessibility</w:t>
            </w:r>
          </w:p>
          <w:p w:rsidR="007250F4" w:rsidRDefault="007250F4" w:rsidP="00CE45B7">
            <w:pPr>
              <w:pStyle w:val="DQIRowHeadings"/>
              <w:rPr>
                <w:lang w:eastAsia="zh-TW"/>
              </w:rPr>
            </w:pPr>
          </w:p>
        </w:tc>
        <w:tc>
          <w:tcPr>
            <w:tcW w:w="7081" w:type="dxa"/>
            <w:gridSpan w:val="2"/>
          </w:tcPr>
          <w:p w:rsidR="007250F4" w:rsidRDefault="007250F4" w:rsidP="007F6100">
            <w:pPr>
              <w:pStyle w:val="DQITableText"/>
              <w:rPr>
                <w:lang w:eastAsia="zh-TW"/>
              </w:rPr>
            </w:pPr>
            <w:r>
              <w:rPr>
                <w:lang w:eastAsia="zh-TW"/>
              </w:rPr>
              <w:t xml:space="preserve">The pain management data </w:t>
            </w:r>
            <w:r w:rsidR="00EE3F05">
              <w:rPr>
                <w:lang w:eastAsia="zh-TW"/>
              </w:rPr>
              <w:t>are</w:t>
            </w:r>
            <w:r>
              <w:rPr>
                <w:lang w:eastAsia="zh-TW"/>
              </w:rPr>
              <w:t xml:space="preserve"> made publicly available </w:t>
            </w:r>
            <w:r w:rsidR="007F6100">
              <w:rPr>
                <w:lang w:eastAsia="zh-TW"/>
              </w:rPr>
              <w:t xml:space="preserve">annually </w:t>
            </w:r>
            <w:r>
              <w:rPr>
                <w:lang w:eastAsia="zh-TW"/>
              </w:rPr>
              <w:t xml:space="preserve">as part of the </w:t>
            </w:r>
            <w:proofErr w:type="spellStart"/>
            <w:r>
              <w:rPr>
                <w:lang w:eastAsia="zh-TW"/>
              </w:rPr>
              <w:t>CAA</w:t>
            </w:r>
            <w:proofErr w:type="spellEnd"/>
            <w:r>
              <w:rPr>
                <w:lang w:eastAsia="zh-TW"/>
              </w:rPr>
              <w:t xml:space="preserve"> Annual Report on the </w:t>
            </w:r>
            <w:proofErr w:type="spellStart"/>
            <w:r>
              <w:rPr>
                <w:lang w:eastAsia="zh-TW"/>
              </w:rPr>
              <w:t>CAA</w:t>
            </w:r>
            <w:proofErr w:type="spellEnd"/>
            <w:r>
              <w:rPr>
                <w:lang w:eastAsia="zh-TW"/>
              </w:rPr>
              <w:t xml:space="preserve"> </w:t>
            </w:r>
            <w:r>
              <w:rPr>
                <w:rFonts w:ascii="ArialMT" w:eastAsiaTheme="minorEastAsia" w:hAnsi="ArialMT" w:cs="ArialMT"/>
                <w:lang w:eastAsia="zh-TW"/>
              </w:rPr>
              <w:t>website</w:t>
            </w:r>
            <w:r>
              <w:rPr>
                <w:lang w:eastAsia="zh-TW"/>
              </w:rPr>
              <w:t xml:space="preserve"> (</w:t>
            </w:r>
            <w:proofErr w:type="spellStart"/>
            <w:r w:rsidRPr="004A1422">
              <w:rPr>
                <w:lang w:eastAsia="zh-TW"/>
              </w:rPr>
              <w:t>www.caa.net.au</w:t>
            </w:r>
            <w:proofErr w:type="spellEnd"/>
            <w:r>
              <w:rPr>
                <w:lang w:eastAsia="zh-TW"/>
              </w:rPr>
              <w:t>).</w:t>
            </w:r>
          </w:p>
        </w:tc>
      </w:tr>
      <w:tr w:rsidR="007250F4" w:rsidTr="002E49D6">
        <w:tc>
          <w:tcPr>
            <w:tcW w:w="1708" w:type="dxa"/>
          </w:tcPr>
          <w:p w:rsidR="007250F4" w:rsidRDefault="007250F4" w:rsidP="00CE45B7">
            <w:pPr>
              <w:pStyle w:val="DQIRowHeadings"/>
              <w:rPr>
                <w:lang w:eastAsia="zh-TW"/>
              </w:rPr>
            </w:pPr>
            <w:r>
              <w:rPr>
                <w:lang w:eastAsia="zh-TW"/>
              </w:rPr>
              <w:t>Interpretability</w:t>
            </w:r>
          </w:p>
          <w:p w:rsidR="007250F4" w:rsidRDefault="007250F4" w:rsidP="00CE45B7">
            <w:pPr>
              <w:pStyle w:val="DQIRowHeadings"/>
              <w:rPr>
                <w:lang w:eastAsia="zh-TW"/>
              </w:rPr>
            </w:pPr>
          </w:p>
        </w:tc>
        <w:tc>
          <w:tcPr>
            <w:tcW w:w="7081" w:type="dxa"/>
            <w:gridSpan w:val="2"/>
          </w:tcPr>
          <w:p w:rsidR="007250F4" w:rsidRDefault="007250F4" w:rsidP="00EE3F05">
            <w:pPr>
              <w:pStyle w:val="DQITableText"/>
              <w:rPr>
                <w:lang w:eastAsia="zh-TW"/>
              </w:rPr>
            </w:pPr>
            <w:r>
              <w:rPr>
                <w:lang w:eastAsia="zh-TW"/>
              </w:rPr>
              <w:t xml:space="preserve">The pain management data </w:t>
            </w:r>
            <w:r w:rsidR="00EE3F05">
              <w:rPr>
                <w:lang w:eastAsia="zh-TW"/>
              </w:rPr>
              <w:t>are</w:t>
            </w:r>
            <w:r>
              <w:rPr>
                <w:lang w:eastAsia="zh-TW"/>
              </w:rPr>
              <w:t xml:space="preserve"> publicly available </w:t>
            </w:r>
            <w:r w:rsidR="00EE3F05">
              <w:rPr>
                <w:lang w:eastAsia="zh-TW"/>
              </w:rPr>
              <w:t>including</w:t>
            </w:r>
            <w:r>
              <w:rPr>
                <w:lang w:eastAsia="zh-TW"/>
              </w:rPr>
              <w:t xml:space="preserve"> definitions of the collected data.</w:t>
            </w:r>
          </w:p>
        </w:tc>
      </w:tr>
      <w:tr w:rsidR="00CE45B7" w:rsidTr="002E49D6">
        <w:trPr>
          <w:trHeight w:val="476"/>
        </w:trPr>
        <w:tc>
          <w:tcPr>
            <w:tcW w:w="4394" w:type="dxa"/>
            <w:gridSpan w:val="2"/>
            <w:vAlign w:val="center"/>
            <w:hideMark/>
          </w:tcPr>
          <w:p w:rsidR="00CE45B7" w:rsidRDefault="00CE45B7" w:rsidP="00CE45B7">
            <w:pPr>
              <w:pStyle w:val="DQIMainRowHeadings"/>
              <w:rPr>
                <w:lang w:eastAsia="zh-TW"/>
              </w:rPr>
            </w:pPr>
            <w:r>
              <w:rPr>
                <w:lang w:eastAsia="zh-TW"/>
              </w:rPr>
              <w:t>Data Gaps/Issues Analysis</w:t>
            </w:r>
          </w:p>
        </w:tc>
        <w:tc>
          <w:tcPr>
            <w:tcW w:w="4395" w:type="dxa"/>
            <w:vAlign w:val="center"/>
          </w:tcPr>
          <w:p w:rsidR="00CE45B7" w:rsidRDefault="00CE45B7">
            <w:pPr>
              <w:pStyle w:val="TableBodyText"/>
              <w:keepNext w:val="0"/>
              <w:keepLines w:val="0"/>
              <w:jc w:val="left"/>
              <w:rPr>
                <w:u w:val="single"/>
                <w:lang w:eastAsia="zh-TW"/>
              </w:rPr>
            </w:pPr>
          </w:p>
        </w:tc>
      </w:tr>
      <w:tr w:rsidR="007250F4" w:rsidTr="002E49D6">
        <w:tc>
          <w:tcPr>
            <w:tcW w:w="1708" w:type="dxa"/>
            <w:tcBorders>
              <w:top w:val="nil"/>
              <w:left w:val="nil"/>
              <w:right w:val="nil"/>
            </w:tcBorders>
            <w:hideMark/>
          </w:tcPr>
          <w:p w:rsidR="007250F4" w:rsidRDefault="007250F4" w:rsidP="00CE45B7">
            <w:pPr>
              <w:pStyle w:val="DQIRowHeadings"/>
              <w:rPr>
                <w:lang w:eastAsia="zh-TW"/>
              </w:rPr>
            </w:pPr>
            <w:r>
              <w:rPr>
                <w:lang w:eastAsia="zh-TW"/>
              </w:rPr>
              <w:t>Key data gaps/issues</w:t>
            </w:r>
          </w:p>
        </w:tc>
        <w:tc>
          <w:tcPr>
            <w:tcW w:w="7081" w:type="dxa"/>
            <w:gridSpan w:val="2"/>
            <w:tcBorders>
              <w:top w:val="nil"/>
              <w:left w:val="nil"/>
              <w:right w:val="nil"/>
            </w:tcBorders>
          </w:tcPr>
          <w:p w:rsidR="007250F4" w:rsidRDefault="007250F4" w:rsidP="00A8172B">
            <w:pPr>
              <w:pStyle w:val="DQITableBullet"/>
              <w:numPr>
                <w:ilvl w:val="0"/>
                <w:numId w:val="0"/>
              </w:numPr>
              <w:ind w:left="340"/>
            </w:pPr>
          </w:p>
        </w:tc>
      </w:tr>
    </w:tbl>
    <w:p w:rsidR="00E47D0C" w:rsidRDefault="00E47D0C">
      <w:r>
        <w:br w:type="page"/>
      </w:r>
    </w:p>
    <w:p w:rsidR="00E47D0C" w:rsidRDefault="00E47D0C" w:rsidP="00E47D0C">
      <w:pPr>
        <w:pStyle w:val="Heading3"/>
      </w:pPr>
      <w:bookmarkStart w:id="94" w:name="_Toc398732490"/>
      <w:bookmarkStart w:id="95" w:name="_Toc405885760"/>
      <w:r>
        <w:lastRenderedPageBreak/>
        <w:t>Level of patient satisfaction</w:t>
      </w:r>
      <w:bookmarkEnd w:id="94"/>
      <w:bookmarkEnd w:id="95"/>
    </w:p>
    <w:p w:rsidR="00E47D0C" w:rsidRDefault="00E47D0C" w:rsidP="00E47D0C">
      <w:pPr>
        <w:pStyle w:val="Box"/>
      </w:pPr>
      <w:r w:rsidRPr="0001794F">
        <w:t xml:space="preserve">Data quality information for this indicator has been drafted by the </w:t>
      </w:r>
      <w:r>
        <w:t xml:space="preserve">Emergency Management Working Group </w:t>
      </w:r>
      <w:r w:rsidRPr="0001794F">
        <w:t xml:space="preserve">in consultation with </w:t>
      </w:r>
      <w:r w:rsidRPr="007E3FDC">
        <w:t xml:space="preserve">the </w:t>
      </w:r>
      <w:r>
        <w:t xml:space="preserve">Council of Ambulance Authorities </w:t>
      </w:r>
      <w:r w:rsidRPr="007E3FDC">
        <w:t>(</w:t>
      </w:r>
      <w:proofErr w:type="spellStart"/>
      <w:r w:rsidRPr="007E3FDC">
        <w:t>C</w:t>
      </w:r>
      <w:r>
        <w:t>AA</w:t>
      </w:r>
      <w:proofErr w:type="spellEnd"/>
      <w:r w:rsidRPr="007E3FDC">
        <w:t>)</w:t>
      </w:r>
      <w:r w:rsidRPr="0001794F">
        <w:t>, with additional Steering Committee comments.</w:t>
      </w:r>
    </w:p>
    <w:tbl>
      <w:tblPr>
        <w:tblW w:w="4984" w:type="pct"/>
        <w:jc w:val="center"/>
        <w:tblLayout w:type="fixed"/>
        <w:tblCellMar>
          <w:top w:w="28" w:type="dxa"/>
          <w:left w:w="28" w:type="dxa"/>
          <w:bottom w:w="28" w:type="dxa"/>
          <w:right w:w="28" w:type="dxa"/>
        </w:tblCellMar>
        <w:tblLook w:val="01E0" w:firstRow="1" w:lastRow="1" w:firstColumn="1" w:lastColumn="1" w:noHBand="0" w:noVBand="0"/>
      </w:tblPr>
      <w:tblGrid>
        <w:gridCol w:w="1520"/>
        <w:gridCol w:w="7043"/>
      </w:tblGrid>
      <w:tr w:rsidR="00E47D0C" w:rsidRPr="001F3F80" w:rsidTr="002E49D6">
        <w:trPr>
          <w:jc w:val="center"/>
        </w:trPr>
        <w:tc>
          <w:tcPr>
            <w:tcW w:w="8817" w:type="dxa"/>
            <w:gridSpan w:val="2"/>
          </w:tcPr>
          <w:p w:rsidR="00E47D0C" w:rsidRPr="003211C6" w:rsidRDefault="00E47D0C" w:rsidP="00D21269">
            <w:pPr>
              <w:pStyle w:val="DQIMainRowHeadings"/>
              <w:rPr>
                <w:rFonts w:cs="Arial"/>
                <w:sz w:val="22"/>
                <w:szCs w:val="22"/>
              </w:rPr>
            </w:pPr>
            <w:r w:rsidRPr="003211C6">
              <w:t>Indicator definition and description</w:t>
            </w:r>
          </w:p>
        </w:tc>
      </w:tr>
      <w:tr w:rsidR="00E47D0C" w:rsidRPr="001F3F80" w:rsidTr="002E49D6">
        <w:trPr>
          <w:jc w:val="center"/>
        </w:trPr>
        <w:tc>
          <w:tcPr>
            <w:tcW w:w="1564" w:type="dxa"/>
          </w:tcPr>
          <w:p w:rsidR="00E47D0C" w:rsidRPr="00A05229" w:rsidRDefault="00E47D0C" w:rsidP="00D21269">
            <w:pPr>
              <w:pStyle w:val="DQIRowHeadings"/>
            </w:pPr>
            <w:r w:rsidRPr="00A05229">
              <w:t>Element</w:t>
            </w:r>
          </w:p>
        </w:tc>
        <w:tc>
          <w:tcPr>
            <w:tcW w:w="7253" w:type="dxa"/>
          </w:tcPr>
          <w:p w:rsidR="00E47D0C" w:rsidRDefault="00E47D0C" w:rsidP="00D21269">
            <w:pPr>
              <w:pStyle w:val="DQITableText"/>
              <w:rPr>
                <w:lang w:eastAsia="zh-TW"/>
              </w:rPr>
            </w:pPr>
            <w:r>
              <w:rPr>
                <w:lang w:eastAsia="zh-TW"/>
              </w:rPr>
              <w:t>Outcome</w:t>
            </w:r>
            <w:r w:rsidR="001B410C">
              <w:rPr>
                <w:lang w:eastAsia="zh-TW"/>
              </w:rPr>
              <w:t>s</w:t>
            </w:r>
          </w:p>
        </w:tc>
      </w:tr>
      <w:tr w:rsidR="00E47D0C" w:rsidRPr="001F3F80" w:rsidTr="002E49D6">
        <w:trPr>
          <w:jc w:val="center"/>
        </w:trPr>
        <w:tc>
          <w:tcPr>
            <w:tcW w:w="1564" w:type="dxa"/>
          </w:tcPr>
          <w:p w:rsidR="00E47D0C" w:rsidRPr="00A05229" w:rsidRDefault="00E47D0C" w:rsidP="00D21269">
            <w:pPr>
              <w:pStyle w:val="DQIRowHeadings"/>
            </w:pPr>
            <w:r w:rsidRPr="00A05229">
              <w:t>Indicator</w:t>
            </w:r>
          </w:p>
        </w:tc>
        <w:tc>
          <w:tcPr>
            <w:tcW w:w="7253" w:type="dxa"/>
          </w:tcPr>
          <w:p w:rsidR="00E47D0C" w:rsidRDefault="00E47D0C" w:rsidP="00D21269">
            <w:pPr>
              <w:pStyle w:val="DQITableText"/>
              <w:rPr>
                <w:lang w:eastAsia="zh-TW"/>
              </w:rPr>
            </w:pPr>
            <w:r>
              <w:rPr>
                <w:lang w:eastAsia="zh-TW"/>
              </w:rPr>
              <w:t>Proportion of ambulance users who were satisfied or very satisfied with the ambulance service</w:t>
            </w:r>
          </w:p>
        </w:tc>
      </w:tr>
      <w:tr w:rsidR="00E47D0C" w:rsidRPr="001F3F80" w:rsidTr="002E49D6">
        <w:trPr>
          <w:jc w:val="center"/>
        </w:trPr>
        <w:tc>
          <w:tcPr>
            <w:tcW w:w="1564" w:type="dxa"/>
          </w:tcPr>
          <w:p w:rsidR="00E47D0C" w:rsidRPr="00A05229" w:rsidRDefault="00E47D0C" w:rsidP="00D21269">
            <w:pPr>
              <w:pStyle w:val="DQIRowHeadings"/>
            </w:pPr>
            <w:r w:rsidRPr="00A05229">
              <w:t>Measure (computation)</w:t>
            </w:r>
          </w:p>
        </w:tc>
        <w:tc>
          <w:tcPr>
            <w:tcW w:w="7253" w:type="dxa"/>
          </w:tcPr>
          <w:p w:rsidR="00E47D0C" w:rsidRPr="00D21269" w:rsidRDefault="00E47D0C" w:rsidP="00D21269">
            <w:pPr>
              <w:pStyle w:val="DQITableText"/>
              <w:rPr>
                <w:u w:val="single"/>
              </w:rPr>
            </w:pPr>
            <w:r w:rsidRPr="00D21269">
              <w:rPr>
                <w:u w:val="single"/>
              </w:rPr>
              <w:t>Level of Patient Satisfaction definition</w:t>
            </w:r>
          </w:p>
          <w:p w:rsidR="00E47D0C" w:rsidRDefault="00E47D0C" w:rsidP="00D21269">
            <w:pPr>
              <w:pStyle w:val="DQITableText"/>
            </w:pPr>
            <w:r>
              <w:t>T</w:t>
            </w:r>
            <w:r w:rsidRPr="00A431C1">
              <w:t>he total number of patients who were either</w:t>
            </w:r>
            <w:r>
              <w:t xml:space="preserve"> </w:t>
            </w:r>
            <w:r w:rsidRPr="00A431C1">
              <w:t>‘satisfied’ or ‘very satisfied’ with ambulance services they had</w:t>
            </w:r>
            <w:r>
              <w:t xml:space="preserve"> received</w:t>
            </w:r>
            <w:r w:rsidRPr="00A431C1">
              <w:t xml:space="preserve"> divided by the total number of patients</w:t>
            </w:r>
            <w:r>
              <w:t>.</w:t>
            </w:r>
          </w:p>
          <w:p w:rsidR="00E47D0C" w:rsidRPr="00D21269" w:rsidRDefault="00E47D0C" w:rsidP="00D21269">
            <w:pPr>
              <w:pStyle w:val="DQITableBullet"/>
              <w:rPr>
                <w:rFonts w:ascii="ArialMT" w:eastAsiaTheme="minorEastAsia" w:hAnsi="ArialMT" w:cs="ArialMT"/>
                <w:sz w:val="20"/>
                <w:lang w:eastAsia="zh-TW"/>
              </w:rPr>
            </w:pPr>
            <w:r w:rsidRPr="00D21269">
              <w:rPr>
                <w:b/>
              </w:rPr>
              <w:t>Patients —</w:t>
            </w:r>
            <w:r w:rsidR="009D2362" w:rsidRPr="00D21269">
              <w:rPr>
                <w:b/>
              </w:rPr>
              <w:t xml:space="preserve"> </w:t>
            </w:r>
            <w:r>
              <w:t xml:space="preserve">people </w:t>
            </w:r>
            <w:r w:rsidRPr="00D21269">
              <w:rPr>
                <w:rFonts w:eastAsiaTheme="minorEastAsia"/>
                <w:lang w:eastAsia="zh-TW"/>
              </w:rPr>
              <w:t>who were transported under an emergency event classified as code 1 (an emergency event requiring one or more immediate ambulance responses under light and sirens where the incident is potentially life threatening) or code 2 (urgent incidents requiring an undelayed response by one or more ambulances without warning devices, with arrival desirable within thirty minutes).</w:t>
            </w:r>
          </w:p>
          <w:p w:rsidR="00E47D0C" w:rsidRPr="00A1569C" w:rsidRDefault="00E47D0C" w:rsidP="00D21269">
            <w:pPr>
              <w:pStyle w:val="DQITableBullet"/>
            </w:pPr>
            <w:r w:rsidRPr="00713BA4">
              <w:rPr>
                <w:rFonts w:eastAsiaTheme="minorEastAsia"/>
                <w:b/>
                <w:lang w:eastAsia="zh-TW"/>
              </w:rPr>
              <w:t>Satisfaction</w:t>
            </w:r>
            <w:r>
              <w:rPr>
                <w:rFonts w:eastAsiaTheme="minorEastAsia"/>
                <w:b/>
                <w:lang w:eastAsia="zh-TW"/>
              </w:rPr>
              <w:t xml:space="preserve"> —</w:t>
            </w:r>
            <w:r>
              <w:rPr>
                <w:rFonts w:eastAsiaTheme="minorEastAsia"/>
                <w:lang w:eastAsia="zh-TW"/>
              </w:rPr>
              <w:t xml:space="preserve"> descriptive statistics were used to uncover the proportion of people who were </w:t>
            </w:r>
            <w:r>
              <w:rPr>
                <w:rFonts w:ascii="Arial-ItalicMT" w:eastAsiaTheme="minorEastAsia" w:hAnsi="Arial-ItalicMT" w:cs="Arial-ItalicMT"/>
                <w:i/>
                <w:iCs/>
                <w:lang w:eastAsia="zh-TW"/>
              </w:rPr>
              <w:t>very</w:t>
            </w:r>
            <w:r>
              <w:rPr>
                <w:rFonts w:eastAsiaTheme="minorEastAsia"/>
                <w:lang w:eastAsia="zh-TW"/>
              </w:rPr>
              <w:t xml:space="preserve"> </w:t>
            </w:r>
            <w:r>
              <w:rPr>
                <w:rFonts w:ascii="Arial-ItalicMT" w:eastAsiaTheme="minorEastAsia" w:hAnsi="Arial-ItalicMT" w:cs="Arial-ItalicMT"/>
                <w:i/>
                <w:iCs/>
                <w:lang w:eastAsia="zh-TW"/>
              </w:rPr>
              <w:t>dissatisfied or dissatisfied</w:t>
            </w:r>
            <w:r>
              <w:rPr>
                <w:rFonts w:eastAsiaTheme="minorEastAsia"/>
                <w:lang w:eastAsia="zh-TW"/>
              </w:rPr>
              <w:t xml:space="preserve">, </w:t>
            </w:r>
            <w:r>
              <w:rPr>
                <w:rFonts w:ascii="Arial-ItalicMT" w:eastAsiaTheme="minorEastAsia" w:hAnsi="Arial-ItalicMT" w:cs="Arial-ItalicMT"/>
                <w:i/>
                <w:iCs/>
                <w:lang w:eastAsia="zh-TW"/>
              </w:rPr>
              <w:t>neither satisfied nor dissatisfied</w:t>
            </w:r>
            <w:r>
              <w:rPr>
                <w:rFonts w:eastAsiaTheme="minorEastAsia"/>
                <w:lang w:eastAsia="zh-TW"/>
              </w:rPr>
              <w:t xml:space="preserve">, and </w:t>
            </w:r>
            <w:r>
              <w:rPr>
                <w:rFonts w:ascii="Arial-ItalicMT" w:eastAsiaTheme="minorEastAsia" w:hAnsi="Arial-ItalicMT" w:cs="Arial-ItalicMT"/>
                <w:i/>
                <w:iCs/>
                <w:lang w:eastAsia="zh-TW"/>
              </w:rPr>
              <w:t xml:space="preserve">satisfied or very satisfied </w:t>
            </w:r>
            <w:r>
              <w:rPr>
                <w:rFonts w:eastAsiaTheme="minorEastAsia"/>
                <w:lang w:eastAsia="zh-TW"/>
              </w:rPr>
              <w:t xml:space="preserve">for the various satisfaction and service quality attributes. </w:t>
            </w:r>
            <w:r>
              <w:rPr>
                <w:rFonts w:ascii="Arial-ItalicMT" w:eastAsiaTheme="minorEastAsia" w:hAnsi="Arial-ItalicMT" w:cs="Arial-ItalicMT"/>
                <w:i/>
                <w:iCs/>
                <w:lang w:eastAsia="zh-TW"/>
              </w:rPr>
              <w:t xml:space="preserve">Unsure </w:t>
            </w:r>
            <w:r>
              <w:rPr>
                <w:rFonts w:eastAsiaTheme="minorEastAsia"/>
                <w:lang w:eastAsia="zh-TW"/>
              </w:rPr>
              <w:t xml:space="preserve">and </w:t>
            </w:r>
            <w:r>
              <w:rPr>
                <w:rFonts w:ascii="Arial-ItalicMT" w:eastAsiaTheme="minorEastAsia" w:hAnsi="Arial-ItalicMT" w:cs="Arial-ItalicMT"/>
                <w:i/>
                <w:iCs/>
                <w:lang w:eastAsia="zh-TW"/>
              </w:rPr>
              <w:t xml:space="preserve">not applicable </w:t>
            </w:r>
            <w:r>
              <w:rPr>
                <w:rFonts w:eastAsiaTheme="minorEastAsia"/>
                <w:lang w:eastAsia="zh-TW"/>
              </w:rPr>
              <w:t>responses are not included as the number of these responses is generally low.</w:t>
            </w:r>
          </w:p>
        </w:tc>
      </w:tr>
      <w:tr w:rsidR="00E47D0C" w:rsidRPr="001F3F80" w:rsidTr="002E49D6">
        <w:trPr>
          <w:cantSplit/>
          <w:jc w:val="center"/>
        </w:trPr>
        <w:tc>
          <w:tcPr>
            <w:tcW w:w="1564" w:type="dxa"/>
          </w:tcPr>
          <w:p w:rsidR="00E47D0C" w:rsidRPr="00A05229" w:rsidRDefault="00E47D0C" w:rsidP="002E49D6">
            <w:pPr>
              <w:pStyle w:val="DQIRowHeadings"/>
            </w:pPr>
            <w:r w:rsidRPr="00A05229">
              <w:t>Data source</w:t>
            </w:r>
          </w:p>
        </w:tc>
        <w:tc>
          <w:tcPr>
            <w:tcW w:w="7253" w:type="dxa"/>
          </w:tcPr>
          <w:p w:rsidR="00E47D0C" w:rsidRPr="00A1569C" w:rsidRDefault="00E47D0C" w:rsidP="002E49D6">
            <w:pPr>
              <w:pStyle w:val="TableBodyText"/>
              <w:spacing w:before="120" w:after="0"/>
              <w:jc w:val="left"/>
            </w:pPr>
            <w:r w:rsidRPr="00A431C1">
              <w:rPr>
                <w:i/>
              </w:rPr>
              <w:t>Patient Satisfaction Survey</w:t>
            </w:r>
            <w:r w:rsidRPr="00A431C1">
              <w:t>,</w:t>
            </w:r>
            <w:r>
              <w:rPr>
                <w:i/>
              </w:rPr>
              <w:t xml:space="preserve"> </w:t>
            </w:r>
            <w:r>
              <w:t>Council of Ambulance Authorities (</w:t>
            </w:r>
            <w:proofErr w:type="spellStart"/>
            <w:r>
              <w:t>CAA</w:t>
            </w:r>
            <w:proofErr w:type="spellEnd"/>
            <w:r>
              <w:t xml:space="preserve">) </w:t>
            </w:r>
          </w:p>
        </w:tc>
      </w:tr>
      <w:tr w:rsidR="00E47D0C" w:rsidRPr="000D7225" w:rsidTr="002E49D6">
        <w:trPr>
          <w:cantSplit/>
          <w:jc w:val="center"/>
        </w:trPr>
        <w:tc>
          <w:tcPr>
            <w:tcW w:w="8817" w:type="dxa"/>
            <w:gridSpan w:val="2"/>
          </w:tcPr>
          <w:p w:rsidR="00E47D0C" w:rsidRPr="00CE3D86" w:rsidRDefault="00E47D0C" w:rsidP="00D21269">
            <w:pPr>
              <w:pStyle w:val="DQIMainRowHeadings"/>
              <w:rPr>
                <w:rFonts w:cs="Arial"/>
                <w:sz w:val="22"/>
                <w:szCs w:val="22"/>
              </w:rPr>
            </w:pPr>
            <w:r>
              <w:rPr>
                <w:rFonts w:ascii="Times New Roman" w:hAnsi="Times New Roman"/>
                <w:sz w:val="24"/>
              </w:rPr>
              <w:br w:type="page"/>
            </w:r>
            <w:r>
              <w:rPr>
                <w:rFonts w:ascii="Times New Roman" w:hAnsi="Times New Roman"/>
                <w:sz w:val="24"/>
              </w:rPr>
              <w:br w:type="page"/>
            </w:r>
            <w:r w:rsidRPr="003211C6">
              <w:t>Data Quality Framework dimensions</w:t>
            </w:r>
          </w:p>
        </w:tc>
      </w:tr>
      <w:tr w:rsidR="00E47D0C" w:rsidRPr="00254F46" w:rsidTr="002E49D6">
        <w:trPr>
          <w:cantSplit/>
          <w:jc w:val="center"/>
        </w:trPr>
        <w:tc>
          <w:tcPr>
            <w:tcW w:w="1564" w:type="dxa"/>
          </w:tcPr>
          <w:p w:rsidR="00E47D0C" w:rsidRPr="00A05229" w:rsidRDefault="00E47D0C" w:rsidP="00D21269">
            <w:pPr>
              <w:pStyle w:val="DQIRowHeadings"/>
            </w:pPr>
            <w:r w:rsidRPr="00A05229">
              <w:t>Institutional environment</w:t>
            </w:r>
          </w:p>
        </w:tc>
        <w:tc>
          <w:tcPr>
            <w:tcW w:w="7253" w:type="dxa"/>
          </w:tcPr>
          <w:p w:rsidR="00E47D0C" w:rsidRDefault="00E47D0C" w:rsidP="00D21269">
            <w:pPr>
              <w:pStyle w:val="DQITableText"/>
              <w:rPr>
                <w:rFonts w:eastAsiaTheme="minorEastAsia"/>
                <w:lang w:eastAsia="zh-TW"/>
              </w:rPr>
            </w:pPr>
            <w:r w:rsidRPr="002C4EA7">
              <w:rPr>
                <w:rFonts w:eastAsiaTheme="minorEastAsia"/>
                <w:lang w:eastAsia="zh-TW"/>
              </w:rPr>
              <w:t xml:space="preserve">The </w:t>
            </w:r>
            <w:proofErr w:type="spellStart"/>
            <w:r w:rsidRPr="002C4EA7">
              <w:rPr>
                <w:rFonts w:eastAsiaTheme="minorEastAsia"/>
                <w:lang w:eastAsia="zh-TW"/>
              </w:rPr>
              <w:t>CAA</w:t>
            </w:r>
            <w:proofErr w:type="spellEnd"/>
            <w:r w:rsidRPr="002C4EA7">
              <w:rPr>
                <w:rFonts w:eastAsiaTheme="minorEastAsia"/>
                <w:lang w:eastAsia="zh-TW"/>
              </w:rPr>
              <w:t xml:space="preserve"> is the peak body representing the principal statutory providers of ambulance services in Australia</w:t>
            </w:r>
            <w:r>
              <w:rPr>
                <w:rFonts w:eastAsiaTheme="minorEastAsia"/>
                <w:lang w:eastAsia="zh-TW"/>
              </w:rPr>
              <w:t xml:space="preserve">. </w:t>
            </w:r>
          </w:p>
          <w:p w:rsidR="00E47D0C" w:rsidRDefault="00E47D0C" w:rsidP="00D21269">
            <w:pPr>
              <w:pStyle w:val="DQITableText"/>
            </w:pPr>
            <w:r>
              <w:t xml:space="preserve">The </w:t>
            </w:r>
            <w:proofErr w:type="spellStart"/>
            <w:r>
              <w:t>CAA</w:t>
            </w:r>
            <w:proofErr w:type="spellEnd"/>
            <w:r>
              <w:t xml:space="preserve"> provides the survey and instructions. The data are collected by each ambulance </w:t>
            </w:r>
            <w:r w:rsidRPr="00A431C1">
              <w:rPr>
                <w:rFonts w:eastAsiaTheme="minorEastAsia"/>
                <w:lang w:eastAsia="zh-TW"/>
              </w:rPr>
              <w:t>service</w:t>
            </w:r>
            <w:r>
              <w:t xml:space="preserve">, using the same core questionnaire. The individual service providers then send the data to the </w:t>
            </w:r>
            <w:proofErr w:type="spellStart"/>
            <w:r>
              <w:t>CAA</w:t>
            </w:r>
            <w:proofErr w:type="spellEnd"/>
            <w:r>
              <w:t xml:space="preserve">. </w:t>
            </w:r>
          </w:p>
          <w:p w:rsidR="00E47D0C" w:rsidRDefault="00E47D0C" w:rsidP="00D21269">
            <w:pPr>
              <w:pStyle w:val="DQITableText"/>
            </w:pPr>
            <w:r>
              <w:t>The Ehrenberg</w:t>
            </w:r>
            <w:r>
              <w:noBreakHyphen/>
              <w:t xml:space="preserve">Bass Institute, as an independent research body then prepares the analysis and final report of the survey. The report is sent to member services for review and sign off. </w:t>
            </w:r>
          </w:p>
          <w:p w:rsidR="00E47D0C" w:rsidRPr="007E51BA" w:rsidRDefault="00E47D0C" w:rsidP="00D21269">
            <w:pPr>
              <w:pStyle w:val="DQITableText"/>
            </w:pPr>
            <w:r>
              <w:rPr>
                <w:rFonts w:eastAsiaTheme="minorEastAsia"/>
                <w:lang w:eastAsia="zh-TW"/>
              </w:rPr>
              <w:t xml:space="preserve">The key purpose of the </w:t>
            </w:r>
            <w:r>
              <w:rPr>
                <w:rFonts w:ascii="Arial-ItalicMT" w:eastAsiaTheme="minorEastAsia" w:hAnsi="Arial-ItalicMT" w:cs="Arial-ItalicMT"/>
                <w:i/>
                <w:iCs/>
                <w:lang w:eastAsia="zh-TW"/>
              </w:rPr>
              <w:t xml:space="preserve">Patient Satisfaction Survey </w:t>
            </w:r>
            <w:r>
              <w:rPr>
                <w:rFonts w:eastAsiaTheme="minorEastAsia"/>
                <w:lang w:eastAsia="zh-TW"/>
              </w:rPr>
              <w:t>is to track perceived service quality and customer satisfaction across Australian states and territories.</w:t>
            </w:r>
          </w:p>
        </w:tc>
      </w:tr>
      <w:tr w:rsidR="00E47D0C" w:rsidRPr="00254F46" w:rsidTr="002E49D6">
        <w:trPr>
          <w:jc w:val="center"/>
        </w:trPr>
        <w:tc>
          <w:tcPr>
            <w:tcW w:w="1564" w:type="dxa"/>
          </w:tcPr>
          <w:p w:rsidR="00E47D0C" w:rsidRPr="00A05229" w:rsidRDefault="00E47D0C" w:rsidP="00D21269">
            <w:pPr>
              <w:pStyle w:val="DQIRowHeadings"/>
            </w:pPr>
            <w:r w:rsidRPr="00A05229">
              <w:t>Relevance</w:t>
            </w:r>
          </w:p>
        </w:tc>
        <w:tc>
          <w:tcPr>
            <w:tcW w:w="7253" w:type="dxa"/>
          </w:tcPr>
          <w:p w:rsidR="00E47D0C" w:rsidRDefault="00E47D0C" w:rsidP="00D21269">
            <w:pPr>
              <w:pStyle w:val="DQITableText"/>
            </w:pPr>
            <w:r>
              <w:t>The indicator is available for all ambulance services in Australia.</w:t>
            </w:r>
          </w:p>
          <w:p w:rsidR="00E47D0C" w:rsidRPr="00997B11" w:rsidRDefault="00E47D0C" w:rsidP="00D21269">
            <w:pPr>
              <w:pStyle w:val="DQITableText"/>
            </w:pPr>
            <w:r>
              <w:t>The sample population represents the total population that used ambulance services in the last year.</w:t>
            </w:r>
          </w:p>
          <w:p w:rsidR="00E47D0C" w:rsidRDefault="00E47D0C" w:rsidP="00D21269">
            <w:pPr>
              <w:pStyle w:val="DQITableText"/>
            </w:pPr>
            <w:r>
              <w:t xml:space="preserve">The </w:t>
            </w:r>
            <w:r>
              <w:rPr>
                <w:rFonts w:ascii="Arial-ItalicMT" w:eastAsiaTheme="minorEastAsia" w:hAnsi="Arial-ItalicMT" w:cs="Arial-ItalicMT"/>
                <w:i/>
                <w:iCs/>
                <w:lang w:eastAsia="zh-TW"/>
              </w:rPr>
              <w:t>Patient Satisfaction Survey</w:t>
            </w:r>
            <w:r>
              <w:t xml:space="preserve"> collects the level of patient satisfaction against three service areas:</w:t>
            </w:r>
          </w:p>
          <w:p w:rsidR="00E47D0C" w:rsidRPr="00842DD3" w:rsidRDefault="00E47D0C" w:rsidP="00D21269">
            <w:pPr>
              <w:pStyle w:val="DQITableBullet"/>
            </w:pPr>
            <w:r w:rsidRPr="00842DD3">
              <w:rPr>
                <w:i/>
              </w:rPr>
              <w:t>Call response time</w:t>
            </w:r>
            <w:r>
              <w:t xml:space="preserve"> — </w:t>
            </w:r>
            <w:r>
              <w:rPr>
                <w:rFonts w:eastAsiaTheme="minorEastAsia"/>
                <w:lang w:eastAsia="zh-TW"/>
              </w:rPr>
              <w:t>the time taken to answer their emergency call.</w:t>
            </w:r>
          </w:p>
          <w:p w:rsidR="00E47D0C" w:rsidRDefault="00E47D0C" w:rsidP="00D21269">
            <w:pPr>
              <w:pStyle w:val="DQITableBullet"/>
            </w:pPr>
            <w:r w:rsidRPr="00842DD3">
              <w:rPr>
                <w:i/>
              </w:rPr>
              <w:t>Communication staff assistance</w:t>
            </w:r>
            <w:r>
              <w:t xml:space="preserve"> — the operator they spoke to when their emergency phone call was answered.</w:t>
            </w:r>
          </w:p>
          <w:p w:rsidR="00E47D0C" w:rsidRDefault="00E47D0C" w:rsidP="009A529E">
            <w:pPr>
              <w:pStyle w:val="DQITableBullet"/>
              <w:keepNext w:val="0"/>
            </w:pPr>
            <w:r w:rsidRPr="00842DD3">
              <w:rPr>
                <w:i/>
              </w:rPr>
              <w:t>Ambulance response time</w:t>
            </w:r>
            <w:r>
              <w:t xml:space="preserve"> —</w:t>
            </w:r>
            <w:r w:rsidR="009D2362">
              <w:t xml:space="preserve"> </w:t>
            </w:r>
            <w:r w:rsidRPr="00290AFE">
              <w:t>the time the ambulance took to arrive.</w:t>
            </w:r>
          </w:p>
          <w:p w:rsidR="00E47D0C" w:rsidRDefault="00E47D0C" w:rsidP="00D21269">
            <w:pPr>
              <w:pStyle w:val="DQITableText"/>
            </w:pPr>
            <w:r>
              <w:rPr>
                <w:rFonts w:eastAsiaTheme="minorEastAsia"/>
                <w:lang w:eastAsia="zh-TW"/>
              </w:rPr>
              <w:t xml:space="preserve">They survey collects the level of </w:t>
            </w:r>
            <w:r w:rsidRPr="00A431C1">
              <w:t>patient</w:t>
            </w:r>
            <w:r>
              <w:rPr>
                <w:rFonts w:eastAsiaTheme="minorEastAsia"/>
                <w:lang w:eastAsia="zh-TW"/>
              </w:rPr>
              <w:t xml:space="preserve"> satisfaction against </w:t>
            </w:r>
            <w:r>
              <w:t>five paramedic satisfaction areas:</w:t>
            </w:r>
          </w:p>
          <w:p w:rsidR="00E47D0C" w:rsidRDefault="00E47D0C" w:rsidP="00D21269">
            <w:pPr>
              <w:pStyle w:val="DQITableBullet"/>
            </w:pPr>
            <w:r w:rsidRPr="00842DD3">
              <w:rPr>
                <w:i/>
              </w:rPr>
              <w:t>Paramedics care</w:t>
            </w:r>
            <w:r>
              <w:t xml:space="preserve"> — the care the ambulance paramedics took when attending them</w:t>
            </w:r>
          </w:p>
          <w:p w:rsidR="00E47D0C" w:rsidRDefault="00E47D0C" w:rsidP="00D21269">
            <w:pPr>
              <w:pStyle w:val="DQITableBullet"/>
            </w:pPr>
            <w:r w:rsidRPr="00842DD3">
              <w:rPr>
                <w:i/>
              </w:rPr>
              <w:t>Treatment satisfaction</w:t>
            </w:r>
            <w:r>
              <w:t xml:space="preserve"> — the standard of treatment they received from the ambulance paramedics.</w:t>
            </w:r>
          </w:p>
          <w:p w:rsidR="00E47D0C" w:rsidRDefault="00E47D0C" w:rsidP="00D21269">
            <w:pPr>
              <w:pStyle w:val="DQITableBullet"/>
            </w:pPr>
            <w:r w:rsidRPr="00842DD3">
              <w:rPr>
                <w:i/>
              </w:rPr>
              <w:t>Ambulance paramedics</w:t>
            </w:r>
            <w:r>
              <w:t xml:space="preserve"> — explanations given by the ambulance paramedics about what was happening to them and why.</w:t>
            </w:r>
          </w:p>
          <w:p w:rsidR="00E47D0C" w:rsidRDefault="00E47D0C" w:rsidP="00D21269">
            <w:pPr>
              <w:pStyle w:val="DQITableBullet"/>
            </w:pPr>
            <w:r w:rsidRPr="00842DD3">
              <w:rPr>
                <w:i/>
              </w:rPr>
              <w:lastRenderedPageBreak/>
              <w:t>Trip/ride satisfaction</w:t>
            </w:r>
            <w:r>
              <w:t xml:space="preserve"> — the conditions of the trip when being transported by an ambulance.</w:t>
            </w:r>
          </w:p>
          <w:p w:rsidR="00E47D0C" w:rsidRPr="00A965AB" w:rsidRDefault="00E47D0C" w:rsidP="00D21269">
            <w:pPr>
              <w:pStyle w:val="DQITableBullet"/>
            </w:pPr>
            <w:r w:rsidRPr="00842DD3">
              <w:rPr>
                <w:i/>
              </w:rPr>
              <w:t>Overall satisfaction</w:t>
            </w:r>
            <w:r>
              <w:t xml:space="preserve"> — </w:t>
            </w:r>
            <w:r>
              <w:rPr>
                <w:rFonts w:eastAsiaTheme="minorEastAsia"/>
                <w:lang w:eastAsia="zh-TW"/>
              </w:rPr>
              <w:t>their overall satisfaction using the ambulance service</w:t>
            </w:r>
          </w:p>
        </w:tc>
      </w:tr>
      <w:tr w:rsidR="00E47D0C" w:rsidRPr="00254F46" w:rsidTr="002E49D6">
        <w:trPr>
          <w:cantSplit/>
          <w:jc w:val="center"/>
        </w:trPr>
        <w:tc>
          <w:tcPr>
            <w:tcW w:w="1564" w:type="dxa"/>
          </w:tcPr>
          <w:p w:rsidR="00E47D0C" w:rsidRPr="00A05229" w:rsidRDefault="00E47D0C" w:rsidP="00D21269">
            <w:pPr>
              <w:pStyle w:val="DQIRowHeadings"/>
            </w:pPr>
            <w:r w:rsidRPr="00A05229">
              <w:lastRenderedPageBreak/>
              <w:t>Timeliness</w:t>
            </w:r>
          </w:p>
        </w:tc>
        <w:tc>
          <w:tcPr>
            <w:tcW w:w="7253" w:type="dxa"/>
          </w:tcPr>
          <w:p w:rsidR="00E47D0C" w:rsidRPr="00E75549" w:rsidRDefault="00E47D0C" w:rsidP="007F6100">
            <w:pPr>
              <w:pStyle w:val="DQITableText"/>
            </w:pPr>
            <w:r>
              <w:t xml:space="preserve">Level of Patient </w:t>
            </w:r>
            <w:r w:rsidRPr="00A431C1">
              <w:rPr>
                <w:rFonts w:ascii="ArialMT" w:eastAsiaTheme="minorEastAsia" w:hAnsi="ArialMT" w:cs="ArialMT"/>
                <w:lang w:eastAsia="zh-TW"/>
              </w:rPr>
              <w:t>Satisfaction</w:t>
            </w:r>
            <w:r>
              <w:t xml:space="preserve"> data </w:t>
            </w:r>
            <w:r w:rsidR="00EE3F05">
              <w:t>are</w:t>
            </w:r>
            <w:r>
              <w:t xml:space="preserve"> published annually for the latest financial year preceding the January release of each </w:t>
            </w:r>
            <w:proofErr w:type="spellStart"/>
            <w:r w:rsidR="007F6100">
              <w:t>RoGS</w:t>
            </w:r>
            <w:proofErr w:type="spellEnd"/>
            <w:r>
              <w:t>.</w:t>
            </w:r>
          </w:p>
        </w:tc>
      </w:tr>
      <w:tr w:rsidR="00E47D0C" w:rsidRPr="00254F46" w:rsidTr="002E49D6">
        <w:trPr>
          <w:jc w:val="center"/>
        </w:trPr>
        <w:tc>
          <w:tcPr>
            <w:tcW w:w="1564" w:type="dxa"/>
          </w:tcPr>
          <w:p w:rsidR="00E47D0C" w:rsidRPr="00A05229" w:rsidRDefault="00E47D0C" w:rsidP="00D21269">
            <w:pPr>
              <w:pStyle w:val="DQIRowHeadings"/>
            </w:pPr>
            <w:r w:rsidRPr="00A05229">
              <w:t>Accuracy</w:t>
            </w:r>
          </w:p>
        </w:tc>
        <w:tc>
          <w:tcPr>
            <w:tcW w:w="7253" w:type="dxa"/>
          </w:tcPr>
          <w:p w:rsidR="00E47D0C" w:rsidRDefault="00E47D0C" w:rsidP="00D21269">
            <w:pPr>
              <w:pStyle w:val="DQITableText"/>
            </w:pPr>
            <w:r>
              <w:t xml:space="preserve">The data are collected by survey form, which is mailed to a randomly selected sample of ambulance services users in the past year. The sample size is 1300 users with an average 35 per cent return rate. </w:t>
            </w:r>
          </w:p>
          <w:p w:rsidR="00E47D0C" w:rsidRDefault="00E47D0C" w:rsidP="00D21269">
            <w:pPr>
              <w:pStyle w:val="DQITableText"/>
            </w:pPr>
            <w:r>
              <w:t xml:space="preserve">The standard errors for 95 per cent confidence interval for each member service are included in the </w:t>
            </w:r>
            <w:proofErr w:type="spellStart"/>
            <w:r w:rsidR="007F6100">
              <w:t>RoGS</w:t>
            </w:r>
            <w:proofErr w:type="spellEnd"/>
            <w:r>
              <w:t>.</w:t>
            </w:r>
          </w:p>
          <w:p w:rsidR="00E47D0C" w:rsidRDefault="00E47D0C" w:rsidP="00D21269">
            <w:pPr>
              <w:pStyle w:val="DQITableText"/>
            </w:pPr>
            <w:r>
              <w:t>In some cases differences in scores between states/territories are not statistically significant (</w:t>
            </w:r>
            <w:proofErr w:type="spellStart"/>
            <w:r>
              <w:t>ie</w:t>
            </w:r>
            <w:proofErr w:type="spellEnd"/>
            <w:r>
              <w:t xml:space="preserve"> they arose from random sampling fluctuation) which means that all states/territories can be considered equal in performance.</w:t>
            </w:r>
          </w:p>
          <w:p w:rsidR="00E47D0C" w:rsidRPr="00F565CD" w:rsidRDefault="00E47D0C" w:rsidP="00D21269">
            <w:pPr>
              <w:pStyle w:val="DQITableText"/>
            </w:pPr>
            <w:r>
              <w:t>There are also demographic factors that could drive the differences in proportions. For example, patients are more likely to provide higher scores for call response time and ambulance arrival time than carers or relatives (when they complete the questionnaire on behalf of patients). This pattern is because many patients are unable to judge the response time accurately when they need urgent medical help.</w:t>
            </w:r>
          </w:p>
        </w:tc>
      </w:tr>
      <w:tr w:rsidR="00E47D0C" w:rsidRPr="00E57110" w:rsidTr="002E49D6">
        <w:trPr>
          <w:cantSplit/>
          <w:jc w:val="center"/>
        </w:trPr>
        <w:tc>
          <w:tcPr>
            <w:tcW w:w="1564" w:type="dxa"/>
          </w:tcPr>
          <w:p w:rsidR="00E47D0C" w:rsidRPr="00A05229" w:rsidRDefault="00E47D0C" w:rsidP="00D21269">
            <w:pPr>
              <w:pStyle w:val="DQIRowHeadings"/>
            </w:pPr>
            <w:r w:rsidRPr="00A05229">
              <w:t>Coherence</w:t>
            </w:r>
          </w:p>
        </w:tc>
        <w:tc>
          <w:tcPr>
            <w:tcW w:w="7253" w:type="dxa"/>
          </w:tcPr>
          <w:p w:rsidR="00E47D0C" w:rsidRDefault="00E47D0C" w:rsidP="00D21269">
            <w:pPr>
              <w:pStyle w:val="DQITableText"/>
            </w:pPr>
            <w:r>
              <w:t xml:space="preserve">All data (numerators and denominators) are sourced from the </w:t>
            </w:r>
            <w:proofErr w:type="spellStart"/>
            <w:r>
              <w:t>CAA</w:t>
            </w:r>
            <w:proofErr w:type="spellEnd"/>
            <w:r>
              <w:t xml:space="preserve"> </w:t>
            </w:r>
            <w:r w:rsidRPr="00393B0C">
              <w:rPr>
                <w:i/>
              </w:rPr>
              <w:t>Patient Satisfaction Survey</w:t>
            </w:r>
            <w:r>
              <w:t xml:space="preserve">. </w:t>
            </w:r>
          </w:p>
          <w:p w:rsidR="00E47D0C" w:rsidRDefault="00E47D0C" w:rsidP="00D21269">
            <w:pPr>
              <w:pStyle w:val="DQITableText"/>
            </w:pPr>
            <w:r>
              <w:t xml:space="preserve">Estimates from the </w:t>
            </w:r>
            <w:proofErr w:type="spellStart"/>
            <w:r>
              <w:t>CAA</w:t>
            </w:r>
            <w:proofErr w:type="spellEnd"/>
            <w:r>
              <w:t xml:space="preserve"> </w:t>
            </w:r>
            <w:r>
              <w:rPr>
                <w:i/>
              </w:rPr>
              <w:t>Patient Satisfaction Survey</w:t>
            </w:r>
            <w:r>
              <w:t xml:space="preserve"> are comparable over time and between jurisdictions, subject to sampling variability. Over time the sample sizes have increased in smaller jurisdictions to reduce sampling error. </w:t>
            </w:r>
          </w:p>
          <w:p w:rsidR="00E47D0C" w:rsidRPr="00F91B5B" w:rsidRDefault="00E47D0C" w:rsidP="00D21269">
            <w:pPr>
              <w:pStyle w:val="DQITableText"/>
            </w:pPr>
            <w:r>
              <w:t xml:space="preserve">The survey questionnaire, instructions, definitions and analysis are prepared and overseen by the </w:t>
            </w:r>
            <w:proofErr w:type="spellStart"/>
            <w:r>
              <w:t>CAA</w:t>
            </w:r>
            <w:proofErr w:type="spellEnd"/>
            <w:r>
              <w:t xml:space="preserve"> and are the same for all state and territory services. </w:t>
            </w:r>
          </w:p>
        </w:tc>
      </w:tr>
      <w:tr w:rsidR="00E47D0C" w:rsidRPr="00E57110" w:rsidTr="002E49D6">
        <w:trPr>
          <w:cantSplit/>
          <w:jc w:val="center"/>
        </w:trPr>
        <w:tc>
          <w:tcPr>
            <w:tcW w:w="1564" w:type="dxa"/>
          </w:tcPr>
          <w:p w:rsidR="00E47D0C" w:rsidRPr="00A05229" w:rsidRDefault="00E47D0C" w:rsidP="00D21269">
            <w:pPr>
              <w:pStyle w:val="DQIRowHeadings"/>
            </w:pPr>
            <w:r w:rsidRPr="00A05229">
              <w:t>Accessibility</w:t>
            </w:r>
          </w:p>
        </w:tc>
        <w:tc>
          <w:tcPr>
            <w:tcW w:w="7253" w:type="dxa"/>
          </w:tcPr>
          <w:p w:rsidR="00E47D0C" w:rsidRPr="00147F18" w:rsidRDefault="00E47D0C" w:rsidP="00D21269">
            <w:pPr>
              <w:pStyle w:val="DQITableText"/>
            </w:pPr>
            <w:r>
              <w:t xml:space="preserve">The </w:t>
            </w:r>
            <w:proofErr w:type="spellStart"/>
            <w:r>
              <w:t>CAA</w:t>
            </w:r>
            <w:proofErr w:type="spellEnd"/>
            <w:r>
              <w:t xml:space="preserve"> </w:t>
            </w:r>
            <w:r w:rsidRPr="00A431C1">
              <w:rPr>
                <w:i/>
              </w:rPr>
              <w:t>Patient Satisfaction Survey</w:t>
            </w:r>
            <w:r>
              <w:t xml:space="preserve"> report is publicly available and includes information to thoroughly explain the methods, definitions and results of the data collection.</w:t>
            </w:r>
          </w:p>
        </w:tc>
      </w:tr>
      <w:tr w:rsidR="00E47D0C" w:rsidRPr="00254F46" w:rsidTr="002E49D6">
        <w:trPr>
          <w:cantSplit/>
          <w:jc w:val="center"/>
        </w:trPr>
        <w:tc>
          <w:tcPr>
            <w:tcW w:w="1564" w:type="dxa"/>
          </w:tcPr>
          <w:p w:rsidR="00E47D0C" w:rsidRPr="00A05229" w:rsidRDefault="00E47D0C" w:rsidP="00D21269">
            <w:pPr>
              <w:pStyle w:val="DQIRowHeadings"/>
            </w:pPr>
            <w:r w:rsidRPr="00A05229">
              <w:t>Interpret</w:t>
            </w:r>
            <w:r w:rsidR="00332B70">
              <w:softHyphen/>
            </w:r>
            <w:r w:rsidRPr="00A05229">
              <w:t>ability</w:t>
            </w:r>
          </w:p>
        </w:tc>
        <w:tc>
          <w:tcPr>
            <w:tcW w:w="7253" w:type="dxa"/>
          </w:tcPr>
          <w:p w:rsidR="00E47D0C" w:rsidRDefault="00E47D0C" w:rsidP="00D21269">
            <w:pPr>
              <w:pStyle w:val="DQITableText"/>
            </w:pPr>
            <w:r>
              <w:t xml:space="preserve">The </w:t>
            </w:r>
            <w:proofErr w:type="spellStart"/>
            <w:r>
              <w:t>CAA</w:t>
            </w:r>
            <w:proofErr w:type="spellEnd"/>
            <w:r>
              <w:t xml:space="preserve"> </w:t>
            </w:r>
            <w:r w:rsidRPr="00A431C1">
              <w:rPr>
                <w:i/>
              </w:rPr>
              <w:t>Patient Satisfaction Survey</w:t>
            </w:r>
            <w:r>
              <w:t xml:space="preserve"> report is made publicly available on the </w:t>
            </w:r>
            <w:proofErr w:type="spellStart"/>
            <w:r>
              <w:t>CAA</w:t>
            </w:r>
            <w:proofErr w:type="spellEnd"/>
            <w:r>
              <w:t xml:space="preserve"> </w:t>
            </w:r>
            <w:r w:rsidRPr="00A431C1">
              <w:rPr>
                <w:rFonts w:ascii="ArialMT" w:eastAsiaTheme="minorEastAsia" w:hAnsi="ArialMT" w:cs="ArialMT"/>
                <w:lang w:eastAsia="zh-TW"/>
              </w:rPr>
              <w:t>website</w:t>
            </w:r>
            <w:r>
              <w:t xml:space="preserve"> annually (</w:t>
            </w:r>
            <w:proofErr w:type="spellStart"/>
            <w:r w:rsidRPr="004A1422">
              <w:t>www.caa.net.au</w:t>
            </w:r>
            <w:proofErr w:type="spellEnd"/>
            <w:r>
              <w:t>).</w:t>
            </w:r>
          </w:p>
        </w:tc>
      </w:tr>
      <w:tr w:rsidR="00E47D0C" w:rsidRPr="00254F46" w:rsidTr="002E49D6">
        <w:trPr>
          <w:cantSplit/>
          <w:jc w:val="center"/>
        </w:trPr>
        <w:tc>
          <w:tcPr>
            <w:tcW w:w="8817" w:type="dxa"/>
            <w:gridSpan w:val="2"/>
          </w:tcPr>
          <w:p w:rsidR="00E47D0C" w:rsidRPr="00CE3D86" w:rsidRDefault="00E47D0C" w:rsidP="00D21269">
            <w:pPr>
              <w:pStyle w:val="DQIMainRowHeadings"/>
            </w:pPr>
            <w:r w:rsidRPr="00C744E0">
              <w:t>Data Gaps/Issues Analysis</w:t>
            </w:r>
          </w:p>
        </w:tc>
      </w:tr>
      <w:tr w:rsidR="00E47D0C" w:rsidRPr="004F3342" w:rsidTr="002E49D6">
        <w:trPr>
          <w:cantSplit/>
          <w:jc w:val="center"/>
        </w:trPr>
        <w:tc>
          <w:tcPr>
            <w:tcW w:w="1564" w:type="dxa"/>
          </w:tcPr>
          <w:p w:rsidR="00E47D0C" w:rsidRPr="00A05229" w:rsidRDefault="00E47D0C" w:rsidP="00D21269">
            <w:pPr>
              <w:pStyle w:val="DQIRowHeadings"/>
            </w:pPr>
            <w:r w:rsidRPr="00A05229">
              <w:t>Key data gaps/issues</w:t>
            </w:r>
          </w:p>
        </w:tc>
        <w:tc>
          <w:tcPr>
            <w:tcW w:w="7253" w:type="dxa"/>
          </w:tcPr>
          <w:p w:rsidR="00E47D0C" w:rsidRPr="00713BA4" w:rsidRDefault="00E47D0C" w:rsidP="0096477A">
            <w:pPr>
              <w:pStyle w:val="DQITableText"/>
            </w:pPr>
            <w:r>
              <w:t>The measurement of the current structure is not sensitive enough to readily identify improvements and declines in ambulance performance. For instance, for ‘communication staff assistance’, Tasmania scored 100</w:t>
            </w:r>
            <w:r w:rsidR="0096477A">
              <w:t> per cent</w:t>
            </w:r>
            <w:r>
              <w:t xml:space="preserve"> of satisfied or very satisfied respondents in 2011. This is an indication that the measurement has reached the ceiling. </w:t>
            </w:r>
          </w:p>
        </w:tc>
      </w:tr>
    </w:tbl>
    <w:p w:rsidR="00030E96" w:rsidRDefault="00030E96" w:rsidP="009A529E">
      <w:pPr>
        <w:pStyle w:val="BoxQuote"/>
      </w:pPr>
    </w:p>
    <w:sectPr w:rsidR="00030E96" w:rsidSect="005C5B26">
      <w:headerReference w:type="even" r:id="rId10"/>
      <w:headerReference w:type="default" r:id="rId11"/>
      <w:footerReference w:type="even" r:id="rId12"/>
      <w:footerReference w:type="default" r:id="rId13"/>
      <w:pgSz w:w="11907" w:h="16840" w:code="9"/>
      <w:pgMar w:top="1984" w:right="1559"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BC7" w:rsidRDefault="00E53BC7">
      <w:r>
        <w:separator/>
      </w:r>
    </w:p>
  </w:endnote>
  <w:endnote w:type="continuationSeparator" w:id="0">
    <w:p w:rsidR="00E53BC7" w:rsidRDefault="00E53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Shell Dlg 2">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Italic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53BC7" w:rsidTr="00AB6309">
      <w:trPr>
        <w:trHeight w:hRule="exact" w:val="567"/>
      </w:trPr>
      <w:tc>
        <w:tcPr>
          <w:tcW w:w="510" w:type="dxa"/>
        </w:tcPr>
        <w:p w:rsidR="00E53BC7" w:rsidRPr="00A24443" w:rsidRDefault="00E53BC7"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6515C">
            <w:rPr>
              <w:rStyle w:val="PageNumber"/>
              <w:caps w:val="0"/>
              <w:noProof/>
            </w:rPr>
            <w:t>20</w:t>
          </w:r>
          <w:r w:rsidRPr="00A24443">
            <w:rPr>
              <w:rStyle w:val="PageNumber"/>
              <w:caps w:val="0"/>
            </w:rPr>
            <w:fldChar w:fldCharType="end"/>
          </w:r>
        </w:p>
      </w:tc>
      <w:tc>
        <w:tcPr>
          <w:tcW w:w="7767" w:type="dxa"/>
        </w:tcPr>
        <w:p w:rsidR="00E53BC7" w:rsidRPr="0013739A" w:rsidRDefault="00B560A0" w:rsidP="005076AB">
          <w:pPr>
            <w:pStyle w:val="Footer"/>
            <w:rPr>
              <w:rFonts w:cs="Arial"/>
            </w:rPr>
          </w:pPr>
          <w:r>
            <w:rPr>
              <w:rFonts w:cs="Arial"/>
            </w:rPr>
            <w:t>Report on Government Services 2016</w:t>
          </w:r>
          <w:bookmarkStart w:id="96" w:name="DraftReportEven"/>
          <w:bookmarkEnd w:id="96"/>
        </w:p>
      </w:tc>
      <w:tc>
        <w:tcPr>
          <w:tcW w:w="510" w:type="dxa"/>
        </w:tcPr>
        <w:p w:rsidR="00E53BC7" w:rsidRDefault="00E53BC7" w:rsidP="0019293B">
          <w:pPr>
            <w:pStyle w:val="Footer"/>
          </w:pPr>
        </w:p>
      </w:tc>
    </w:tr>
  </w:tbl>
  <w:p w:rsidR="00E53BC7" w:rsidRDefault="00E53BC7" w:rsidP="0019293B">
    <w:pPr>
      <w:pStyle w:val="FooterEnd"/>
    </w:pPr>
  </w:p>
  <w:p w:rsidR="00E53BC7" w:rsidRDefault="00E53BC7"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53BC7" w:rsidTr="00AB6309">
      <w:trPr>
        <w:trHeight w:hRule="exact" w:val="567"/>
      </w:trPr>
      <w:tc>
        <w:tcPr>
          <w:tcW w:w="510" w:type="dxa"/>
        </w:tcPr>
        <w:p w:rsidR="00E53BC7" w:rsidRDefault="00E53BC7">
          <w:pPr>
            <w:pStyle w:val="Footer"/>
            <w:ind w:right="360" w:firstLine="360"/>
          </w:pPr>
        </w:p>
      </w:tc>
      <w:tc>
        <w:tcPr>
          <w:tcW w:w="7767" w:type="dxa"/>
        </w:tcPr>
        <w:p w:rsidR="00E53BC7" w:rsidRPr="00BA5B14" w:rsidRDefault="00B560A0" w:rsidP="00AB6309">
          <w:pPr>
            <w:pStyle w:val="Footer"/>
            <w:jc w:val="right"/>
            <w:rPr>
              <w:rFonts w:cs="Arial"/>
            </w:rPr>
          </w:pPr>
          <w:r>
            <w:rPr>
              <w:rFonts w:cs="Arial"/>
            </w:rPr>
            <w:t xml:space="preserve">Fire and ambulance services </w:t>
          </w:r>
          <w:proofErr w:type="spellStart"/>
          <w:r>
            <w:rPr>
              <w:rFonts w:cs="Arial"/>
            </w:rPr>
            <w:t>DQI</w:t>
          </w:r>
          <w:proofErr w:type="spellEnd"/>
        </w:p>
      </w:tc>
      <w:tc>
        <w:tcPr>
          <w:tcW w:w="510" w:type="dxa"/>
        </w:tcPr>
        <w:p w:rsidR="00E53BC7" w:rsidRPr="00A24443" w:rsidRDefault="00E53BC7">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6515C">
            <w:rPr>
              <w:rStyle w:val="PageNumber"/>
              <w:caps w:val="0"/>
              <w:noProof/>
            </w:rPr>
            <w:t>21</w:t>
          </w:r>
          <w:r w:rsidRPr="00A24443">
            <w:rPr>
              <w:rStyle w:val="PageNumber"/>
              <w:caps w:val="0"/>
            </w:rPr>
            <w:fldChar w:fldCharType="end"/>
          </w:r>
        </w:p>
      </w:tc>
    </w:tr>
  </w:tbl>
  <w:p w:rsidR="00E53BC7" w:rsidRDefault="00E53BC7">
    <w:pPr>
      <w:pStyle w:val="FooterEnd"/>
    </w:pPr>
  </w:p>
  <w:p w:rsidR="00E53BC7" w:rsidRDefault="00E53BC7">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BC7" w:rsidRDefault="00E53BC7">
      <w:r>
        <w:separator/>
      </w:r>
    </w:p>
  </w:footnote>
  <w:footnote w:type="continuationSeparator" w:id="0">
    <w:p w:rsidR="00E53BC7" w:rsidRDefault="00E53B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ayout w:type="fixed"/>
      <w:tblCellMar>
        <w:left w:w="0" w:type="dxa"/>
        <w:right w:w="0" w:type="dxa"/>
      </w:tblCellMar>
      <w:tblLook w:val="0000" w:firstRow="0" w:lastRow="0" w:firstColumn="0" w:lastColumn="0" w:noHBand="0" w:noVBand="0"/>
    </w:tblPr>
    <w:tblGrid>
      <w:gridCol w:w="1843"/>
      <w:gridCol w:w="6946"/>
    </w:tblGrid>
    <w:tr w:rsidR="00E53BC7" w:rsidRPr="00322567" w:rsidTr="0066053D">
      <w:tc>
        <w:tcPr>
          <w:tcW w:w="1843" w:type="dxa"/>
          <w:tcBorders>
            <w:top w:val="single" w:sz="24" w:space="0" w:color="auto"/>
          </w:tcBorders>
        </w:tcPr>
        <w:p w:rsidR="00E53BC7" w:rsidRDefault="00E53BC7" w:rsidP="00D01377">
          <w:pPr>
            <w:pStyle w:val="HeaderEven"/>
          </w:pPr>
        </w:p>
      </w:tc>
      <w:tc>
        <w:tcPr>
          <w:tcW w:w="6946" w:type="dxa"/>
          <w:tcBorders>
            <w:top w:val="single" w:sz="6" w:space="0" w:color="auto"/>
          </w:tcBorders>
        </w:tcPr>
        <w:p w:rsidR="00E53BC7" w:rsidRPr="00322567" w:rsidRDefault="00E53BC7" w:rsidP="0066053D">
          <w:pPr>
            <w:pStyle w:val="HeaderEven"/>
            <w:rPr>
              <w:sz w:val="28"/>
              <w:szCs w:val="28"/>
            </w:rPr>
          </w:pPr>
        </w:p>
      </w:tc>
    </w:tr>
  </w:tbl>
  <w:p w:rsidR="00E53BC7" w:rsidRDefault="00E53BC7"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61" w:type="pct"/>
      <w:tblBorders>
        <w:top w:val="single" w:sz="6" w:space="0" w:color="auto"/>
      </w:tblBorders>
      <w:tblCellMar>
        <w:left w:w="0" w:type="dxa"/>
        <w:right w:w="0" w:type="dxa"/>
      </w:tblCellMar>
      <w:tblLook w:val="0000" w:firstRow="0" w:lastRow="0" w:firstColumn="0" w:lastColumn="0" w:noHBand="0" w:noVBand="0"/>
    </w:tblPr>
    <w:tblGrid>
      <w:gridCol w:w="7021"/>
      <w:gridCol w:w="1788"/>
    </w:tblGrid>
    <w:tr w:rsidR="00E53BC7" w:rsidTr="00A6515C">
      <w:tc>
        <w:tcPr>
          <w:tcW w:w="3985" w:type="pct"/>
          <w:tcBorders>
            <w:top w:val="single" w:sz="6" w:space="0" w:color="auto"/>
          </w:tcBorders>
        </w:tcPr>
        <w:p w:rsidR="00E53BC7" w:rsidRPr="00322567" w:rsidRDefault="00E53BC7" w:rsidP="00093CA3">
          <w:pPr>
            <w:pStyle w:val="HeaderOdd"/>
            <w:rPr>
              <w:sz w:val="28"/>
              <w:szCs w:val="28"/>
            </w:rPr>
          </w:pPr>
        </w:p>
      </w:tc>
      <w:tc>
        <w:tcPr>
          <w:tcW w:w="1015" w:type="pct"/>
          <w:tcBorders>
            <w:top w:val="single" w:sz="24" w:space="0" w:color="auto"/>
          </w:tcBorders>
        </w:tcPr>
        <w:p w:rsidR="00E53BC7" w:rsidRDefault="00E53BC7" w:rsidP="00D01377">
          <w:pPr>
            <w:pStyle w:val="HeaderOdd"/>
          </w:pPr>
        </w:p>
      </w:tc>
    </w:tr>
  </w:tbl>
  <w:p w:rsidR="00E53BC7" w:rsidRDefault="00E53BC7"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14B341AC"/>
    <w:multiLevelType w:val="hybridMultilevel"/>
    <w:tmpl w:val="FE546934"/>
    <w:lvl w:ilvl="0" w:tplc="6400C8F6">
      <w:start w:val="1"/>
      <w:numFmt w:val="bullet"/>
      <w:lvlText w:val="•"/>
      <w:lvlJc w:val="left"/>
      <w:pPr>
        <w:tabs>
          <w:tab w:val="num" w:pos="397"/>
        </w:tabs>
        <w:ind w:left="397" w:hanging="397"/>
      </w:pPr>
      <w:rPr>
        <w:rFonts w:ascii="Book Antiqua" w:hAnsi="Book Antiqua" w:hint="default"/>
        <w:b w:val="0"/>
        <w:i w:val="0"/>
        <w:color w:val="000000"/>
        <w:sz w:val="22"/>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17B2374B"/>
    <w:multiLevelType w:val="hybridMultilevel"/>
    <w:tmpl w:val="FBF2F79A"/>
    <w:lvl w:ilvl="0" w:tplc="47E6B9B6">
      <w:numFmt w:val="bullet"/>
      <w:lvlText w:val=""/>
      <w:lvlJc w:val="left"/>
      <w:pPr>
        <w:ind w:left="1741" w:hanging="360"/>
      </w:pPr>
      <w:rPr>
        <w:rFonts w:ascii="MT Extra" w:hAnsi="MT Extra" w:cs="Times New Roman" w:hint="default"/>
      </w:rPr>
    </w:lvl>
    <w:lvl w:ilvl="1" w:tplc="0C090003" w:tentative="1">
      <w:start w:val="1"/>
      <w:numFmt w:val="bullet"/>
      <w:lvlText w:val="o"/>
      <w:lvlJc w:val="left"/>
      <w:pPr>
        <w:ind w:left="2461" w:hanging="360"/>
      </w:pPr>
      <w:rPr>
        <w:rFonts w:ascii="Courier New" w:hAnsi="Courier New" w:cs="Courier New" w:hint="default"/>
      </w:rPr>
    </w:lvl>
    <w:lvl w:ilvl="2" w:tplc="0C090005" w:tentative="1">
      <w:start w:val="1"/>
      <w:numFmt w:val="bullet"/>
      <w:lvlText w:val=""/>
      <w:lvlJc w:val="left"/>
      <w:pPr>
        <w:ind w:left="3181" w:hanging="360"/>
      </w:pPr>
      <w:rPr>
        <w:rFonts w:ascii="Wingdings" w:hAnsi="Wingdings" w:hint="default"/>
      </w:rPr>
    </w:lvl>
    <w:lvl w:ilvl="3" w:tplc="0C090001" w:tentative="1">
      <w:start w:val="1"/>
      <w:numFmt w:val="bullet"/>
      <w:lvlText w:val=""/>
      <w:lvlJc w:val="left"/>
      <w:pPr>
        <w:ind w:left="3901" w:hanging="360"/>
      </w:pPr>
      <w:rPr>
        <w:rFonts w:ascii="Symbol" w:hAnsi="Symbol" w:hint="default"/>
      </w:rPr>
    </w:lvl>
    <w:lvl w:ilvl="4" w:tplc="0C090003" w:tentative="1">
      <w:start w:val="1"/>
      <w:numFmt w:val="bullet"/>
      <w:lvlText w:val="o"/>
      <w:lvlJc w:val="left"/>
      <w:pPr>
        <w:ind w:left="4621" w:hanging="360"/>
      </w:pPr>
      <w:rPr>
        <w:rFonts w:ascii="Courier New" w:hAnsi="Courier New" w:cs="Courier New" w:hint="default"/>
      </w:rPr>
    </w:lvl>
    <w:lvl w:ilvl="5" w:tplc="0C090005" w:tentative="1">
      <w:start w:val="1"/>
      <w:numFmt w:val="bullet"/>
      <w:lvlText w:val=""/>
      <w:lvlJc w:val="left"/>
      <w:pPr>
        <w:ind w:left="5341" w:hanging="360"/>
      </w:pPr>
      <w:rPr>
        <w:rFonts w:ascii="Wingdings" w:hAnsi="Wingdings" w:hint="default"/>
      </w:rPr>
    </w:lvl>
    <w:lvl w:ilvl="6" w:tplc="0C090001" w:tentative="1">
      <w:start w:val="1"/>
      <w:numFmt w:val="bullet"/>
      <w:lvlText w:val=""/>
      <w:lvlJc w:val="left"/>
      <w:pPr>
        <w:ind w:left="6061" w:hanging="360"/>
      </w:pPr>
      <w:rPr>
        <w:rFonts w:ascii="Symbol" w:hAnsi="Symbol" w:hint="default"/>
      </w:rPr>
    </w:lvl>
    <w:lvl w:ilvl="7" w:tplc="0C090003" w:tentative="1">
      <w:start w:val="1"/>
      <w:numFmt w:val="bullet"/>
      <w:lvlText w:val="o"/>
      <w:lvlJc w:val="left"/>
      <w:pPr>
        <w:ind w:left="6781" w:hanging="360"/>
      </w:pPr>
      <w:rPr>
        <w:rFonts w:ascii="Courier New" w:hAnsi="Courier New" w:cs="Courier New" w:hint="default"/>
      </w:rPr>
    </w:lvl>
    <w:lvl w:ilvl="8" w:tplc="0C090005" w:tentative="1">
      <w:start w:val="1"/>
      <w:numFmt w:val="bullet"/>
      <w:lvlText w:val=""/>
      <w:lvlJc w:val="left"/>
      <w:pPr>
        <w:ind w:left="7501" w:hanging="360"/>
      </w:pPr>
      <w:rPr>
        <w:rFonts w:ascii="Wingdings" w:hAnsi="Wingdings" w:hint="default"/>
      </w:rPr>
    </w:lvl>
  </w:abstractNum>
  <w:abstractNum w:abstractNumId="11">
    <w:nsid w:val="1C2D27B7"/>
    <w:multiLevelType w:val="hybridMultilevel"/>
    <w:tmpl w:val="53CAF36C"/>
    <w:lvl w:ilvl="0" w:tplc="35127478">
      <w:start w:val="1"/>
      <w:numFmt w:val="bullet"/>
      <w:pStyle w:val="TableBullet3"/>
      <w:lvlText w:val="*"/>
      <w:lvlJc w:val="left"/>
      <w:pPr>
        <w:ind w:left="1004" w:hanging="360"/>
      </w:pPr>
      <w:rPr>
        <w:rFonts w:ascii="Arial" w:hAnsi="Arial"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1EB41F39"/>
    <w:multiLevelType w:val="hybridMultilevel"/>
    <w:tmpl w:val="FBD4B54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4">
    <w:nsid w:val="25BF4D67"/>
    <w:multiLevelType w:val="hybridMultilevel"/>
    <w:tmpl w:val="6890F340"/>
    <w:lvl w:ilvl="0" w:tplc="E1B46DD6">
      <w:start w:val="1"/>
      <w:numFmt w:val="bullet"/>
      <w:pStyle w:val="DQITable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27E18BA"/>
    <w:multiLevelType w:val="hybridMultilevel"/>
    <w:tmpl w:val="834A1F54"/>
    <w:lvl w:ilvl="0" w:tplc="5A8AD84A">
      <w:numFmt w:val="bullet"/>
      <w:lvlText w:val="‒"/>
      <w:lvlJc w:val="left"/>
      <w:pPr>
        <w:ind w:left="530" w:hanging="360"/>
      </w:pPr>
      <w:rPr>
        <w:rFonts w:ascii="Arial" w:eastAsia="Times New Roman" w:hAnsi="Aria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18">
    <w:nsid w:val="473F0771"/>
    <w:multiLevelType w:val="hybridMultilevel"/>
    <w:tmpl w:val="4A786666"/>
    <w:lvl w:ilvl="0" w:tplc="8AB01A20">
      <w:numFmt w:val="bullet"/>
      <w:lvlText w:val="‒"/>
      <w:lvlJc w:val="left"/>
      <w:pPr>
        <w:ind w:left="1060" w:hanging="360"/>
      </w:pPr>
      <w:rPr>
        <w:rFonts w:ascii="Arial" w:eastAsia="Times New Roman" w:hAnsi="Arial" w:hint="default"/>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19">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3">
    <w:nsid w:val="57FD5612"/>
    <w:multiLevelType w:val="hybridMultilevel"/>
    <w:tmpl w:val="95E4BD6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5">
    <w:nsid w:val="5D525EB5"/>
    <w:multiLevelType w:val="hybridMultilevel"/>
    <w:tmpl w:val="4E22FD3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6">
    <w:nsid w:val="5DD32111"/>
    <w:multiLevelType w:val="hybridMultilevel"/>
    <w:tmpl w:val="479C78AC"/>
    <w:lvl w:ilvl="0" w:tplc="0C090001">
      <w:start w:val="1"/>
      <w:numFmt w:val="bullet"/>
      <w:lvlText w:val=""/>
      <w:lvlJc w:val="left"/>
      <w:pPr>
        <w:ind w:left="726" w:hanging="360"/>
      </w:pPr>
      <w:rPr>
        <w:rFonts w:ascii="Symbol" w:hAnsi="Symbol" w:hint="default"/>
      </w:rPr>
    </w:lvl>
    <w:lvl w:ilvl="1" w:tplc="F4CA6CB8">
      <w:start w:val="1"/>
      <w:numFmt w:val="bullet"/>
      <w:lvlText w:val="-"/>
      <w:lvlJc w:val="left"/>
      <w:pPr>
        <w:ind w:left="1446" w:hanging="360"/>
      </w:pPr>
      <w:rPr>
        <w:rFonts w:ascii="Courier New" w:hAnsi="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2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9">
    <w:nsid w:val="70483846"/>
    <w:multiLevelType w:val="hybridMultilevel"/>
    <w:tmpl w:val="3448FF60"/>
    <w:lvl w:ilvl="0" w:tplc="ADDEAC8A">
      <w:start w:val="1"/>
      <w:numFmt w:val="bullet"/>
      <w:pStyle w:val="DQITableBullet2"/>
      <w:lvlText w:val="–"/>
      <w:lvlJc w:val="left"/>
      <w:pPr>
        <w:ind w:left="720" w:hanging="360"/>
      </w:pPr>
      <w:rPr>
        <w:rFonts w:ascii="Lucida Sans" w:hAnsi="Lucida Sans" w:hint="default"/>
        <w:b w:val="0"/>
        <w:i w:val="0"/>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6"/>
  </w:num>
  <w:num w:numId="2">
    <w:abstractNumId w:val="4"/>
  </w:num>
  <w:num w:numId="3">
    <w:abstractNumId w:val="30"/>
  </w:num>
  <w:num w:numId="4">
    <w:abstractNumId w:val="2"/>
  </w:num>
  <w:num w:numId="5">
    <w:abstractNumId w:val="20"/>
  </w:num>
  <w:num w:numId="6">
    <w:abstractNumId w:val="3"/>
  </w:num>
  <w:num w:numId="7">
    <w:abstractNumId w:val="28"/>
  </w:num>
  <w:num w:numId="8">
    <w:abstractNumId w:val="22"/>
  </w:num>
  <w:num w:numId="9">
    <w:abstractNumId w:val="31"/>
  </w:num>
  <w:num w:numId="10">
    <w:abstractNumId w:val="13"/>
  </w:num>
  <w:num w:numId="11">
    <w:abstractNumId w:val="7"/>
  </w:num>
  <w:num w:numId="12">
    <w:abstractNumId w:val="21"/>
  </w:num>
  <w:num w:numId="13">
    <w:abstractNumId w:val="6"/>
  </w:num>
  <w:num w:numId="14">
    <w:abstractNumId w:val="5"/>
  </w:num>
  <w:num w:numId="15">
    <w:abstractNumId w:val="9"/>
  </w:num>
  <w:num w:numId="16">
    <w:abstractNumId w:val="15"/>
  </w:num>
  <w:num w:numId="17">
    <w:abstractNumId w:val="19"/>
  </w:num>
  <w:num w:numId="18">
    <w:abstractNumId w:val="11"/>
  </w:num>
  <w:num w:numId="19">
    <w:abstractNumId w:val="24"/>
  </w:num>
  <w:num w:numId="20">
    <w:abstractNumId w:val="21"/>
  </w:num>
  <w:num w:numId="21">
    <w:abstractNumId w:val="12"/>
  </w:num>
  <w:num w:numId="22">
    <w:abstractNumId w:val="23"/>
  </w:num>
  <w:num w:numId="23">
    <w:abstractNumId w:val="27"/>
  </w:num>
  <w:num w:numId="24">
    <w:abstractNumId w:val="8"/>
  </w:num>
  <w:num w:numId="25">
    <w:abstractNumId w:val="14"/>
  </w:num>
  <w:num w:numId="26">
    <w:abstractNumId w:val="29"/>
  </w:num>
  <w:num w:numId="27">
    <w:abstractNumId w:val="0"/>
  </w:num>
  <w:num w:numId="28">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9">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30">
    <w:abstractNumId w:val="18"/>
  </w:num>
  <w:num w:numId="31">
    <w:abstractNumId w:val="17"/>
  </w:num>
  <w:num w:numId="32">
    <w:abstractNumId w:val="10"/>
  </w:num>
  <w:num w:numId="33">
    <w:abstractNumId w:val="26"/>
  </w:num>
  <w:num w:numId="34">
    <w:abstractNumId w:val="14"/>
  </w:num>
  <w:num w:numId="35">
    <w:abstractNumId w:val="29"/>
  </w:num>
  <w:num w:numId="36">
    <w:abstractNumId w:val="14"/>
  </w:num>
  <w:num w:numId="37">
    <w:abstractNumId w:val="14"/>
  </w:num>
  <w:num w:numId="38">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91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Fire, road rescue and ambulance DQI"/>
    <w:docVar w:name="ShortReportTitle" w:val="Report on Government Services 2012"/>
  </w:docVars>
  <w:rsids>
    <w:rsidRoot w:val="00BD19D0"/>
    <w:rsid w:val="0001184A"/>
    <w:rsid w:val="00012B46"/>
    <w:rsid w:val="00013A8A"/>
    <w:rsid w:val="00014360"/>
    <w:rsid w:val="00020BF5"/>
    <w:rsid w:val="0002451A"/>
    <w:rsid w:val="00024AE5"/>
    <w:rsid w:val="00026577"/>
    <w:rsid w:val="00030E96"/>
    <w:rsid w:val="0003664B"/>
    <w:rsid w:val="000377CF"/>
    <w:rsid w:val="0004111F"/>
    <w:rsid w:val="0007150B"/>
    <w:rsid w:val="00083F5C"/>
    <w:rsid w:val="000938F5"/>
    <w:rsid w:val="00093CA3"/>
    <w:rsid w:val="000A0678"/>
    <w:rsid w:val="000A6835"/>
    <w:rsid w:val="000B4B31"/>
    <w:rsid w:val="000B601B"/>
    <w:rsid w:val="000B722F"/>
    <w:rsid w:val="000C06D3"/>
    <w:rsid w:val="000C207E"/>
    <w:rsid w:val="000C4518"/>
    <w:rsid w:val="000F559E"/>
    <w:rsid w:val="00107E94"/>
    <w:rsid w:val="00110116"/>
    <w:rsid w:val="001204EA"/>
    <w:rsid w:val="00120FFC"/>
    <w:rsid w:val="00123F82"/>
    <w:rsid w:val="001263E0"/>
    <w:rsid w:val="00126EB8"/>
    <w:rsid w:val="00132ABB"/>
    <w:rsid w:val="0013423E"/>
    <w:rsid w:val="001363AA"/>
    <w:rsid w:val="00146D42"/>
    <w:rsid w:val="00147F9D"/>
    <w:rsid w:val="001603C6"/>
    <w:rsid w:val="00162371"/>
    <w:rsid w:val="00162EBE"/>
    <w:rsid w:val="00172163"/>
    <w:rsid w:val="0017798B"/>
    <w:rsid w:val="00180ECD"/>
    <w:rsid w:val="001826C4"/>
    <w:rsid w:val="00183153"/>
    <w:rsid w:val="0019293B"/>
    <w:rsid w:val="00193E77"/>
    <w:rsid w:val="001B23C2"/>
    <w:rsid w:val="001B410C"/>
    <w:rsid w:val="001C0865"/>
    <w:rsid w:val="001C3ABA"/>
    <w:rsid w:val="001C7247"/>
    <w:rsid w:val="001C79E5"/>
    <w:rsid w:val="001D35B6"/>
    <w:rsid w:val="001D3A1F"/>
    <w:rsid w:val="001D7E49"/>
    <w:rsid w:val="001E3387"/>
    <w:rsid w:val="001E4EC3"/>
    <w:rsid w:val="001E7BE8"/>
    <w:rsid w:val="001F0248"/>
    <w:rsid w:val="001F5689"/>
    <w:rsid w:val="001F6175"/>
    <w:rsid w:val="00200BF1"/>
    <w:rsid w:val="00202C2C"/>
    <w:rsid w:val="00213A62"/>
    <w:rsid w:val="0022046D"/>
    <w:rsid w:val="002235B6"/>
    <w:rsid w:val="00242279"/>
    <w:rsid w:val="0025136E"/>
    <w:rsid w:val="0026426D"/>
    <w:rsid w:val="00265948"/>
    <w:rsid w:val="00270E14"/>
    <w:rsid w:val="00286FC3"/>
    <w:rsid w:val="00291B40"/>
    <w:rsid w:val="00291B8B"/>
    <w:rsid w:val="002A2033"/>
    <w:rsid w:val="002B3A45"/>
    <w:rsid w:val="002B4008"/>
    <w:rsid w:val="002B489B"/>
    <w:rsid w:val="002B4E1B"/>
    <w:rsid w:val="002C02C5"/>
    <w:rsid w:val="002C3169"/>
    <w:rsid w:val="002C6162"/>
    <w:rsid w:val="002C7479"/>
    <w:rsid w:val="002C7CAD"/>
    <w:rsid w:val="002D0E8E"/>
    <w:rsid w:val="002D7FAC"/>
    <w:rsid w:val="002E1450"/>
    <w:rsid w:val="002E49D6"/>
    <w:rsid w:val="002F6B56"/>
    <w:rsid w:val="002F7BF3"/>
    <w:rsid w:val="00301189"/>
    <w:rsid w:val="00302CD9"/>
    <w:rsid w:val="00306AF3"/>
    <w:rsid w:val="00314F98"/>
    <w:rsid w:val="003163BE"/>
    <w:rsid w:val="00322567"/>
    <w:rsid w:val="00323E09"/>
    <w:rsid w:val="00327666"/>
    <w:rsid w:val="00332B70"/>
    <w:rsid w:val="00333932"/>
    <w:rsid w:val="003475D1"/>
    <w:rsid w:val="00350233"/>
    <w:rsid w:val="003518AA"/>
    <w:rsid w:val="00353182"/>
    <w:rsid w:val="0035437F"/>
    <w:rsid w:val="003602E1"/>
    <w:rsid w:val="00363B2E"/>
    <w:rsid w:val="00370B77"/>
    <w:rsid w:val="00371240"/>
    <w:rsid w:val="00374023"/>
    <w:rsid w:val="00374731"/>
    <w:rsid w:val="00383A71"/>
    <w:rsid w:val="00386CAC"/>
    <w:rsid w:val="003A3266"/>
    <w:rsid w:val="003B025D"/>
    <w:rsid w:val="003C38B5"/>
    <w:rsid w:val="003C5D99"/>
    <w:rsid w:val="003C68BA"/>
    <w:rsid w:val="003C7A62"/>
    <w:rsid w:val="003D0EC2"/>
    <w:rsid w:val="003F0789"/>
    <w:rsid w:val="00401882"/>
    <w:rsid w:val="004100C8"/>
    <w:rsid w:val="00412ACE"/>
    <w:rsid w:val="004169DE"/>
    <w:rsid w:val="00421DC3"/>
    <w:rsid w:val="00425A24"/>
    <w:rsid w:val="00425A8B"/>
    <w:rsid w:val="004309AA"/>
    <w:rsid w:val="00431249"/>
    <w:rsid w:val="00434C19"/>
    <w:rsid w:val="00436941"/>
    <w:rsid w:val="00447F6F"/>
    <w:rsid w:val="00450810"/>
    <w:rsid w:val="00470BB1"/>
    <w:rsid w:val="00472DE8"/>
    <w:rsid w:val="00476D7B"/>
    <w:rsid w:val="00477144"/>
    <w:rsid w:val="004802C9"/>
    <w:rsid w:val="00480638"/>
    <w:rsid w:val="00486E16"/>
    <w:rsid w:val="0049459F"/>
    <w:rsid w:val="004A0494"/>
    <w:rsid w:val="004A1422"/>
    <w:rsid w:val="004A38B5"/>
    <w:rsid w:val="004B13A1"/>
    <w:rsid w:val="004B43AE"/>
    <w:rsid w:val="004B4B63"/>
    <w:rsid w:val="004C30ED"/>
    <w:rsid w:val="004C5D1F"/>
    <w:rsid w:val="004D49EC"/>
    <w:rsid w:val="004D4FF5"/>
    <w:rsid w:val="004E3F3E"/>
    <w:rsid w:val="004F74EE"/>
    <w:rsid w:val="00502EE7"/>
    <w:rsid w:val="005076AB"/>
    <w:rsid w:val="00521B8E"/>
    <w:rsid w:val="00523692"/>
    <w:rsid w:val="0053048B"/>
    <w:rsid w:val="0053163A"/>
    <w:rsid w:val="005474A6"/>
    <w:rsid w:val="00574F4E"/>
    <w:rsid w:val="00583C39"/>
    <w:rsid w:val="005861BD"/>
    <w:rsid w:val="005909CF"/>
    <w:rsid w:val="00591E71"/>
    <w:rsid w:val="0059550D"/>
    <w:rsid w:val="00596EE7"/>
    <w:rsid w:val="005A3182"/>
    <w:rsid w:val="005A595B"/>
    <w:rsid w:val="005B3753"/>
    <w:rsid w:val="005C4FAF"/>
    <w:rsid w:val="005C5B26"/>
    <w:rsid w:val="005D00B3"/>
    <w:rsid w:val="005D102E"/>
    <w:rsid w:val="005D592C"/>
    <w:rsid w:val="006032E2"/>
    <w:rsid w:val="00607BF1"/>
    <w:rsid w:val="00610F68"/>
    <w:rsid w:val="00611841"/>
    <w:rsid w:val="00611F06"/>
    <w:rsid w:val="006126DB"/>
    <w:rsid w:val="00616E32"/>
    <w:rsid w:val="0062342A"/>
    <w:rsid w:val="00630D4D"/>
    <w:rsid w:val="00632A74"/>
    <w:rsid w:val="00635C2E"/>
    <w:rsid w:val="00650564"/>
    <w:rsid w:val="00653DB4"/>
    <w:rsid w:val="0066053D"/>
    <w:rsid w:val="006673CF"/>
    <w:rsid w:val="00671F00"/>
    <w:rsid w:val="00677CAA"/>
    <w:rsid w:val="00695A0D"/>
    <w:rsid w:val="00696E0A"/>
    <w:rsid w:val="006A1828"/>
    <w:rsid w:val="006A4655"/>
    <w:rsid w:val="006B59E3"/>
    <w:rsid w:val="006B7F7F"/>
    <w:rsid w:val="006C3FB6"/>
    <w:rsid w:val="006C7038"/>
    <w:rsid w:val="006C73F3"/>
    <w:rsid w:val="006D1B0B"/>
    <w:rsid w:val="006D45D4"/>
    <w:rsid w:val="006E73EF"/>
    <w:rsid w:val="006F00B0"/>
    <w:rsid w:val="006F2BD2"/>
    <w:rsid w:val="006F4CF7"/>
    <w:rsid w:val="006F579F"/>
    <w:rsid w:val="006F62F7"/>
    <w:rsid w:val="0070634D"/>
    <w:rsid w:val="0070690A"/>
    <w:rsid w:val="0071317D"/>
    <w:rsid w:val="007139D0"/>
    <w:rsid w:val="00720429"/>
    <w:rsid w:val="007250F4"/>
    <w:rsid w:val="00741F17"/>
    <w:rsid w:val="00742308"/>
    <w:rsid w:val="00743F69"/>
    <w:rsid w:val="00744317"/>
    <w:rsid w:val="007511E6"/>
    <w:rsid w:val="0075208F"/>
    <w:rsid w:val="0075629A"/>
    <w:rsid w:val="007604BB"/>
    <w:rsid w:val="00762E4C"/>
    <w:rsid w:val="00790A3C"/>
    <w:rsid w:val="00790A58"/>
    <w:rsid w:val="007A21EB"/>
    <w:rsid w:val="007A6173"/>
    <w:rsid w:val="007B079F"/>
    <w:rsid w:val="007B0E16"/>
    <w:rsid w:val="007B1A5A"/>
    <w:rsid w:val="007B6ABB"/>
    <w:rsid w:val="007C072D"/>
    <w:rsid w:val="007C23EF"/>
    <w:rsid w:val="007C36C9"/>
    <w:rsid w:val="007D6927"/>
    <w:rsid w:val="007E01E4"/>
    <w:rsid w:val="007F2AE2"/>
    <w:rsid w:val="007F6100"/>
    <w:rsid w:val="007F7107"/>
    <w:rsid w:val="00802240"/>
    <w:rsid w:val="0081030F"/>
    <w:rsid w:val="0082087D"/>
    <w:rsid w:val="0083205B"/>
    <w:rsid w:val="008507E9"/>
    <w:rsid w:val="00853622"/>
    <w:rsid w:val="0086082C"/>
    <w:rsid w:val="008613EB"/>
    <w:rsid w:val="00864ADC"/>
    <w:rsid w:val="00874357"/>
    <w:rsid w:val="00880153"/>
    <w:rsid w:val="00880F97"/>
    <w:rsid w:val="0088133A"/>
    <w:rsid w:val="00882B64"/>
    <w:rsid w:val="00887AA8"/>
    <w:rsid w:val="00887D3C"/>
    <w:rsid w:val="0089285E"/>
    <w:rsid w:val="0089436C"/>
    <w:rsid w:val="0089651F"/>
    <w:rsid w:val="008B3909"/>
    <w:rsid w:val="008C1A67"/>
    <w:rsid w:val="008D33E9"/>
    <w:rsid w:val="008D7332"/>
    <w:rsid w:val="008E1527"/>
    <w:rsid w:val="008E555D"/>
    <w:rsid w:val="008E57A6"/>
    <w:rsid w:val="008F368F"/>
    <w:rsid w:val="00901253"/>
    <w:rsid w:val="009017D2"/>
    <w:rsid w:val="009030BF"/>
    <w:rsid w:val="00907609"/>
    <w:rsid w:val="00914368"/>
    <w:rsid w:val="00915EF3"/>
    <w:rsid w:val="00917826"/>
    <w:rsid w:val="00926F62"/>
    <w:rsid w:val="009303BB"/>
    <w:rsid w:val="00931076"/>
    <w:rsid w:val="0093338B"/>
    <w:rsid w:val="00934565"/>
    <w:rsid w:val="009345D9"/>
    <w:rsid w:val="00934B15"/>
    <w:rsid w:val="0093602D"/>
    <w:rsid w:val="00942AA0"/>
    <w:rsid w:val="00942B62"/>
    <w:rsid w:val="009558AE"/>
    <w:rsid w:val="00956A0C"/>
    <w:rsid w:val="00956BD9"/>
    <w:rsid w:val="00962489"/>
    <w:rsid w:val="00962C68"/>
    <w:rsid w:val="0096477A"/>
    <w:rsid w:val="00965853"/>
    <w:rsid w:val="0097114E"/>
    <w:rsid w:val="00991663"/>
    <w:rsid w:val="009955ED"/>
    <w:rsid w:val="009A529E"/>
    <w:rsid w:val="009B4FF8"/>
    <w:rsid w:val="009B76BC"/>
    <w:rsid w:val="009C3836"/>
    <w:rsid w:val="009D2362"/>
    <w:rsid w:val="009D395A"/>
    <w:rsid w:val="009E0CDF"/>
    <w:rsid w:val="009E491C"/>
    <w:rsid w:val="009F696D"/>
    <w:rsid w:val="009F6BC6"/>
    <w:rsid w:val="00A01B04"/>
    <w:rsid w:val="00A03085"/>
    <w:rsid w:val="00A0532F"/>
    <w:rsid w:val="00A05A81"/>
    <w:rsid w:val="00A110E5"/>
    <w:rsid w:val="00A12FA5"/>
    <w:rsid w:val="00A16385"/>
    <w:rsid w:val="00A17328"/>
    <w:rsid w:val="00A250D0"/>
    <w:rsid w:val="00A2633E"/>
    <w:rsid w:val="00A2703A"/>
    <w:rsid w:val="00A33DFF"/>
    <w:rsid w:val="00A35115"/>
    <w:rsid w:val="00A36B79"/>
    <w:rsid w:val="00A51FFB"/>
    <w:rsid w:val="00A554AB"/>
    <w:rsid w:val="00A62FAD"/>
    <w:rsid w:val="00A6515C"/>
    <w:rsid w:val="00A77059"/>
    <w:rsid w:val="00A8094C"/>
    <w:rsid w:val="00A8172B"/>
    <w:rsid w:val="00A84293"/>
    <w:rsid w:val="00A90C1C"/>
    <w:rsid w:val="00A92B46"/>
    <w:rsid w:val="00A94FA6"/>
    <w:rsid w:val="00A9663B"/>
    <w:rsid w:val="00AA0B0F"/>
    <w:rsid w:val="00AA19CB"/>
    <w:rsid w:val="00AA6616"/>
    <w:rsid w:val="00AA6710"/>
    <w:rsid w:val="00AA7DD7"/>
    <w:rsid w:val="00AB0681"/>
    <w:rsid w:val="00AB6309"/>
    <w:rsid w:val="00AB747F"/>
    <w:rsid w:val="00AC0A6F"/>
    <w:rsid w:val="00AC10E3"/>
    <w:rsid w:val="00AC5E7C"/>
    <w:rsid w:val="00AD0494"/>
    <w:rsid w:val="00AD4BA0"/>
    <w:rsid w:val="00B00F27"/>
    <w:rsid w:val="00B04758"/>
    <w:rsid w:val="00B0725D"/>
    <w:rsid w:val="00B113A4"/>
    <w:rsid w:val="00B17194"/>
    <w:rsid w:val="00B1734C"/>
    <w:rsid w:val="00B17DB9"/>
    <w:rsid w:val="00B3059A"/>
    <w:rsid w:val="00B34120"/>
    <w:rsid w:val="00B47113"/>
    <w:rsid w:val="00B52D00"/>
    <w:rsid w:val="00B53E7E"/>
    <w:rsid w:val="00B560A0"/>
    <w:rsid w:val="00B571E7"/>
    <w:rsid w:val="00B57EC8"/>
    <w:rsid w:val="00B6342E"/>
    <w:rsid w:val="00B6444B"/>
    <w:rsid w:val="00B65787"/>
    <w:rsid w:val="00B7113F"/>
    <w:rsid w:val="00B73F09"/>
    <w:rsid w:val="00B75300"/>
    <w:rsid w:val="00B847A6"/>
    <w:rsid w:val="00B936FF"/>
    <w:rsid w:val="00BA73B6"/>
    <w:rsid w:val="00BB0AC9"/>
    <w:rsid w:val="00BB19B9"/>
    <w:rsid w:val="00BB4011"/>
    <w:rsid w:val="00BB4FCD"/>
    <w:rsid w:val="00BB52CD"/>
    <w:rsid w:val="00BC34AD"/>
    <w:rsid w:val="00BD0CB5"/>
    <w:rsid w:val="00BD13EA"/>
    <w:rsid w:val="00BD1845"/>
    <w:rsid w:val="00BD19D0"/>
    <w:rsid w:val="00BD5D97"/>
    <w:rsid w:val="00BE3808"/>
    <w:rsid w:val="00BE6EC3"/>
    <w:rsid w:val="00BF3678"/>
    <w:rsid w:val="00BF4AE2"/>
    <w:rsid w:val="00BF73B1"/>
    <w:rsid w:val="00C062E9"/>
    <w:rsid w:val="00C13721"/>
    <w:rsid w:val="00C15501"/>
    <w:rsid w:val="00C227A5"/>
    <w:rsid w:val="00C25007"/>
    <w:rsid w:val="00C3135E"/>
    <w:rsid w:val="00C33B96"/>
    <w:rsid w:val="00C52A5C"/>
    <w:rsid w:val="00C543F4"/>
    <w:rsid w:val="00C618FB"/>
    <w:rsid w:val="00C6291C"/>
    <w:rsid w:val="00C633CB"/>
    <w:rsid w:val="00C6347F"/>
    <w:rsid w:val="00C66306"/>
    <w:rsid w:val="00C742CD"/>
    <w:rsid w:val="00C75B90"/>
    <w:rsid w:val="00C801E7"/>
    <w:rsid w:val="00C8762C"/>
    <w:rsid w:val="00C97C2B"/>
    <w:rsid w:val="00CA00F9"/>
    <w:rsid w:val="00CA2961"/>
    <w:rsid w:val="00CB50D7"/>
    <w:rsid w:val="00CB7177"/>
    <w:rsid w:val="00CC1998"/>
    <w:rsid w:val="00CC3E08"/>
    <w:rsid w:val="00CC4946"/>
    <w:rsid w:val="00CD20E8"/>
    <w:rsid w:val="00CD22AD"/>
    <w:rsid w:val="00CD45C2"/>
    <w:rsid w:val="00CD4880"/>
    <w:rsid w:val="00CD58FF"/>
    <w:rsid w:val="00CE45B7"/>
    <w:rsid w:val="00CE79A0"/>
    <w:rsid w:val="00CF731A"/>
    <w:rsid w:val="00D01377"/>
    <w:rsid w:val="00D1153E"/>
    <w:rsid w:val="00D166B4"/>
    <w:rsid w:val="00D20011"/>
    <w:rsid w:val="00D21269"/>
    <w:rsid w:val="00D23248"/>
    <w:rsid w:val="00D2330D"/>
    <w:rsid w:val="00D270A4"/>
    <w:rsid w:val="00D2782B"/>
    <w:rsid w:val="00D34E1B"/>
    <w:rsid w:val="00D422AD"/>
    <w:rsid w:val="00D452F6"/>
    <w:rsid w:val="00D47575"/>
    <w:rsid w:val="00D50BA4"/>
    <w:rsid w:val="00D55479"/>
    <w:rsid w:val="00D60992"/>
    <w:rsid w:val="00D63D73"/>
    <w:rsid w:val="00D66E1E"/>
    <w:rsid w:val="00D75722"/>
    <w:rsid w:val="00D832E2"/>
    <w:rsid w:val="00D87D0F"/>
    <w:rsid w:val="00DA3B9D"/>
    <w:rsid w:val="00DB67C9"/>
    <w:rsid w:val="00DC0C95"/>
    <w:rsid w:val="00DD6580"/>
    <w:rsid w:val="00DE695B"/>
    <w:rsid w:val="00E00641"/>
    <w:rsid w:val="00E0783F"/>
    <w:rsid w:val="00E17C72"/>
    <w:rsid w:val="00E22EE1"/>
    <w:rsid w:val="00E25D5B"/>
    <w:rsid w:val="00E26505"/>
    <w:rsid w:val="00E268EC"/>
    <w:rsid w:val="00E2696F"/>
    <w:rsid w:val="00E31CC0"/>
    <w:rsid w:val="00E36D6E"/>
    <w:rsid w:val="00E445B9"/>
    <w:rsid w:val="00E47D0C"/>
    <w:rsid w:val="00E53BC7"/>
    <w:rsid w:val="00E611FE"/>
    <w:rsid w:val="00E62A6D"/>
    <w:rsid w:val="00E661A8"/>
    <w:rsid w:val="00E669E2"/>
    <w:rsid w:val="00E725E3"/>
    <w:rsid w:val="00E74080"/>
    <w:rsid w:val="00E76135"/>
    <w:rsid w:val="00E76AF4"/>
    <w:rsid w:val="00E77FDF"/>
    <w:rsid w:val="00E86174"/>
    <w:rsid w:val="00E90444"/>
    <w:rsid w:val="00E94E06"/>
    <w:rsid w:val="00EA462D"/>
    <w:rsid w:val="00EA60AD"/>
    <w:rsid w:val="00EC3D47"/>
    <w:rsid w:val="00EC670D"/>
    <w:rsid w:val="00EC6B3C"/>
    <w:rsid w:val="00EE3F05"/>
    <w:rsid w:val="00EE3FE5"/>
    <w:rsid w:val="00EE788F"/>
    <w:rsid w:val="00EF3552"/>
    <w:rsid w:val="00F01054"/>
    <w:rsid w:val="00F056FC"/>
    <w:rsid w:val="00F11620"/>
    <w:rsid w:val="00F135D8"/>
    <w:rsid w:val="00F13FEB"/>
    <w:rsid w:val="00F14222"/>
    <w:rsid w:val="00F2745D"/>
    <w:rsid w:val="00F31299"/>
    <w:rsid w:val="00F3534A"/>
    <w:rsid w:val="00F40C05"/>
    <w:rsid w:val="00F57D61"/>
    <w:rsid w:val="00F66FAC"/>
    <w:rsid w:val="00F673E4"/>
    <w:rsid w:val="00F810B7"/>
    <w:rsid w:val="00F85325"/>
    <w:rsid w:val="00FB72DD"/>
    <w:rsid w:val="00FC73D8"/>
    <w:rsid w:val="00FD22B1"/>
    <w:rsid w:val="00FD27F1"/>
    <w:rsid w:val="00FD71BB"/>
    <w:rsid w:val="00FF10EF"/>
    <w:rsid w:val="00FF4A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A6515C"/>
    <w:rPr>
      <w:sz w:val="24"/>
      <w:szCs w:val="24"/>
    </w:rPr>
  </w:style>
  <w:style w:type="paragraph" w:styleId="Heading1">
    <w:name w:val="heading 1"/>
    <w:basedOn w:val="BodyText"/>
    <w:next w:val="BodyText"/>
    <w:rsid w:val="00A6515C"/>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6515C"/>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6515C"/>
    <w:pPr>
      <w:spacing w:before="560" w:line="320" w:lineRule="exact"/>
      <w:ind w:left="0" w:firstLine="0"/>
      <w:outlineLvl w:val="2"/>
    </w:pPr>
    <w:rPr>
      <w:sz w:val="26"/>
    </w:rPr>
  </w:style>
  <w:style w:type="paragraph" w:styleId="Heading4">
    <w:name w:val="heading 4"/>
    <w:basedOn w:val="Heading3"/>
    <w:next w:val="BodyText"/>
    <w:qFormat/>
    <w:rsid w:val="00A6515C"/>
    <w:pPr>
      <w:spacing w:before="480"/>
      <w:outlineLvl w:val="3"/>
    </w:pPr>
    <w:rPr>
      <w:b w:val="0"/>
      <w:sz w:val="24"/>
    </w:rPr>
  </w:style>
  <w:style w:type="paragraph" w:styleId="Heading5">
    <w:name w:val="heading 5"/>
    <w:basedOn w:val="Heading4"/>
    <w:next w:val="BodyText"/>
    <w:link w:val="Heading5Char"/>
    <w:qFormat/>
    <w:rsid w:val="00A6515C"/>
    <w:pPr>
      <w:outlineLvl w:val="4"/>
    </w:pPr>
    <w:rPr>
      <w:i/>
      <w:sz w:val="22"/>
    </w:rPr>
  </w:style>
  <w:style w:type="paragraph" w:styleId="Heading6">
    <w:name w:val="heading 6"/>
    <w:basedOn w:val="BodyText"/>
    <w:next w:val="BodyText"/>
    <w:rsid w:val="00A6515C"/>
    <w:pPr>
      <w:spacing w:after="60"/>
      <w:jc w:val="left"/>
      <w:outlineLvl w:val="5"/>
    </w:pPr>
    <w:rPr>
      <w:i/>
      <w:sz w:val="22"/>
    </w:rPr>
  </w:style>
  <w:style w:type="paragraph" w:styleId="Heading7">
    <w:name w:val="heading 7"/>
    <w:basedOn w:val="BodyText"/>
    <w:next w:val="BodyText"/>
    <w:rsid w:val="00A6515C"/>
    <w:pPr>
      <w:spacing w:after="60" w:line="240" w:lineRule="auto"/>
      <w:jc w:val="left"/>
      <w:outlineLvl w:val="6"/>
    </w:pPr>
    <w:rPr>
      <w:rFonts w:ascii="Arial" w:hAnsi="Arial"/>
      <w:sz w:val="20"/>
    </w:rPr>
  </w:style>
  <w:style w:type="paragraph" w:styleId="Heading8">
    <w:name w:val="heading 8"/>
    <w:basedOn w:val="BodyText"/>
    <w:next w:val="BodyText"/>
    <w:rsid w:val="00A6515C"/>
    <w:pPr>
      <w:spacing w:after="60" w:line="240" w:lineRule="auto"/>
      <w:jc w:val="left"/>
      <w:outlineLvl w:val="7"/>
    </w:pPr>
    <w:rPr>
      <w:rFonts w:ascii="Arial" w:hAnsi="Arial"/>
      <w:i/>
      <w:sz w:val="20"/>
    </w:rPr>
  </w:style>
  <w:style w:type="paragraph" w:styleId="Heading9">
    <w:name w:val="heading 9"/>
    <w:basedOn w:val="BodyText"/>
    <w:next w:val="BodyText"/>
    <w:rsid w:val="00A6515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651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515C"/>
  </w:style>
  <w:style w:type="paragraph" w:styleId="BodyText">
    <w:name w:val="Body Text"/>
    <w:link w:val="BodyTextChar"/>
    <w:qFormat/>
    <w:rsid w:val="00A6515C"/>
    <w:pPr>
      <w:spacing w:before="240" w:line="300" w:lineRule="atLeast"/>
      <w:jc w:val="both"/>
    </w:pPr>
    <w:rPr>
      <w:sz w:val="24"/>
    </w:rPr>
  </w:style>
  <w:style w:type="paragraph" w:customStyle="1" w:styleId="Chapter">
    <w:name w:val="Chapter"/>
    <w:basedOn w:val="Heading1"/>
    <w:next w:val="BodyText"/>
    <w:semiHidden/>
    <w:rsid w:val="00A6515C"/>
    <w:pPr>
      <w:ind w:left="0" w:firstLine="0"/>
      <w:outlineLvl w:val="9"/>
    </w:pPr>
  </w:style>
  <w:style w:type="character" w:customStyle="1" w:styleId="Heading3Char">
    <w:name w:val="Heading 3 Char"/>
    <w:basedOn w:val="DefaultParagraphFont"/>
    <w:link w:val="Heading3"/>
    <w:rsid w:val="00BD19D0"/>
    <w:rPr>
      <w:rFonts w:ascii="Arial" w:hAnsi="Arial"/>
      <w:b/>
      <w:sz w:val="26"/>
    </w:rPr>
  </w:style>
  <w:style w:type="paragraph" w:styleId="Footer">
    <w:name w:val="footer"/>
    <w:basedOn w:val="BodyText"/>
    <w:link w:val="FooterChar"/>
    <w:rsid w:val="00A6515C"/>
    <w:pPr>
      <w:spacing w:before="80" w:line="200" w:lineRule="exact"/>
      <w:ind w:right="6"/>
      <w:jc w:val="left"/>
    </w:pPr>
    <w:rPr>
      <w:rFonts w:ascii="Arial" w:hAnsi="Arial"/>
      <w:caps/>
      <w:spacing w:val="-4"/>
      <w:sz w:val="16"/>
    </w:rPr>
  </w:style>
  <w:style w:type="paragraph" w:customStyle="1" w:styleId="FooterEnd">
    <w:name w:val="Footer End"/>
    <w:basedOn w:val="Footer"/>
    <w:rsid w:val="00A6515C"/>
    <w:pPr>
      <w:spacing w:before="0" w:line="20" w:lineRule="exact"/>
    </w:pPr>
  </w:style>
  <w:style w:type="paragraph" w:styleId="Header">
    <w:name w:val="header"/>
    <w:basedOn w:val="BodyText"/>
    <w:rsid w:val="00A6515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6515C"/>
    <w:pPr>
      <w:spacing w:line="20" w:lineRule="exact"/>
    </w:pPr>
    <w:rPr>
      <w:sz w:val="16"/>
    </w:rPr>
  </w:style>
  <w:style w:type="paragraph" w:customStyle="1" w:styleId="HeaderEven">
    <w:name w:val="Header Even"/>
    <w:basedOn w:val="Header"/>
    <w:semiHidden/>
    <w:rsid w:val="00A6515C"/>
  </w:style>
  <w:style w:type="paragraph" w:customStyle="1" w:styleId="HeaderOdd">
    <w:name w:val="Header Odd"/>
    <w:basedOn w:val="Header"/>
    <w:semiHidden/>
    <w:rsid w:val="00A6515C"/>
  </w:style>
  <w:style w:type="character" w:styleId="PageNumber">
    <w:name w:val="page number"/>
    <w:basedOn w:val="DefaultParagraphFont"/>
    <w:rsid w:val="00A6515C"/>
    <w:rPr>
      <w:rFonts w:ascii="Arial" w:hAnsi="Arial"/>
      <w:b/>
      <w:sz w:val="16"/>
    </w:rPr>
  </w:style>
  <w:style w:type="paragraph" w:customStyle="1" w:styleId="Abbreviation">
    <w:name w:val="Abbreviation"/>
    <w:basedOn w:val="BodyText"/>
    <w:rsid w:val="00A6515C"/>
    <w:pPr>
      <w:spacing w:before="120"/>
      <w:ind w:left="2381" w:hanging="2381"/>
      <w:jc w:val="left"/>
    </w:pPr>
  </w:style>
  <w:style w:type="paragraph" w:customStyle="1" w:styleId="Box">
    <w:name w:val="Box"/>
    <w:basedOn w:val="BodyText"/>
    <w:link w:val="BoxChar"/>
    <w:qFormat/>
    <w:rsid w:val="00A6515C"/>
    <w:pPr>
      <w:keepNext/>
      <w:spacing w:before="120" w:line="260" w:lineRule="atLeast"/>
    </w:pPr>
    <w:rPr>
      <w:rFonts w:ascii="Arial" w:hAnsi="Arial"/>
      <w:sz w:val="20"/>
    </w:rPr>
  </w:style>
  <w:style w:type="character" w:customStyle="1" w:styleId="BoxChar">
    <w:name w:val="Box Char"/>
    <w:basedOn w:val="FootnoteTextChar"/>
    <w:link w:val="Box"/>
    <w:rsid w:val="00BD19D0"/>
    <w:rPr>
      <w:rFonts w:ascii="Arial" w:hAnsi="Arial"/>
    </w:rPr>
  </w:style>
  <w:style w:type="character" w:customStyle="1" w:styleId="FootnoteTextChar">
    <w:name w:val="Footnote Text Char"/>
    <w:basedOn w:val="DefaultParagraphFont"/>
    <w:link w:val="FootnoteText"/>
    <w:locked/>
    <w:rsid w:val="00BD19D0"/>
  </w:style>
  <w:style w:type="paragraph" w:styleId="FootnoteText">
    <w:name w:val="footnote text"/>
    <w:basedOn w:val="BodyText"/>
    <w:link w:val="FootnoteTextChar"/>
    <w:rsid w:val="00A6515C"/>
    <w:pPr>
      <w:tabs>
        <w:tab w:val="left" w:pos="284"/>
      </w:tabs>
      <w:spacing w:before="80" w:line="240" w:lineRule="exact"/>
      <w:ind w:left="284" w:hanging="284"/>
    </w:pPr>
    <w:rPr>
      <w:sz w:val="20"/>
    </w:rPr>
  </w:style>
  <w:style w:type="paragraph" w:customStyle="1" w:styleId="BoxContinued">
    <w:name w:val="Box Continued"/>
    <w:basedOn w:val="BodyText"/>
    <w:next w:val="BodyText"/>
    <w:semiHidden/>
    <w:rsid w:val="00A6515C"/>
    <w:pPr>
      <w:spacing w:before="180" w:line="220" w:lineRule="exact"/>
      <w:jc w:val="right"/>
    </w:pPr>
    <w:rPr>
      <w:rFonts w:ascii="Arial" w:hAnsi="Arial"/>
      <w:sz w:val="18"/>
    </w:rPr>
  </w:style>
  <w:style w:type="paragraph" w:customStyle="1" w:styleId="BoxHeading1">
    <w:name w:val="Box Heading 1"/>
    <w:basedOn w:val="BodyText"/>
    <w:next w:val="Box"/>
    <w:rsid w:val="00A6515C"/>
    <w:pPr>
      <w:keepNext/>
      <w:spacing w:before="200" w:line="280" w:lineRule="atLeast"/>
    </w:pPr>
    <w:rPr>
      <w:rFonts w:ascii="Arial" w:hAnsi="Arial"/>
      <w:b/>
      <w:sz w:val="22"/>
    </w:rPr>
  </w:style>
  <w:style w:type="paragraph" w:customStyle="1" w:styleId="BoxHeading2">
    <w:name w:val="Box Heading 2"/>
    <w:basedOn w:val="BoxHeading1"/>
    <w:next w:val="Normal"/>
    <w:rsid w:val="00A6515C"/>
    <w:rPr>
      <w:b w:val="0"/>
      <w:i/>
    </w:rPr>
  </w:style>
  <w:style w:type="paragraph" w:customStyle="1" w:styleId="BoxListBullet">
    <w:name w:val="Box List Bullet"/>
    <w:basedOn w:val="BodyText"/>
    <w:rsid w:val="00A6515C"/>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A6515C"/>
    <w:pPr>
      <w:numPr>
        <w:numId w:val="2"/>
      </w:numPr>
      <w:ind w:left="568" w:hanging="284"/>
    </w:pPr>
  </w:style>
  <w:style w:type="paragraph" w:customStyle="1" w:styleId="BoxListNumber">
    <w:name w:val="Box List Number"/>
    <w:basedOn w:val="BodyText"/>
    <w:rsid w:val="00A6515C"/>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A6515C"/>
    <w:pPr>
      <w:numPr>
        <w:ilvl w:val="1"/>
      </w:numPr>
      <w:ind w:left="681" w:hanging="397"/>
    </w:pPr>
  </w:style>
  <w:style w:type="paragraph" w:customStyle="1" w:styleId="BoxQuote">
    <w:name w:val="Box Quote"/>
    <w:basedOn w:val="BodyText"/>
    <w:next w:val="Box"/>
    <w:qFormat/>
    <w:rsid w:val="00A6515C"/>
    <w:pPr>
      <w:keepNext/>
      <w:spacing w:before="60" w:line="240" w:lineRule="exact"/>
      <w:ind w:left="284"/>
    </w:pPr>
    <w:rPr>
      <w:rFonts w:ascii="Arial" w:hAnsi="Arial"/>
      <w:sz w:val="18"/>
    </w:rPr>
  </w:style>
  <w:style w:type="paragraph" w:customStyle="1" w:styleId="Note">
    <w:name w:val="Note"/>
    <w:basedOn w:val="BodyText"/>
    <w:next w:val="BodyText"/>
    <w:rsid w:val="00A6515C"/>
    <w:pPr>
      <w:keepLines/>
      <w:spacing w:before="80" w:line="220" w:lineRule="exact"/>
    </w:pPr>
    <w:rPr>
      <w:rFonts w:ascii="Arial" w:hAnsi="Arial"/>
      <w:sz w:val="18"/>
    </w:rPr>
  </w:style>
  <w:style w:type="paragraph" w:customStyle="1" w:styleId="Source">
    <w:name w:val="Source"/>
    <w:basedOn w:val="Normal"/>
    <w:next w:val="BodyText"/>
    <w:rsid w:val="00A6515C"/>
    <w:pPr>
      <w:keepLines/>
      <w:spacing w:before="80" w:line="220" w:lineRule="exact"/>
      <w:jc w:val="both"/>
    </w:pPr>
    <w:rPr>
      <w:rFonts w:ascii="Arial" w:hAnsi="Arial"/>
      <w:sz w:val="18"/>
      <w:szCs w:val="20"/>
    </w:rPr>
  </w:style>
  <w:style w:type="paragraph" w:customStyle="1" w:styleId="BoxSource">
    <w:name w:val="Box Source"/>
    <w:basedOn w:val="Source"/>
    <w:next w:val="BodyText"/>
    <w:rsid w:val="00A6515C"/>
    <w:pPr>
      <w:spacing w:before="120"/>
    </w:pPr>
  </w:style>
  <w:style w:type="paragraph" w:customStyle="1" w:styleId="BoxSpace">
    <w:name w:val="Box Space"/>
    <w:basedOn w:val="BodyText"/>
    <w:rsid w:val="0070690A"/>
    <w:pPr>
      <w:keepNext/>
      <w:spacing w:before="360" w:line="80" w:lineRule="exact"/>
      <w:jc w:val="left"/>
    </w:pPr>
  </w:style>
  <w:style w:type="paragraph" w:styleId="Caption">
    <w:name w:val="caption"/>
    <w:basedOn w:val="Normal"/>
    <w:next w:val="BodyText"/>
    <w:rsid w:val="00A6515C"/>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A6515C"/>
    <w:pPr>
      <w:spacing w:before="120" w:after="0"/>
    </w:pPr>
  </w:style>
  <w:style w:type="paragraph" w:customStyle="1" w:styleId="BoxSubtitle">
    <w:name w:val="Box Subtitle"/>
    <w:basedOn w:val="BoxTitle"/>
    <w:next w:val="Normal"/>
    <w:rsid w:val="00A6515C"/>
    <w:pPr>
      <w:spacing w:after="80" w:line="200" w:lineRule="exact"/>
      <w:ind w:firstLine="0"/>
    </w:pPr>
    <w:rPr>
      <w:b w:val="0"/>
      <w:sz w:val="20"/>
    </w:rPr>
  </w:style>
  <w:style w:type="paragraph" w:customStyle="1" w:styleId="ChapterSummary">
    <w:name w:val="Chapter Summary"/>
    <w:basedOn w:val="BodyText"/>
    <w:rsid w:val="00A6515C"/>
    <w:pPr>
      <w:spacing w:line="280" w:lineRule="atLeast"/>
      <w:ind w:left="907"/>
    </w:pPr>
    <w:rPr>
      <w:rFonts w:ascii="Arial" w:hAnsi="Arial"/>
      <w:b/>
      <w:sz w:val="20"/>
    </w:rPr>
  </w:style>
  <w:style w:type="character" w:styleId="CommentReference">
    <w:name w:val="annotation reference"/>
    <w:basedOn w:val="DefaultParagraphFont"/>
    <w:semiHidden/>
    <w:rsid w:val="00A6515C"/>
    <w:rPr>
      <w:b/>
      <w:vanish/>
      <w:color w:val="FF00FF"/>
      <w:sz w:val="20"/>
    </w:rPr>
  </w:style>
  <w:style w:type="paragraph" w:styleId="CommentText">
    <w:name w:val="annotation text"/>
    <w:basedOn w:val="Normal"/>
    <w:link w:val="CommentTextChar"/>
    <w:semiHidden/>
    <w:rsid w:val="00A6515C"/>
    <w:pPr>
      <w:spacing w:before="120" w:line="240" w:lineRule="atLeast"/>
      <w:ind w:left="567" w:hanging="567"/>
    </w:pPr>
    <w:rPr>
      <w:sz w:val="20"/>
    </w:rPr>
  </w:style>
  <w:style w:type="paragraph" w:customStyle="1" w:styleId="Continued">
    <w:name w:val="Continued"/>
    <w:basedOn w:val="BoxContinued"/>
    <w:next w:val="BodyText"/>
    <w:rsid w:val="00A6515C"/>
  </w:style>
  <w:style w:type="character" w:customStyle="1" w:styleId="DocumentInfo">
    <w:name w:val="Document Info"/>
    <w:basedOn w:val="DefaultParagraphFont"/>
    <w:semiHidden/>
    <w:rsid w:val="00A6515C"/>
    <w:rPr>
      <w:rFonts w:ascii="Arial" w:hAnsi="Arial"/>
      <w:sz w:val="14"/>
    </w:rPr>
  </w:style>
  <w:style w:type="character" w:customStyle="1" w:styleId="DraftingNote">
    <w:name w:val="Drafting Note"/>
    <w:basedOn w:val="DefaultParagraphFont"/>
    <w:rsid w:val="00A6515C"/>
    <w:rPr>
      <w:b/>
      <w:color w:val="FF0000"/>
      <w:sz w:val="24"/>
      <w:u w:val="dotted"/>
    </w:rPr>
  </w:style>
  <w:style w:type="paragraph" w:customStyle="1" w:styleId="Figure">
    <w:name w:val="Figure"/>
    <w:basedOn w:val="BodyText"/>
    <w:rsid w:val="00A6515C"/>
    <w:pPr>
      <w:keepNext/>
      <w:spacing w:before="120" w:after="120" w:line="240" w:lineRule="atLeast"/>
      <w:jc w:val="center"/>
    </w:pPr>
  </w:style>
  <w:style w:type="paragraph" w:customStyle="1" w:styleId="FigureTitle">
    <w:name w:val="Figure Title"/>
    <w:basedOn w:val="Caption"/>
    <w:next w:val="Subtitle"/>
    <w:rsid w:val="00A6515C"/>
    <w:pPr>
      <w:spacing w:before="120"/>
    </w:pPr>
  </w:style>
  <w:style w:type="paragraph" w:styleId="Subtitle">
    <w:name w:val="Subtitle"/>
    <w:basedOn w:val="Caption"/>
    <w:link w:val="SubtitleChar"/>
    <w:qFormat/>
    <w:rsid w:val="00A6515C"/>
    <w:pPr>
      <w:spacing w:before="0" w:line="200" w:lineRule="exact"/>
      <w:ind w:firstLine="0"/>
    </w:pPr>
    <w:rPr>
      <w:b w:val="0"/>
      <w:sz w:val="20"/>
    </w:rPr>
  </w:style>
  <w:style w:type="paragraph" w:customStyle="1" w:styleId="Finding">
    <w:name w:val="Finding"/>
    <w:basedOn w:val="BodyText"/>
    <w:rsid w:val="00A6515C"/>
    <w:pPr>
      <w:keepLines/>
      <w:spacing w:before="120" w:line="280" w:lineRule="atLeast"/>
    </w:pPr>
    <w:rPr>
      <w:rFonts w:ascii="Arial" w:hAnsi="Arial"/>
      <w:sz w:val="22"/>
    </w:rPr>
  </w:style>
  <w:style w:type="paragraph" w:customStyle="1" w:styleId="FindingBullet">
    <w:name w:val="Finding Bullet"/>
    <w:basedOn w:val="Finding"/>
    <w:rsid w:val="00A6515C"/>
    <w:pPr>
      <w:numPr>
        <w:numId w:val="3"/>
      </w:numPr>
      <w:spacing w:before="80"/>
    </w:pPr>
  </w:style>
  <w:style w:type="paragraph" w:customStyle="1" w:styleId="FindingNoTitle">
    <w:name w:val="Finding NoTitle"/>
    <w:basedOn w:val="Finding"/>
    <w:rsid w:val="00A6515C"/>
    <w:pPr>
      <w:spacing w:before="240"/>
    </w:pPr>
  </w:style>
  <w:style w:type="paragraph" w:customStyle="1" w:styleId="RecTitle">
    <w:name w:val="Rec Title"/>
    <w:basedOn w:val="BodyText"/>
    <w:next w:val="Rec"/>
    <w:qFormat/>
    <w:rsid w:val="00A6515C"/>
    <w:pPr>
      <w:keepNext/>
      <w:keepLines/>
      <w:spacing w:line="280" w:lineRule="atLeast"/>
    </w:pPr>
    <w:rPr>
      <w:rFonts w:ascii="Arial" w:hAnsi="Arial"/>
      <w:caps/>
      <w:sz w:val="18"/>
    </w:rPr>
  </w:style>
  <w:style w:type="paragraph" w:customStyle="1" w:styleId="FindingTitle">
    <w:name w:val="Finding Title"/>
    <w:basedOn w:val="RecTitle"/>
    <w:next w:val="Finding"/>
    <w:rsid w:val="00A6515C"/>
  </w:style>
  <w:style w:type="character" w:styleId="FootnoteReference">
    <w:name w:val="footnote reference"/>
    <w:basedOn w:val="DefaultParagraphFont"/>
    <w:semiHidden/>
    <w:rsid w:val="00A6515C"/>
    <w:rPr>
      <w:rFonts w:ascii="Times New Roman" w:hAnsi="Times New Roman"/>
      <w:position w:val="6"/>
      <w:sz w:val="20"/>
      <w:vertAlign w:val="baseline"/>
    </w:rPr>
  </w:style>
  <w:style w:type="paragraph" w:customStyle="1" w:styleId="InformationRequest">
    <w:name w:val="Information Request"/>
    <w:basedOn w:val="Finding"/>
    <w:next w:val="BodyText"/>
    <w:rsid w:val="00A6515C"/>
    <w:rPr>
      <w:i/>
    </w:rPr>
  </w:style>
  <w:style w:type="paragraph" w:customStyle="1" w:styleId="Jurisdictioncommentsbodytext">
    <w:name w:val="Jurisdiction comments body text"/>
    <w:rsid w:val="00A6515C"/>
    <w:pPr>
      <w:spacing w:after="140"/>
      <w:jc w:val="both"/>
    </w:pPr>
    <w:rPr>
      <w:rFonts w:ascii="Arial" w:hAnsi="Arial"/>
      <w:sz w:val="24"/>
      <w:lang w:eastAsia="en-US"/>
    </w:rPr>
  </w:style>
  <w:style w:type="paragraph" w:customStyle="1" w:styleId="Jurisdictioncommentsheading">
    <w:name w:val="Jurisdiction comments heading"/>
    <w:rsid w:val="00A6515C"/>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6515C"/>
    <w:pPr>
      <w:numPr>
        <w:numId w:val="4"/>
      </w:numPr>
      <w:spacing w:after="140"/>
      <w:jc w:val="both"/>
    </w:pPr>
    <w:rPr>
      <w:rFonts w:ascii="Arial" w:hAnsi="Arial"/>
      <w:sz w:val="24"/>
      <w:lang w:eastAsia="en-US"/>
    </w:rPr>
  </w:style>
  <w:style w:type="paragraph" w:styleId="ListBullet">
    <w:name w:val="List Bullet"/>
    <w:basedOn w:val="BodyText"/>
    <w:rsid w:val="00A6515C"/>
    <w:pPr>
      <w:numPr>
        <w:numId w:val="5"/>
      </w:numPr>
      <w:spacing w:before="120"/>
    </w:pPr>
  </w:style>
  <w:style w:type="paragraph" w:styleId="ListBullet2">
    <w:name w:val="List Bullet 2"/>
    <w:basedOn w:val="BodyText"/>
    <w:rsid w:val="00A6515C"/>
    <w:pPr>
      <w:numPr>
        <w:numId w:val="6"/>
      </w:numPr>
      <w:spacing w:before="120"/>
    </w:pPr>
  </w:style>
  <w:style w:type="paragraph" w:styleId="ListBullet3">
    <w:name w:val="List Bullet 3"/>
    <w:basedOn w:val="BodyText"/>
    <w:rsid w:val="00A6515C"/>
    <w:pPr>
      <w:numPr>
        <w:numId w:val="7"/>
      </w:numPr>
      <w:spacing w:before="120"/>
      <w:ind w:left="1020" w:hanging="340"/>
    </w:pPr>
  </w:style>
  <w:style w:type="paragraph" w:styleId="ListNumber">
    <w:name w:val="List Number"/>
    <w:basedOn w:val="BodyText"/>
    <w:rsid w:val="00A6515C"/>
    <w:pPr>
      <w:numPr>
        <w:numId w:val="13"/>
      </w:numPr>
      <w:spacing w:before="120"/>
    </w:pPr>
  </w:style>
  <w:style w:type="paragraph" w:styleId="ListNumber2">
    <w:name w:val="List Number 2"/>
    <w:basedOn w:val="ListNumber"/>
    <w:rsid w:val="00A6515C"/>
    <w:pPr>
      <w:numPr>
        <w:ilvl w:val="1"/>
      </w:numPr>
    </w:pPr>
  </w:style>
  <w:style w:type="paragraph" w:styleId="ListNumber3">
    <w:name w:val="List Number 3"/>
    <w:basedOn w:val="ListNumber2"/>
    <w:rsid w:val="00A6515C"/>
    <w:pPr>
      <w:numPr>
        <w:ilvl w:val="2"/>
      </w:numPr>
    </w:pPr>
  </w:style>
  <w:style w:type="character" w:customStyle="1" w:styleId="NoteLabel">
    <w:name w:val="Note Label"/>
    <w:basedOn w:val="DefaultParagraphFont"/>
    <w:rsid w:val="00A6515C"/>
    <w:rPr>
      <w:rFonts w:ascii="Arial" w:hAnsi="Arial"/>
      <w:b/>
      <w:position w:val="6"/>
      <w:sz w:val="18"/>
    </w:rPr>
  </w:style>
  <w:style w:type="paragraph" w:customStyle="1" w:styleId="PartDivider">
    <w:name w:val="Part Divider"/>
    <w:basedOn w:val="BodyText"/>
    <w:next w:val="BodyText"/>
    <w:semiHidden/>
    <w:rsid w:val="00A6515C"/>
    <w:pPr>
      <w:spacing w:before="0" w:line="40" w:lineRule="exact"/>
      <w:jc w:val="right"/>
    </w:pPr>
    <w:rPr>
      <w:smallCaps/>
      <w:sz w:val="16"/>
    </w:rPr>
  </w:style>
  <w:style w:type="paragraph" w:customStyle="1" w:styleId="PartNumber">
    <w:name w:val="Part Number"/>
    <w:basedOn w:val="BodyText"/>
    <w:next w:val="BodyText"/>
    <w:semiHidden/>
    <w:rsid w:val="00A6515C"/>
    <w:pPr>
      <w:spacing w:before="4000" w:line="320" w:lineRule="exact"/>
      <w:ind w:left="6634"/>
      <w:jc w:val="right"/>
    </w:pPr>
    <w:rPr>
      <w:smallCaps/>
      <w:spacing w:val="60"/>
      <w:sz w:val="32"/>
    </w:rPr>
  </w:style>
  <w:style w:type="paragraph" w:customStyle="1" w:styleId="PartTitle">
    <w:name w:val="Part Title"/>
    <w:basedOn w:val="BodyText"/>
    <w:semiHidden/>
    <w:rsid w:val="00A6515C"/>
    <w:pPr>
      <w:spacing w:before="160" w:after="1360" w:line="520" w:lineRule="exact"/>
      <w:ind w:right="2381"/>
      <w:jc w:val="right"/>
    </w:pPr>
    <w:rPr>
      <w:smallCaps/>
      <w:sz w:val="52"/>
    </w:rPr>
  </w:style>
  <w:style w:type="paragraph" w:styleId="Quote">
    <w:name w:val="Quote"/>
    <w:basedOn w:val="BodyText"/>
    <w:next w:val="BodyText"/>
    <w:qFormat/>
    <w:rsid w:val="00A6515C"/>
    <w:pPr>
      <w:spacing w:before="120" w:line="280" w:lineRule="exact"/>
      <w:ind w:left="340"/>
    </w:pPr>
    <w:rPr>
      <w:sz w:val="22"/>
    </w:rPr>
  </w:style>
  <w:style w:type="paragraph" w:customStyle="1" w:styleId="QuoteBullet">
    <w:name w:val="Quote Bullet"/>
    <w:basedOn w:val="Quote"/>
    <w:rsid w:val="00A6515C"/>
    <w:pPr>
      <w:numPr>
        <w:numId w:val="8"/>
      </w:numPr>
    </w:pPr>
  </w:style>
  <w:style w:type="paragraph" w:customStyle="1" w:styleId="Rec">
    <w:name w:val="Rec"/>
    <w:basedOn w:val="BodyText"/>
    <w:qFormat/>
    <w:rsid w:val="00A6515C"/>
    <w:pPr>
      <w:keepLines/>
      <w:spacing w:before="120" w:line="280" w:lineRule="atLeast"/>
    </w:pPr>
    <w:rPr>
      <w:rFonts w:ascii="Arial" w:hAnsi="Arial"/>
      <w:sz w:val="22"/>
    </w:rPr>
  </w:style>
  <w:style w:type="paragraph" w:customStyle="1" w:styleId="RecBullet">
    <w:name w:val="Rec Bullet"/>
    <w:basedOn w:val="Rec"/>
    <w:rsid w:val="00A6515C"/>
    <w:pPr>
      <w:numPr>
        <w:numId w:val="9"/>
      </w:numPr>
      <w:spacing w:before="80"/>
    </w:pPr>
  </w:style>
  <w:style w:type="paragraph" w:customStyle="1" w:styleId="RecB">
    <w:name w:val="RecB"/>
    <w:basedOn w:val="Normal"/>
    <w:rsid w:val="00A6515C"/>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A6515C"/>
    <w:pPr>
      <w:numPr>
        <w:numId w:val="10"/>
      </w:numPr>
      <w:spacing w:before="80"/>
    </w:pPr>
  </w:style>
  <w:style w:type="paragraph" w:customStyle="1" w:styleId="RecBNoTitle">
    <w:name w:val="RecB NoTitle"/>
    <w:basedOn w:val="RecB"/>
    <w:rsid w:val="00A6515C"/>
    <w:pPr>
      <w:spacing w:before="240"/>
    </w:pPr>
  </w:style>
  <w:style w:type="paragraph" w:customStyle="1" w:styleId="Reference">
    <w:name w:val="Reference"/>
    <w:basedOn w:val="BodyText"/>
    <w:rsid w:val="00A6515C"/>
    <w:pPr>
      <w:spacing w:before="120"/>
      <w:ind w:left="340" w:hanging="340"/>
    </w:pPr>
  </w:style>
  <w:style w:type="paragraph" w:customStyle="1" w:styleId="SequenceInfo">
    <w:name w:val="Sequence Info"/>
    <w:basedOn w:val="BodyText"/>
    <w:semiHidden/>
    <w:rsid w:val="00A6515C"/>
    <w:rPr>
      <w:vanish/>
      <w:sz w:val="16"/>
    </w:rPr>
  </w:style>
  <w:style w:type="paragraph" w:customStyle="1" w:styleId="SideNote">
    <w:name w:val="Side Note"/>
    <w:basedOn w:val="BodyText"/>
    <w:next w:val="BodyText"/>
    <w:semiHidden/>
    <w:rsid w:val="00A6515C"/>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6515C"/>
    <w:pPr>
      <w:framePr w:wrap="around"/>
      <w:numPr>
        <w:numId w:val="11"/>
      </w:numPr>
      <w:tabs>
        <w:tab w:val="left" w:pos="227"/>
      </w:tabs>
    </w:pPr>
  </w:style>
  <w:style w:type="paragraph" w:customStyle="1" w:styleId="SideNoteGraphic">
    <w:name w:val="Side Note Graphic"/>
    <w:basedOn w:val="SideNote"/>
    <w:next w:val="BodyText"/>
    <w:semiHidden/>
    <w:rsid w:val="00A6515C"/>
    <w:pPr>
      <w:framePr w:wrap="around"/>
    </w:pPr>
  </w:style>
  <w:style w:type="paragraph" w:customStyle="1" w:styleId="TableBodyText">
    <w:name w:val="Table Body Text"/>
    <w:basedOn w:val="BodyText"/>
    <w:link w:val="TableBodyTextChar"/>
    <w:rsid w:val="00A6515C"/>
    <w:pPr>
      <w:keepNext/>
      <w:keepLines/>
      <w:spacing w:before="0" w:after="40" w:line="200" w:lineRule="atLeast"/>
      <w:ind w:left="6" w:right="113"/>
      <w:jc w:val="right"/>
    </w:pPr>
    <w:rPr>
      <w:rFonts w:ascii="Arial" w:hAnsi="Arial"/>
      <w:sz w:val="18"/>
    </w:rPr>
  </w:style>
  <w:style w:type="character" w:customStyle="1" w:styleId="TableBodyTextChar">
    <w:name w:val="Table Body Text Char"/>
    <w:basedOn w:val="DefaultParagraphFont"/>
    <w:link w:val="TableBodyText"/>
    <w:locked/>
    <w:rsid w:val="00BD19D0"/>
    <w:rPr>
      <w:rFonts w:ascii="Arial" w:hAnsi="Arial"/>
      <w:sz w:val="18"/>
    </w:rPr>
  </w:style>
  <w:style w:type="paragraph" w:customStyle="1" w:styleId="TableBullet">
    <w:name w:val="Table Bullet"/>
    <w:basedOn w:val="TableBodyText"/>
    <w:link w:val="TableBulletChar"/>
    <w:rsid w:val="00A6515C"/>
    <w:pPr>
      <w:numPr>
        <w:numId w:val="12"/>
      </w:numPr>
      <w:jc w:val="left"/>
    </w:pPr>
  </w:style>
  <w:style w:type="character" w:customStyle="1" w:styleId="TableBulletChar">
    <w:name w:val="Table Bullet Char"/>
    <w:basedOn w:val="DefaultParagraphFont"/>
    <w:link w:val="TableBullet"/>
    <w:locked/>
    <w:rsid w:val="00BD19D0"/>
    <w:rPr>
      <w:rFonts w:ascii="Arial" w:hAnsi="Arial"/>
      <w:sz w:val="18"/>
    </w:rPr>
  </w:style>
  <w:style w:type="paragraph" w:customStyle="1" w:styleId="TableColumnHeading">
    <w:name w:val="Table Column Heading"/>
    <w:basedOn w:val="TableBodyText"/>
    <w:rsid w:val="00A6515C"/>
    <w:pPr>
      <w:spacing w:before="80" w:after="80"/>
    </w:pPr>
    <w:rPr>
      <w:i/>
    </w:rPr>
  </w:style>
  <w:style w:type="paragraph" w:styleId="TOC2">
    <w:name w:val="toc 2"/>
    <w:basedOn w:val="TOC1"/>
    <w:rsid w:val="00A6515C"/>
    <w:pPr>
      <w:ind w:left="1134" w:hanging="624"/>
    </w:pPr>
    <w:rPr>
      <w:b w:val="0"/>
    </w:rPr>
  </w:style>
  <w:style w:type="paragraph" w:styleId="TOC3">
    <w:name w:val="toc 3"/>
    <w:basedOn w:val="TOC2"/>
    <w:rsid w:val="00A6515C"/>
    <w:pPr>
      <w:spacing w:before="60"/>
      <w:ind w:left="1190" w:hanging="680"/>
    </w:pPr>
  </w:style>
  <w:style w:type="paragraph" w:styleId="TableofFigures">
    <w:name w:val="table of figures"/>
    <w:basedOn w:val="TOC3"/>
    <w:next w:val="BodyText"/>
    <w:semiHidden/>
    <w:rsid w:val="00A6515C"/>
    <w:pPr>
      <w:ind w:left="737" w:hanging="737"/>
    </w:pPr>
  </w:style>
  <w:style w:type="paragraph" w:customStyle="1" w:styleId="TableTitle">
    <w:name w:val="Table Title"/>
    <w:basedOn w:val="Caption"/>
    <w:next w:val="Subtitle"/>
    <w:qFormat/>
    <w:rsid w:val="00A6515C"/>
    <w:pPr>
      <w:spacing w:before="120"/>
    </w:pPr>
  </w:style>
  <w:style w:type="paragraph" w:customStyle="1" w:styleId="TableUnitsRow">
    <w:name w:val="Table Units Row"/>
    <w:basedOn w:val="TableBodyText"/>
    <w:rsid w:val="00A6515C"/>
    <w:pPr>
      <w:spacing w:before="40"/>
    </w:pPr>
  </w:style>
  <w:style w:type="paragraph" w:styleId="TOC1">
    <w:name w:val="toc 1"/>
    <w:basedOn w:val="Normal"/>
    <w:next w:val="TOC2"/>
    <w:link w:val="TOC1Char"/>
    <w:rsid w:val="00A6515C"/>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A6515C"/>
    <w:pPr>
      <w:ind w:left="1191" w:firstLine="0"/>
    </w:pPr>
  </w:style>
  <w:style w:type="table" w:styleId="TableGrid">
    <w:name w:val="Table Grid"/>
    <w:basedOn w:val="TableNormal"/>
    <w:rsid w:val="00A651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rsid w:val="00A6515C"/>
    <w:rPr>
      <w:sz w:val="24"/>
    </w:rPr>
  </w:style>
  <w:style w:type="character" w:styleId="Hyperlink">
    <w:name w:val="Hyperlink"/>
    <w:basedOn w:val="DefaultParagraphFont"/>
    <w:uiPriority w:val="99"/>
    <w:rsid w:val="00BD19D0"/>
    <w:rPr>
      <w:color w:val="0000FF"/>
      <w:u w:val="single"/>
    </w:rPr>
  </w:style>
  <w:style w:type="paragraph" w:styleId="BalloonText">
    <w:name w:val="Balloon Text"/>
    <w:basedOn w:val="Normal"/>
    <w:link w:val="BalloonTextChar"/>
    <w:rsid w:val="00A6515C"/>
    <w:rPr>
      <w:rFonts w:ascii="Tahoma" w:hAnsi="Tahoma" w:cs="Tahoma"/>
      <w:sz w:val="16"/>
      <w:szCs w:val="16"/>
    </w:rPr>
  </w:style>
  <w:style w:type="paragraph" w:customStyle="1" w:styleId="TableBullet2">
    <w:name w:val="Table Bullet 2"/>
    <w:basedOn w:val="BoxListBullet2"/>
    <w:rsid w:val="00BD19D0"/>
    <w:pPr>
      <w:spacing w:before="0" w:after="40" w:line="220" w:lineRule="atLeast"/>
      <w:jc w:val="left"/>
    </w:pPr>
  </w:style>
  <w:style w:type="paragraph" w:customStyle="1" w:styleId="RecBBullet2">
    <w:name w:val="RecB Bullet 2"/>
    <w:basedOn w:val="ListBullet2"/>
    <w:semiHidden/>
    <w:rsid w:val="00A6515C"/>
    <w:pPr>
      <w:pBdr>
        <w:left w:val="single" w:sz="24" w:space="29" w:color="C0C0C0"/>
      </w:pBdr>
    </w:pPr>
    <w:rPr>
      <w:b/>
      <w:i/>
    </w:rPr>
  </w:style>
  <w:style w:type="character" w:customStyle="1" w:styleId="BalloonTextChar">
    <w:name w:val="Balloon Text Char"/>
    <w:basedOn w:val="DefaultParagraphFont"/>
    <w:link w:val="BalloonText"/>
    <w:rsid w:val="00A6515C"/>
    <w:rPr>
      <w:rFonts w:ascii="Tahoma" w:hAnsi="Tahoma" w:cs="Tahoma"/>
      <w:sz w:val="16"/>
      <w:szCs w:val="16"/>
    </w:rPr>
  </w:style>
  <w:style w:type="character" w:customStyle="1" w:styleId="SubtitleChar">
    <w:name w:val="Subtitle Char"/>
    <w:basedOn w:val="DefaultParagraphFont"/>
    <w:link w:val="Subtitle"/>
    <w:rsid w:val="00A6515C"/>
    <w:rPr>
      <w:rFonts w:ascii="Arial" w:hAnsi="Arial"/>
      <w:szCs w:val="24"/>
    </w:rPr>
  </w:style>
  <w:style w:type="paragraph" w:customStyle="1" w:styleId="BoxListBullet3">
    <w:name w:val="Box List Bullet 3"/>
    <w:basedOn w:val="ListBullet3"/>
    <w:rsid w:val="00A6515C"/>
    <w:pPr>
      <w:numPr>
        <w:numId w:val="19"/>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A6515C"/>
    <w:rPr>
      <w:i/>
      <w:iCs/>
    </w:rPr>
  </w:style>
  <w:style w:type="paragraph" w:customStyle="1" w:styleId="BoxQuoteBullet">
    <w:name w:val="Box Quote Bullet"/>
    <w:basedOn w:val="BoxQuote"/>
    <w:next w:val="Box"/>
    <w:rsid w:val="00A6515C"/>
    <w:pPr>
      <w:numPr>
        <w:numId w:val="16"/>
      </w:numPr>
      <w:ind w:left="568" w:hanging="284"/>
    </w:pPr>
  </w:style>
  <w:style w:type="paragraph" w:customStyle="1" w:styleId="InformationRequestBullet">
    <w:name w:val="Information Request Bullet"/>
    <w:basedOn w:val="ListBullet"/>
    <w:next w:val="BodyText"/>
    <w:rsid w:val="00A6515C"/>
    <w:pPr>
      <w:numPr>
        <w:numId w:val="17"/>
      </w:numPr>
      <w:spacing w:before="80" w:line="280" w:lineRule="atLeast"/>
      <w:ind w:left="357" w:hanging="357"/>
    </w:pPr>
    <w:rPr>
      <w:rFonts w:ascii="Arial" w:hAnsi="Arial"/>
      <w:i/>
      <w:sz w:val="22"/>
    </w:rPr>
  </w:style>
  <w:style w:type="paragraph" w:customStyle="1" w:styleId="TableBullet3">
    <w:name w:val="Table Bullet 3"/>
    <w:basedOn w:val="TableBullet2"/>
    <w:qFormat/>
    <w:rsid w:val="004A38B5"/>
    <w:pPr>
      <w:numPr>
        <w:numId w:val="18"/>
      </w:numPr>
      <w:ind w:left="822" w:hanging="178"/>
    </w:pPr>
  </w:style>
  <w:style w:type="paragraph" w:customStyle="1" w:styleId="Default">
    <w:name w:val="Default"/>
    <w:rsid w:val="004A38B5"/>
    <w:pPr>
      <w:autoSpaceDE w:val="0"/>
      <w:autoSpaceDN w:val="0"/>
      <w:adjustRightInd w:val="0"/>
    </w:pPr>
    <w:rPr>
      <w:rFonts w:ascii="Calibri" w:eastAsiaTheme="minorEastAsia" w:hAnsi="Calibri" w:cs="Calibri"/>
      <w:color w:val="000000"/>
      <w:sz w:val="24"/>
      <w:szCs w:val="24"/>
    </w:rPr>
  </w:style>
  <w:style w:type="paragraph" w:customStyle="1" w:styleId="BoxSpaceAbove">
    <w:name w:val="Box Space Above"/>
    <w:basedOn w:val="BodyText"/>
    <w:rsid w:val="00A6515C"/>
    <w:pPr>
      <w:keepNext/>
      <w:spacing w:before="360" w:line="80" w:lineRule="exact"/>
      <w:jc w:val="left"/>
    </w:pPr>
  </w:style>
  <w:style w:type="paragraph" w:customStyle="1" w:styleId="BoxSpaceBelow">
    <w:name w:val="Box Space Below"/>
    <w:basedOn w:val="Box"/>
    <w:rsid w:val="00A6515C"/>
    <w:pPr>
      <w:keepNext w:val="0"/>
      <w:spacing w:before="60" w:after="60" w:line="80" w:lineRule="exact"/>
    </w:pPr>
    <w:rPr>
      <w:sz w:val="14"/>
    </w:rPr>
  </w:style>
  <w:style w:type="character" w:customStyle="1" w:styleId="Heading2Char">
    <w:name w:val="Heading 2 Char"/>
    <w:basedOn w:val="DefaultParagraphFont"/>
    <w:link w:val="Heading2"/>
    <w:rsid w:val="006A1828"/>
    <w:rPr>
      <w:rFonts w:ascii="Arial" w:hAnsi="Arial"/>
      <w:b/>
      <w:sz w:val="32"/>
    </w:rPr>
  </w:style>
  <w:style w:type="character" w:styleId="PlaceholderText">
    <w:name w:val="Placeholder Text"/>
    <w:basedOn w:val="DefaultParagraphFont"/>
    <w:uiPriority w:val="99"/>
    <w:semiHidden/>
    <w:rsid w:val="00B04758"/>
    <w:rPr>
      <w:color w:val="808080"/>
    </w:rPr>
  </w:style>
  <w:style w:type="paragraph" w:customStyle="1" w:styleId="KeyPointsListBullet">
    <w:name w:val="Key Points List Bullet"/>
    <w:basedOn w:val="Normal"/>
    <w:qFormat/>
    <w:rsid w:val="00A6515C"/>
    <w:pPr>
      <w:keepNext/>
      <w:numPr>
        <w:numId w:val="23"/>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6515C"/>
    <w:pPr>
      <w:numPr>
        <w:numId w:val="24"/>
      </w:numPr>
      <w:ind w:left="568" w:hanging="284"/>
    </w:pPr>
  </w:style>
  <w:style w:type="paragraph" w:customStyle="1" w:styleId="InformationRequestTitle">
    <w:name w:val="Information Request Title"/>
    <w:basedOn w:val="FindingTitle"/>
    <w:next w:val="InformationRequest"/>
    <w:rsid w:val="00A6515C"/>
    <w:rPr>
      <w:i/>
    </w:rPr>
  </w:style>
  <w:style w:type="paragraph" w:customStyle="1" w:styleId="Space">
    <w:name w:val="Space"/>
    <w:basedOn w:val="Normal"/>
    <w:rsid w:val="00A6515C"/>
    <w:pPr>
      <w:keepNext/>
      <w:spacing w:line="120" w:lineRule="exact"/>
      <w:jc w:val="both"/>
    </w:pPr>
    <w:rPr>
      <w:rFonts w:ascii="Arial" w:hAnsi="Arial"/>
      <w:sz w:val="20"/>
      <w:szCs w:val="20"/>
    </w:rPr>
  </w:style>
  <w:style w:type="paragraph" w:customStyle="1" w:styleId="Heading1nochapterno">
    <w:name w:val="Heading 1 (no chapter no.)"/>
    <w:basedOn w:val="Heading1"/>
    <w:rsid w:val="00A6515C"/>
    <w:pPr>
      <w:spacing w:before="0"/>
      <w:ind w:left="0" w:firstLine="0"/>
    </w:pPr>
  </w:style>
  <w:style w:type="paragraph" w:customStyle="1" w:styleId="Heading2nosectionno">
    <w:name w:val="Heading 2 (no section no.)"/>
    <w:basedOn w:val="Heading2"/>
    <w:rsid w:val="00A6515C"/>
    <w:pPr>
      <w:ind w:left="0" w:firstLine="0"/>
    </w:pPr>
  </w:style>
  <w:style w:type="character" w:customStyle="1" w:styleId="Heading5Char">
    <w:name w:val="Heading 5 Char"/>
    <w:basedOn w:val="DefaultParagraphFont"/>
    <w:link w:val="Heading5"/>
    <w:rsid w:val="00A6515C"/>
    <w:rPr>
      <w:rFonts w:ascii="Arial" w:hAnsi="Arial"/>
      <w:i/>
      <w:sz w:val="22"/>
    </w:rPr>
  </w:style>
  <w:style w:type="paragraph" w:customStyle="1" w:styleId="Figurespace">
    <w:name w:val="Figure space"/>
    <w:basedOn w:val="Box"/>
    <w:rsid w:val="00A6515C"/>
    <w:pPr>
      <w:spacing w:before="0" w:line="120" w:lineRule="exact"/>
    </w:pPr>
  </w:style>
  <w:style w:type="paragraph" w:customStyle="1" w:styleId="FooterDraftReport">
    <w:name w:val="FooterDraftReport"/>
    <w:basedOn w:val="Footer"/>
    <w:link w:val="FooterDraftReportChar"/>
    <w:rsid w:val="00A6515C"/>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A6515C"/>
    <w:rPr>
      <w:rFonts w:ascii="Arial" w:hAnsi="Arial"/>
      <w:caps/>
      <w:spacing w:val="-4"/>
      <w:sz w:val="16"/>
    </w:rPr>
  </w:style>
  <w:style w:type="character" w:customStyle="1" w:styleId="FooterDraftReportChar">
    <w:name w:val="FooterDraftReport Char"/>
    <w:basedOn w:val="FooterChar"/>
    <w:link w:val="FooterDraftReport"/>
    <w:rsid w:val="00A6515C"/>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A6515C"/>
    <w:rPr>
      <w:rFonts w:ascii="Arial" w:hAnsi="Arial"/>
      <w:b/>
      <w:sz w:val="26"/>
      <w:szCs w:val="26"/>
      <w:lang w:eastAsia="en-US"/>
    </w:rPr>
  </w:style>
  <w:style w:type="paragraph" w:customStyle="1" w:styleId="DQIContentsTitle">
    <w:name w:val="DQI Contents Title"/>
    <w:basedOn w:val="Heading5"/>
    <w:next w:val="TOC3"/>
    <w:rsid w:val="00162EBE"/>
    <w:rPr>
      <w:b/>
      <w:i w:val="0"/>
      <w:sz w:val="24"/>
      <w:szCs w:val="24"/>
    </w:rPr>
  </w:style>
  <w:style w:type="paragraph" w:customStyle="1" w:styleId="Heading1NotTOC">
    <w:name w:val="Heading 1 Not TOC"/>
    <w:basedOn w:val="Heading1"/>
    <w:next w:val="BodyText"/>
    <w:rsid w:val="00162EBE"/>
    <w:rPr>
      <w:kern w:val="28"/>
      <w:szCs w:val="26"/>
      <w:lang w:eastAsia="en-US"/>
    </w:rPr>
  </w:style>
  <w:style w:type="paragraph" w:customStyle="1" w:styleId="PCTableOfContents1">
    <w:name w:val="*PCTableOfContents1"/>
    <w:rsid w:val="00162EBE"/>
    <w:rPr>
      <w:noProof/>
      <w:sz w:val="3276"/>
    </w:rPr>
  </w:style>
  <w:style w:type="paragraph" w:customStyle="1" w:styleId="DQIMainRowHeadings">
    <w:name w:val="DQI Main Row Headings"/>
    <w:basedOn w:val="Normal"/>
    <w:next w:val="Normal"/>
    <w:rsid w:val="00162EBE"/>
    <w:pPr>
      <w:keepNext/>
      <w:keepLines/>
      <w:spacing w:before="120" w:line="200" w:lineRule="atLeast"/>
      <w:ind w:left="6" w:right="113"/>
    </w:pPr>
    <w:rPr>
      <w:rFonts w:ascii="Arial" w:hAnsi="Arial"/>
      <w:b/>
      <w:sz w:val="18"/>
      <w:szCs w:val="20"/>
      <w:u w:val="single"/>
    </w:rPr>
  </w:style>
  <w:style w:type="paragraph" w:customStyle="1" w:styleId="DQITableText">
    <w:name w:val="DQI Table Text"/>
    <w:basedOn w:val="TableBodyText"/>
    <w:qFormat/>
    <w:rsid w:val="00162EBE"/>
    <w:pPr>
      <w:spacing w:before="120" w:after="0"/>
      <w:ind w:left="0" w:right="0"/>
      <w:jc w:val="both"/>
    </w:pPr>
  </w:style>
  <w:style w:type="paragraph" w:customStyle="1" w:styleId="DQIRowHeadings">
    <w:name w:val="DQI Row Headings"/>
    <w:basedOn w:val="Normal"/>
    <w:qFormat/>
    <w:rsid w:val="00162EBE"/>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qFormat/>
    <w:rsid w:val="00B47113"/>
    <w:pPr>
      <w:numPr>
        <w:numId w:val="25"/>
      </w:numPr>
      <w:spacing w:before="40" w:after="0"/>
      <w:ind w:left="340" w:hanging="340"/>
      <w:jc w:val="both"/>
    </w:pPr>
  </w:style>
  <w:style w:type="paragraph" w:customStyle="1" w:styleId="DQITableBullet2">
    <w:name w:val="DQI Table Bullet 2"/>
    <w:basedOn w:val="DQITableBullet"/>
    <w:qFormat/>
    <w:rsid w:val="004F74EE"/>
    <w:pPr>
      <w:numPr>
        <w:numId w:val="26"/>
      </w:numPr>
    </w:pPr>
  </w:style>
  <w:style w:type="paragraph" w:styleId="CommentSubject">
    <w:name w:val="annotation subject"/>
    <w:basedOn w:val="CommentText"/>
    <w:next w:val="CommentText"/>
    <w:link w:val="CommentSubjectChar"/>
    <w:rsid w:val="002C7CAD"/>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2C7CAD"/>
    <w:rPr>
      <w:szCs w:val="24"/>
    </w:rPr>
  </w:style>
  <w:style w:type="character" w:customStyle="1" w:styleId="CommentSubjectChar">
    <w:name w:val="Comment Subject Char"/>
    <w:basedOn w:val="CommentTextChar"/>
    <w:link w:val="CommentSubject"/>
    <w:rsid w:val="002C7CAD"/>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A6515C"/>
    <w:rPr>
      <w:sz w:val="24"/>
      <w:szCs w:val="24"/>
    </w:rPr>
  </w:style>
  <w:style w:type="paragraph" w:styleId="Heading1">
    <w:name w:val="heading 1"/>
    <w:basedOn w:val="BodyText"/>
    <w:next w:val="BodyText"/>
    <w:rsid w:val="00A6515C"/>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6515C"/>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6515C"/>
    <w:pPr>
      <w:spacing w:before="560" w:line="320" w:lineRule="exact"/>
      <w:ind w:left="0" w:firstLine="0"/>
      <w:outlineLvl w:val="2"/>
    </w:pPr>
    <w:rPr>
      <w:sz w:val="26"/>
    </w:rPr>
  </w:style>
  <w:style w:type="paragraph" w:styleId="Heading4">
    <w:name w:val="heading 4"/>
    <w:basedOn w:val="Heading3"/>
    <w:next w:val="BodyText"/>
    <w:qFormat/>
    <w:rsid w:val="00A6515C"/>
    <w:pPr>
      <w:spacing w:before="480"/>
      <w:outlineLvl w:val="3"/>
    </w:pPr>
    <w:rPr>
      <w:b w:val="0"/>
      <w:sz w:val="24"/>
    </w:rPr>
  </w:style>
  <w:style w:type="paragraph" w:styleId="Heading5">
    <w:name w:val="heading 5"/>
    <w:basedOn w:val="Heading4"/>
    <w:next w:val="BodyText"/>
    <w:link w:val="Heading5Char"/>
    <w:qFormat/>
    <w:rsid w:val="00A6515C"/>
    <w:pPr>
      <w:outlineLvl w:val="4"/>
    </w:pPr>
    <w:rPr>
      <w:i/>
      <w:sz w:val="22"/>
    </w:rPr>
  </w:style>
  <w:style w:type="paragraph" w:styleId="Heading6">
    <w:name w:val="heading 6"/>
    <w:basedOn w:val="BodyText"/>
    <w:next w:val="BodyText"/>
    <w:rsid w:val="00A6515C"/>
    <w:pPr>
      <w:spacing w:after="60"/>
      <w:jc w:val="left"/>
      <w:outlineLvl w:val="5"/>
    </w:pPr>
    <w:rPr>
      <w:i/>
      <w:sz w:val="22"/>
    </w:rPr>
  </w:style>
  <w:style w:type="paragraph" w:styleId="Heading7">
    <w:name w:val="heading 7"/>
    <w:basedOn w:val="BodyText"/>
    <w:next w:val="BodyText"/>
    <w:rsid w:val="00A6515C"/>
    <w:pPr>
      <w:spacing w:after="60" w:line="240" w:lineRule="auto"/>
      <w:jc w:val="left"/>
      <w:outlineLvl w:val="6"/>
    </w:pPr>
    <w:rPr>
      <w:rFonts w:ascii="Arial" w:hAnsi="Arial"/>
      <w:sz w:val="20"/>
    </w:rPr>
  </w:style>
  <w:style w:type="paragraph" w:styleId="Heading8">
    <w:name w:val="heading 8"/>
    <w:basedOn w:val="BodyText"/>
    <w:next w:val="BodyText"/>
    <w:rsid w:val="00A6515C"/>
    <w:pPr>
      <w:spacing w:after="60" w:line="240" w:lineRule="auto"/>
      <w:jc w:val="left"/>
      <w:outlineLvl w:val="7"/>
    </w:pPr>
    <w:rPr>
      <w:rFonts w:ascii="Arial" w:hAnsi="Arial"/>
      <w:i/>
      <w:sz w:val="20"/>
    </w:rPr>
  </w:style>
  <w:style w:type="paragraph" w:styleId="Heading9">
    <w:name w:val="heading 9"/>
    <w:basedOn w:val="BodyText"/>
    <w:next w:val="BodyText"/>
    <w:rsid w:val="00A6515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651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515C"/>
  </w:style>
  <w:style w:type="paragraph" w:styleId="BodyText">
    <w:name w:val="Body Text"/>
    <w:link w:val="BodyTextChar"/>
    <w:qFormat/>
    <w:rsid w:val="00A6515C"/>
    <w:pPr>
      <w:spacing w:before="240" w:line="300" w:lineRule="atLeast"/>
      <w:jc w:val="both"/>
    </w:pPr>
    <w:rPr>
      <w:sz w:val="24"/>
    </w:rPr>
  </w:style>
  <w:style w:type="paragraph" w:customStyle="1" w:styleId="Chapter">
    <w:name w:val="Chapter"/>
    <w:basedOn w:val="Heading1"/>
    <w:next w:val="BodyText"/>
    <w:semiHidden/>
    <w:rsid w:val="00A6515C"/>
    <w:pPr>
      <w:ind w:left="0" w:firstLine="0"/>
      <w:outlineLvl w:val="9"/>
    </w:pPr>
  </w:style>
  <w:style w:type="character" w:customStyle="1" w:styleId="Heading3Char">
    <w:name w:val="Heading 3 Char"/>
    <w:basedOn w:val="DefaultParagraphFont"/>
    <w:link w:val="Heading3"/>
    <w:rsid w:val="00BD19D0"/>
    <w:rPr>
      <w:rFonts w:ascii="Arial" w:hAnsi="Arial"/>
      <w:b/>
      <w:sz w:val="26"/>
    </w:rPr>
  </w:style>
  <w:style w:type="paragraph" w:styleId="Footer">
    <w:name w:val="footer"/>
    <w:basedOn w:val="BodyText"/>
    <w:link w:val="FooterChar"/>
    <w:rsid w:val="00A6515C"/>
    <w:pPr>
      <w:spacing w:before="80" w:line="200" w:lineRule="exact"/>
      <w:ind w:right="6"/>
      <w:jc w:val="left"/>
    </w:pPr>
    <w:rPr>
      <w:rFonts w:ascii="Arial" w:hAnsi="Arial"/>
      <w:caps/>
      <w:spacing w:val="-4"/>
      <w:sz w:val="16"/>
    </w:rPr>
  </w:style>
  <w:style w:type="paragraph" w:customStyle="1" w:styleId="FooterEnd">
    <w:name w:val="Footer End"/>
    <w:basedOn w:val="Footer"/>
    <w:rsid w:val="00A6515C"/>
    <w:pPr>
      <w:spacing w:before="0" w:line="20" w:lineRule="exact"/>
    </w:pPr>
  </w:style>
  <w:style w:type="paragraph" w:styleId="Header">
    <w:name w:val="header"/>
    <w:basedOn w:val="BodyText"/>
    <w:rsid w:val="00A6515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6515C"/>
    <w:pPr>
      <w:spacing w:line="20" w:lineRule="exact"/>
    </w:pPr>
    <w:rPr>
      <w:sz w:val="16"/>
    </w:rPr>
  </w:style>
  <w:style w:type="paragraph" w:customStyle="1" w:styleId="HeaderEven">
    <w:name w:val="Header Even"/>
    <w:basedOn w:val="Header"/>
    <w:semiHidden/>
    <w:rsid w:val="00A6515C"/>
  </w:style>
  <w:style w:type="paragraph" w:customStyle="1" w:styleId="HeaderOdd">
    <w:name w:val="Header Odd"/>
    <w:basedOn w:val="Header"/>
    <w:semiHidden/>
    <w:rsid w:val="00A6515C"/>
  </w:style>
  <w:style w:type="character" w:styleId="PageNumber">
    <w:name w:val="page number"/>
    <w:basedOn w:val="DefaultParagraphFont"/>
    <w:rsid w:val="00A6515C"/>
    <w:rPr>
      <w:rFonts w:ascii="Arial" w:hAnsi="Arial"/>
      <w:b/>
      <w:sz w:val="16"/>
    </w:rPr>
  </w:style>
  <w:style w:type="paragraph" w:customStyle="1" w:styleId="Abbreviation">
    <w:name w:val="Abbreviation"/>
    <w:basedOn w:val="BodyText"/>
    <w:rsid w:val="00A6515C"/>
    <w:pPr>
      <w:spacing w:before="120"/>
      <w:ind w:left="2381" w:hanging="2381"/>
      <w:jc w:val="left"/>
    </w:pPr>
  </w:style>
  <w:style w:type="paragraph" w:customStyle="1" w:styleId="Box">
    <w:name w:val="Box"/>
    <w:basedOn w:val="BodyText"/>
    <w:link w:val="BoxChar"/>
    <w:qFormat/>
    <w:rsid w:val="00A6515C"/>
    <w:pPr>
      <w:keepNext/>
      <w:spacing w:before="120" w:line="260" w:lineRule="atLeast"/>
    </w:pPr>
    <w:rPr>
      <w:rFonts w:ascii="Arial" w:hAnsi="Arial"/>
      <w:sz w:val="20"/>
    </w:rPr>
  </w:style>
  <w:style w:type="character" w:customStyle="1" w:styleId="BoxChar">
    <w:name w:val="Box Char"/>
    <w:basedOn w:val="FootnoteTextChar"/>
    <w:link w:val="Box"/>
    <w:rsid w:val="00BD19D0"/>
    <w:rPr>
      <w:rFonts w:ascii="Arial" w:hAnsi="Arial"/>
    </w:rPr>
  </w:style>
  <w:style w:type="character" w:customStyle="1" w:styleId="FootnoteTextChar">
    <w:name w:val="Footnote Text Char"/>
    <w:basedOn w:val="DefaultParagraphFont"/>
    <w:link w:val="FootnoteText"/>
    <w:locked/>
    <w:rsid w:val="00BD19D0"/>
  </w:style>
  <w:style w:type="paragraph" w:styleId="FootnoteText">
    <w:name w:val="footnote text"/>
    <w:basedOn w:val="BodyText"/>
    <w:link w:val="FootnoteTextChar"/>
    <w:rsid w:val="00A6515C"/>
    <w:pPr>
      <w:tabs>
        <w:tab w:val="left" w:pos="284"/>
      </w:tabs>
      <w:spacing w:before="80" w:line="240" w:lineRule="exact"/>
      <w:ind w:left="284" w:hanging="284"/>
    </w:pPr>
    <w:rPr>
      <w:sz w:val="20"/>
    </w:rPr>
  </w:style>
  <w:style w:type="paragraph" w:customStyle="1" w:styleId="BoxContinued">
    <w:name w:val="Box Continued"/>
    <w:basedOn w:val="BodyText"/>
    <w:next w:val="BodyText"/>
    <w:semiHidden/>
    <w:rsid w:val="00A6515C"/>
    <w:pPr>
      <w:spacing w:before="180" w:line="220" w:lineRule="exact"/>
      <w:jc w:val="right"/>
    </w:pPr>
    <w:rPr>
      <w:rFonts w:ascii="Arial" w:hAnsi="Arial"/>
      <w:sz w:val="18"/>
    </w:rPr>
  </w:style>
  <w:style w:type="paragraph" w:customStyle="1" w:styleId="BoxHeading1">
    <w:name w:val="Box Heading 1"/>
    <w:basedOn w:val="BodyText"/>
    <w:next w:val="Box"/>
    <w:rsid w:val="00A6515C"/>
    <w:pPr>
      <w:keepNext/>
      <w:spacing w:before="200" w:line="280" w:lineRule="atLeast"/>
    </w:pPr>
    <w:rPr>
      <w:rFonts w:ascii="Arial" w:hAnsi="Arial"/>
      <w:b/>
      <w:sz w:val="22"/>
    </w:rPr>
  </w:style>
  <w:style w:type="paragraph" w:customStyle="1" w:styleId="BoxHeading2">
    <w:name w:val="Box Heading 2"/>
    <w:basedOn w:val="BoxHeading1"/>
    <w:next w:val="Normal"/>
    <w:rsid w:val="00A6515C"/>
    <w:rPr>
      <w:b w:val="0"/>
      <w:i/>
    </w:rPr>
  </w:style>
  <w:style w:type="paragraph" w:customStyle="1" w:styleId="BoxListBullet">
    <w:name w:val="Box List Bullet"/>
    <w:basedOn w:val="BodyText"/>
    <w:rsid w:val="00A6515C"/>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A6515C"/>
    <w:pPr>
      <w:numPr>
        <w:numId w:val="2"/>
      </w:numPr>
      <w:ind w:left="568" w:hanging="284"/>
    </w:pPr>
  </w:style>
  <w:style w:type="paragraph" w:customStyle="1" w:styleId="BoxListNumber">
    <w:name w:val="Box List Number"/>
    <w:basedOn w:val="BodyText"/>
    <w:rsid w:val="00A6515C"/>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A6515C"/>
    <w:pPr>
      <w:numPr>
        <w:ilvl w:val="1"/>
      </w:numPr>
      <w:ind w:left="681" w:hanging="397"/>
    </w:pPr>
  </w:style>
  <w:style w:type="paragraph" w:customStyle="1" w:styleId="BoxQuote">
    <w:name w:val="Box Quote"/>
    <w:basedOn w:val="BodyText"/>
    <w:next w:val="Box"/>
    <w:qFormat/>
    <w:rsid w:val="00A6515C"/>
    <w:pPr>
      <w:keepNext/>
      <w:spacing w:before="60" w:line="240" w:lineRule="exact"/>
      <w:ind w:left="284"/>
    </w:pPr>
    <w:rPr>
      <w:rFonts w:ascii="Arial" w:hAnsi="Arial"/>
      <w:sz w:val="18"/>
    </w:rPr>
  </w:style>
  <w:style w:type="paragraph" w:customStyle="1" w:styleId="Note">
    <w:name w:val="Note"/>
    <w:basedOn w:val="BodyText"/>
    <w:next w:val="BodyText"/>
    <w:rsid w:val="00A6515C"/>
    <w:pPr>
      <w:keepLines/>
      <w:spacing w:before="80" w:line="220" w:lineRule="exact"/>
    </w:pPr>
    <w:rPr>
      <w:rFonts w:ascii="Arial" w:hAnsi="Arial"/>
      <w:sz w:val="18"/>
    </w:rPr>
  </w:style>
  <w:style w:type="paragraph" w:customStyle="1" w:styleId="Source">
    <w:name w:val="Source"/>
    <w:basedOn w:val="Normal"/>
    <w:next w:val="BodyText"/>
    <w:rsid w:val="00A6515C"/>
    <w:pPr>
      <w:keepLines/>
      <w:spacing w:before="80" w:line="220" w:lineRule="exact"/>
      <w:jc w:val="both"/>
    </w:pPr>
    <w:rPr>
      <w:rFonts w:ascii="Arial" w:hAnsi="Arial"/>
      <w:sz w:val="18"/>
      <w:szCs w:val="20"/>
    </w:rPr>
  </w:style>
  <w:style w:type="paragraph" w:customStyle="1" w:styleId="BoxSource">
    <w:name w:val="Box Source"/>
    <w:basedOn w:val="Source"/>
    <w:next w:val="BodyText"/>
    <w:rsid w:val="00A6515C"/>
    <w:pPr>
      <w:spacing w:before="120"/>
    </w:pPr>
  </w:style>
  <w:style w:type="paragraph" w:customStyle="1" w:styleId="BoxSpace">
    <w:name w:val="Box Space"/>
    <w:basedOn w:val="BodyText"/>
    <w:rsid w:val="0070690A"/>
    <w:pPr>
      <w:keepNext/>
      <w:spacing w:before="360" w:line="80" w:lineRule="exact"/>
      <w:jc w:val="left"/>
    </w:pPr>
  </w:style>
  <w:style w:type="paragraph" w:styleId="Caption">
    <w:name w:val="caption"/>
    <w:basedOn w:val="Normal"/>
    <w:next w:val="BodyText"/>
    <w:rsid w:val="00A6515C"/>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A6515C"/>
    <w:pPr>
      <w:spacing w:before="120" w:after="0"/>
    </w:pPr>
  </w:style>
  <w:style w:type="paragraph" w:customStyle="1" w:styleId="BoxSubtitle">
    <w:name w:val="Box Subtitle"/>
    <w:basedOn w:val="BoxTitle"/>
    <w:next w:val="Normal"/>
    <w:rsid w:val="00A6515C"/>
    <w:pPr>
      <w:spacing w:after="80" w:line="200" w:lineRule="exact"/>
      <w:ind w:firstLine="0"/>
    </w:pPr>
    <w:rPr>
      <w:b w:val="0"/>
      <w:sz w:val="20"/>
    </w:rPr>
  </w:style>
  <w:style w:type="paragraph" w:customStyle="1" w:styleId="ChapterSummary">
    <w:name w:val="Chapter Summary"/>
    <w:basedOn w:val="BodyText"/>
    <w:rsid w:val="00A6515C"/>
    <w:pPr>
      <w:spacing w:line="280" w:lineRule="atLeast"/>
      <w:ind w:left="907"/>
    </w:pPr>
    <w:rPr>
      <w:rFonts w:ascii="Arial" w:hAnsi="Arial"/>
      <w:b/>
      <w:sz w:val="20"/>
    </w:rPr>
  </w:style>
  <w:style w:type="character" w:styleId="CommentReference">
    <w:name w:val="annotation reference"/>
    <w:basedOn w:val="DefaultParagraphFont"/>
    <w:semiHidden/>
    <w:rsid w:val="00A6515C"/>
    <w:rPr>
      <w:b/>
      <w:vanish/>
      <w:color w:val="FF00FF"/>
      <w:sz w:val="20"/>
    </w:rPr>
  </w:style>
  <w:style w:type="paragraph" w:styleId="CommentText">
    <w:name w:val="annotation text"/>
    <w:basedOn w:val="Normal"/>
    <w:link w:val="CommentTextChar"/>
    <w:semiHidden/>
    <w:rsid w:val="00A6515C"/>
    <w:pPr>
      <w:spacing w:before="120" w:line="240" w:lineRule="atLeast"/>
      <w:ind w:left="567" w:hanging="567"/>
    </w:pPr>
    <w:rPr>
      <w:sz w:val="20"/>
    </w:rPr>
  </w:style>
  <w:style w:type="paragraph" w:customStyle="1" w:styleId="Continued">
    <w:name w:val="Continued"/>
    <w:basedOn w:val="BoxContinued"/>
    <w:next w:val="BodyText"/>
    <w:rsid w:val="00A6515C"/>
  </w:style>
  <w:style w:type="character" w:customStyle="1" w:styleId="DocumentInfo">
    <w:name w:val="Document Info"/>
    <w:basedOn w:val="DefaultParagraphFont"/>
    <w:semiHidden/>
    <w:rsid w:val="00A6515C"/>
    <w:rPr>
      <w:rFonts w:ascii="Arial" w:hAnsi="Arial"/>
      <w:sz w:val="14"/>
    </w:rPr>
  </w:style>
  <w:style w:type="character" w:customStyle="1" w:styleId="DraftingNote">
    <w:name w:val="Drafting Note"/>
    <w:basedOn w:val="DefaultParagraphFont"/>
    <w:rsid w:val="00A6515C"/>
    <w:rPr>
      <w:b/>
      <w:color w:val="FF0000"/>
      <w:sz w:val="24"/>
      <w:u w:val="dotted"/>
    </w:rPr>
  </w:style>
  <w:style w:type="paragraph" w:customStyle="1" w:styleId="Figure">
    <w:name w:val="Figure"/>
    <w:basedOn w:val="BodyText"/>
    <w:rsid w:val="00A6515C"/>
    <w:pPr>
      <w:keepNext/>
      <w:spacing w:before="120" w:after="120" w:line="240" w:lineRule="atLeast"/>
      <w:jc w:val="center"/>
    </w:pPr>
  </w:style>
  <w:style w:type="paragraph" w:customStyle="1" w:styleId="FigureTitle">
    <w:name w:val="Figure Title"/>
    <w:basedOn w:val="Caption"/>
    <w:next w:val="Subtitle"/>
    <w:rsid w:val="00A6515C"/>
    <w:pPr>
      <w:spacing w:before="120"/>
    </w:pPr>
  </w:style>
  <w:style w:type="paragraph" w:styleId="Subtitle">
    <w:name w:val="Subtitle"/>
    <w:basedOn w:val="Caption"/>
    <w:link w:val="SubtitleChar"/>
    <w:qFormat/>
    <w:rsid w:val="00A6515C"/>
    <w:pPr>
      <w:spacing w:before="0" w:line="200" w:lineRule="exact"/>
      <w:ind w:firstLine="0"/>
    </w:pPr>
    <w:rPr>
      <w:b w:val="0"/>
      <w:sz w:val="20"/>
    </w:rPr>
  </w:style>
  <w:style w:type="paragraph" w:customStyle="1" w:styleId="Finding">
    <w:name w:val="Finding"/>
    <w:basedOn w:val="BodyText"/>
    <w:rsid w:val="00A6515C"/>
    <w:pPr>
      <w:keepLines/>
      <w:spacing w:before="120" w:line="280" w:lineRule="atLeast"/>
    </w:pPr>
    <w:rPr>
      <w:rFonts w:ascii="Arial" w:hAnsi="Arial"/>
      <w:sz w:val="22"/>
    </w:rPr>
  </w:style>
  <w:style w:type="paragraph" w:customStyle="1" w:styleId="FindingBullet">
    <w:name w:val="Finding Bullet"/>
    <w:basedOn w:val="Finding"/>
    <w:rsid w:val="00A6515C"/>
    <w:pPr>
      <w:numPr>
        <w:numId w:val="3"/>
      </w:numPr>
      <w:spacing w:before="80"/>
    </w:pPr>
  </w:style>
  <w:style w:type="paragraph" w:customStyle="1" w:styleId="FindingNoTitle">
    <w:name w:val="Finding NoTitle"/>
    <w:basedOn w:val="Finding"/>
    <w:rsid w:val="00A6515C"/>
    <w:pPr>
      <w:spacing w:before="240"/>
    </w:pPr>
  </w:style>
  <w:style w:type="paragraph" w:customStyle="1" w:styleId="RecTitle">
    <w:name w:val="Rec Title"/>
    <w:basedOn w:val="BodyText"/>
    <w:next w:val="Rec"/>
    <w:qFormat/>
    <w:rsid w:val="00A6515C"/>
    <w:pPr>
      <w:keepNext/>
      <w:keepLines/>
      <w:spacing w:line="280" w:lineRule="atLeast"/>
    </w:pPr>
    <w:rPr>
      <w:rFonts w:ascii="Arial" w:hAnsi="Arial"/>
      <w:caps/>
      <w:sz w:val="18"/>
    </w:rPr>
  </w:style>
  <w:style w:type="paragraph" w:customStyle="1" w:styleId="FindingTitle">
    <w:name w:val="Finding Title"/>
    <w:basedOn w:val="RecTitle"/>
    <w:next w:val="Finding"/>
    <w:rsid w:val="00A6515C"/>
  </w:style>
  <w:style w:type="character" w:styleId="FootnoteReference">
    <w:name w:val="footnote reference"/>
    <w:basedOn w:val="DefaultParagraphFont"/>
    <w:semiHidden/>
    <w:rsid w:val="00A6515C"/>
    <w:rPr>
      <w:rFonts w:ascii="Times New Roman" w:hAnsi="Times New Roman"/>
      <w:position w:val="6"/>
      <w:sz w:val="20"/>
      <w:vertAlign w:val="baseline"/>
    </w:rPr>
  </w:style>
  <w:style w:type="paragraph" w:customStyle="1" w:styleId="InformationRequest">
    <w:name w:val="Information Request"/>
    <w:basedOn w:val="Finding"/>
    <w:next w:val="BodyText"/>
    <w:rsid w:val="00A6515C"/>
    <w:rPr>
      <w:i/>
    </w:rPr>
  </w:style>
  <w:style w:type="paragraph" w:customStyle="1" w:styleId="Jurisdictioncommentsbodytext">
    <w:name w:val="Jurisdiction comments body text"/>
    <w:rsid w:val="00A6515C"/>
    <w:pPr>
      <w:spacing w:after="140"/>
      <w:jc w:val="both"/>
    </w:pPr>
    <w:rPr>
      <w:rFonts w:ascii="Arial" w:hAnsi="Arial"/>
      <w:sz w:val="24"/>
      <w:lang w:eastAsia="en-US"/>
    </w:rPr>
  </w:style>
  <w:style w:type="paragraph" w:customStyle="1" w:styleId="Jurisdictioncommentsheading">
    <w:name w:val="Jurisdiction comments heading"/>
    <w:rsid w:val="00A6515C"/>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6515C"/>
    <w:pPr>
      <w:numPr>
        <w:numId w:val="4"/>
      </w:numPr>
      <w:spacing w:after="140"/>
      <w:jc w:val="both"/>
    </w:pPr>
    <w:rPr>
      <w:rFonts w:ascii="Arial" w:hAnsi="Arial"/>
      <w:sz w:val="24"/>
      <w:lang w:eastAsia="en-US"/>
    </w:rPr>
  </w:style>
  <w:style w:type="paragraph" w:styleId="ListBullet">
    <w:name w:val="List Bullet"/>
    <w:basedOn w:val="BodyText"/>
    <w:rsid w:val="00A6515C"/>
    <w:pPr>
      <w:numPr>
        <w:numId w:val="5"/>
      </w:numPr>
      <w:spacing w:before="120"/>
    </w:pPr>
  </w:style>
  <w:style w:type="paragraph" w:styleId="ListBullet2">
    <w:name w:val="List Bullet 2"/>
    <w:basedOn w:val="BodyText"/>
    <w:rsid w:val="00A6515C"/>
    <w:pPr>
      <w:numPr>
        <w:numId w:val="6"/>
      </w:numPr>
      <w:spacing w:before="120"/>
    </w:pPr>
  </w:style>
  <w:style w:type="paragraph" w:styleId="ListBullet3">
    <w:name w:val="List Bullet 3"/>
    <w:basedOn w:val="BodyText"/>
    <w:rsid w:val="00A6515C"/>
    <w:pPr>
      <w:numPr>
        <w:numId w:val="7"/>
      </w:numPr>
      <w:spacing w:before="120"/>
      <w:ind w:left="1020" w:hanging="340"/>
    </w:pPr>
  </w:style>
  <w:style w:type="paragraph" w:styleId="ListNumber">
    <w:name w:val="List Number"/>
    <w:basedOn w:val="BodyText"/>
    <w:rsid w:val="00A6515C"/>
    <w:pPr>
      <w:numPr>
        <w:numId w:val="13"/>
      </w:numPr>
      <w:spacing w:before="120"/>
    </w:pPr>
  </w:style>
  <w:style w:type="paragraph" w:styleId="ListNumber2">
    <w:name w:val="List Number 2"/>
    <w:basedOn w:val="ListNumber"/>
    <w:rsid w:val="00A6515C"/>
    <w:pPr>
      <w:numPr>
        <w:ilvl w:val="1"/>
      </w:numPr>
    </w:pPr>
  </w:style>
  <w:style w:type="paragraph" w:styleId="ListNumber3">
    <w:name w:val="List Number 3"/>
    <w:basedOn w:val="ListNumber2"/>
    <w:rsid w:val="00A6515C"/>
    <w:pPr>
      <w:numPr>
        <w:ilvl w:val="2"/>
      </w:numPr>
    </w:pPr>
  </w:style>
  <w:style w:type="character" w:customStyle="1" w:styleId="NoteLabel">
    <w:name w:val="Note Label"/>
    <w:basedOn w:val="DefaultParagraphFont"/>
    <w:rsid w:val="00A6515C"/>
    <w:rPr>
      <w:rFonts w:ascii="Arial" w:hAnsi="Arial"/>
      <w:b/>
      <w:position w:val="6"/>
      <w:sz w:val="18"/>
    </w:rPr>
  </w:style>
  <w:style w:type="paragraph" w:customStyle="1" w:styleId="PartDivider">
    <w:name w:val="Part Divider"/>
    <w:basedOn w:val="BodyText"/>
    <w:next w:val="BodyText"/>
    <w:semiHidden/>
    <w:rsid w:val="00A6515C"/>
    <w:pPr>
      <w:spacing w:before="0" w:line="40" w:lineRule="exact"/>
      <w:jc w:val="right"/>
    </w:pPr>
    <w:rPr>
      <w:smallCaps/>
      <w:sz w:val="16"/>
    </w:rPr>
  </w:style>
  <w:style w:type="paragraph" w:customStyle="1" w:styleId="PartNumber">
    <w:name w:val="Part Number"/>
    <w:basedOn w:val="BodyText"/>
    <w:next w:val="BodyText"/>
    <w:semiHidden/>
    <w:rsid w:val="00A6515C"/>
    <w:pPr>
      <w:spacing w:before="4000" w:line="320" w:lineRule="exact"/>
      <w:ind w:left="6634"/>
      <w:jc w:val="right"/>
    </w:pPr>
    <w:rPr>
      <w:smallCaps/>
      <w:spacing w:val="60"/>
      <w:sz w:val="32"/>
    </w:rPr>
  </w:style>
  <w:style w:type="paragraph" w:customStyle="1" w:styleId="PartTitle">
    <w:name w:val="Part Title"/>
    <w:basedOn w:val="BodyText"/>
    <w:semiHidden/>
    <w:rsid w:val="00A6515C"/>
    <w:pPr>
      <w:spacing w:before="160" w:after="1360" w:line="520" w:lineRule="exact"/>
      <w:ind w:right="2381"/>
      <w:jc w:val="right"/>
    </w:pPr>
    <w:rPr>
      <w:smallCaps/>
      <w:sz w:val="52"/>
    </w:rPr>
  </w:style>
  <w:style w:type="paragraph" w:styleId="Quote">
    <w:name w:val="Quote"/>
    <w:basedOn w:val="BodyText"/>
    <w:next w:val="BodyText"/>
    <w:qFormat/>
    <w:rsid w:val="00A6515C"/>
    <w:pPr>
      <w:spacing w:before="120" w:line="280" w:lineRule="exact"/>
      <w:ind w:left="340"/>
    </w:pPr>
    <w:rPr>
      <w:sz w:val="22"/>
    </w:rPr>
  </w:style>
  <w:style w:type="paragraph" w:customStyle="1" w:styleId="QuoteBullet">
    <w:name w:val="Quote Bullet"/>
    <w:basedOn w:val="Quote"/>
    <w:rsid w:val="00A6515C"/>
    <w:pPr>
      <w:numPr>
        <w:numId w:val="8"/>
      </w:numPr>
    </w:pPr>
  </w:style>
  <w:style w:type="paragraph" w:customStyle="1" w:styleId="Rec">
    <w:name w:val="Rec"/>
    <w:basedOn w:val="BodyText"/>
    <w:qFormat/>
    <w:rsid w:val="00A6515C"/>
    <w:pPr>
      <w:keepLines/>
      <w:spacing w:before="120" w:line="280" w:lineRule="atLeast"/>
    </w:pPr>
    <w:rPr>
      <w:rFonts w:ascii="Arial" w:hAnsi="Arial"/>
      <w:sz w:val="22"/>
    </w:rPr>
  </w:style>
  <w:style w:type="paragraph" w:customStyle="1" w:styleId="RecBullet">
    <w:name w:val="Rec Bullet"/>
    <w:basedOn w:val="Rec"/>
    <w:rsid w:val="00A6515C"/>
    <w:pPr>
      <w:numPr>
        <w:numId w:val="9"/>
      </w:numPr>
      <w:spacing w:before="80"/>
    </w:pPr>
  </w:style>
  <w:style w:type="paragraph" w:customStyle="1" w:styleId="RecB">
    <w:name w:val="RecB"/>
    <w:basedOn w:val="Normal"/>
    <w:rsid w:val="00A6515C"/>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A6515C"/>
    <w:pPr>
      <w:numPr>
        <w:numId w:val="10"/>
      </w:numPr>
      <w:spacing w:before="80"/>
    </w:pPr>
  </w:style>
  <w:style w:type="paragraph" w:customStyle="1" w:styleId="RecBNoTitle">
    <w:name w:val="RecB NoTitle"/>
    <w:basedOn w:val="RecB"/>
    <w:rsid w:val="00A6515C"/>
    <w:pPr>
      <w:spacing w:before="240"/>
    </w:pPr>
  </w:style>
  <w:style w:type="paragraph" w:customStyle="1" w:styleId="Reference">
    <w:name w:val="Reference"/>
    <w:basedOn w:val="BodyText"/>
    <w:rsid w:val="00A6515C"/>
    <w:pPr>
      <w:spacing w:before="120"/>
      <w:ind w:left="340" w:hanging="340"/>
    </w:pPr>
  </w:style>
  <w:style w:type="paragraph" w:customStyle="1" w:styleId="SequenceInfo">
    <w:name w:val="Sequence Info"/>
    <w:basedOn w:val="BodyText"/>
    <w:semiHidden/>
    <w:rsid w:val="00A6515C"/>
    <w:rPr>
      <w:vanish/>
      <w:sz w:val="16"/>
    </w:rPr>
  </w:style>
  <w:style w:type="paragraph" w:customStyle="1" w:styleId="SideNote">
    <w:name w:val="Side Note"/>
    <w:basedOn w:val="BodyText"/>
    <w:next w:val="BodyText"/>
    <w:semiHidden/>
    <w:rsid w:val="00A6515C"/>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6515C"/>
    <w:pPr>
      <w:framePr w:wrap="around"/>
      <w:numPr>
        <w:numId w:val="11"/>
      </w:numPr>
      <w:tabs>
        <w:tab w:val="left" w:pos="227"/>
      </w:tabs>
    </w:pPr>
  </w:style>
  <w:style w:type="paragraph" w:customStyle="1" w:styleId="SideNoteGraphic">
    <w:name w:val="Side Note Graphic"/>
    <w:basedOn w:val="SideNote"/>
    <w:next w:val="BodyText"/>
    <w:semiHidden/>
    <w:rsid w:val="00A6515C"/>
    <w:pPr>
      <w:framePr w:wrap="around"/>
    </w:pPr>
  </w:style>
  <w:style w:type="paragraph" w:customStyle="1" w:styleId="TableBodyText">
    <w:name w:val="Table Body Text"/>
    <w:basedOn w:val="BodyText"/>
    <w:link w:val="TableBodyTextChar"/>
    <w:rsid w:val="00A6515C"/>
    <w:pPr>
      <w:keepNext/>
      <w:keepLines/>
      <w:spacing w:before="0" w:after="40" w:line="200" w:lineRule="atLeast"/>
      <w:ind w:left="6" w:right="113"/>
      <w:jc w:val="right"/>
    </w:pPr>
    <w:rPr>
      <w:rFonts w:ascii="Arial" w:hAnsi="Arial"/>
      <w:sz w:val="18"/>
    </w:rPr>
  </w:style>
  <w:style w:type="character" w:customStyle="1" w:styleId="TableBodyTextChar">
    <w:name w:val="Table Body Text Char"/>
    <w:basedOn w:val="DefaultParagraphFont"/>
    <w:link w:val="TableBodyText"/>
    <w:locked/>
    <w:rsid w:val="00BD19D0"/>
    <w:rPr>
      <w:rFonts w:ascii="Arial" w:hAnsi="Arial"/>
      <w:sz w:val="18"/>
    </w:rPr>
  </w:style>
  <w:style w:type="paragraph" w:customStyle="1" w:styleId="TableBullet">
    <w:name w:val="Table Bullet"/>
    <w:basedOn w:val="TableBodyText"/>
    <w:link w:val="TableBulletChar"/>
    <w:rsid w:val="00A6515C"/>
    <w:pPr>
      <w:numPr>
        <w:numId w:val="12"/>
      </w:numPr>
      <w:jc w:val="left"/>
    </w:pPr>
  </w:style>
  <w:style w:type="character" w:customStyle="1" w:styleId="TableBulletChar">
    <w:name w:val="Table Bullet Char"/>
    <w:basedOn w:val="DefaultParagraphFont"/>
    <w:link w:val="TableBullet"/>
    <w:locked/>
    <w:rsid w:val="00BD19D0"/>
    <w:rPr>
      <w:rFonts w:ascii="Arial" w:hAnsi="Arial"/>
      <w:sz w:val="18"/>
    </w:rPr>
  </w:style>
  <w:style w:type="paragraph" w:customStyle="1" w:styleId="TableColumnHeading">
    <w:name w:val="Table Column Heading"/>
    <w:basedOn w:val="TableBodyText"/>
    <w:rsid w:val="00A6515C"/>
    <w:pPr>
      <w:spacing w:before="80" w:after="80"/>
    </w:pPr>
    <w:rPr>
      <w:i/>
    </w:rPr>
  </w:style>
  <w:style w:type="paragraph" w:styleId="TOC2">
    <w:name w:val="toc 2"/>
    <w:basedOn w:val="TOC1"/>
    <w:rsid w:val="00A6515C"/>
    <w:pPr>
      <w:ind w:left="1134" w:hanging="624"/>
    </w:pPr>
    <w:rPr>
      <w:b w:val="0"/>
    </w:rPr>
  </w:style>
  <w:style w:type="paragraph" w:styleId="TOC3">
    <w:name w:val="toc 3"/>
    <w:basedOn w:val="TOC2"/>
    <w:rsid w:val="00A6515C"/>
    <w:pPr>
      <w:spacing w:before="60"/>
      <w:ind w:left="1190" w:hanging="680"/>
    </w:pPr>
  </w:style>
  <w:style w:type="paragraph" w:styleId="TableofFigures">
    <w:name w:val="table of figures"/>
    <w:basedOn w:val="TOC3"/>
    <w:next w:val="BodyText"/>
    <w:semiHidden/>
    <w:rsid w:val="00A6515C"/>
    <w:pPr>
      <w:ind w:left="737" w:hanging="737"/>
    </w:pPr>
  </w:style>
  <w:style w:type="paragraph" w:customStyle="1" w:styleId="TableTitle">
    <w:name w:val="Table Title"/>
    <w:basedOn w:val="Caption"/>
    <w:next w:val="Subtitle"/>
    <w:qFormat/>
    <w:rsid w:val="00A6515C"/>
    <w:pPr>
      <w:spacing w:before="120"/>
    </w:pPr>
  </w:style>
  <w:style w:type="paragraph" w:customStyle="1" w:styleId="TableUnitsRow">
    <w:name w:val="Table Units Row"/>
    <w:basedOn w:val="TableBodyText"/>
    <w:rsid w:val="00A6515C"/>
    <w:pPr>
      <w:spacing w:before="40"/>
    </w:pPr>
  </w:style>
  <w:style w:type="paragraph" w:styleId="TOC1">
    <w:name w:val="toc 1"/>
    <w:basedOn w:val="Normal"/>
    <w:next w:val="TOC2"/>
    <w:link w:val="TOC1Char"/>
    <w:rsid w:val="00A6515C"/>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A6515C"/>
    <w:pPr>
      <w:ind w:left="1191" w:firstLine="0"/>
    </w:pPr>
  </w:style>
  <w:style w:type="table" w:styleId="TableGrid">
    <w:name w:val="Table Grid"/>
    <w:basedOn w:val="TableNormal"/>
    <w:rsid w:val="00A651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rsid w:val="00A6515C"/>
    <w:rPr>
      <w:sz w:val="24"/>
    </w:rPr>
  </w:style>
  <w:style w:type="character" w:styleId="Hyperlink">
    <w:name w:val="Hyperlink"/>
    <w:basedOn w:val="DefaultParagraphFont"/>
    <w:uiPriority w:val="99"/>
    <w:rsid w:val="00BD19D0"/>
    <w:rPr>
      <w:color w:val="0000FF"/>
      <w:u w:val="single"/>
    </w:rPr>
  </w:style>
  <w:style w:type="paragraph" w:styleId="BalloonText">
    <w:name w:val="Balloon Text"/>
    <w:basedOn w:val="Normal"/>
    <w:link w:val="BalloonTextChar"/>
    <w:rsid w:val="00A6515C"/>
    <w:rPr>
      <w:rFonts w:ascii="Tahoma" w:hAnsi="Tahoma" w:cs="Tahoma"/>
      <w:sz w:val="16"/>
      <w:szCs w:val="16"/>
    </w:rPr>
  </w:style>
  <w:style w:type="paragraph" w:customStyle="1" w:styleId="TableBullet2">
    <w:name w:val="Table Bullet 2"/>
    <w:basedOn w:val="BoxListBullet2"/>
    <w:rsid w:val="00BD19D0"/>
    <w:pPr>
      <w:spacing w:before="0" w:after="40" w:line="220" w:lineRule="atLeast"/>
      <w:jc w:val="left"/>
    </w:pPr>
  </w:style>
  <w:style w:type="paragraph" w:customStyle="1" w:styleId="RecBBullet2">
    <w:name w:val="RecB Bullet 2"/>
    <w:basedOn w:val="ListBullet2"/>
    <w:semiHidden/>
    <w:rsid w:val="00A6515C"/>
    <w:pPr>
      <w:pBdr>
        <w:left w:val="single" w:sz="24" w:space="29" w:color="C0C0C0"/>
      </w:pBdr>
    </w:pPr>
    <w:rPr>
      <w:b/>
      <w:i/>
    </w:rPr>
  </w:style>
  <w:style w:type="character" w:customStyle="1" w:styleId="BalloonTextChar">
    <w:name w:val="Balloon Text Char"/>
    <w:basedOn w:val="DefaultParagraphFont"/>
    <w:link w:val="BalloonText"/>
    <w:rsid w:val="00A6515C"/>
    <w:rPr>
      <w:rFonts w:ascii="Tahoma" w:hAnsi="Tahoma" w:cs="Tahoma"/>
      <w:sz w:val="16"/>
      <w:szCs w:val="16"/>
    </w:rPr>
  </w:style>
  <w:style w:type="character" w:customStyle="1" w:styleId="SubtitleChar">
    <w:name w:val="Subtitle Char"/>
    <w:basedOn w:val="DefaultParagraphFont"/>
    <w:link w:val="Subtitle"/>
    <w:rsid w:val="00A6515C"/>
    <w:rPr>
      <w:rFonts w:ascii="Arial" w:hAnsi="Arial"/>
      <w:szCs w:val="24"/>
    </w:rPr>
  </w:style>
  <w:style w:type="paragraph" w:customStyle="1" w:styleId="BoxListBullet3">
    <w:name w:val="Box List Bullet 3"/>
    <w:basedOn w:val="ListBullet3"/>
    <w:rsid w:val="00A6515C"/>
    <w:pPr>
      <w:numPr>
        <w:numId w:val="19"/>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A6515C"/>
    <w:rPr>
      <w:i/>
      <w:iCs/>
    </w:rPr>
  </w:style>
  <w:style w:type="paragraph" w:customStyle="1" w:styleId="BoxQuoteBullet">
    <w:name w:val="Box Quote Bullet"/>
    <w:basedOn w:val="BoxQuote"/>
    <w:next w:val="Box"/>
    <w:rsid w:val="00A6515C"/>
    <w:pPr>
      <w:numPr>
        <w:numId w:val="16"/>
      </w:numPr>
      <w:ind w:left="568" w:hanging="284"/>
    </w:pPr>
  </w:style>
  <w:style w:type="paragraph" w:customStyle="1" w:styleId="InformationRequestBullet">
    <w:name w:val="Information Request Bullet"/>
    <w:basedOn w:val="ListBullet"/>
    <w:next w:val="BodyText"/>
    <w:rsid w:val="00A6515C"/>
    <w:pPr>
      <w:numPr>
        <w:numId w:val="17"/>
      </w:numPr>
      <w:spacing w:before="80" w:line="280" w:lineRule="atLeast"/>
      <w:ind w:left="357" w:hanging="357"/>
    </w:pPr>
    <w:rPr>
      <w:rFonts w:ascii="Arial" w:hAnsi="Arial"/>
      <w:i/>
      <w:sz w:val="22"/>
    </w:rPr>
  </w:style>
  <w:style w:type="paragraph" w:customStyle="1" w:styleId="TableBullet3">
    <w:name w:val="Table Bullet 3"/>
    <w:basedOn w:val="TableBullet2"/>
    <w:qFormat/>
    <w:rsid w:val="004A38B5"/>
    <w:pPr>
      <w:numPr>
        <w:numId w:val="18"/>
      </w:numPr>
      <w:ind w:left="822" w:hanging="178"/>
    </w:pPr>
  </w:style>
  <w:style w:type="paragraph" w:customStyle="1" w:styleId="Default">
    <w:name w:val="Default"/>
    <w:rsid w:val="004A38B5"/>
    <w:pPr>
      <w:autoSpaceDE w:val="0"/>
      <w:autoSpaceDN w:val="0"/>
      <w:adjustRightInd w:val="0"/>
    </w:pPr>
    <w:rPr>
      <w:rFonts w:ascii="Calibri" w:eastAsiaTheme="minorEastAsia" w:hAnsi="Calibri" w:cs="Calibri"/>
      <w:color w:val="000000"/>
      <w:sz w:val="24"/>
      <w:szCs w:val="24"/>
    </w:rPr>
  </w:style>
  <w:style w:type="paragraph" w:customStyle="1" w:styleId="BoxSpaceAbove">
    <w:name w:val="Box Space Above"/>
    <w:basedOn w:val="BodyText"/>
    <w:rsid w:val="00A6515C"/>
    <w:pPr>
      <w:keepNext/>
      <w:spacing w:before="360" w:line="80" w:lineRule="exact"/>
      <w:jc w:val="left"/>
    </w:pPr>
  </w:style>
  <w:style w:type="paragraph" w:customStyle="1" w:styleId="BoxSpaceBelow">
    <w:name w:val="Box Space Below"/>
    <w:basedOn w:val="Box"/>
    <w:rsid w:val="00A6515C"/>
    <w:pPr>
      <w:keepNext w:val="0"/>
      <w:spacing w:before="60" w:after="60" w:line="80" w:lineRule="exact"/>
    </w:pPr>
    <w:rPr>
      <w:sz w:val="14"/>
    </w:rPr>
  </w:style>
  <w:style w:type="character" w:customStyle="1" w:styleId="Heading2Char">
    <w:name w:val="Heading 2 Char"/>
    <w:basedOn w:val="DefaultParagraphFont"/>
    <w:link w:val="Heading2"/>
    <w:rsid w:val="006A1828"/>
    <w:rPr>
      <w:rFonts w:ascii="Arial" w:hAnsi="Arial"/>
      <w:b/>
      <w:sz w:val="32"/>
    </w:rPr>
  </w:style>
  <w:style w:type="character" w:styleId="PlaceholderText">
    <w:name w:val="Placeholder Text"/>
    <w:basedOn w:val="DefaultParagraphFont"/>
    <w:uiPriority w:val="99"/>
    <w:semiHidden/>
    <w:rsid w:val="00B04758"/>
    <w:rPr>
      <w:color w:val="808080"/>
    </w:rPr>
  </w:style>
  <w:style w:type="paragraph" w:customStyle="1" w:styleId="KeyPointsListBullet">
    <w:name w:val="Key Points List Bullet"/>
    <w:basedOn w:val="Normal"/>
    <w:qFormat/>
    <w:rsid w:val="00A6515C"/>
    <w:pPr>
      <w:keepNext/>
      <w:numPr>
        <w:numId w:val="23"/>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6515C"/>
    <w:pPr>
      <w:numPr>
        <w:numId w:val="24"/>
      </w:numPr>
      <w:ind w:left="568" w:hanging="284"/>
    </w:pPr>
  </w:style>
  <w:style w:type="paragraph" w:customStyle="1" w:styleId="InformationRequestTitle">
    <w:name w:val="Information Request Title"/>
    <w:basedOn w:val="FindingTitle"/>
    <w:next w:val="InformationRequest"/>
    <w:rsid w:val="00A6515C"/>
    <w:rPr>
      <w:i/>
    </w:rPr>
  </w:style>
  <w:style w:type="paragraph" w:customStyle="1" w:styleId="Space">
    <w:name w:val="Space"/>
    <w:basedOn w:val="Normal"/>
    <w:rsid w:val="00A6515C"/>
    <w:pPr>
      <w:keepNext/>
      <w:spacing w:line="120" w:lineRule="exact"/>
      <w:jc w:val="both"/>
    </w:pPr>
    <w:rPr>
      <w:rFonts w:ascii="Arial" w:hAnsi="Arial"/>
      <w:sz w:val="20"/>
      <w:szCs w:val="20"/>
    </w:rPr>
  </w:style>
  <w:style w:type="paragraph" w:customStyle="1" w:styleId="Heading1nochapterno">
    <w:name w:val="Heading 1 (no chapter no.)"/>
    <w:basedOn w:val="Heading1"/>
    <w:rsid w:val="00A6515C"/>
    <w:pPr>
      <w:spacing w:before="0"/>
      <w:ind w:left="0" w:firstLine="0"/>
    </w:pPr>
  </w:style>
  <w:style w:type="paragraph" w:customStyle="1" w:styleId="Heading2nosectionno">
    <w:name w:val="Heading 2 (no section no.)"/>
    <w:basedOn w:val="Heading2"/>
    <w:rsid w:val="00A6515C"/>
    <w:pPr>
      <w:ind w:left="0" w:firstLine="0"/>
    </w:pPr>
  </w:style>
  <w:style w:type="character" w:customStyle="1" w:styleId="Heading5Char">
    <w:name w:val="Heading 5 Char"/>
    <w:basedOn w:val="DefaultParagraphFont"/>
    <w:link w:val="Heading5"/>
    <w:rsid w:val="00A6515C"/>
    <w:rPr>
      <w:rFonts w:ascii="Arial" w:hAnsi="Arial"/>
      <w:i/>
      <w:sz w:val="22"/>
    </w:rPr>
  </w:style>
  <w:style w:type="paragraph" w:customStyle="1" w:styleId="Figurespace">
    <w:name w:val="Figure space"/>
    <w:basedOn w:val="Box"/>
    <w:rsid w:val="00A6515C"/>
    <w:pPr>
      <w:spacing w:before="0" w:line="120" w:lineRule="exact"/>
    </w:pPr>
  </w:style>
  <w:style w:type="paragraph" w:customStyle="1" w:styleId="FooterDraftReport">
    <w:name w:val="FooterDraftReport"/>
    <w:basedOn w:val="Footer"/>
    <w:link w:val="FooterDraftReportChar"/>
    <w:rsid w:val="00A6515C"/>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A6515C"/>
    <w:rPr>
      <w:rFonts w:ascii="Arial" w:hAnsi="Arial"/>
      <w:caps/>
      <w:spacing w:val="-4"/>
      <w:sz w:val="16"/>
    </w:rPr>
  </w:style>
  <w:style w:type="character" w:customStyle="1" w:styleId="FooterDraftReportChar">
    <w:name w:val="FooterDraftReport Char"/>
    <w:basedOn w:val="FooterChar"/>
    <w:link w:val="FooterDraftReport"/>
    <w:rsid w:val="00A6515C"/>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A6515C"/>
    <w:rPr>
      <w:rFonts w:ascii="Arial" w:hAnsi="Arial"/>
      <w:b/>
      <w:sz w:val="26"/>
      <w:szCs w:val="26"/>
      <w:lang w:eastAsia="en-US"/>
    </w:rPr>
  </w:style>
  <w:style w:type="paragraph" w:customStyle="1" w:styleId="DQIContentsTitle">
    <w:name w:val="DQI Contents Title"/>
    <w:basedOn w:val="Heading5"/>
    <w:next w:val="TOC3"/>
    <w:rsid w:val="00162EBE"/>
    <w:rPr>
      <w:b/>
      <w:i w:val="0"/>
      <w:sz w:val="24"/>
      <w:szCs w:val="24"/>
    </w:rPr>
  </w:style>
  <w:style w:type="paragraph" w:customStyle="1" w:styleId="Heading1NotTOC">
    <w:name w:val="Heading 1 Not TOC"/>
    <w:basedOn w:val="Heading1"/>
    <w:next w:val="BodyText"/>
    <w:rsid w:val="00162EBE"/>
    <w:rPr>
      <w:kern w:val="28"/>
      <w:szCs w:val="26"/>
      <w:lang w:eastAsia="en-US"/>
    </w:rPr>
  </w:style>
  <w:style w:type="paragraph" w:customStyle="1" w:styleId="PCTableOfContents1">
    <w:name w:val="*PCTableOfContents1"/>
    <w:rsid w:val="00162EBE"/>
    <w:rPr>
      <w:noProof/>
      <w:sz w:val="3276"/>
    </w:rPr>
  </w:style>
  <w:style w:type="paragraph" w:customStyle="1" w:styleId="DQIMainRowHeadings">
    <w:name w:val="DQI Main Row Headings"/>
    <w:basedOn w:val="Normal"/>
    <w:next w:val="Normal"/>
    <w:rsid w:val="00162EBE"/>
    <w:pPr>
      <w:keepNext/>
      <w:keepLines/>
      <w:spacing w:before="120" w:line="200" w:lineRule="atLeast"/>
      <w:ind w:left="6" w:right="113"/>
    </w:pPr>
    <w:rPr>
      <w:rFonts w:ascii="Arial" w:hAnsi="Arial"/>
      <w:b/>
      <w:sz w:val="18"/>
      <w:szCs w:val="20"/>
      <w:u w:val="single"/>
    </w:rPr>
  </w:style>
  <w:style w:type="paragraph" w:customStyle="1" w:styleId="DQITableText">
    <w:name w:val="DQI Table Text"/>
    <w:basedOn w:val="TableBodyText"/>
    <w:qFormat/>
    <w:rsid w:val="00162EBE"/>
    <w:pPr>
      <w:spacing w:before="120" w:after="0"/>
      <w:ind w:left="0" w:right="0"/>
      <w:jc w:val="both"/>
    </w:pPr>
  </w:style>
  <w:style w:type="paragraph" w:customStyle="1" w:styleId="DQIRowHeadings">
    <w:name w:val="DQI Row Headings"/>
    <w:basedOn w:val="Normal"/>
    <w:qFormat/>
    <w:rsid w:val="00162EBE"/>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qFormat/>
    <w:rsid w:val="00B47113"/>
    <w:pPr>
      <w:numPr>
        <w:numId w:val="25"/>
      </w:numPr>
      <w:spacing w:before="40" w:after="0"/>
      <w:ind w:left="340" w:hanging="340"/>
      <w:jc w:val="both"/>
    </w:pPr>
  </w:style>
  <w:style w:type="paragraph" w:customStyle="1" w:styleId="DQITableBullet2">
    <w:name w:val="DQI Table Bullet 2"/>
    <w:basedOn w:val="DQITableBullet"/>
    <w:qFormat/>
    <w:rsid w:val="004F74EE"/>
    <w:pPr>
      <w:numPr>
        <w:numId w:val="26"/>
      </w:numPr>
    </w:pPr>
  </w:style>
  <w:style w:type="paragraph" w:styleId="CommentSubject">
    <w:name w:val="annotation subject"/>
    <w:basedOn w:val="CommentText"/>
    <w:next w:val="CommentText"/>
    <w:link w:val="CommentSubjectChar"/>
    <w:rsid w:val="002C7CAD"/>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2C7CAD"/>
    <w:rPr>
      <w:szCs w:val="24"/>
    </w:rPr>
  </w:style>
  <w:style w:type="character" w:customStyle="1" w:styleId="CommentSubjectChar">
    <w:name w:val="Comment Subject Char"/>
    <w:basedOn w:val="CommentTextChar"/>
    <w:link w:val="CommentSubject"/>
    <w:rsid w:val="002C7CAD"/>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1513">
      <w:bodyDiv w:val="1"/>
      <w:marLeft w:val="0"/>
      <w:marRight w:val="0"/>
      <w:marTop w:val="0"/>
      <w:marBottom w:val="0"/>
      <w:divBdr>
        <w:top w:val="none" w:sz="0" w:space="0" w:color="auto"/>
        <w:left w:val="none" w:sz="0" w:space="0" w:color="auto"/>
        <w:bottom w:val="none" w:sz="0" w:space="0" w:color="auto"/>
        <w:right w:val="none" w:sz="0" w:space="0" w:color="auto"/>
      </w:divBdr>
    </w:div>
    <w:div w:id="111633966">
      <w:bodyDiv w:val="1"/>
      <w:marLeft w:val="0"/>
      <w:marRight w:val="0"/>
      <w:marTop w:val="0"/>
      <w:marBottom w:val="0"/>
      <w:divBdr>
        <w:top w:val="none" w:sz="0" w:space="0" w:color="auto"/>
        <w:left w:val="none" w:sz="0" w:space="0" w:color="auto"/>
        <w:bottom w:val="none" w:sz="0" w:space="0" w:color="auto"/>
        <w:right w:val="none" w:sz="0" w:space="0" w:color="auto"/>
      </w:divBdr>
    </w:div>
    <w:div w:id="120199605">
      <w:bodyDiv w:val="1"/>
      <w:marLeft w:val="0"/>
      <w:marRight w:val="0"/>
      <w:marTop w:val="0"/>
      <w:marBottom w:val="0"/>
      <w:divBdr>
        <w:top w:val="none" w:sz="0" w:space="0" w:color="auto"/>
        <w:left w:val="none" w:sz="0" w:space="0" w:color="auto"/>
        <w:bottom w:val="none" w:sz="0" w:space="0" w:color="auto"/>
        <w:right w:val="none" w:sz="0" w:space="0" w:color="auto"/>
      </w:divBdr>
    </w:div>
    <w:div w:id="298001253">
      <w:bodyDiv w:val="1"/>
      <w:marLeft w:val="0"/>
      <w:marRight w:val="0"/>
      <w:marTop w:val="0"/>
      <w:marBottom w:val="0"/>
      <w:divBdr>
        <w:top w:val="none" w:sz="0" w:space="0" w:color="auto"/>
        <w:left w:val="none" w:sz="0" w:space="0" w:color="auto"/>
        <w:bottom w:val="none" w:sz="0" w:space="0" w:color="auto"/>
        <w:right w:val="none" w:sz="0" w:space="0" w:color="auto"/>
      </w:divBdr>
    </w:div>
    <w:div w:id="317156576">
      <w:bodyDiv w:val="1"/>
      <w:marLeft w:val="0"/>
      <w:marRight w:val="0"/>
      <w:marTop w:val="0"/>
      <w:marBottom w:val="0"/>
      <w:divBdr>
        <w:top w:val="none" w:sz="0" w:space="0" w:color="auto"/>
        <w:left w:val="none" w:sz="0" w:space="0" w:color="auto"/>
        <w:bottom w:val="none" w:sz="0" w:space="0" w:color="auto"/>
        <w:right w:val="none" w:sz="0" w:space="0" w:color="auto"/>
      </w:divBdr>
    </w:div>
    <w:div w:id="526454529">
      <w:bodyDiv w:val="1"/>
      <w:marLeft w:val="0"/>
      <w:marRight w:val="0"/>
      <w:marTop w:val="0"/>
      <w:marBottom w:val="0"/>
      <w:divBdr>
        <w:top w:val="none" w:sz="0" w:space="0" w:color="auto"/>
        <w:left w:val="none" w:sz="0" w:space="0" w:color="auto"/>
        <w:bottom w:val="none" w:sz="0" w:space="0" w:color="auto"/>
        <w:right w:val="none" w:sz="0" w:space="0" w:color="auto"/>
      </w:divBdr>
    </w:div>
    <w:div w:id="679161779">
      <w:bodyDiv w:val="1"/>
      <w:marLeft w:val="0"/>
      <w:marRight w:val="0"/>
      <w:marTop w:val="0"/>
      <w:marBottom w:val="0"/>
      <w:divBdr>
        <w:top w:val="none" w:sz="0" w:space="0" w:color="auto"/>
        <w:left w:val="none" w:sz="0" w:space="0" w:color="auto"/>
        <w:bottom w:val="none" w:sz="0" w:space="0" w:color="auto"/>
        <w:right w:val="none" w:sz="0" w:space="0" w:color="auto"/>
      </w:divBdr>
    </w:div>
    <w:div w:id="863130111">
      <w:bodyDiv w:val="1"/>
      <w:marLeft w:val="0"/>
      <w:marRight w:val="0"/>
      <w:marTop w:val="0"/>
      <w:marBottom w:val="0"/>
      <w:divBdr>
        <w:top w:val="none" w:sz="0" w:space="0" w:color="auto"/>
        <w:left w:val="none" w:sz="0" w:space="0" w:color="auto"/>
        <w:bottom w:val="none" w:sz="0" w:space="0" w:color="auto"/>
        <w:right w:val="none" w:sz="0" w:space="0" w:color="auto"/>
      </w:divBdr>
    </w:div>
    <w:div w:id="944658272">
      <w:bodyDiv w:val="1"/>
      <w:marLeft w:val="0"/>
      <w:marRight w:val="0"/>
      <w:marTop w:val="0"/>
      <w:marBottom w:val="0"/>
      <w:divBdr>
        <w:top w:val="none" w:sz="0" w:space="0" w:color="auto"/>
        <w:left w:val="none" w:sz="0" w:space="0" w:color="auto"/>
        <w:bottom w:val="none" w:sz="0" w:space="0" w:color="auto"/>
        <w:right w:val="none" w:sz="0" w:space="0" w:color="auto"/>
      </w:divBdr>
    </w:div>
    <w:div w:id="967080341">
      <w:bodyDiv w:val="1"/>
      <w:marLeft w:val="0"/>
      <w:marRight w:val="0"/>
      <w:marTop w:val="0"/>
      <w:marBottom w:val="0"/>
      <w:divBdr>
        <w:top w:val="none" w:sz="0" w:space="0" w:color="auto"/>
        <w:left w:val="none" w:sz="0" w:space="0" w:color="auto"/>
        <w:bottom w:val="none" w:sz="0" w:space="0" w:color="auto"/>
        <w:right w:val="none" w:sz="0" w:space="0" w:color="auto"/>
      </w:divBdr>
    </w:div>
    <w:div w:id="1048456104">
      <w:bodyDiv w:val="1"/>
      <w:marLeft w:val="0"/>
      <w:marRight w:val="0"/>
      <w:marTop w:val="0"/>
      <w:marBottom w:val="0"/>
      <w:divBdr>
        <w:top w:val="none" w:sz="0" w:space="0" w:color="auto"/>
        <w:left w:val="none" w:sz="0" w:space="0" w:color="auto"/>
        <w:bottom w:val="none" w:sz="0" w:space="0" w:color="auto"/>
        <w:right w:val="none" w:sz="0" w:space="0" w:color="auto"/>
      </w:divBdr>
    </w:div>
    <w:div w:id="1244028280">
      <w:bodyDiv w:val="1"/>
      <w:marLeft w:val="0"/>
      <w:marRight w:val="0"/>
      <w:marTop w:val="0"/>
      <w:marBottom w:val="0"/>
      <w:divBdr>
        <w:top w:val="none" w:sz="0" w:space="0" w:color="auto"/>
        <w:left w:val="none" w:sz="0" w:space="0" w:color="auto"/>
        <w:bottom w:val="none" w:sz="0" w:space="0" w:color="auto"/>
        <w:right w:val="none" w:sz="0" w:space="0" w:color="auto"/>
      </w:divBdr>
    </w:div>
    <w:div w:id="1334450127">
      <w:bodyDiv w:val="1"/>
      <w:marLeft w:val="0"/>
      <w:marRight w:val="0"/>
      <w:marTop w:val="0"/>
      <w:marBottom w:val="0"/>
      <w:divBdr>
        <w:top w:val="none" w:sz="0" w:space="0" w:color="auto"/>
        <w:left w:val="none" w:sz="0" w:space="0" w:color="auto"/>
        <w:bottom w:val="none" w:sz="0" w:space="0" w:color="auto"/>
        <w:right w:val="none" w:sz="0" w:space="0" w:color="auto"/>
      </w:divBdr>
    </w:div>
    <w:div w:id="1361321659">
      <w:bodyDiv w:val="1"/>
      <w:marLeft w:val="0"/>
      <w:marRight w:val="0"/>
      <w:marTop w:val="0"/>
      <w:marBottom w:val="0"/>
      <w:divBdr>
        <w:top w:val="none" w:sz="0" w:space="0" w:color="auto"/>
        <w:left w:val="none" w:sz="0" w:space="0" w:color="auto"/>
        <w:bottom w:val="none" w:sz="0" w:space="0" w:color="auto"/>
        <w:right w:val="none" w:sz="0" w:space="0" w:color="auto"/>
      </w:divBdr>
    </w:div>
    <w:div w:id="1432773378">
      <w:bodyDiv w:val="1"/>
      <w:marLeft w:val="0"/>
      <w:marRight w:val="0"/>
      <w:marTop w:val="0"/>
      <w:marBottom w:val="0"/>
      <w:divBdr>
        <w:top w:val="none" w:sz="0" w:space="0" w:color="auto"/>
        <w:left w:val="none" w:sz="0" w:space="0" w:color="auto"/>
        <w:bottom w:val="none" w:sz="0" w:space="0" w:color="auto"/>
        <w:right w:val="none" w:sz="0" w:space="0" w:color="auto"/>
      </w:divBdr>
    </w:div>
    <w:div w:id="1436947586">
      <w:bodyDiv w:val="1"/>
      <w:marLeft w:val="0"/>
      <w:marRight w:val="0"/>
      <w:marTop w:val="0"/>
      <w:marBottom w:val="0"/>
      <w:divBdr>
        <w:top w:val="none" w:sz="0" w:space="0" w:color="auto"/>
        <w:left w:val="none" w:sz="0" w:space="0" w:color="auto"/>
        <w:bottom w:val="none" w:sz="0" w:space="0" w:color="auto"/>
        <w:right w:val="none" w:sz="0" w:space="0" w:color="auto"/>
      </w:divBdr>
    </w:div>
    <w:div w:id="1487667915">
      <w:bodyDiv w:val="1"/>
      <w:marLeft w:val="0"/>
      <w:marRight w:val="0"/>
      <w:marTop w:val="0"/>
      <w:marBottom w:val="0"/>
      <w:divBdr>
        <w:top w:val="none" w:sz="0" w:space="0" w:color="auto"/>
        <w:left w:val="none" w:sz="0" w:space="0" w:color="auto"/>
        <w:bottom w:val="none" w:sz="0" w:space="0" w:color="auto"/>
        <w:right w:val="none" w:sz="0" w:space="0" w:color="auto"/>
      </w:divBdr>
    </w:div>
    <w:div w:id="1692222184">
      <w:bodyDiv w:val="1"/>
      <w:marLeft w:val="0"/>
      <w:marRight w:val="0"/>
      <w:marTop w:val="0"/>
      <w:marBottom w:val="0"/>
      <w:divBdr>
        <w:top w:val="none" w:sz="0" w:space="0" w:color="auto"/>
        <w:left w:val="none" w:sz="0" w:space="0" w:color="auto"/>
        <w:bottom w:val="none" w:sz="0" w:space="0" w:color="auto"/>
        <w:right w:val="none" w:sz="0" w:space="0" w:color="auto"/>
      </w:divBdr>
    </w:div>
    <w:div w:id="1738940533">
      <w:bodyDiv w:val="1"/>
      <w:marLeft w:val="0"/>
      <w:marRight w:val="0"/>
      <w:marTop w:val="0"/>
      <w:marBottom w:val="0"/>
      <w:divBdr>
        <w:top w:val="none" w:sz="0" w:space="0" w:color="auto"/>
        <w:left w:val="none" w:sz="0" w:space="0" w:color="auto"/>
        <w:bottom w:val="none" w:sz="0" w:space="0" w:color="auto"/>
        <w:right w:val="none" w:sz="0" w:space="0" w:color="auto"/>
      </w:divBdr>
    </w:div>
    <w:div w:id="1741637102">
      <w:bodyDiv w:val="1"/>
      <w:marLeft w:val="0"/>
      <w:marRight w:val="0"/>
      <w:marTop w:val="0"/>
      <w:marBottom w:val="0"/>
      <w:divBdr>
        <w:top w:val="none" w:sz="0" w:space="0" w:color="auto"/>
        <w:left w:val="none" w:sz="0" w:space="0" w:color="auto"/>
        <w:bottom w:val="none" w:sz="0" w:space="0" w:color="auto"/>
        <w:right w:val="none" w:sz="0" w:space="0" w:color="auto"/>
      </w:divBdr>
    </w:div>
    <w:div w:id="1829207397">
      <w:bodyDiv w:val="1"/>
      <w:marLeft w:val="0"/>
      <w:marRight w:val="0"/>
      <w:marTop w:val="0"/>
      <w:marBottom w:val="0"/>
      <w:divBdr>
        <w:top w:val="none" w:sz="0" w:space="0" w:color="auto"/>
        <w:left w:val="none" w:sz="0" w:space="0" w:color="auto"/>
        <w:bottom w:val="none" w:sz="0" w:space="0" w:color="auto"/>
        <w:right w:val="none" w:sz="0" w:space="0" w:color="auto"/>
      </w:divBdr>
    </w:div>
    <w:div w:id="1925409083">
      <w:bodyDiv w:val="1"/>
      <w:marLeft w:val="0"/>
      <w:marRight w:val="0"/>
      <w:marTop w:val="0"/>
      <w:marBottom w:val="0"/>
      <w:divBdr>
        <w:top w:val="none" w:sz="0" w:space="0" w:color="auto"/>
        <w:left w:val="none" w:sz="0" w:space="0" w:color="auto"/>
        <w:bottom w:val="none" w:sz="0" w:space="0" w:color="auto"/>
        <w:right w:val="none" w:sz="0" w:space="0" w:color="auto"/>
      </w:divBdr>
    </w:div>
    <w:div w:id="1975594865">
      <w:bodyDiv w:val="1"/>
      <w:marLeft w:val="0"/>
      <w:marRight w:val="0"/>
      <w:marTop w:val="0"/>
      <w:marBottom w:val="0"/>
      <w:divBdr>
        <w:top w:val="none" w:sz="0" w:space="0" w:color="auto"/>
        <w:left w:val="none" w:sz="0" w:space="0" w:color="auto"/>
        <w:bottom w:val="none" w:sz="0" w:space="0" w:color="auto"/>
        <w:right w:val="none" w:sz="0" w:space="0" w:color="auto"/>
      </w:divBdr>
    </w:div>
    <w:div w:id="2001496275">
      <w:bodyDiv w:val="1"/>
      <w:marLeft w:val="0"/>
      <w:marRight w:val="0"/>
      <w:marTop w:val="0"/>
      <w:marBottom w:val="0"/>
      <w:divBdr>
        <w:top w:val="none" w:sz="0" w:space="0" w:color="auto"/>
        <w:left w:val="none" w:sz="0" w:space="0" w:color="auto"/>
        <w:bottom w:val="none" w:sz="0" w:space="0" w:color="auto"/>
        <w:right w:val="none" w:sz="0" w:space="0" w:color="auto"/>
      </w:divBdr>
    </w:div>
    <w:div w:id="210445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9D569-1E56-49A7-96AA-8133D3290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60</TotalTime>
  <Pages>73</Pages>
  <Words>24707</Words>
  <Characters>142373</Characters>
  <Application>Microsoft Office Word</Application>
  <DocSecurity>0</DocSecurity>
  <Lines>3650</Lines>
  <Paragraphs>2288</Paragraphs>
  <ScaleCrop>false</ScaleCrop>
  <HeadingPairs>
    <vt:vector size="2" baseType="variant">
      <vt:variant>
        <vt:lpstr>Title</vt:lpstr>
      </vt:variant>
      <vt:variant>
        <vt:i4>1</vt:i4>
      </vt:variant>
    </vt:vector>
  </HeadingPairs>
  <TitlesOfParts>
    <vt:vector size="1" baseType="lpstr">
      <vt:lpstr>DQI 9 Fire and ambulance services - Report on Government Services 2016</vt:lpstr>
    </vt:vector>
  </TitlesOfParts>
  <Manager/>
  <Company>Productivity Commission</Company>
  <LinksUpToDate>false</LinksUpToDate>
  <CharactersWithSpaces>164792</CharactersWithSpaces>
  <SharedDoc>false</SharedDoc>
  <HLinks>
    <vt:vector size="60" baseType="variant">
      <vt:variant>
        <vt:i4>4194361</vt:i4>
      </vt:variant>
      <vt:variant>
        <vt:i4>60</vt:i4>
      </vt:variant>
      <vt:variant>
        <vt:i4>0</vt:i4>
      </vt:variant>
      <vt:variant>
        <vt:i4>5</vt:i4>
      </vt:variant>
      <vt:variant>
        <vt:lpwstr>http://knowledgeweb.afac.com.au/national_data__and__glossary/national_data/data_requests</vt:lpwstr>
      </vt:variant>
      <vt:variant>
        <vt:lpwstr/>
      </vt:variant>
      <vt:variant>
        <vt:i4>5308504</vt:i4>
      </vt:variant>
      <vt:variant>
        <vt:i4>57</vt:i4>
      </vt:variant>
      <vt:variant>
        <vt:i4>0</vt:i4>
      </vt:variant>
      <vt:variant>
        <vt:i4>5</vt:i4>
      </vt:variant>
      <vt:variant>
        <vt:lpwstr>http://www.abs.gov.au/websitedbs/d3310114.nsf/4a256353001af3ed4b2562bb00121564/10ca14cb967e5b83ca2573ae00197b65!OpenDocument</vt:lpwstr>
      </vt:variant>
      <vt:variant>
        <vt:lpwstr/>
      </vt:variant>
      <vt:variant>
        <vt:i4>5505073</vt:i4>
      </vt:variant>
      <vt:variant>
        <vt:i4>54</vt:i4>
      </vt:variant>
      <vt:variant>
        <vt:i4>0</vt:i4>
      </vt:variant>
      <vt:variant>
        <vt:i4>5</vt:i4>
      </vt:variant>
      <vt:variant>
        <vt:lpwstr>http://knowledgeweb.afac.com.au/national_data__and__glossary</vt:lpwstr>
      </vt:variant>
      <vt:variant>
        <vt:lpwstr/>
      </vt:variant>
      <vt:variant>
        <vt:i4>4194361</vt:i4>
      </vt:variant>
      <vt:variant>
        <vt:i4>36</vt:i4>
      </vt:variant>
      <vt:variant>
        <vt:i4>0</vt:i4>
      </vt:variant>
      <vt:variant>
        <vt:i4>5</vt:i4>
      </vt:variant>
      <vt:variant>
        <vt:lpwstr>http://knowledgeweb.afac.com.au/national_data__and__glossary/national_data/data_requests</vt:lpwstr>
      </vt:variant>
      <vt:variant>
        <vt:lpwstr/>
      </vt:variant>
      <vt:variant>
        <vt:i4>5505073</vt:i4>
      </vt:variant>
      <vt:variant>
        <vt:i4>33</vt:i4>
      </vt:variant>
      <vt:variant>
        <vt:i4>0</vt:i4>
      </vt:variant>
      <vt:variant>
        <vt:i4>5</vt:i4>
      </vt:variant>
      <vt:variant>
        <vt:lpwstr>http://knowledgeweb.afac.com.au/national_data__and__glossary</vt:lpwstr>
      </vt:variant>
      <vt:variant>
        <vt:lpwstr/>
      </vt:variant>
      <vt:variant>
        <vt:i4>1507389</vt:i4>
      </vt:variant>
      <vt:variant>
        <vt:i4>26</vt:i4>
      </vt:variant>
      <vt:variant>
        <vt:i4>0</vt:i4>
      </vt:variant>
      <vt:variant>
        <vt:i4>5</vt:i4>
      </vt:variant>
      <vt:variant>
        <vt:lpwstr/>
      </vt:variant>
      <vt:variant>
        <vt:lpwstr>_Toc314226855</vt:lpwstr>
      </vt:variant>
      <vt:variant>
        <vt:i4>1507389</vt:i4>
      </vt:variant>
      <vt:variant>
        <vt:i4>20</vt:i4>
      </vt:variant>
      <vt:variant>
        <vt:i4>0</vt:i4>
      </vt:variant>
      <vt:variant>
        <vt:i4>5</vt:i4>
      </vt:variant>
      <vt:variant>
        <vt:lpwstr/>
      </vt:variant>
      <vt:variant>
        <vt:lpwstr>_Toc314226854</vt:lpwstr>
      </vt:variant>
      <vt:variant>
        <vt:i4>1507389</vt:i4>
      </vt:variant>
      <vt:variant>
        <vt:i4>14</vt:i4>
      </vt:variant>
      <vt:variant>
        <vt:i4>0</vt:i4>
      </vt:variant>
      <vt:variant>
        <vt:i4>5</vt:i4>
      </vt:variant>
      <vt:variant>
        <vt:lpwstr/>
      </vt:variant>
      <vt:variant>
        <vt:lpwstr>_Toc314226853</vt:lpwstr>
      </vt:variant>
      <vt:variant>
        <vt:i4>1507389</vt:i4>
      </vt:variant>
      <vt:variant>
        <vt:i4>8</vt:i4>
      </vt:variant>
      <vt:variant>
        <vt:i4>0</vt:i4>
      </vt:variant>
      <vt:variant>
        <vt:i4>5</vt:i4>
      </vt:variant>
      <vt:variant>
        <vt:lpwstr/>
      </vt:variant>
      <vt:variant>
        <vt:lpwstr>_Toc314226852</vt:lpwstr>
      </vt:variant>
      <vt:variant>
        <vt:i4>1507389</vt:i4>
      </vt:variant>
      <vt:variant>
        <vt:i4>2</vt:i4>
      </vt:variant>
      <vt:variant>
        <vt:i4>0</vt:i4>
      </vt:variant>
      <vt:variant>
        <vt:i4>5</vt:i4>
      </vt:variant>
      <vt:variant>
        <vt:lpwstr/>
      </vt:variant>
      <vt:variant>
        <vt:lpwstr>_Toc314226851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9 Fire and ambulance services - Report on Government Services 2016</dc:title>
  <dc:subject/>
  <dc:creator>Steering Committee for the Review of Government Service Provision</dc:creator>
  <cp:lastModifiedBy>Frech, Tanya</cp:lastModifiedBy>
  <cp:revision>5</cp:revision>
  <cp:lastPrinted>2015-12-16T23:54:00Z</cp:lastPrinted>
  <dcterms:created xsi:type="dcterms:W3CDTF">2015-11-29T23:37:00Z</dcterms:created>
  <dcterms:modified xsi:type="dcterms:W3CDTF">2015-12-20T23:52:00Z</dcterms:modified>
</cp:coreProperties>
</file>